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100" w:lineRule="exact"/>
        <w:ind w:left="484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1"/>
          <w:sz w:val="20"/>
          <w:szCs w:val="20"/>
        </w:rPr>
        <w:drawing>
          <wp:inline distT="0" distB="0" distL="0" distR="0">
            <wp:extent cx="1409663" cy="13335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663" cy="1333500"/>
                    </a:xfrm>
                    <a:prstGeom prst="rect">
                      <a:avLst/>
                    </a:prstGeom>
                  </pic:spPr>
                </pic:pic>
              </a:graphicData>
            </a:graphic>
          </wp:inline>
        </w:drawing>
      </w:r>
      <w:r>
        <w:rPr>
          <w:rFonts w:ascii="Times New Roman" w:hAnsi="Times New Roman" w:cs="Times New Roman" w:eastAsia="Times New Roman" w:hint="default"/>
          <w:position w:val="-41"/>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3403" w:right="3403" w:firstLine="0"/>
        <w:jc w:val="center"/>
        <w:rPr>
          <w:rFonts w:ascii="宋体" w:hAnsi="宋体" w:cs="宋体" w:eastAsia="宋体" w:hint="default"/>
          <w:sz w:val="36"/>
          <w:szCs w:val="36"/>
        </w:rPr>
      </w:pPr>
      <w:r>
        <w:rPr>
          <w:rFonts w:ascii="宋体" w:hAnsi="宋体" w:cs="宋体" w:eastAsia="宋体" w:hint="default"/>
          <w:b/>
          <w:bCs/>
          <w:sz w:val="36"/>
          <w:szCs w:val="36"/>
        </w:rPr>
        <w:t>浙江金科过氧化物股份有限公司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3402" w:right="340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3403" w:right="3402" w:firstLine="0"/>
        <w:jc w:val="center"/>
        <w:rPr>
          <w:rFonts w:ascii="Times New Roman" w:hAnsi="Times New Roman" w:cs="Times New Roman" w:eastAsia="Times New Roman" w:hint="default"/>
          <w:sz w:val="22"/>
          <w:szCs w:val="22"/>
        </w:rPr>
      </w:pPr>
      <w:r>
        <w:rPr>
          <w:rFonts w:ascii="Times New Roman"/>
          <w:b/>
          <w:sz w:val="22"/>
        </w:rPr>
        <w:t>2016-033</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3403" w:right="34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公司负责人朱志刚、主管会计工作负责人秦海娟及会计机构负责人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邝雅婷声明：保证年度报告中财务报告的真实、准确、完整。</w:t>
      </w:r>
      <w:r>
        <w:rPr>
          <w:rFonts w:ascii="宋体" w:hAnsi="宋体" w:cs="宋体" w:eastAsia="宋体" w:hint="default"/>
          <w:sz w:val="28"/>
          <w:szCs w:val="28"/>
        </w:rPr>
      </w:r>
    </w:p>
    <w:p>
      <w:pPr>
        <w:spacing w:line="472" w:lineRule="auto"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本报告中所涉及的未来计划、发展战略等前瞻性陈述，不构成公司对投资</w:t>
      </w:r>
      <w:r>
        <w:rPr>
          <w:rFonts w:ascii="宋体" w:hAnsi="宋体" w:cs="宋体" w:eastAsia="宋体" w:hint="default"/>
          <w:spacing w:val="3"/>
          <w:sz w:val="28"/>
          <w:szCs w:val="28"/>
        </w:rPr>
      </w:r>
    </w:p>
    <w:p>
      <w:pPr>
        <w:spacing w:line="475" w:lineRule="auto" w:before="0"/>
        <w:ind w:left="1695" w:right="0" w:hanging="562"/>
        <w:jc w:val="left"/>
        <w:rPr>
          <w:rFonts w:ascii="宋体" w:hAnsi="宋体" w:cs="宋体" w:eastAsia="宋体" w:hint="default"/>
          <w:sz w:val="28"/>
          <w:szCs w:val="28"/>
        </w:rPr>
      </w:pPr>
      <w:r>
        <w:rPr>
          <w:rFonts w:ascii="宋体" w:hAnsi="宋体" w:cs="宋体" w:eastAsia="宋体" w:hint="default"/>
          <w:b/>
          <w:bCs/>
          <w:sz w:val="28"/>
          <w:szCs w:val="28"/>
        </w:rPr>
        <w:t>者的实质承诺，敬请投资者注意投资风险。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公司存在市场竞争加剧的风险、核心技术人员流失风险、投资并购及管理</w:t>
      </w:r>
      <w:r>
        <w:rPr>
          <w:rFonts w:ascii="宋体" w:hAnsi="宋体" w:cs="宋体" w:eastAsia="宋体" w:hint="default"/>
          <w:spacing w:val="3"/>
          <w:sz w:val="28"/>
          <w:szCs w:val="28"/>
        </w:rPr>
      </w:r>
    </w:p>
    <w:p>
      <w:pPr>
        <w:spacing w:line="350" w:lineRule="exact" w:before="0"/>
        <w:ind w:left="1133"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风险、募集资金投资项目实施风险等风险，敬请广大投资者注意投资风险。敬</w:t>
      </w:r>
      <w:r>
        <w:rPr>
          <w:rFonts w:ascii="宋体" w:hAnsi="宋体" w:cs="宋体" w:eastAsia="宋体" w:hint="default"/>
          <w:spacing w:val="3"/>
          <w:sz w:val="28"/>
          <w:szCs w:val="28"/>
        </w:rPr>
      </w:r>
    </w:p>
    <w:p>
      <w:pPr>
        <w:spacing w:line="240" w:lineRule="auto" w:before="9"/>
        <w:rPr>
          <w:rFonts w:ascii="宋体" w:hAnsi="宋体" w:cs="宋体" w:eastAsia="宋体" w:hint="default"/>
          <w:b/>
          <w:bCs/>
          <w:sz w:val="19"/>
          <w:szCs w:val="19"/>
        </w:rPr>
      </w:pPr>
    </w:p>
    <w:p>
      <w:pPr>
        <w:spacing w:line="386" w:lineRule="auto" w:before="0"/>
        <w:ind w:left="1133" w:right="0" w:firstLine="0"/>
        <w:jc w:val="left"/>
        <w:rPr>
          <w:rFonts w:ascii="宋体" w:hAnsi="宋体" w:cs="宋体" w:eastAsia="宋体" w:hint="default"/>
          <w:sz w:val="28"/>
          <w:szCs w:val="28"/>
        </w:rPr>
      </w:pPr>
      <w:r>
        <w:rPr>
          <w:rFonts w:ascii="宋体" w:hAnsi="宋体" w:cs="宋体" w:eastAsia="宋体" w:hint="default"/>
          <w:b/>
          <w:bCs/>
          <w:spacing w:val="7"/>
          <w:w w:val="95"/>
          <w:sz w:val="28"/>
          <w:szCs w:val="28"/>
        </w:rPr>
        <w:t>请广大投资者注意投资风险。详细内容见本报告</w:t>
      </w:r>
      <w:r>
        <w:rPr>
          <w:rFonts w:ascii="Times New Roman" w:hAnsi="Times New Roman" w:cs="Times New Roman" w:eastAsia="Times New Roman" w:hint="default"/>
          <w:b/>
          <w:bCs/>
          <w:spacing w:val="7"/>
          <w:w w:val="95"/>
          <w:sz w:val="28"/>
          <w:szCs w:val="28"/>
        </w:rPr>
        <w:t>“</w:t>
      </w:r>
      <w:r>
        <w:rPr>
          <w:rFonts w:ascii="宋体" w:hAnsi="宋体" w:cs="宋体" w:eastAsia="宋体" w:hint="default"/>
          <w:b/>
          <w:bCs/>
          <w:spacing w:val="7"/>
          <w:w w:val="95"/>
          <w:sz w:val="28"/>
          <w:szCs w:val="28"/>
        </w:rPr>
        <w:t>第四节管理层讨论与分析之</w:t>
      </w:r>
      <w:r>
        <w:rPr>
          <w:rFonts w:ascii="宋体" w:hAnsi="宋体" w:cs="宋体" w:eastAsia="宋体" w:hint="default"/>
          <w:b/>
          <w:bCs/>
          <w:spacing w:val="29"/>
          <w:w w:val="95"/>
          <w:sz w:val="28"/>
          <w:szCs w:val="28"/>
        </w:rPr>
        <w:t> </w:t>
      </w:r>
      <w:r>
        <w:rPr>
          <w:rFonts w:ascii="宋体" w:hAnsi="宋体" w:cs="宋体" w:eastAsia="宋体" w:hint="default"/>
          <w:b/>
          <w:bCs/>
          <w:spacing w:val="29"/>
          <w:w w:val="95"/>
          <w:sz w:val="28"/>
          <w:szCs w:val="28"/>
        </w:rPr>
      </w:r>
      <w:r>
        <w:rPr>
          <w:rFonts w:ascii="宋体" w:hAnsi="宋体" w:cs="宋体" w:eastAsia="宋体" w:hint="default"/>
          <w:b/>
          <w:bCs/>
          <w:spacing w:val="-13"/>
          <w:w w:val="99"/>
          <w:sz w:val="28"/>
          <w:szCs w:val="28"/>
        </w:rPr>
        <w:t>九、（三）风险因素</w:t>
      </w:r>
      <w:r>
        <w:rPr>
          <w:rFonts w:ascii="Times New Roman" w:hAnsi="Times New Roman" w:cs="Times New Roman" w:eastAsia="Times New Roman" w:hint="default"/>
          <w:b/>
          <w:bCs/>
          <w:spacing w:val="-13"/>
          <w:w w:val="99"/>
          <w:sz w:val="28"/>
          <w:szCs w:val="28"/>
        </w:rPr>
        <w:t>”</w:t>
      </w:r>
      <w:r>
        <w:rPr>
          <w:rFonts w:ascii="宋体" w:hAnsi="宋体" w:cs="宋体" w:eastAsia="宋体" w:hint="default"/>
          <w:b/>
          <w:bCs/>
          <w:spacing w:val="-13"/>
          <w:w w:val="99"/>
          <w:sz w:val="28"/>
          <w:szCs w:val="28"/>
        </w:rPr>
        <w:t>。</w:t>
      </w:r>
      <w:r>
        <w:rPr>
          <w:rFonts w:ascii="宋体" w:hAnsi="宋体" w:cs="宋体" w:eastAsia="宋体" w:hint="default"/>
          <w:spacing w:val="-13"/>
          <w:sz w:val="28"/>
          <w:szCs w:val="28"/>
        </w:rPr>
      </w:r>
    </w:p>
    <w:p>
      <w:pPr>
        <w:spacing w:before="145"/>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265000000</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为基数，向</w:t>
      </w:r>
      <w:r>
        <w:rPr>
          <w:rFonts w:ascii="宋体" w:hAnsi="宋体" w:cs="宋体" w:eastAsia="宋体" w:hint="default"/>
          <w:sz w:val="28"/>
          <w:szCs w:val="28"/>
        </w:rPr>
      </w:r>
    </w:p>
    <w:p>
      <w:pPr>
        <w:spacing w:before="236"/>
        <w:ind w:left="1133"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派发现</w:t>
      </w:r>
      <w:r>
        <w:rPr>
          <w:rFonts w:ascii="宋体" w:hAnsi="宋体" w:cs="宋体" w:eastAsia="宋体" w:hint="default"/>
          <w:b/>
          <w:bCs/>
          <w:spacing w:val="2"/>
          <w:w w:val="99"/>
          <w:sz w:val="28"/>
          <w:szCs w:val="28"/>
        </w:rPr>
        <w:t>金红</w:t>
      </w:r>
      <w:r>
        <w:rPr>
          <w:rFonts w:ascii="宋体" w:hAnsi="宋体" w:cs="宋体" w:eastAsia="宋体" w:hint="default"/>
          <w:b/>
          <w:bCs/>
          <w:w w:val="99"/>
          <w:sz w:val="28"/>
          <w:szCs w:val="28"/>
        </w:rPr>
        <w:t>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0.8</w:t>
      </w:r>
      <w:r>
        <w:rPr>
          <w:rFonts w:ascii="Times New Roman" w:hAnsi="Times New Roman" w:cs="Times New Roman" w:eastAsia="Times New Roman" w:hint="default"/>
          <w:b/>
          <w:bCs/>
          <w:spacing w:val="4"/>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133" w:right="0"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3403" w:right="340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169</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spacing w:before="946"/>
        <w:ind w:left="3403" w:right="340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609"/>
        <w:gridCol w:w="5424"/>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浙江金科过氧化物股份有限公司或浙江金科过氧化物股份有限公司</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（含子公司）</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漂白助剂</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left"/>
              <w:rPr>
                <w:rFonts w:ascii="宋体" w:hAnsi="宋体" w:cs="宋体" w:eastAsia="宋体" w:hint="default"/>
                <w:sz w:val="18"/>
                <w:szCs w:val="18"/>
              </w:rPr>
            </w:pPr>
            <w:r>
              <w:rPr>
                <w:rFonts w:ascii="宋体" w:hAnsi="宋体" w:cs="宋体" w:eastAsia="宋体" w:hint="default"/>
                <w:spacing w:val="-2"/>
                <w:sz w:val="18"/>
                <w:szCs w:val="18"/>
              </w:rPr>
              <w:t>化学物质，通过氧化反应以达至漂白物品的功用，而把一些物品漂白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即把它的颜色去除或变淡</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洗涤助剂</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3"/>
              <w:jc w:val="both"/>
              <w:rPr>
                <w:rFonts w:ascii="宋体" w:hAnsi="宋体" w:cs="宋体" w:eastAsia="宋体" w:hint="default"/>
                <w:sz w:val="18"/>
                <w:szCs w:val="18"/>
              </w:rPr>
            </w:pPr>
            <w:r>
              <w:rPr>
                <w:rFonts w:ascii="宋体" w:hAnsi="宋体" w:cs="宋体" w:eastAsia="宋体" w:hint="default"/>
                <w:spacing w:val="-2"/>
                <w:sz w:val="18"/>
                <w:szCs w:val="18"/>
              </w:rPr>
              <w:t>添加在洗涤剂中以增强洗涤功能的物质的总称，助剂通过束缚水中的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硬度离子（主要是钙离子、镁离子等）使水软化，或者直接与污渍发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生反应而去除污渍，促使洗涤剂发挥洗涤功效</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SPC</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过碳酸钠</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SPB</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过硼酸钠</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4"/>
                <w:sz w:val="18"/>
              </w:rPr>
              <w:t>TAED</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四乙酰乙二胺</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TC</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三嗪次胺基己酸</w:t>
            </w:r>
          </w:p>
        </w:tc>
      </w:tr>
      <w:tr>
        <w:trPr>
          <w:trHeight w:val="629"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含氧洗衣粉、含氧助洗剂</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4" w:lineRule="auto" w:before="51"/>
              <w:ind w:left="16" w:right="21"/>
              <w:jc w:val="left"/>
              <w:rPr>
                <w:rFonts w:ascii="宋体" w:hAnsi="宋体" w:cs="宋体" w:eastAsia="宋体" w:hint="default"/>
                <w:sz w:val="18"/>
                <w:szCs w:val="18"/>
              </w:rPr>
            </w:pPr>
            <w:r>
              <w:rPr>
                <w:rFonts w:ascii="宋体" w:hAnsi="宋体" w:cs="宋体" w:eastAsia="宋体" w:hint="default"/>
                <w:spacing w:val="-2"/>
                <w:sz w:val="18"/>
                <w:szCs w:val="18"/>
              </w:rPr>
              <w:t>洗衣粉中含有一定量的过氧化物，如过碳酸钠或过硼酸钠，过氧化物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在一定温度的水中，或在活化（性）剂的作用下，会释放出能协助洗</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衣粉去除多种污垢的活性氧，提高洗衣粉去污效果；含氧助洗剂相当</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于过氧化物含量超过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的含氧洗衣粉，一般与液体洗涤剂配合使 用，提高洗涤效果</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629"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湿稳定性</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2"/>
              <w:jc w:val="left"/>
              <w:rPr>
                <w:rFonts w:ascii="宋体" w:hAnsi="宋体" w:cs="宋体" w:eastAsia="宋体" w:hint="default"/>
                <w:sz w:val="18"/>
                <w:szCs w:val="18"/>
              </w:rPr>
            </w:pPr>
            <w:r>
              <w:rPr>
                <w:rFonts w:ascii="宋体" w:hAnsi="宋体" w:cs="宋体" w:eastAsia="宋体" w:hint="default"/>
                <w:spacing w:val="-2"/>
                <w:sz w:val="18"/>
                <w:szCs w:val="18"/>
              </w:rPr>
              <w:t>产品在高湿度下的稳定性，即产品在一定温度与湿度下的储存一定时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间后，所检测出的有效成分的含量</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堆密度</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单位体积下的产品重量</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母液、工作液</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化学反应物料的载体</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共沸精馏分离</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通过精馏分离不同沸点的物质</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反应转化率</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left"/>
              <w:rPr>
                <w:rFonts w:ascii="宋体" w:hAnsi="宋体" w:cs="宋体" w:eastAsia="宋体" w:hint="default"/>
                <w:sz w:val="18"/>
                <w:szCs w:val="18"/>
              </w:rPr>
            </w:pPr>
            <w:r>
              <w:rPr>
                <w:rFonts w:ascii="宋体" w:hAnsi="宋体" w:cs="宋体" w:eastAsia="宋体" w:hint="default"/>
                <w:spacing w:val="-2"/>
                <w:sz w:val="18"/>
                <w:szCs w:val="18"/>
              </w:rPr>
              <w:t>在一个化学反应中，特定反应物转换成特定生成物的百分比；转化率</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和反应本身以及反应环境、催化剂等都有关</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得率</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2"/>
              <w:jc w:val="left"/>
              <w:rPr>
                <w:rFonts w:ascii="宋体" w:hAnsi="宋体" w:cs="宋体" w:eastAsia="宋体" w:hint="default"/>
                <w:sz w:val="18"/>
                <w:szCs w:val="18"/>
              </w:rPr>
            </w:pPr>
            <w:r>
              <w:rPr>
                <w:rFonts w:ascii="宋体" w:hAnsi="宋体" w:cs="宋体" w:eastAsia="宋体" w:hint="default"/>
                <w:spacing w:val="-2"/>
                <w:sz w:val="18"/>
                <w:szCs w:val="18"/>
              </w:rPr>
              <w:t>在化学反应或相关的化学工业生产中，投入单位数量原料获得的实际</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生产的产品产量与理论计算的产品产量的比值</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COD</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
              <w:jc w:val="left"/>
              <w:rPr>
                <w:rFonts w:ascii="宋体" w:hAnsi="宋体" w:cs="宋体" w:eastAsia="宋体" w:hint="default"/>
                <w:sz w:val="18"/>
                <w:szCs w:val="18"/>
              </w:rPr>
            </w:pPr>
            <w:r>
              <w:rPr>
                <w:rFonts w:ascii="宋体" w:hAnsi="宋体" w:cs="宋体" w:eastAsia="宋体" w:hint="default"/>
                <w:sz w:val="18"/>
                <w:szCs w:val="18"/>
              </w:rPr>
              <w:t>化学需氧量，即在一定的条件下，采用一定的强氧化剂处理水样时， 所消耗的氧化剂量</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DCS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控制系统</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Distributed Control</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，分散控制系统，是计算机技术、系统控制 技术、网络通讯技术和多媒体技术综合运用的生产控制系统</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催化剂</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改变化学反应速度而本身的组成和质量在反应前后保持不变的物质</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过氧乙酸</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一种过氧有机酸，用作氧化剂、消毒剂</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包膜</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在过碳酸钠的表面喷涂稳定剂等物质，使得过碳酸钠表面形成一层致</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密的薄膜与外界隔绝，提高过碳酸钠的稳定性</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湖州吉昌公司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湖州吉昌化学有限公司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润科新材料公司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浙江润科新材料科技有限公司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诺亚氟化工公司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浙江诺亚氟化工有限公司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金科日化公司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浙江金科日化原料有限公司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金科双氧水公司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浙江金科双氧水有限公司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624" w:right="0"/>
        <w:jc w:val="left"/>
        <w:rPr>
          <w:b w:val="0"/>
          <w:bCs w:val="0"/>
        </w:rPr>
      </w:pP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1065616"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浙江金科</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300459</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浙江金科过氧化物股份有限公司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浙江金科</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Zhejiang Jinke Peroxides Co.,</w:t>
            </w:r>
            <w:r>
              <w:rPr>
                <w:rFonts w:ascii="Times New Roman"/>
                <w:spacing w:val="-10"/>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Zhejiang</w:t>
            </w:r>
            <w:r>
              <w:rPr>
                <w:rFonts w:ascii="Times New Roman"/>
                <w:spacing w:val="-2"/>
                <w:sz w:val="18"/>
              </w:rPr>
              <w:t> </w:t>
            </w:r>
            <w:r>
              <w:rPr>
                <w:rFonts w:ascii="Times New Roman"/>
                <w:sz w:val="18"/>
              </w:rPr>
              <w:t>Jinke</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朱志刚</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浙江省杭州湾上虞工业园区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312369</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浙江省杭州湾上虞工业园区纬九路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312369</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www.jinke-chem.com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zqb@jinkegroup.com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魏洪涛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张维璋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浙江省杭州湾上虞工业园区纬九路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浙江省杭州湾上虞工业园区纬九路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057582737958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057582738067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057582735552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057582735552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wht@jinkegroup.com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zwz@jinkegroup.com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浙江省杭州湾上虞工业园区公司证券部</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浙江省杭州市西溪路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程志刚、吕安吉</w:t>
            </w:r>
          </w:p>
        </w:tc>
      </w:tr>
    </w:tbl>
    <w:p>
      <w:pPr>
        <w:pStyle w:val="BodyText"/>
        <w:spacing w:line="240" w:lineRule="auto" w:before="51"/>
        <w:ind w:left="1134" w:right="0"/>
        <w:jc w:val="left"/>
      </w:pPr>
      <w:r>
        <w:rPr/>
        <w:t>公司聘请的报告期内履行持续督导职责的保荐机构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平安证券有限责任公司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上海市浦东新区陆家嘴环路</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1333  </w:t>
            </w:r>
            <w:r>
              <w:rPr>
                <w:rFonts w:ascii="宋体" w:hAnsi="宋体" w:cs="宋体" w:eastAsia="宋体" w:hint="default"/>
                <w:sz w:val="18"/>
                <w:szCs w:val="18"/>
              </w:rPr>
              <w:t>号平安大厦 </w:t>
            </w:r>
            <w:r>
              <w:rPr>
                <w:rFonts w:ascii="Times New Roman" w:hAnsi="Times New Roman" w:cs="Times New Roman" w:eastAsia="Times New Roman" w:hint="default"/>
                <w:sz w:val="18"/>
                <w:szCs w:val="18"/>
              </w:rPr>
              <w:t>26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陈建、朱翔坚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134" w:right="0"/>
        <w:jc w:val="left"/>
      </w:pPr>
      <w:r>
        <w:rPr/>
        <w:t>公司聘请的报告期内履行持续督导职责的财务顾问</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506,442,538.26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476,902,016.82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480,412,503.07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48,477,706.11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36,179,269.27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51,184,782.03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46,369,408.90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36,700,734.10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48,140,612.81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128,193,408.77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103,131,278.20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62,878,724.24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876,714,463.62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657,538,673.74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597,420,051.05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626,972,964.28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411,952,467.07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375,488,633.90</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116,436,177.71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117,975,972.60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134,679,284.03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137,351,103.92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7,179,887.31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16,069,918.85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13,472,659.85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11,755,240.10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7,005,063.72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14,944,018.33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13,072,073.82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11,348,253.03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20,577,477.10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21,753,440.68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43,667,344.19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42,195,146.80</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7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241,022.42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1,659,386.53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-7,485.14</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1,957,160.86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1,789,280.00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4,297,312.00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768,281.68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-768,281.68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17,156.00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-42,573.61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-12,512.34</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-276,085.74</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-3,052,243.99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-448,625.69</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516,419.02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107,032.08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784,519.61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82,818.99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2,108,297.21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-521,464.83</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3,044,169.22</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40" w:lineRule="auto" w:before="61"/>
        <w:ind w:right="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说明原因</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8"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039" w:firstLine="360"/>
        <w:jc w:val="left"/>
      </w:pPr>
      <w:r>
        <w:rPr>
          <w:spacing w:val="-2"/>
        </w:rPr>
        <w:t>本公司专业从事氧系漂白助剂</w:t>
      </w:r>
      <w:r>
        <w:rPr>
          <w:rFonts w:ascii="Times New Roman" w:hAnsi="Times New Roman" w:cs="Times New Roman" w:eastAsia="Times New Roman" w:hint="default"/>
          <w:spacing w:val="-2"/>
        </w:rPr>
        <w:t>SPC</w:t>
      </w:r>
      <w:r>
        <w:rPr>
          <w:spacing w:val="-2"/>
        </w:rPr>
        <w:t>的研发、生产和销售，是全球</w:t>
      </w:r>
      <w:r>
        <w:rPr>
          <w:rFonts w:ascii="Times New Roman" w:hAnsi="Times New Roman" w:cs="Times New Roman" w:eastAsia="Times New Roman" w:hint="default"/>
          <w:spacing w:val="-2"/>
        </w:rPr>
        <w:t>SPC</w:t>
      </w:r>
      <w:r>
        <w:rPr>
          <w:spacing w:val="-2"/>
        </w:rPr>
        <w:t>的主要生产企业之一；公司还同时经营</w:t>
      </w:r>
      <w:r>
        <w:rPr>
          <w:rFonts w:ascii="Times New Roman" w:hAnsi="Times New Roman" w:cs="Times New Roman" w:eastAsia="Times New Roman" w:hint="default"/>
          <w:spacing w:val="-2"/>
        </w:rPr>
        <w:t>TAED</w:t>
      </w:r>
      <w:r>
        <w:rPr>
          <w:spacing w:val="-2"/>
        </w:rPr>
        <w:t>、</w:t>
      </w:r>
      <w:r>
        <w:rPr>
          <w:rFonts w:ascii="Times New Roman" w:hAnsi="Times New Roman" w:cs="Times New Roman" w:eastAsia="Times New Roman" w:hint="default"/>
          <w:spacing w:val="-2"/>
        </w:rPr>
        <w:t>TC</w:t>
      </w:r>
      <w:r>
        <w:rPr>
          <w:spacing w:val="-2"/>
        </w:rPr>
        <w:t>、</w:t>
      </w:r>
      <w:r>
        <w:rPr/>
        <w:t> 双氧水、醋酸钠、液体二氧化碳、</w:t>
      </w:r>
      <w:r>
        <w:rPr>
          <w:rFonts w:ascii="Times New Roman" w:hAnsi="Times New Roman" w:cs="Times New Roman" w:eastAsia="Times New Roman" w:hint="default"/>
        </w:rPr>
        <w:t>2-</w:t>
      </w:r>
      <w:r>
        <w:rPr/>
        <w:t>乙基蒽醌、</w:t>
      </w:r>
      <w:r>
        <w:rPr>
          <w:spacing w:val="-59"/>
        </w:rPr>
        <w:t> </w:t>
      </w:r>
      <w:r>
        <w:rPr/>
        <w:t>四丁基脲等产品。公司主导产品</w:t>
      </w:r>
      <w:r>
        <w:rPr>
          <w:rFonts w:ascii="Times New Roman" w:hAnsi="Times New Roman" w:cs="Times New Roman" w:eastAsia="Times New Roman" w:hint="default"/>
        </w:rPr>
        <w:t>SPC</w:t>
      </w:r>
      <w:r>
        <w:rPr/>
        <w:t>为环境友好型精细化工新材料，广泛应 </w:t>
      </w:r>
      <w:r>
        <w:rPr>
          <w:spacing w:val="-2"/>
        </w:rPr>
        <w:t>用于日化洗涤领域，还可应用于环保、印染、造纸、医疗等领域。在经营模式上，公司主要采取订单式生产，并且根据订单</w:t>
      </w:r>
      <w:r>
        <w:rPr>
          <w:spacing w:val="-72"/>
        </w:rPr>
        <w:t> </w:t>
      </w:r>
      <w:r>
        <w:rPr>
          <w:spacing w:val="-72"/>
        </w:rPr>
      </w:r>
      <w:r>
        <w:rPr>
          <w:spacing w:val="-2"/>
        </w:rPr>
        <w:t>式生产计划再确定采购计划，可以有效的控制原材料和库存产品的挤压，间接控制成本。销售方面，公司采取直销和买断经</w:t>
      </w:r>
      <w:r>
        <w:rPr>
          <w:spacing w:val="-66"/>
        </w:rPr>
        <w:t> </w:t>
      </w:r>
      <w:r>
        <w:rPr>
          <w:spacing w:val="-66"/>
        </w:rPr>
      </w:r>
      <w:r>
        <w:rPr/>
        <w:t>销两种模式。</w:t>
      </w:r>
    </w:p>
    <w:p>
      <w:pPr>
        <w:pStyle w:val="BodyText"/>
        <w:spacing w:line="314" w:lineRule="auto" w:before="64"/>
        <w:ind w:left="1134" w:right="1032" w:firstLine="360"/>
        <w:jc w:val="left"/>
      </w:pPr>
      <w:r>
        <w:rPr>
          <w:spacing w:val="-2"/>
        </w:rPr>
        <w:t>漂白助剂是洗衣粉的主要功能性成分，主要功能是去除织物的污垢和泛黄。常用的洗涤漂白助剂通常分为两类：氯系漂</w:t>
      </w:r>
      <w:r>
        <w:rPr/>
        <w:t> 白助剂及氧系漂白助剂。</w:t>
      </w:r>
      <w:r>
        <w:rPr>
          <w:rFonts w:ascii="Times New Roman" w:hAnsi="Times New Roman" w:cs="Times New Roman" w:eastAsia="Times New Roman" w:hint="default"/>
        </w:rPr>
        <w:t>SPC</w:t>
      </w:r>
      <w:r>
        <w:rPr/>
        <w:t>凭借其高效、节能、环保的特性，已逐步取代</w:t>
      </w:r>
      <w:r>
        <w:rPr>
          <w:rFonts w:ascii="Times New Roman" w:hAnsi="Times New Roman" w:cs="Times New Roman" w:eastAsia="Times New Roman" w:hint="default"/>
        </w:rPr>
        <w:t>SPB</w:t>
      </w:r>
      <w:r>
        <w:rPr/>
        <w:t>、次氯酸钠，成为主流的漂白助剂。从全球 范围来看，洗涤剂已逐渐由普通型向专用性、功能性方向发展，添加各种新型功能性助剂的洗涤剂已成为行业发展的趋势。 在欧洲、日本等发达国家和地区，添加氧系漂白助剂的含氧洗衣粉已经得到了广泛的使用；而在国内及其他新兴市场地区， 含氧洗衣粉尚处于起步阶段，市场份额较小，但随着居民生活水平的提高，发展潜力较大。</w:t>
      </w:r>
    </w:p>
    <w:p>
      <w:pPr>
        <w:pStyle w:val="BodyText"/>
        <w:spacing w:line="300" w:lineRule="auto" w:before="59"/>
        <w:ind w:left="1134" w:right="0" w:firstLine="360"/>
        <w:jc w:val="left"/>
      </w:pPr>
      <w:r>
        <w:rPr>
          <w:rFonts w:ascii="Times New Roman" w:hAnsi="Times New Roman" w:cs="Times New Roman" w:eastAsia="Times New Roman" w:hint="default"/>
          <w:spacing w:val="-4"/>
        </w:rPr>
        <w:t>SPC</w:t>
      </w:r>
      <w:r>
        <w:rPr>
          <w:spacing w:val="-4"/>
        </w:rPr>
        <w:t>主要用于生产日化洗涤用品，由于日化洗涤行业属于抗周期性行业，因此，本行业周期性不明显。本公司系国家</w:t>
      </w:r>
      <w:r>
        <w:rPr>
          <w:rFonts w:ascii="Times New Roman" w:hAnsi="Times New Roman" w:cs="Times New Roman" w:eastAsia="Times New Roman" w:hint="default"/>
          <w:spacing w:val="-4"/>
        </w:rPr>
        <w:t>SPC</w:t>
      </w:r>
      <w:r>
        <w:rPr>
          <w:rFonts w:ascii="Times New Roman" w:hAnsi="Times New Roman" w:cs="Times New Roman" w:eastAsia="Times New Roman" w:hint="default"/>
          <w:spacing w:val="-1"/>
          <w:w w:val="99"/>
        </w:rPr>
        <w:t> </w:t>
      </w:r>
      <w:r>
        <w:rPr>
          <w:spacing w:val="-2"/>
        </w:rPr>
        <w:t>行业标准第一起草单位，是国内产销量最大的</w:t>
      </w:r>
      <w:r>
        <w:rPr>
          <w:rFonts w:ascii="Times New Roman" w:hAnsi="Times New Roman" w:cs="Times New Roman" w:eastAsia="Times New Roman" w:hint="default"/>
          <w:spacing w:val="-2"/>
        </w:rPr>
        <w:t>SPC</w:t>
      </w:r>
      <w:r>
        <w:rPr>
          <w:spacing w:val="-2"/>
        </w:rPr>
        <w:t>生产企业之一，也是国内最大的</w:t>
      </w:r>
      <w:r>
        <w:rPr>
          <w:rFonts w:ascii="Times New Roman" w:hAnsi="Times New Roman" w:cs="Times New Roman" w:eastAsia="Times New Roman" w:hint="default"/>
          <w:spacing w:val="-2"/>
        </w:rPr>
        <w:t>SPC</w:t>
      </w:r>
      <w:r>
        <w:rPr>
          <w:spacing w:val="-2"/>
        </w:rPr>
        <w:t>出口企业，出口量长期稳居行业第一，</w:t>
      </w:r>
      <w:r>
        <w:rPr>
          <w:spacing w:val="-75"/>
        </w:rPr>
        <w:t> </w:t>
      </w:r>
      <w:r>
        <w:rPr>
          <w:spacing w:val="-75"/>
        </w:rPr>
      </w:r>
      <w:r>
        <w:rPr/>
        <w:t>为海关总署</w:t>
      </w:r>
      <w:r>
        <w:rPr>
          <w:rFonts w:ascii="Times New Roman" w:hAnsi="Times New Roman" w:cs="Times New Roman" w:eastAsia="Times New Roman" w:hint="default"/>
        </w:rPr>
        <w:t>AA</w:t>
      </w:r>
      <w:r>
        <w:rPr/>
        <w:t>类进出口管理企业。</w:t>
      </w:r>
    </w:p>
    <w:p>
      <w:pPr>
        <w:spacing w:line="240" w:lineRule="auto" w:before="2"/>
        <w:rPr>
          <w:rFonts w:ascii="宋体" w:hAnsi="宋体" w:cs="宋体" w:eastAsia="宋体" w:hint="default"/>
          <w:sz w:val="20"/>
          <w:szCs w:val="20"/>
        </w:rPr>
      </w:pPr>
    </w:p>
    <w:p>
      <w:pPr>
        <w:pStyle w:val="Heading2"/>
        <w:spacing w:line="240" w:lineRule="auto"/>
        <w:ind w:left="1134"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029"/>
        <w:gridCol w:w="6529"/>
      </w:tblGrid>
      <w:tr>
        <w:trPr>
          <w:trHeight w:val="186"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公司对润科新材料公司投资所致</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新增子公司湖州吉昌公司所致</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增加募投</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项目和研发大楼项目所致</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3" w:firstLine="360"/>
        <w:jc w:val="left"/>
      </w:pPr>
      <w:r>
        <w:rPr/>
        <w:t>长期以来，公司高度重视团队建设和科技创新、技术研发等工作，已拥有稳定的核心管理团队，较高的研发管理水平。 </w:t>
      </w:r>
      <w:r>
        <w:rPr>
          <w:spacing w:val="-2"/>
        </w:rPr>
        <w:t>在技术研发方面，坚持走科技创新与产学研相结合的发展道路，有效整合企业内外创新资源，积极改良创新传统生产工艺流</w:t>
      </w:r>
      <w:r>
        <w:rPr>
          <w:spacing w:val="-66"/>
        </w:rPr>
        <w:t> </w:t>
      </w:r>
      <w:r>
        <w:rPr>
          <w:spacing w:val="-66"/>
        </w:rPr>
      </w:r>
      <w:r>
        <w:rPr/>
        <w:t>程，使公司产品质量和稳定性继续保持行业领先水平，截至报告期末，公司及子公司拥有授权专利</w:t>
      </w:r>
      <w:r>
        <w:rPr>
          <w:rFonts w:ascii="Times New Roman" w:hAnsi="Times New Roman" w:cs="Times New Roman" w:eastAsia="Times New Roman" w:hint="default"/>
        </w:rPr>
        <w:t>24</w:t>
      </w:r>
      <w:r>
        <w:rPr/>
        <w:t>项；</w:t>
      </w:r>
    </w:p>
    <w:p>
      <w:pPr>
        <w:pStyle w:val="BodyText"/>
        <w:spacing w:line="319" w:lineRule="auto" w:before="36"/>
        <w:ind w:right="0" w:firstLine="360"/>
        <w:jc w:val="left"/>
      </w:pPr>
      <w:r>
        <w:rPr>
          <w:spacing w:val="-2"/>
        </w:rPr>
        <w:t>报告期内，公司未发生因核心管理团队或关键技术人员离职、设备或技术升级换代、特许经营权丧失等导致公司核心竞</w:t>
      </w:r>
      <w:r>
        <w:rPr/>
        <w:t> 争力受到严重影响的情形。</w:t>
      </w:r>
    </w:p>
    <w:p>
      <w:pPr>
        <w:spacing w:after="0" w:line="319"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w:t>
      </w:r>
      <w:r>
        <w:rPr>
          <w:rFonts w:ascii="Times New Roman" w:hAnsi="Times New Roman" w:cs="Times New Roman" w:eastAsia="Times New Roman" w:hint="default"/>
        </w:rPr>
        <w:t>1</w:t>
      </w:r>
      <w:r>
        <w:rPr/>
        <w:t>）公司主要技术创新成果</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4378"/>
        <w:gridCol w:w="5255"/>
      </w:tblGrid>
      <w:tr>
        <w:trPr>
          <w:trHeight w:val="5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center"/>
              <w:rPr>
                <w:rFonts w:ascii="宋体" w:hAnsi="宋体" w:cs="宋体" w:eastAsia="宋体" w:hint="default"/>
                <w:sz w:val="21"/>
                <w:szCs w:val="21"/>
              </w:rPr>
            </w:pPr>
            <w:r>
              <w:rPr>
                <w:rFonts w:ascii="宋体" w:hAnsi="宋体" w:cs="宋体" w:eastAsia="宋体" w:hint="default"/>
                <w:b/>
                <w:bCs/>
                <w:sz w:val="21"/>
                <w:szCs w:val="21"/>
              </w:rPr>
              <w:t>技术成果</w:t>
            </w:r>
            <w:r>
              <w:rPr>
                <w:rFonts w:ascii="宋体" w:hAnsi="宋体" w:cs="宋体" w:eastAsia="宋体" w:hint="default"/>
                <w:sz w:val="21"/>
                <w:szCs w:val="21"/>
              </w:rPr>
            </w:r>
          </w:p>
        </w:tc>
        <w:tc>
          <w:tcPr>
            <w:tcW w:w="5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0"/>
              <w:jc w:val="center"/>
              <w:rPr>
                <w:rFonts w:ascii="宋体" w:hAnsi="宋体" w:cs="宋体" w:eastAsia="宋体" w:hint="default"/>
                <w:sz w:val="21"/>
                <w:szCs w:val="21"/>
              </w:rPr>
            </w:pPr>
            <w:r>
              <w:rPr>
                <w:rFonts w:ascii="宋体" w:hAnsi="宋体" w:cs="宋体" w:eastAsia="宋体" w:hint="default"/>
                <w:b/>
                <w:bCs/>
                <w:sz w:val="21"/>
                <w:szCs w:val="21"/>
              </w:rPr>
              <w:t>技术优势</w:t>
            </w:r>
            <w:r>
              <w:rPr>
                <w:rFonts w:ascii="宋体" w:hAnsi="宋体" w:cs="宋体" w:eastAsia="宋体" w:hint="default"/>
                <w:sz w:val="21"/>
                <w:szCs w:val="21"/>
              </w:rPr>
            </w:r>
          </w:p>
        </w:tc>
      </w:tr>
      <w:tr>
        <w:trPr>
          <w:trHeight w:val="1179"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SPC</w:t>
            </w:r>
            <w:r>
              <w:rPr>
                <w:rFonts w:ascii="宋体" w:hAnsi="宋体" w:cs="宋体" w:eastAsia="宋体" w:hint="default"/>
                <w:sz w:val="18"/>
                <w:szCs w:val="18"/>
              </w:rPr>
              <w:t>无磷稳定剂配方技术</w:t>
            </w:r>
          </w:p>
        </w:tc>
        <w:tc>
          <w:tcPr>
            <w:tcW w:w="5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 w:right="0"/>
              <w:jc w:val="left"/>
              <w:rPr>
                <w:rFonts w:ascii="宋体" w:hAnsi="宋体" w:cs="宋体" w:eastAsia="宋体" w:hint="default"/>
                <w:sz w:val="18"/>
                <w:szCs w:val="18"/>
              </w:rPr>
            </w:pPr>
            <w:r>
              <w:rPr>
                <w:rFonts w:ascii="宋体" w:hAnsi="宋体" w:cs="宋体" w:eastAsia="宋体" w:hint="default"/>
                <w:sz w:val="18"/>
                <w:szCs w:val="18"/>
              </w:rPr>
              <w:t>自主研制的无磷稳定剂配方，使</w:t>
            </w:r>
            <w:r>
              <w:rPr>
                <w:rFonts w:ascii="Times New Roman" w:hAnsi="Times New Roman" w:cs="Times New Roman" w:eastAsia="Times New Roman" w:hint="default"/>
                <w:sz w:val="18"/>
                <w:szCs w:val="18"/>
              </w:rPr>
              <w:t>SPC</w:t>
            </w:r>
            <w:r>
              <w:rPr>
                <w:rFonts w:ascii="宋体" w:hAnsi="宋体" w:cs="宋体" w:eastAsia="宋体" w:hint="default"/>
                <w:sz w:val="18"/>
                <w:szCs w:val="18"/>
              </w:rPr>
              <w:t>湿稳定性达到</w:t>
            </w:r>
            <w:r>
              <w:rPr>
                <w:rFonts w:ascii="Times New Roman" w:hAnsi="Times New Roman" w:cs="Times New Roman" w:eastAsia="Times New Roman" w:hint="default"/>
                <w:sz w:val="18"/>
                <w:szCs w:val="18"/>
              </w:rPr>
              <w:t>60%</w:t>
            </w:r>
            <w:r>
              <w:rPr>
                <w:rFonts w:ascii="宋体" w:hAnsi="宋体" w:cs="宋体" w:eastAsia="宋体" w:hint="default"/>
                <w:sz w:val="18"/>
                <w:szCs w:val="18"/>
              </w:rPr>
              <w:t>以上，高于</w:t>
            </w:r>
          </w:p>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的行业标准；无磷</w:t>
            </w:r>
            <w:r>
              <w:rPr>
                <w:rFonts w:ascii="Times New Roman" w:hAnsi="Times New Roman" w:cs="Times New Roman" w:eastAsia="Times New Roman" w:hint="default"/>
                <w:sz w:val="18"/>
                <w:szCs w:val="18"/>
              </w:rPr>
              <w:t>SPC</w:t>
            </w:r>
            <w:r>
              <w:rPr>
                <w:rFonts w:ascii="宋体" w:hAnsi="宋体" w:cs="宋体" w:eastAsia="宋体" w:hint="default"/>
                <w:sz w:val="18"/>
                <w:szCs w:val="18"/>
              </w:rPr>
              <w:t>含磷量</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0.1%</w:t>
            </w:r>
          </w:p>
        </w:tc>
      </w:tr>
      <w:tr>
        <w:trPr>
          <w:trHeight w:val="880"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SPC</w:t>
            </w:r>
            <w:r>
              <w:rPr>
                <w:rFonts w:ascii="宋体" w:hAnsi="宋体" w:cs="宋体" w:eastAsia="宋体" w:hint="default"/>
                <w:sz w:val="18"/>
                <w:szCs w:val="18"/>
              </w:rPr>
              <w:t>喷液包膜技术</w:t>
            </w:r>
          </w:p>
        </w:tc>
        <w:tc>
          <w:tcPr>
            <w:tcW w:w="5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 w:right="0"/>
              <w:jc w:val="left"/>
              <w:rPr>
                <w:rFonts w:ascii="宋体" w:hAnsi="宋体" w:cs="宋体" w:eastAsia="宋体" w:hint="default"/>
                <w:sz w:val="18"/>
                <w:szCs w:val="18"/>
              </w:rPr>
            </w:pPr>
            <w:r>
              <w:rPr>
                <w:rFonts w:ascii="宋体" w:hAnsi="宋体" w:cs="宋体" w:eastAsia="宋体" w:hint="default"/>
                <w:spacing w:val="-2"/>
                <w:sz w:val="18"/>
                <w:szCs w:val="18"/>
              </w:rPr>
              <w:t>自主研制的无磷喷膜液和混喷技术，包膜工艺合格率达</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，提高</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SPC</w:t>
            </w:r>
            <w:r>
              <w:rPr>
                <w:rFonts w:ascii="宋体" w:hAnsi="宋体" w:cs="宋体" w:eastAsia="宋体" w:hint="default"/>
                <w:sz w:val="18"/>
                <w:szCs w:val="18"/>
              </w:rPr>
              <w:t>稳定性和溶解度</w:t>
            </w:r>
          </w:p>
        </w:tc>
      </w:tr>
      <w:tr>
        <w:trPr>
          <w:trHeight w:val="864"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SPC</w:t>
            </w:r>
            <w:r>
              <w:rPr>
                <w:rFonts w:ascii="宋体" w:hAnsi="宋体" w:cs="宋体" w:eastAsia="宋体" w:hint="default"/>
                <w:sz w:val="18"/>
                <w:szCs w:val="18"/>
              </w:rPr>
              <w:t>结晶技术</w:t>
            </w:r>
          </w:p>
        </w:tc>
        <w:tc>
          <w:tcPr>
            <w:tcW w:w="5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 w:right="0"/>
              <w:jc w:val="left"/>
              <w:rPr>
                <w:rFonts w:ascii="宋体" w:hAnsi="宋体" w:cs="宋体" w:eastAsia="宋体" w:hint="default"/>
                <w:sz w:val="18"/>
                <w:szCs w:val="18"/>
              </w:rPr>
            </w:pPr>
            <w:r>
              <w:rPr>
                <w:rFonts w:ascii="宋体" w:hAnsi="宋体" w:cs="宋体" w:eastAsia="宋体" w:hint="default"/>
                <w:sz w:val="18"/>
                <w:szCs w:val="18"/>
              </w:rPr>
              <w:t>调控</w:t>
            </w:r>
            <w:r>
              <w:rPr>
                <w:rFonts w:ascii="Times New Roman" w:hAnsi="Times New Roman" w:cs="Times New Roman" w:eastAsia="Times New Roman" w:hint="default"/>
                <w:sz w:val="18"/>
                <w:szCs w:val="18"/>
              </w:rPr>
              <w:t>SPC</w:t>
            </w:r>
            <w:r>
              <w:rPr>
                <w:rFonts w:ascii="宋体" w:hAnsi="宋体" w:cs="宋体" w:eastAsia="宋体" w:hint="default"/>
                <w:sz w:val="18"/>
                <w:szCs w:val="18"/>
              </w:rPr>
              <w:t>晶体大小、形态；提高晶体纯度和致密度</w:t>
            </w:r>
          </w:p>
        </w:tc>
      </w:tr>
      <w:tr>
        <w:trPr>
          <w:trHeight w:val="547"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SPC</w:t>
            </w:r>
            <w:r>
              <w:rPr>
                <w:rFonts w:ascii="宋体" w:hAnsi="宋体" w:cs="宋体" w:eastAsia="宋体" w:hint="default"/>
                <w:sz w:val="18"/>
                <w:szCs w:val="18"/>
              </w:rPr>
              <w:t>堆密度控制技术</w:t>
            </w:r>
          </w:p>
        </w:tc>
        <w:tc>
          <w:tcPr>
            <w:tcW w:w="5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 w:right="0"/>
              <w:jc w:val="left"/>
              <w:rPr>
                <w:rFonts w:ascii="宋体" w:hAnsi="宋体" w:cs="宋体" w:eastAsia="宋体" w:hint="default"/>
                <w:sz w:val="18"/>
                <w:szCs w:val="18"/>
              </w:rPr>
            </w:pPr>
            <w:r>
              <w:rPr>
                <w:rFonts w:ascii="宋体" w:hAnsi="宋体" w:cs="宋体" w:eastAsia="宋体" w:hint="default"/>
                <w:sz w:val="18"/>
                <w:szCs w:val="18"/>
              </w:rPr>
              <w:t>调控</w:t>
            </w:r>
            <w:r>
              <w:rPr>
                <w:rFonts w:ascii="Times New Roman" w:hAnsi="Times New Roman" w:cs="Times New Roman" w:eastAsia="Times New Roman" w:hint="default"/>
                <w:sz w:val="18"/>
                <w:szCs w:val="18"/>
              </w:rPr>
              <w:t>SPC</w:t>
            </w:r>
            <w:r>
              <w:rPr>
                <w:rFonts w:ascii="宋体" w:hAnsi="宋体" w:cs="宋体" w:eastAsia="宋体" w:hint="default"/>
                <w:sz w:val="18"/>
                <w:szCs w:val="18"/>
              </w:rPr>
              <w:t>堆密度，提高产品适用性</w:t>
            </w:r>
          </w:p>
        </w:tc>
      </w:tr>
      <w:tr>
        <w:trPr>
          <w:trHeight w:val="562"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SPC</w:t>
            </w:r>
            <w:r>
              <w:rPr>
                <w:rFonts w:ascii="宋体" w:hAnsi="宋体" w:cs="宋体" w:eastAsia="宋体" w:hint="default"/>
                <w:sz w:val="18"/>
                <w:szCs w:val="18"/>
              </w:rPr>
              <w:t>活性氧调控技术</w:t>
            </w:r>
          </w:p>
        </w:tc>
        <w:tc>
          <w:tcPr>
            <w:tcW w:w="5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left="2" w:right="0"/>
              <w:jc w:val="left"/>
              <w:rPr>
                <w:rFonts w:ascii="宋体" w:hAnsi="宋体" w:cs="宋体" w:eastAsia="宋体" w:hint="default"/>
                <w:sz w:val="18"/>
                <w:szCs w:val="18"/>
              </w:rPr>
            </w:pPr>
            <w:r>
              <w:rPr>
                <w:rFonts w:ascii="宋体" w:hAnsi="宋体" w:cs="宋体" w:eastAsia="宋体" w:hint="default"/>
                <w:sz w:val="18"/>
                <w:szCs w:val="18"/>
              </w:rPr>
              <w:t>调控</w:t>
            </w:r>
            <w:r>
              <w:rPr>
                <w:rFonts w:ascii="Times New Roman" w:hAnsi="Times New Roman" w:cs="Times New Roman" w:eastAsia="Times New Roman" w:hint="default"/>
                <w:sz w:val="18"/>
                <w:szCs w:val="18"/>
              </w:rPr>
              <w:t>SPC</w:t>
            </w:r>
            <w:r>
              <w:rPr>
                <w:rFonts w:ascii="宋体" w:hAnsi="宋体" w:cs="宋体" w:eastAsia="宋体" w:hint="default"/>
                <w:sz w:val="18"/>
                <w:szCs w:val="18"/>
              </w:rPr>
              <w:t>活性氧含量，提高产品适用性</w:t>
            </w:r>
          </w:p>
        </w:tc>
      </w:tr>
      <w:tr>
        <w:trPr>
          <w:trHeight w:val="864"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SPC</w:t>
            </w:r>
            <w:r>
              <w:rPr>
                <w:rFonts w:ascii="宋体" w:hAnsi="宋体" w:cs="宋体" w:eastAsia="宋体" w:hint="default"/>
                <w:sz w:val="18"/>
                <w:szCs w:val="18"/>
              </w:rPr>
              <w:t>母液浓缩回收利用技术</w:t>
            </w:r>
          </w:p>
        </w:tc>
        <w:tc>
          <w:tcPr>
            <w:tcW w:w="52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22"/>
              <w:ind w:left="2" w:right="55"/>
              <w:jc w:val="left"/>
              <w:rPr>
                <w:rFonts w:ascii="宋体" w:hAnsi="宋体" w:cs="宋体" w:eastAsia="宋体" w:hint="default"/>
                <w:sz w:val="18"/>
                <w:szCs w:val="18"/>
              </w:rPr>
            </w:pPr>
            <w:r>
              <w:rPr>
                <w:rFonts w:ascii="宋体" w:hAnsi="宋体" w:cs="宋体" w:eastAsia="宋体" w:hint="default"/>
                <w:sz w:val="18"/>
                <w:szCs w:val="18"/>
              </w:rPr>
              <w:t>实现对</w:t>
            </w:r>
            <w:r>
              <w:rPr>
                <w:rFonts w:ascii="Times New Roman" w:hAnsi="Times New Roman" w:cs="Times New Roman" w:eastAsia="Times New Roman" w:hint="default"/>
                <w:sz w:val="18"/>
                <w:szCs w:val="18"/>
              </w:rPr>
              <w:t>SPC</w:t>
            </w:r>
            <w:r>
              <w:rPr>
                <w:rFonts w:ascii="宋体" w:hAnsi="宋体" w:cs="宋体" w:eastAsia="宋体" w:hint="default"/>
                <w:sz w:val="18"/>
                <w:szCs w:val="18"/>
              </w:rPr>
              <w:t>生产工序高盐废水中原材料的回收利用，解决环保难题 的同时降低生产成本</w:t>
            </w:r>
          </w:p>
        </w:tc>
      </w:tr>
      <w:tr>
        <w:trPr>
          <w:trHeight w:val="1178"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 w:right="0"/>
              <w:jc w:val="left"/>
              <w:rPr>
                <w:rFonts w:ascii="宋体" w:hAnsi="宋体" w:cs="宋体" w:eastAsia="宋体" w:hint="default"/>
                <w:sz w:val="18"/>
                <w:szCs w:val="18"/>
              </w:rPr>
            </w:pPr>
            <w:r>
              <w:rPr>
                <w:rFonts w:ascii="宋体" w:hAnsi="宋体" w:cs="宋体" w:eastAsia="宋体" w:hint="default"/>
                <w:sz w:val="18"/>
                <w:szCs w:val="18"/>
              </w:rPr>
              <w:t>全流程节能降耗技术</w:t>
            </w:r>
          </w:p>
        </w:tc>
        <w:tc>
          <w:tcPr>
            <w:tcW w:w="52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22"/>
              <w:ind w:left="2" w:right="16"/>
              <w:jc w:val="left"/>
              <w:rPr>
                <w:rFonts w:ascii="宋体" w:hAnsi="宋体" w:cs="宋体" w:eastAsia="宋体" w:hint="default"/>
                <w:sz w:val="18"/>
                <w:szCs w:val="18"/>
              </w:rPr>
            </w:pPr>
            <w:r>
              <w:rPr>
                <w:rFonts w:ascii="宋体" w:hAnsi="宋体" w:cs="宋体" w:eastAsia="宋体" w:hint="default"/>
                <w:sz w:val="18"/>
                <w:szCs w:val="18"/>
              </w:rPr>
              <w:t>集成应用节能变频技术、尾气热源回收循环利用技术以及多效蒸发 等技术，大大降低生产能耗</w:t>
            </w:r>
          </w:p>
        </w:tc>
      </w:tr>
      <w:tr>
        <w:trPr>
          <w:trHeight w:val="866" w:hRule="exact"/>
        </w:trPr>
        <w:tc>
          <w:tcPr>
            <w:tcW w:w="4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 w:right="0"/>
              <w:jc w:val="left"/>
              <w:rPr>
                <w:rFonts w:ascii="宋体" w:hAnsi="宋体" w:cs="宋体" w:eastAsia="宋体" w:hint="default"/>
                <w:sz w:val="18"/>
                <w:szCs w:val="18"/>
              </w:rPr>
            </w:pPr>
            <w:r>
              <w:rPr>
                <w:rFonts w:ascii="宋体" w:hAnsi="宋体" w:cs="宋体" w:eastAsia="宋体" w:hint="default"/>
                <w:sz w:val="18"/>
                <w:szCs w:val="18"/>
              </w:rPr>
              <w:t>全流程</w:t>
            </w:r>
            <w:r>
              <w:rPr>
                <w:rFonts w:ascii="Times New Roman" w:hAnsi="Times New Roman" w:cs="Times New Roman" w:eastAsia="Times New Roman" w:hint="default"/>
                <w:sz w:val="18"/>
                <w:szCs w:val="18"/>
              </w:rPr>
              <w:t>DCS</w:t>
            </w:r>
            <w:r>
              <w:rPr>
                <w:rFonts w:ascii="宋体" w:hAnsi="宋体" w:cs="宋体" w:eastAsia="宋体" w:hint="default"/>
                <w:sz w:val="18"/>
                <w:szCs w:val="18"/>
              </w:rPr>
              <w:t>自动控制系统</w:t>
            </w:r>
          </w:p>
        </w:tc>
        <w:tc>
          <w:tcPr>
            <w:tcW w:w="525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22"/>
              <w:ind w:left="2" w:right="16"/>
              <w:jc w:val="left"/>
              <w:rPr>
                <w:rFonts w:ascii="宋体" w:hAnsi="宋体" w:cs="宋体" w:eastAsia="宋体" w:hint="default"/>
                <w:sz w:val="18"/>
                <w:szCs w:val="18"/>
              </w:rPr>
            </w:pPr>
            <w:r>
              <w:rPr>
                <w:rFonts w:ascii="宋体" w:hAnsi="宋体" w:cs="宋体" w:eastAsia="宋体" w:hint="default"/>
                <w:sz w:val="18"/>
                <w:szCs w:val="18"/>
              </w:rPr>
              <w:t>提高生产效率，降低人工成本，降低物料损耗及能源消耗；提高产 品质量稳定性</w:t>
            </w:r>
          </w:p>
        </w:tc>
      </w:tr>
    </w:tbl>
    <w:p>
      <w:pPr>
        <w:pStyle w:val="BodyText"/>
        <w:spacing w:line="316" w:lineRule="auto" w:before="51"/>
        <w:ind w:left="1134" w:right="0" w:firstLine="360"/>
        <w:jc w:val="left"/>
      </w:pPr>
      <w:r>
        <w:rPr>
          <w:spacing w:val="-2"/>
        </w:rPr>
        <w:t>报告期内，公司结合自身生产经营水平，开发了多项创新技术成果，在国内均达到了先进水平，有利于公司提高产品质</w:t>
      </w:r>
      <w:r>
        <w:rPr/>
        <w:t> 量、巩固行业地位。</w:t>
      </w:r>
    </w:p>
    <w:p>
      <w:pPr>
        <w:pStyle w:val="BodyText"/>
        <w:spacing w:line="338" w:lineRule="auto" w:before="59"/>
        <w:ind w:left="1134" w:right="8862"/>
        <w:jc w:val="left"/>
      </w:pPr>
      <w:r>
        <w:rPr/>
        <w:t>（</w:t>
      </w:r>
      <w:r>
        <w:rPr>
          <w:rFonts w:ascii="Times New Roman" w:hAnsi="Times New Roman" w:cs="Times New Roman" w:eastAsia="Times New Roman" w:hint="default"/>
        </w:rPr>
        <w:t>2</w:t>
      </w:r>
      <w:r>
        <w:rPr/>
        <w:t>）公司主要固定资产 房屋及建筑物：</w:t>
      </w:r>
    </w:p>
    <w:tbl>
      <w:tblPr>
        <w:tblW w:w="0" w:type="auto"/>
        <w:jc w:val="left"/>
        <w:tblInd w:w="1126" w:type="dxa"/>
        <w:tblLayout w:type="fixed"/>
        <w:tblCellMar>
          <w:top w:w="0" w:type="dxa"/>
          <w:left w:w="0" w:type="dxa"/>
          <w:bottom w:w="0" w:type="dxa"/>
          <w:right w:w="0" w:type="dxa"/>
        </w:tblCellMar>
        <w:tblLook w:val="01E0"/>
      </w:tblPr>
      <w:tblGrid>
        <w:gridCol w:w="886"/>
        <w:gridCol w:w="4844"/>
        <w:gridCol w:w="1984"/>
        <w:gridCol w:w="1801"/>
      </w:tblGrid>
      <w:tr>
        <w:trPr>
          <w:trHeight w:val="347"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b/>
                <w:bCs/>
                <w:sz w:val="21"/>
                <w:szCs w:val="21"/>
              </w:rPr>
              <w:t>房屋所有权证号</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b/>
                <w:bCs/>
                <w:sz w:val="21"/>
                <w:szCs w:val="21"/>
              </w:rPr>
              <w:t>面积</w:t>
            </w:r>
            <w:r>
              <w:rPr>
                <w:rFonts w:ascii="宋体" w:hAnsi="宋体" w:cs="宋体" w:eastAsia="宋体" w:hint="default"/>
                <w:sz w:val="21"/>
                <w:szCs w:val="21"/>
              </w:rPr>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登记时间</w:t>
            </w:r>
            <w:r>
              <w:rPr>
                <w:rFonts w:ascii="宋体" w:hAnsi="宋体" w:cs="宋体" w:eastAsia="宋体" w:hint="default"/>
                <w:sz w:val="21"/>
                <w:szCs w:val="21"/>
              </w:rPr>
            </w:r>
          </w:p>
        </w:tc>
      </w:tr>
      <w:tr>
        <w:trPr>
          <w:trHeight w:val="347"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1</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00180632</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822.36</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2009.10.26</w:t>
            </w:r>
          </w:p>
        </w:tc>
      </w:tr>
      <w:tr>
        <w:trPr>
          <w:trHeight w:val="347"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2</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00180633</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45.26</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2009.10.26</w:t>
            </w: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3</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00180634</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159.36</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2009.10.26</w:t>
            </w:r>
          </w:p>
        </w:tc>
      </w:tr>
      <w:tr>
        <w:trPr>
          <w:trHeight w:val="347"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4</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00180635</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262.44</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2009.10.26</w:t>
            </w:r>
          </w:p>
        </w:tc>
      </w:tr>
      <w:tr>
        <w:trPr>
          <w:trHeight w:val="347"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5</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00180636</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168.49</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2009.10.26</w:t>
            </w:r>
          </w:p>
        </w:tc>
      </w:tr>
      <w:tr>
        <w:trPr>
          <w:trHeight w:val="347"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6</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00180637</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353.58</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2009.10.26</w:t>
            </w:r>
          </w:p>
        </w:tc>
      </w:tr>
      <w:tr>
        <w:trPr>
          <w:trHeight w:val="347"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7</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00180638</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1397.88</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2009.10.26</w:t>
            </w:r>
          </w:p>
        </w:tc>
      </w:tr>
      <w:tr>
        <w:trPr>
          <w:trHeight w:val="347"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8</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00243249</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2,767.92</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2011.06.01</w:t>
            </w: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
              <w:jc w:val="center"/>
              <w:rPr>
                <w:rFonts w:ascii="Times New Roman" w:hAnsi="Times New Roman" w:cs="Times New Roman" w:eastAsia="Times New Roman" w:hint="default"/>
                <w:sz w:val="18"/>
                <w:szCs w:val="18"/>
              </w:rPr>
            </w:pPr>
            <w:r>
              <w:rPr>
                <w:rFonts w:ascii="Times New Roman"/>
                <w:sz w:val="18"/>
              </w:rPr>
              <w:t>9</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00243250</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3,669.93</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2011.06.01</w:t>
            </w:r>
          </w:p>
        </w:tc>
      </w:tr>
      <w:tr>
        <w:trPr>
          <w:trHeight w:val="347"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10</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00243251</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265.99</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2011.06.01</w:t>
            </w:r>
          </w:p>
        </w:tc>
      </w:tr>
      <w:tr>
        <w:trPr>
          <w:trHeight w:val="347"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11</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00243252</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3,323.84</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2011.06.01</w:t>
            </w:r>
          </w:p>
        </w:tc>
      </w:tr>
      <w:tr>
        <w:trPr>
          <w:trHeight w:val="34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12</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00243253</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z w:val="18"/>
              </w:rPr>
              <w:t>3,479.04</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2011.06.01</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886"/>
        <w:gridCol w:w="4844"/>
        <w:gridCol w:w="1984"/>
        <w:gridCol w:w="1801"/>
      </w:tblGrid>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5"/>
              <w:jc w:val="right"/>
              <w:rPr>
                <w:rFonts w:ascii="Times New Roman" w:hAnsi="Times New Roman" w:cs="Times New Roman" w:eastAsia="Times New Roman" w:hint="default"/>
                <w:sz w:val="18"/>
                <w:szCs w:val="18"/>
              </w:rPr>
            </w:pPr>
            <w:r>
              <w:rPr>
                <w:rFonts w:ascii="Times New Roman"/>
                <w:sz w:val="18"/>
              </w:rPr>
              <w:t>13</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00243254</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2,713.68</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88" w:right="0"/>
              <w:jc w:val="left"/>
              <w:rPr>
                <w:rFonts w:ascii="Times New Roman" w:hAnsi="Times New Roman" w:cs="Times New Roman" w:eastAsia="Times New Roman" w:hint="default"/>
                <w:sz w:val="18"/>
                <w:szCs w:val="18"/>
              </w:rPr>
            </w:pPr>
            <w:r>
              <w:rPr>
                <w:rFonts w:ascii="Times New Roman"/>
                <w:sz w:val="18"/>
              </w:rPr>
              <w:t>2011.06.01</w:t>
            </w:r>
          </w:p>
        </w:tc>
      </w:tr>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5"/>
              <w:jc w:val="right"/>
              <w:rPr>
                <w:rFonts w:ascii="Times New Roman" w:hAnsi="Times New Roman" w:cs="Times New Roman" w:eastAsia="Times New Roman" w:hint="default"/>
                <w:sz w:val="18"/>
                <w:szCs w:val="18"/>
              </w:rPr>
            </w:pPr>
            <w:r>
              <w:rPr>
                <w:rFonts w:ascii="Times New Roman"/>
                <w:sz w:val="18"/>
              </w:rPr>
              <w:t>14</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00243255</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1,154.88</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88" w:right="0"/>
              <w:jc w:val="left"/>
              <w:rPr>
                <w:rFonts w:ascii="Times New Roman" w:hAnsi="Times New Roman" w:cs="Times New Roman" w:eastAsia="Times New Roman" w:hint="default"/>
                <w:sz w:val="18"/>
                <w:szCs w:val="18"/>
              </w:rPr>
            </w:pPr>
            <w:r>
              <w:rPr>
                <w:rFonts w:ascii="Times New Roman"/>
                <w:sz w:val="18"/>
              </w:rPr>
              <w:t>2011.06.01</w:t>
            </w:r>
          </w:p>
        </w:tc>
      </w:tr>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5"/>
              <w:jc w:val="right"/>
              <w:rPr>
                <w:rFonts w:ascii="Times New Roman" w:hAnsi="Times New Roman" w:cs="Times New Roman" w:eastAsia="Times New Roman" w:hint="default"/>
                <w:sz w:val="18"/>
                <w:szCs w:val="18"/>
              </w:rPr>
            </w:pPr>
            <w:r>
              <w:rPr>
                <w:rFonts w:ascii="Times New Roman"/>
                <w:sz w:val="18"/>
              </w:rPr>
              <w:t>15</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00243256</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2,798.90</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88" w:right="0"/>
              <w:jc w:val="left"/>
              <w:rPr>
                <w:rFonts w:ascii="Times New Roman" w:hAnsi="Times New Roman" w:cs="Times New Roman" w:eastAsia="Times New Roman" w:hint="default"/>
                <w:sz w:val="18"/>
                <w:szCs w:val="18"/>
              </w:rPr>
            </w:pPr>
            <w:r>
              <w:rPr>
                <w:rFonts w:ascii="Times New Roman"/>
                <w:sz w:val="18"/>
              </w:rPr>
              <w:t>2011.06.01</w:t>
            </w:r>
          </w:p>
        </w:tc>
      </w:tr>
      <w:tr>
        <w:trPr>
          <w:trHeight w:val="407"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5"/>
              <w:jc w:val="right"/>
              <w:rPr>
                <w:rFonts w:ascii="Times New Roman" w:hAnsi="Times New Roman" w:cs="Times New Roman" w:eastAsia="Times New Roman" w:hint="default"/>
                <w:sz w:val="18"/>
                <w:szCs w:val="18"/>
              </w:rPr>
            </w:pPr>
            <w:r>
              <w:rPr>
                <w:rFonts w:ascii="Times New Roman"/>
                <w:sz w:val="18"/>
              </w:rPr>
              <w:t>16</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00243257</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61.2</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88" w:right="0"/>
              <w:jc w:val="left"/>
              <w:rPr>
                <w:rFonts w:ascii="Times New Roman" w:hAnsi="Times New Roman" w:cs="Times New Roman" w:eastAsia="Times New Roman" w:hint="default"/>
                <w:sz w:val="18"/>
                <w:szCs w:val="18"/>
              </w:rPr>
            </w:pPr>
            <w:r>
              <w:rPr>
                <w:rFonts w:ascii="Times New Roman"/>
                <w:sz w:val="18"/>
              </w:rPr>
              <w:t>2011.06.01</w:t>
            </w:r>
          </w:p>
        </w:tc>
      </w:tr>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5"/>
              <w:jc w:val="right"/>
              <w:rPr>
                <w:rFonts w:ascii="Times New Roman" w:hAnsi="Times New Roman" w:cs="Times New Roman" w:eastAsia="Times New Roman" w:hint="default"/>
                <w:sz w:val="18"/>
                <w:szCs w:val="18"/>
              </w:rPr>
            </w:pPr>
            <w:r>
              <w:rPr>
                <w:rFonts w:ascii="Times New Roman"/>
                <w:sz w:val="18"/>
              </w:rPr>
              <w:t>17</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00243258</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26.27</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88" w:right="0"/>
              <w:jc w:val="left"/>
              <w:rPr>
                <w:rFonts w:ascii="Times New Roman" w:hAnsi="Times New Roman" w:cs="Times New Roman" w:eastAsia="Times New Roman" w:hint="default"/>
                <w:sz w:val="18"/>
                <w:szCs w:val="18"/>
              </w:rPr>
            </w:pPr>
            <w:r>
              <w:rPr>
                <w:rFonts w:ascii="Times New Roman"/>
                <w:sz w:val="18"/>
              </w:rPr>
              <w:t>2011.06.01</w:t>
            </w:r>
          </w:p>
        </w:tc>
      </w:tr>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5"/>
              <w:jc w:val="right"/>
              <w:rPr>
                <w:rFonts w:ascii="Times New Roman" w:hAnsi="Times New Roman" w:cs="Times New Roman" w:eastAsia="Times New Roman" w:hint="default"/>
                <w:sz w:val="18"/>
                <w:szCs w:val="18"/>
              </w:rPr>
            </w:pPr>
            <w:r>
              <w:rPr>
                <w:rFonts w:ascii="Times New Roman"/>
                <w:sz w:val="18"/>
              </w:rPr>
              <w:t>18</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00243259</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3,571.75</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88" w:right="0"/>
              <w:jc w:val="left"/>
              <w:rPr>
                <w:rFonts w:ascii="Times New Roman" w:hAnsi="Times New Roman" w:cs="Times New Roman" w:eastAsia="Times New Roman" w:hint="default"/>
                <w:sz w:val="18"/>
                <w:szCs w:val="18"/>
              </w:rPr>
            </w:pPr>
            <w:r>
              <w:rPr>
                <w:rFonts w:ascii="Times New Roman"/>
                <w:sz w:val="18"/>
              </w:rPr>
              <w:t>2011.06.01</w:t>
            </w:r>
          </w:p>
        </w:tc>
      </w:tr>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5"/>
              <w:jc w:val="right"/>
              <w:rPr>
                <w:rFonts w:ascii="Times New Roman" w:hAnsi="Times New Roman" w:cs="Times New Roman" w:eastAsia="Times New Roman" w:hint="default"/>
                <w:sz w:val="18"/>
                <w:szCs w:val="18"/>
              </w:rPr>
            </w:pPr>
            <w:r>
              <w:rPr>
                <w:rFonts w:ascii="Times New Roman"/>
                <w:sz w:val="18"/>
              </w:rPr>
              <w:t>19</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00243260</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1,452.25</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88" w:right="0"/>
              <w:jc w:val="left"/>
              <w:rPr>
                <w:rFonts w:ascii="Times New Roman" w:hAnsi="Times New Roman" w:cs="Times New Roman" w:eastAsia="Times New Roman" w:hint="default"/>
                <w:sz w:val="18"/>
                <w:szCs w:val="18"/>
              </w:rPr>
            </w:pPr>
            <w:r>
              <w:rPr>
                <w:rFonts w:ascii="Times New Roman"/>
                <w:sz w:val="18"/>
              </w:rPr>
              <w:t>2011.06.01</w:t>
            </w:r>
          </w:p>
        </w:tc>
      </w:tr>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5"/>
              <w:jc w:val="right"/>
              <w:rPr>
                <w:rFonts w:ascii="Times New Roman" w:hAnsi="Times New Roman" w:cs="Times New Roman" w:eastAsia="Times New Roman" w:hint="default"/>
                <w:sz w:val="18"/>
                <w:szCs w:val="18"/>
              </w:rPr>
            </w:pPr>
            <w:r>
              <w:rPr>
                <w:rFonts w:ascii="Times New Roman"/>
                <w:sz w:val="18"/>
              </w:rPr>
              <w:t>20</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00243261</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905.28</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88" w:right="0"/>
              <w:jc w:val="left"/>
              <w:rPr>
                <w:rFonts w:ascii="Times New Roman" w:hAnsi="Times New Roman" w:cs="Times New Roman" w:eastAsia="Times New Roman" w:hint="default"/>
                <w:sz w:val="18"/>
                <w:szCs w:val="18"/>
              </w:rPr>
            </w:pPr>
            <w:r>
              <w:rPr>
                <w:rFonts w:ascii="Times New Roman"/>
                <w:sz w:val="18"/>
              </w:rPr>
              <w:t>2011.06.01</w:t>
            </w:r>
          </w:p>
        </w:tc>
      </w:tr>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5"/>
              <w:jc w:val="right"/>
              <w:rPr>
                <w:rFonts w:ascii="Times New Roman" w:hAnsi="Times New Roman" w:cs="Times New Roman" w:eastAsia="Times New Roman" w:hint="default"/>
                <w:sz w:val="18"/>
                <w:szCs w:val="18"/>
              </w:rPr>
            </w:pPr>
            <w:r>
              <w:rPr>
                <w:rFonts w:ascii="Times New Roman"/>
                <w:sz w:val="18"/>
              </w:rPr>
              <w:t>21</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00243262</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905.28</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88" w:right="0"/>
              <w:jc w:val="left"/>
              <w:rPr>
                <w:rFonts w:ascii="Times New Roman" w:hAnsi="Times New Roman" w:cs="Times New Roman" w:eastAsia="Times New Roman" w:hint="default"/>
                <w:sz w:val="18"/>
                <w:szCs w:val="18"/>
              </w:rPr>
            </w:pPr>
            <w:r>
              <w:rPr>
                <w:rFonts w:ascii="Times New Roman"/>
                <w:sz w:val="18"/>
              </w:rPr>
              <w:t>2011.06.01</w:t>
            </w:r>
          </w:p>
        </w:tc>
      </w:tr>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5"/>
              <w:jc w:val="right"/>
              <w:rPr>
                <w:rFonts w:ascii="Times New Roman" w:hAnsi="Times New Roman" w:cs="Times New Roman" w:eastAsia="Times New Roman" w:hint="default"/>
                <w:sz w:val="18"/>
                <w:szCs w:val="18"/>
              </w:rPr>
            </w:pPr>
            <w:r>
              <w:rPr>
                <w:rFonts w:ascii="Times New Roman"/>
                <w:sz w:val="18"/>
              </w:rPr>
              <w:t>22</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00243263</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700.35</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88" w:right="0"/>
              <w:jc w:val="left"/>
              <w:rPr>
                <w:rFonts w:ascii="Times New Roman" w:hAnsi="Times New Roman" w:cs="Times New Roman" w:eastAsia="Times New Roman" w:hint="default"/>
                <w:sz w:val="18"/>
                <w:szCs w:val="18"/>
              </w:rPr>
            </w:pPr>
            <w:r>
              <w:rPr>
                <w:rFonts w:ascii="Times New Roman"/>
                <w:sz w:val="18"/>
              </w:rPr>
              <w:t>2011.06.01</w:t>
            </w:r>
          </w:p>
        </w:tc>
      </w:tr>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5"/>
              <w:jc w:val="right"/>
              <w:rPr>
                <w:rFonts w:ascii="Times New Roman" w:hAnsi="Times New Roman" w:cs="Times New Roman" w:eastAsia="Times New Roman" w:hint="default"/>
                <w:sz w:val="18"/>
                <w:szCs w:val="18"/>
              </w:rPr>
            </w:pPr>
            <w:r>
              <w:rPr>
                <w:rFonts w:ascii="Times New Roman"/>
                <w:sz w:val="18"/>
              </w:rPr>
              <w:t>23</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00243264</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361.79</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88" w:right="0"/>
              <w:jc w:val="left"/>
              <w:rPr>
                <w:rFonts w:ascii="Times New Roman" w:hAnsi="Times New Roman" w:cs="Times New Roman" w:eastAsia="Times New Roman" w:hint="default"/>
                <w:sz w:val="18"/>
                <w:szCs w:val="18"/>
              </w:rPr>
            </w:pPr>
            <w:r>
              <w:rPr>
                <w:rFonts w:ascii="Times New Roman"/>
                <w:sz w:val="18"/>
              </w:rPr>
              <w:t>2011.06.01</w:t>
            </w:r>
          </w:p>
        </w:tc>
      </w:tr>
      <w:tr>
        <w:trPr>
          <w:trHeight w:val="407"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5"/>
              <w:jc w:val="right"/>
              <w:rPr>
                <w:rFonts w:ascii="Times New Roman" w:hAnsi="Times New Roman" w:cs="Times New Roman" w:eastAsia="Times New Roman" w:hint="default"/>
                <w:sz w:val="18"/>
                <w:szCs w:val="18"/>
              </w:rPr>
            </w:pPr>
            <w:r>
              <w:rPr>
                <w:rFonts w:ascii="Times New Roman"/>
                <w:sz w:val="18"/>
              </w:rPr>
              <w:t>24</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00243265</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28.88</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88" w:right="0"/>
              <w:jc w:val="left"/>
              <w:rPr>
                <w:rFonts w:ascii="Times New Roman" w:hAnsi="Times New Roman" w:cs="Times New Roman" w:eastAsia="Times New Roman" w:hint="default"/>
                <w:sz w:val="18"/>
                <w:szCs w:val="18"/>
              </w:rPr>
            </w:pPr>
            <w:r>
              <w:rPr>
                <w:rFonts w:ascii="Times New Roman"/>
                <w:sz w:val="18"/>
              </w:rPr>
              <w:t>2011.06.01</w:t>
            </w:r>
          </w:p>
        </w:tc>
      </w:tr>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5"/>
              <w:jc w:val="right"/>
              <w:rPr>
                <w:rFonts w:ascii="Times New Roman" w:hAnsi="Times New Roman" w:cs="Times New Roman" w:eastAsia="Times New Roman" w:hint="default"/>
                <w:sz w:val="18"/>
                <w:szCs w:val="18"/>
              </w:rPr>
            </w:pPr>
            <w:r>
              <w:rPr>
                <w:rFonts w:ascii="Times New Roman"/>
                <w:sz w:val="18"/>
              </w:rPr>
              <w:t>25</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00243266</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905.28</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88" w:right="0"/>
              <w:jc w:val="left"/>
              <w:rPr>
                <w:rFonts w:ascii="Times New Roman" w:hAnsi="Times New Roman" w:cs="Times New Roman" w:eastAsia="Times New Roman" w:hint="default"/>
                <w:sz w:val="18"/>
                <w:szCs w:val="18"/>
              </w:rPr>
            </w:pPr>
            <w:r>
              <w:rPr>
                <w:rFonts w:ascii="Times New Roman"/>
                <w:sz w:val="18"/>
              </w:rPr>
              <w:t>2011.06.01</w:t>
            </w:r>
          </w:p>
        </w:tc>
      </w:tr>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5"/>
              <w:jc w:val="right"/>
              <w:rPr>
                <w:rFonts w:ascii="Times New Roman" w:hAnsi="Times New Roman" w:cs="Times New Roman" w:eastAsia="Times New Roman" w:hint="default"/>
                <w:sz w:val="18"/>
                <w:szCs w:val="18"/>
              </w:rPr>
            </w:pPr>
            <w:r>
              <w:rPr>
                <w:rFonts w:ascii="Times New Roman"/>
                <w:sz w:val="18"/>
              </w:rPr>
              <w:t>26</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00243267</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2,575.36</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88" w:right="0"/>
              <w:jc w:val="left"/>
              <w:rPr>
                <w:rFonts w:ascii="Times New Roman" w:hAnsi="Times New Roman" w:cs="Times New Roman" w:eastAsia="Times New Roman" w:hint="default"/>
                <w:sz w:val="18"/>
                <w:szCs w:val="18"/>
              </w:rPr>
            </w:pPr>
            <w:r>
              <w:rPr>
                <w:rFonts w:ascii="Times New Roman"/>
                <w:sz w:val="18"/>
              </w:rPr>
              <w:t>2011.06.01</w:t>
            </w:r>
          </w:p>
        </w:tc>
      </w:tr>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5"/>
              <w:jc w:val="right"/>
              <w:rPr>
                <w:rFonts w:ascii="Times New Roman" w:hAnsi="Times New Roman" w:cs="Times New Roman" w:eastAsia="Times New Roman" w:hint="default"/>
                <w:sz w:val="18"/>
                <w:szCs w:val="18"/>
              </w:rPr>
            </w:pPr>
            <w:r>
              <w:rPr>
                <w:rFonts w:ascii="Times New Roman"/>
                <w:sz w:val="18"/>
              </w:rPr>
              <w:t>27</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00211890</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5,475.25</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32" w:right="0"/>
              <w:jc w:val="left"/>
              <w:rPr>
                <w:rFonts w:ascii="Times New Roman" w:hAnsi="Times New Roman" w:cs="Times New Roman" w:eastAsia="Times New Roman" w:hint="default"/>
                <w:sz w:val="18"/>
                <w:szCs w:val="18"/>
              </w:rPr>
            </w:pPr>
            <w:r>
              <w:rPr>
                <w:rFonts w:ascii="Times New Roman"/>
                <w:sz w:val="18"/>
              </w:rPr>
              <w:t>2010.9.10</w:t>
            </w:r>
          </w:p>
        </w:tc>
      </w:tr>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5"/>
              <w:jc w:val="right"/>
              <w:rPr>
                <w:rFonts w:ascii="Times New Roman" w:hAnsi="Times New Roman" w:cs="Times New Roman" w:eastAsia="Times New Roman" w:hint="default"/>
                <w:sz w:val="18"/>
                <w:szCs w:val="18"/>
              </w:rPr>
            </w:pPr>
            <w:r>
              <w:rPr>
                <w:rFonts w:ascii="Times New Roman"/>
                <w:sz w:val="18"/>
              </w:rPr>
              <w:t>28</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00211891</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4,026.19</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32" w:right="0"/>
              <w:jc w:val="left"/>
              <w:rPr>
                <w:rFonts w:ascii="Times New Roman" w:hAnsi="Times New Roman" w:cs="Times New Roman" w:eastAsia="Times New Roman" w:hint="default"/>
                <w:sz w:val="18"/>
                <w:szCs w:val="18"/>
              </w:rPr>
            </w:pPr>
            <w:r>
              <w:rPr>
                <w:rFonts w:ascii="Times New Roman"/>
                <w:sz w:val="18"/>
              </w:rPr>
              <w:t>2010.9.10</w:t>
            </w:r>
          </w:p>
        </w:tc>
      </w:tr>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5"/>
              <w:jc w:val="right"/>
              <w:rPr>
                <w:rFonts w:ascii="Times New Roman" w:hAnsi="Times New Roman" w:cs="Times New Roman" w:eastAsia="Times New Roman" w:hint="default"/>
                <w:sz w:val="18"/>
                <w:szCs w:val="18"/>
              </w:rPr>
            </w:pPr>
            <w:r>
              <w:rPr>
                <w:rFonts w:ascii="Times New Roman"/>
                <w:sz w:val="18"/>
              </w:rPr>
              <w:t>29</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00211892</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2,053.30</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32" w:right="0"/>
              <w:jc w:val="left"/>
              <w:rPr>
                <w:rFonts w:ascii="Times New Roman" w:hAnsi="Times New Roman" w:cs="Times New Roman" w:eastAsia="Times New Roman" w:hint="default"/>
                <w:sz w:val="18"/>
                <w:szCs w:val="18"/>
              </w:rPr>
            </w:pPr>
            <w:r>
              <w:rPr>
                <w:rFonts w:ascii="Times New Roman"/>
                <w:sz w:val="18"/>
              </w:rPr>
              <w:t>2010.9.10</w:t>
            </w:r>
          </w:p>
        </w:tc>
      </w:tr>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5"/>
              <w:jc w:val="right"/>
              <w:rPr>
                <w:rFonts w:ascii="Times New Roman" w:hAnsi="Times New Roman" w:cs="Times New Roman" w:eastAsia="Times New Roman" w:hint="default"/>
                <w:sz w:val="18"/>
                <w:szCs w:val="18"/>
              </w:rPr>
            </w:pPr>
            <w:r>
              <w:rPr>
                <w:rFonts w:ascii="Times New Roman"/>
                <w:sz w:val="18"/>
              </w:rPr>
              <w:t>30</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00211893</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2,036.60</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32" w:right="0"/>
              <w:jc w:val="left"/>
              <w:rPr>
                <w:rFonts w:ascii="Times New Roman" w:hAnsi="Times New Roman" w:cs="Times New Roman" w:eastAsia="Times New Roman" w:hint="default"/>
                <w:sz w:val="18"/>
                <w:szCs w:val="18"/>
              </w:rPr>
            </w:pPr>
            <w:r>
              <w:rPr>
                <w:rFonts w:ascii="Times New Roman"/>
                <w:sz w:val="18"/>
              </w:rPr>
              <w:t>2010.9.10</w:t>
            </w:r>
          </w:p>
        </w:tc>
      </w:tr>
      <w:tr>
        <w:trPr>
          <w:trHeight w:val="408"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5"/>
              <w:jc w:val="right"/>
              <w:rPr>
                <w:rFonts w:ascii="Times New Roman" w:hAnsi="Times New Roman" w:cs="Times New Roman" w:eastAsia="Times New Roman" w:hint="default"/>
                <w:sz w:val="18"/>
                <w:szCs w:val="18"/>
              </w:rPr>
            </w:pPr>
            <w:r>
              <w:rPr>
                <w:rFonts w:ascii="Times New Roman"/>
                <w:sz w:val="18"/>
              </w:rPr>
              <w:t>31</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上虞市房权证盖北镇字第</w:t>
            </w:r>
            <w:r>
              <w:rPr>
                <w:rFonts w:ascii="Times New Roman" w:hAnsi="Times New Roman" w:cs="Times New Roman" w:eastAsia="Times New Roman" w:hint="default"/>
                <w:sz w:val="18"/>
                <w:szCs w:val="18"/>
              </w:rPr>
              <w:t>00211894</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4,548.62</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32" w:right="0"/>
              <w:jc w:val="left"/>
              <w:rPr>
                <w:rFonts w:ascii="Times New Roman" w:hAnsi="Times New Roman" w:cs="Times New Roman" w:eastAsia="Times New Roman" w:hint="default"/>
                <w:sz w:val="18"/>
                <w:szCs w:val="18"/>
              </w:rPr>
            </w:pPr>
            <w:r>
              <w:rPr>
                <w:rFonts w:ascii="Times New Roman"/>
                <w:sz w:val="18"/>
              </w:rPr>
              <w:t>2010.9.10</w:t>
            </w:r>
          </w:p>
        </w:tc>
      </w:tr>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45"/>
              <w:jc w:val="right"/>
              <w:rPr>
                <w:rFonts w:ascii="Times New Roman" w:hAnsi="Times New Roman" w:cs="Times New Roman" w:eastAsia="Times New Roman" w:hint="default"/>
                <w:sz w:val="18"/>
                <w:szCs w:val="18"/>
              </w:rPr>
            </w:pPr>
            <w:r>
              <w:rPr>
                <w:rFonts w:ascii="Times New Roman"/>
                <w:sz w:val="18"/>
              </w:rPr>
              <w:t>32</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绍兴市上虞区房权证盖北镇字第</w:t>
            </w:r>
            <w:r>
              <w:rPr>
                <w:rFonts w:ascii="Times New Roman" w:hAnsi="Times New Roman" w:cs="Times New Roman" w:eastAsia="Times New Roman" w:hint="default"/>
                <w:sz w:val="18"/>
                <w:szCs w:val="18"/>
              </w:rPr>
              <w:t>00328702</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1,507.79</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32" w:right="0"/>
              <w:jc w:val="left"/>
              <w:rPr>
                <w:rFonts w:ascii="Times New Roman" w:hAnsi="Times New Roman" w:cs="Times New Roman" w:eastAsia="Times New Roman" w:hint="default"/>
                <w:sz w:val="18"/>
                <w:szCs w:val="18"/>
              </w:rPr>
            </w:pPr>
            <w:r>
              <w:rPr>
                <w:rFonts w:ascii="Times New Roman"/>
                <w:sz w:val="18"/>
              </w:rPr>
              <w:t>2014.9.11</w:t>
            </w:r>
          </w:p>
        </w:tc>
      </w:tr>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45"/>
              <w:jc w:val="right"/>
              <w:rPr>
                <w:rFonts w:ascii="Times New Roman" w:hAnsi="Times New Roman" w:cs="Times New Roman" w:eastAsia="Times New Roman" w:hint="default"/>
                <w:sz w:val="18"/>
                <w:szCs w:val="18"/>
              </w:rPr>
            </w:pPr>
            <w:r>
              <w:rPr>
                <w:rFonts w:ascii="Times New Roman"/>
                <w:sz w:val="18"/>
              </w:rPr>
              <w:t>33</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绍兴市上虞区房权证盖北镇字第</w:t>
            </w:r>
            <w:r>
              <w:rPr>
                <w:rFonts w:ascii="Times New Roman" w:hAnsi="Times New Roman" w:cs="Times New Roman" w:eastAsia="Times New Roman" w:hint="default"/>
                <w:sz w:val="18"/>
                <w:szCs w:val="18"/>
              </w:rPr>
              <w:t>00328703</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760.28</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32" w:right="0"/>
              <w:jc w:val="left"/>
              <w:rPr>
                <w:rFonts w:ascii="Times New Roman" w:hAnsi="Times New Roman" w:cs="Times New Roman" w:eastAsia="Times New Roman" w:hint="default"/>
                <w:sz w:val="18"/>
                <w:szCs w:val="18"/>
              </w:rPr>
            </w:pPr>
            <w:r>
              <w:rPr>
                <w:rFonts w:ascii="Times New Roman"/>
                <w:sz w:val="18"/>
              </w:rPr>
              <w:t>2014.9.11</w:t>
            </w:r>
          </w:p>
        </w:tc>
      </w:tr>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45"/>
              <w:jc w:val="right"/>
              <w:rPr>
                <w:rFonts w:ascii="Times New Roman" w:hAnsi="Times New Roman" w:cs="Times New Roman" w:eastAsia="Times New Roman" w:hint="default"/>
                <w:sz w:val="18"/>
                <w:szCs w:val="18"/>
              </w:rPr>
            </w:pPr>
            <w:r>
              <w:rPr>
                <w:rFonts w:ascii="Times New Roman"/>
                <w:sz w:val="18"/>
              </w:rPr>
              <w:t>34</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绍兴市上虞区房权证盖北镇字第</w:t>
            </w:r>
            <w:r>
              <w:rPr>
                <w:rFonts w:ascii="Times New Roman" w:hAnsi="Times New Roman" w:cs="Times New Roman" w:eastAsia="Times New Roman" w:hint="default"/>
                <w:sz w:val="18"/>
                <w:szCs w:val="18"/>
              </w:rPr>
              <w:t>00334619</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3,603.60</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32" w:right="0"/>
              <w:jc w:val="left"/>
              <w:rPr>
                <w:rFonts w:ascii="Times New Roman" w:hAnsi="Times New Roman" w:cs="Times New Roman" w:eastAsia="Times New Roman" w:hint="default"/>
                <w:sz w:val="18"/>
                <w:szCs w:val="18"/>
              </w:rPr>
            </w:pPr>
            <w:r>
              <w:rPr>
                <w:rFonts w:ascii="Times New Roman"/>
                <w:sz w:val="18"/>
              </w:rPr>
              <w:t>2014.12.2</w:t>
            </w:r>
          </w:p>
        </w:tc>
      </w:tr>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45"/>
              <w:jc w:val="right"/>
              <w:rPr>
                <w:rFonts w:ascii="Times New Roman" w:hAnsi="Times New Roman" w:cs="Times New Roman" w:eastAsia="Times New Roman" w:hint="default"/>
                <w:sz w:val="18"/>
                <w:szCs w:val="18"/>
              </w:rPr>
            </w:pPr>
            <w:r>
              <w:rPr>
                <w:rFonts w:ascii="Times New Roman"/>
                <w:sz w:val="18"/>
              </w:rPr>
              <w:t>35</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绍兴市上虞区房权证盖北镇字第</w:t>
            </w:r>
            <w:r>
              <w:rPr>
                <w:rFonts w:ascii="Times New Roman" w:hAnsi="Times New Roman" w:cs="Times New Roman" w:eastAsia="Times New Roman" w:hint="default"/>
                <w:sz w:val="18"/>
                <w:szCs w:val="18"/>
              </w:rPr>
              <w:t>00334620</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4,160.21</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32" w:right="0"/>
              <w:jc w:val="left"/>
              <w:rPr>
                <w:rFonts w:ascii="Times New Roman" w:hAnsi="Times New Roman" w:cs="Times New Roman" w:eastAsia="Times New Roman" w:hint="default"/>
                <w:sz w:val="18"/>
                <w:szCs w:val="18"/>
              </w:rPr>
            </w:pPr>
            <w:r>
              <w:rPr>
                <w:rFonts w:ascii="Times New Roman"/>
                <w:sz w:val="18"/>
              </w:rPr>
              <w:t>2014.12.2</w:t>
            </w:r>
          </w:p>
        </w:tc>
      </w:tr>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45"/>
              <w:jc w:val="right"/>
              <w:rPr>
                <w:rFonts w:ascii="Times New Roman" w:hAnsi="Times New Roman" w:cs="Times New Roman" w:eastAsia="Times New Roman" w:hint="default"/>
                <w:sz w:val="18"/>
                <w:szCs w:val="18"/>
              </w:rPr>
            </w:pPr>
            <w:r>
              <w:rPr>
                <w:rFonts w:ascii="Times New Roman"/>
                <w:sz w:val="18"/>
              </w:rPr>
              <w:t>36</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湖房权证湖州市字第</w:t>
            </w:r>
            <w:r>
              <w:rPr>
                <w:rFonts w:ascii="Times New Roman" w:hAnsi="Times New Roman" w:cs="Times New Roman" w:eastAsia="Times New Roman" w:hint="default"/>
                <w:sz w:val="18"/>
                <w:szCs w:val="18"/>
              </w:rPr>
              <w:t>00008981</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566.24</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32" w:right="0"/>
              <w:jc w:val="left"/>
              <w:rPr>
                <w:rFonts w:ascii="Times New Roman" w:hAnsi="Times New Roman" w:cs="Times New Roman" w:eastAsia="Times New Roman" w:hint="default"/>
                <w:sz w:val="18"/>
                <w:szCs w:val="18"/>
              </w:rPr>
            </w:pPr>
            <w:r>
              <w:rPr>
                <w:rFonts w:ascii="Times New Roman"/>
                <w:sz w:val="18"/>
              </w:rPr>
              <w:t>1999.6.18</w:t>
            </w:r>
          </w:p>
        </w:tc>
      </w:tr>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45"/>
              <w:jc w:val="right"/>
              <w:rPr>
                <w:rFonts w:ascii="Times New Roman" w:hAnsi="Times New Roman" w:cs="Times New Roman" w:eastAsia="Times New Roman" w:hint="default"/>
                <w:sz w:val="18"/>
                <w:szCs w:val="18"/>
              </w:rPr>
            </w:pPr>
            <w:r>
              <w:rPr>
                <w:rFonts w:ascii="Times New Roman"/>
                <w:sz w:val="18"/>
              </w:rPr>
              <w:t>37</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湖房权证湖州市字第</w:t>
            </w:r>
            <w:r>
              <w:rPr>
                <w:rFonts w:ascii="Times New Roman" w:hAnsi="Times New Roman" w:cs="Times New Roman" w:eastAsia="Times New Roman" w:hint="default"/>
                <w:sz w:val="18"/>
                <w:szCs w:val="18"/>
              </w:rPr>
              <w:t>00008982</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803.62</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32" w:right="0"/>
              <w:jc w:val="left"/>
              <w:rPr>
                <w:rFonts w:ascii="Times New Roman" w:hAnsi="Times New Roman" w:cs="Times New Roman" w:eastAsia="Times New Roman" w:hint="default"/>
                <w:sz w:val="18"/>
                <w:szCs w:val="18"/>
              </w:rPr>
            </w:pPr>
            <w:r>
              <w:rPr>
                <w:rFonts w:ascii="Times New Roman"/>
                <w:sz w:val="18"/>
              </w:rPr>
              <w:t>1999.6.18</w:t>
            </w:r>
          </w:p>
        </w:tc>
      </w:tr>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45"/>
              <w:jc w:val="right"/>
              <w:rPr>
                <w:rFonts w:ascii="Times New Roman" w:hAnsi="Times New Roman" w:cs="Times New Roman" w:eastAsia="Times New Roman" w:hint="default"/>
                <w:sz w:val="18"/>
                <w:szCs w:val="18"/>
              </w:rPr>
            </w:pPr>
            <w:r>
              <w:rPr>
                <w:rFonts w:ascii="Times New Roman"/>
                <w:sz w:val="18"/>
              </w:rPr>
              <w:t>38</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湖房权证湖州市字第</w:t>
            </w:r>
            <w:r>
              <w:rPr>
                <w:rFonts w:ascii="Times New Roman" w:hAnsi="Times New Roman" w:cs="Times New Roman" w:eastAsia="Times New Roman" w:hint="default"/>
                <w:sz w:val="18"/>
                <w:szCs w:val="18"/>
              </w:rPr>
              <w:t>00008983</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825.8</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32" w:right="0"/>
              <w:jc w:val="left"/>
              <w:rPr>
                <w:rFonts w:ascii="Times New Roman" w:hAnsi="Times New Roman" w:cs="Times New Roman" w:eastAsia="Times New Roman" w:hint="default"/>
                <w:sz w:val="18"/>
                <w:szCs w:val="18"/>
              </w:rPr>
            </w:pPr>
            <w:r>
              <w:rPr>
                <w:rFonts w:ascii="Times New Roman"/>
                <w:sz w:val="18"/>
              </w:rPr>
              <w:t>1999.6.18</w:t>
            </w:r>
          </w:p>
        </w:tc>
      </w:tr>
      <w:tr>
        <w:trPr>
          <w:trHeight w:val="407"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45"/>
              <w:jc w:val="right"/>
              <w:rPr>
                <w:rFonts w:ascii="Times New Roman" w:hAnsi="Times New Roman" w:cs="Times New Roman" w:eastAsia="Times New Roman" w:hint="default"/>
                <w:sz w:val="18"/>
                <w:szCs w:val="18"/>
              </w:rPr>
            </w:pPr>
            <w:r>
              <w:rPr>
                <w:rFonts w:ascii="Times New Roman"/>
                <w:sz w:val="18"/>
              </w:rPr>
              <w:t>39</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湖房权证湖州市字第</w:t>
            </w:r>
            <w:r>
              <w:rPr>
                <w:rFonts w:ascii="Times New Roman" w:hAnsi="Times New Roman" w:cs="Times New Roman" w:eastAsia="Times New Roman" w:hint="default"/>
                <w:sz w:val="18"/>
                <w:szCs w:val="18"/>
              </w:rPr>
              <w:t>00008984</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1264.99</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32" w:right="0"/>
              <w:jc w:val="left"/>
              <w:rPr>
                <w:rFonts w:ascii="Times New Roman" w:hAnsi="Times New Roman" w:cs="Times New Roman" w:eastAsia="Times New Roman" w:hint="default"/>
                <w:sz w:val="18"/>
                <w:szCs w:val="18"/>
              </w:rPr>
            </w:pPr>
            <w:r>
              <w:rPr>
                <w:rFonts w:ascii="Times New Roman"/>
                <w:sz w:val="18"/>
              </w:rPr>
              <w:t>1999.6.18</w:t>
            </w:r>
          </w:p>
        </w:tc>
      </w:tr>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5"/>
              <w:jc w:val="right"/>
              <w:rPr>
                <w:rFonts w:ascii="Times New Roman" w:hAnsi="Times New Roman" w:cs="Times New Roman" w:eastAsia="Times New Roman" w:hint="default"/>
                <w:sz w:val="18"/>
                <w:szCs w:val="18"/>
              </w:rPr>
            </w:pPr>
            <w:r>
              <w:rPr>
                <w:rFonts w:ascii="Times New Roman"/>
                <w:sz w:val="18"/>
              </w:rPr>
              <w:t>40</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湖房权证湖州市字第</w:t>
            </w:r>
            <w:r>
              <w:rPr>
                <w:rFonts w:ascii="Times New Roman" w:hAnsi="Times New Roman" w:cs="Times New Roman" w:eastAsia="Times New Roman" w:hint="default"/>
                <w:sz w:val="18"/>
                <w:szCs w:val="18"/>
              </w:rPr>
              <w:t>00141074</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1379.61</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32" w:right="0"/>
              <w:jc w:val="left"/>
              <w:rPr>
                <w:rFonts w:ascii="Times New Roman" w:hAnsi="Times New Roman" w:cs="Times New Roman" w:eastAsia="Times New Roman" w:hint="default"/>
                <w:sz w:val="18"/>
                <w:szCs w:val="18"/>
              </w:rPr>
            </w:pPr>
            <w:r>
              <w:rPr>
                <w:rFonts w:ascii="Times New Roman"/>
                <w:sz w:val="18"/>
              </w:rPr>
              <w:t>2004.4.21</w:t>
            </w:r>
          </w:p>
        </w:tc>
      </w:tr>
      <w:tr>
        <w:trPr>
          <w:trHeight w:val="390" w:hRule="exact"/>
        </w:trPr>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5"/>
              <w:jc w:val="right"/>
              <w:rPr>
                <w:rFonts w:ascii="Times New Roman" w:hAnsi="Times New Roman" w:cs="Times New Roman" w:eastAsia="Times New Roman" w:hint="default"/>
                <w:sz w:val="18"/>
                <w:szCs w:val="18"/>
              </w:rPr>
            </w:pPr>
            <w:r>
              <w:rPr>
                <w:rFonts w:ascii="Times New Roman"/>
                <w:sz w:val="18"/>
              </w:rPr>
              <w:t>41</w:t>
            </w:r>
          </w:p>
        </w:tc>
        <w:tc>
          <w:tcPr>
            <w:tcW w:w="4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湖房权证湖州市字第</w:t>
            </w:r>
            <w:r>
              <w:rPr>
                <w:rFonts w:ascii="Times New Roman" w:hAnsi="Times New Roman" w:cs="Times New Roman" w:eastAsia="Times New Roman" w:hint="default"/>
                <w:sz w:val="18"/>
                <w:szCs w:val="18"/>
              </w:rPr>
              <w:t>00141075</w:t>
            </w:r>
            <w:r>
              <w:rPr>
                <w:rFonts w:ascii="宋体" w:hAnsi="宋体" w:cs="宋体" w:eastAsia="宋体" w:hint="default"/>
                <w:sz w:val="18"/>
                <w:szCs w:val="18"/>
              </w:rPr>
              <w:t>号</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1872.28</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32" w:right="0"/>
              <w:jc w:val="left"/>
              <w:rPr>
                <w:rFonts w:ascii="Times New Roman" w:hAnsi="Times New Roman" w:cs="Times New Roman" w:eastAsia="Times New Roman" w:hint="default"/>
                <w:sz w:val="18"/>
                <w:szCs w:val="18"/>
              </w:rPr>
            </w:pPr>
            <w:r>
              <w:rPr>
                <w:rFonts w:ascii="Times New Roman"/>
                <w:sz w:val="18"/>
              </w:rPr>
              <w:t>2004.4.21</w:t>
            </w:r>
          </w:p>
        </w:tc>
      </w:tr>
    </w:tbl>
    <w:p>
      <w:pPr>
        <w:pStyle w:val="BodyText"/>
        <w:spacing w:line="300" w:lineRule="auto" w:before="10"/>
        <w:ind w:left="1134" w:right="8862"/>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）公司主要无形资产 土地使用权</w:t>
      </w:r>
      <w:r>
        <w:rPr>
          <w:rFonts w:ascii="Times New Roman" w:hAnsi="Times New Roman" w:cs="Times New Roman" w:eastAsia="Times New Roman" w:hint="default"/>
        </w:rPr>
        <w:t>:</w:t>
      </w:r>
    </w:p>
    <w:tbl>
      <w:tblPr>
        <w:tblW w:w="0" w:type="auto"/>
        <w:jc w:val="left"/>
        <w:tblInd w:w="1126" w:type="dxa"/>
        <w:tblLayout w:type="fixed"/>
        <w:tblCellMar>
          <w:top w:w="0" w:type="dxa"/>
          <w:left w:w="0" w:type="dxa"/>
          <w:bottom w:w="0" w:type="dxa"/>
          <w:right w:w="0" w:type="dxa"/>
        </w:tblCellMar>
        <w:tblLook w:val="01E0"/>
      </w:tblPr>
      <w:tblGrid>
        <w:gridCol w:w="711"/>
        <w:gridCol w:w="3212"/>
        <w:gridCol w:w="2598"/>
        <w:gridCol w:w="712"/>
        <w:gridCol w:w="1134"/>
        <w:gridCol w:w="1134"/>
      </w:tblGrid>
      <w:tr>
        <w:trPr>
          <w:trHeight w:val="352"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21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土地使用权证号</w:t>
            </w:r>
            <w:r>
              <w:rPr>
                <w:rFonts w:ascii="宋体" w:hAnsi="宋体" w:cs="宋体" w:eastAsia="宋体" w:hint="default"/>
                <w:sz w:val="21"/>
                <w:szCs w:val="21"/>
              </w:rPr>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坐落位置</w:t>
            </w:r>
            <w:r>
              <w:rPr>
                <w:rFonts w:ascii="宋体" w:hAnsi="宋体" w:cs="宋体" w:eastAsia="宋体" w:hint="default"/>
                <w:sz w:val="21"/>
                <w:szCs w:val="21"/>
              </w:rPr>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137" w:right="0"/>
              <w:jc w:val="left"/>
              <w:rPr>
                <w:rFonts w:ascii="宋体" w:hAnsi="宋体" w:cs="宋体" w:eastAsia="宋体" w:hint="default"/>
                <w:sz w:val="21"/>
                <w:szCs w:val="21"/>
              </w:rPr>
            </w:pPr>
            <w:r>
              <w:rPr>
                <w:rFonts w:ascii="宋体" w:hAnsi="宋体" w:cs="宋体" w:eastAsia="宋体" w:hint="default"/>
                <w:b/>
                <w:bCs/>
                <w:sz w:val="21"/>
                <w:szCs w:val="21"/>
              </w:rPr>
              <w:t>用途</w:t>
            </w:r>
            <w:r>
              <w:rPr>
                <w:rFonts w:ascii="宋体" w:hAnsi="宋体" w:cs="宋体" w:eastAsia="宋体" w:hint="default"/>
                <w:sz w:val="21"/>
                <w:szCs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347" w:right="0"/>
              <w:jc w:val="left"/>
              <w:rPr>
                <w:rFonts w:ascii="宋体" w:hAnsi="宋体" w:cs="宋体" w:eastAsia="宋体" w:hint="default"/>
                <w:sz w:val="21"/>
                <w:szCs w:val="21"/>
              </w:rPr>
            </w:pPr>
            <w:r>
              <w:rPr>
                <w:rFonts w:ascii="宋体" w:hAnsi="宋体" w:cs="宋体" w:eastAsia="宋体" w:hint="default"/>
                <w:b/>
                <w:bCs/>
                <w:sz w:val="21"/>
                <w:szCs w:val="21"/>
              </w:rPr>
              <w:t>面积</w:t>
            </w:r>
            <w:r>
              <w:rPr>
                <w:rFonts w:ascii="宋体" w:hAnsi="宋体" w:cs="宋体" w:eastAsia="宋体" w:hint="default"/>
                <w:sz w:val="21"/>
                <w:szCs w:val="21"/>
              </w:rPr>
            </w:r>
          </w:p>
        </w:tc>
      </w:tr>
      <w:tr>
        <w:trPr>
          <w:trHeight w:val="351"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1</w:t>
            </w:r>
          </w:p>
        </w:tc>
        <w:tc>
          <w:tcPr>
            <w:tcW w:w="3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
              <w:jc w:val="center"/>
              <w:rPr>
                <w:rFonts w:ascii="宋体" w:hAnsi="宋体" w:cs="宋体" w:eastAsia="宋体" w:hint="default"/>
                <w:sz w:val="18"/>
                <w:szCs w:val="18"/>
              </w:rPr>
            </w:pPr>
            <w:r>
              <w:rPr>
                <w:rFonts w:ascii="宋体" w:hAnsi="宋体" w:cs="宋体" w:eastAsia="宋体" w:hint="default"/>
                <w:sz w:val="18"/>
                <w:szCs w:val="18"/>
              </w:rPr>
              <w:t>上虞市国用（</w:t>
            </w:r>
            <w:r>
              <w:rPr>
                <w:rFonts w:ascii="Times New Roman" w:hAnsi="Times New Roman" w:cs="Times New Roman" w:eastAsia="Times New Roman" w:hint="default"/>
                <w:sz w:val="18"/>
                <w:szCs w:val="18"/>
              </w:rPr>
              <w:t>2011</w:t>
            </w:r>
            <w:r>
              <w:rPr>
                <w:rFonts w:ascii="宋体" w:hAnsi="宋体" w:cs="宋体" w:eastAsia="宋体" w:hint="default"/>
                <w:sz w:val="18"/>
                <w:szCs w:val="18"/>
              </w:rPr>
              <w:t>）第</w:t>
            </w:r>
            <w:r>
              <w:rPr>
                <w:rFonts w:ascii="Times New Roman" w:hAnsi="Times New Roman" w:cs="Times New Roman" w:eastAsia="Times New Roman" w:hint="default"/>
                <w:sz w:val="18"/>
                <w:szCs w:val="18"/>
              </w:rPr>
              <w:t>06464</w:t>
            </w:r>
            <w:r>
              <w:rPr>
                <w:rFonts w:ascii="宋体" w:hAnsi="宋体" w:cs="宋体" w:eastAsia="宋体" w:hint="default"/>
                <w:sz w:val="18"/>
                <w:szCs w:val="18"/>
              </w:rPr>
              <w:t>号</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浙江杭州湾上虞工业园区</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69"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
              <w:jc w:val="center"/>
              <w:rPr>
                <w:rFonts w:ascii="宋体" w:hAnsi="宋体" w:cs="宋体" w:eastAsia="宋体" w:hint="default"/>
                <w:sz w:val="18"/>
                <w:szCs w:val="18"/>
              </w:rPr>
            </w:pPr>
            <w:r>
              <w:rPr>
                <w:rFonts w:ascii="宋体" w:hAnsi="宋体" w:cs="宋体" w:eastAsia="宋体" w:hint="default"/>
                <w:sz w:val="18"/>
                <w:szCs w:val="18"/>
              </w:rPr>
              <w:t>出让</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395" w:right="0"/>
              <w:jc w:val="left"/>
              <w:rPr>
                <w:rFonts w:ascii="Times New Roman" w:hAnsi="Times New Roman" w:cs="Times New Roman" w:eastAsia="Times New Roman" w:hint="default"/>
                <w:sz w:val="18"/>
                <w:szCs w:val="18"/>
              </w:rPr>
            </w:pPr>
            <w:r>
              <w:rPr>
                <w:rFonts w:ascii="Times New Roman"/>
                <w:sz w:val="18"/>
              </w:rPr>
              <w:t>73,855.00</w:t>
            </w:r>
          </w:p>
        </w:tc>
      </w:tr>
      <w:tr>
        <w:trPr>
          <w:trHeight w:val="352"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w:t>
            </w:r>
          </w:p>
        </w:tc>
        <w:tc>
          <w:tcPr>
            <w:tcW w:w="3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上虞市国用（</w:t>
            </w:r>
            <w:r>
              <w:rPr>
                <w:rFonts w:ascii="Times New Roman" w:hAnsi="Times New Roman" w:cs="Times New Roman" w:eastAsia="Times New Roman" w:hint="default"/>
                <w:sz w:val="18"/>
                <w:szCs w:val="18"/>
              </w:rPr>
              <w:t>2011</w:t>
            </w:r>
            <w:r>
              <w:rPr>
                <w:rFonts w:ascii="宋体" w:hAnsi="宋体" w:cs="宋体" w:eastAsia="宋体" w:hint="default"/>
                <w:sz w:val="18"/>
                <w:szCs w:val="18"/>
              </w:rPr>
              <w:t>）第</w:t>
            </w:r>
            <w:r>
              <w:rPr>
                <w:rFonts w:ascii="Times New Roman" w:hAnsi="Times New Roman" w:cs="Times New Roman" w:eastAsia="Times New Roman" w:hint="default"/>
                <w:sz w:val="18"/>
                <w:szCs w:val="18"/>
              </w:rPr>
              <w:t>06463</w:t>
            </w:r>
            <w:r>
              <w:rPr>
                <w:rFonts w:ascii="宋体" w:hAnsi="宋体" w:cs="宋体" w:eastAsia="宋体" w:hint="default"/>
                <w:sz w:val="18"/>
                <w:szCs w:val="18"/>
              </w:rPr>
              <w:t>号</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浙江杭州湾上虞工业园区</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69"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出让</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95" w:right="0"/>
              <w:jc w:val="left"/>
              <w:rPr>
                <w:rFonts w:ascii="Times New Roman" w:hAnsi="Times New Roman" w:cs="Times New Roman" w:eastAsia="Times New Roman" w:hint="default"/>
                <w:sz w:val="18"/>
                <w:szCs w:val="18"/>
              </w:rPr>
            </w:pPr>
            <w:r>
              <w:rPr>
                <w:rFonts w:ascii="Times New Roman"/>
                <w:sz w:val="18"/>
              </w:rPr>
              <w:t>46,286.80</w:t>
            </w:r>
          </w:p>
        </w:tc>
      </w:tr>
      <w:tr>
        <w:trPr>
          <w:trHeight w:val="350"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3</w:t>
            </w:r>
          </w:p>
        </w:tc>
        <w:tc>
          <w:tcPr>
            <w:tcW w:w="3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上虞市国用（</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Times New Roman" w:hAnsi="Times New Roman" w:cs="Times New Roman" w:eastAsia="Times New Roman" w:hint="default"/>
                <w:sz w:val="18"/>
                <w:szCs w:val="18"/>
              </w:rPr>
              <w:t>19357</w:t>
            </w:r>
            <w:r>
              <w:rPr>
                <w:rFonts w:ascii="宋体" w:hAnsi="宋体" w:cs="宋体" w:eastAsia="宋体" w:hint="default"/>
                <w:sz w:val="18"/>
                <w:szCs w:val="18"/>
              </w:rPr>
              <w:t>号</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浙江杭州湾上虞工业园区</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69"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出让</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95" w:right="0"/>
              <w:jc w:val="left"/>
              <w:rPr>
                <w:rFonts w:ascii="Times New Roman" w:hAnsi="Times New Roman" w:cs="Times New Roman" w:eastAsia="Times New Roman" w:hint="default"/>
                <w:sz w:val="18"/>
                <w:szCs w:val="18"/>
              </w:rPr>
            </w:pPr>
            <w:r>
              <w:rPr>
                <w:rFonts w:ascii="Times New Roman"/>
                <w:sz w:val="18"/>
              </w:rPr>
              <w:t>35,308.00</w:t>
            </w:r>
          </w:p>
        </w:tc>
      </w:tr>
      <w:tr>
        <w:trPr>
          <w:trHeight w:val="352"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4</w:t>
            </w:r>
          </w:p>
        </w:tc>
        <w:tc>
          <w:tcPr>
            <w:tcW w:w="3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上虞市国用（</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Times New Roman" w:hAnsi="Times New Roman" w:cs="Times New Roman" w:eastAsia="Times New Roman" w:hint="default"/>
                <w:sz w:val="18"/>
                <w:szCs w:val="18"/>
              </w:rPr>
              <w:t>19356</w:t>
            </w:r>
            <w:r>
              <w:rPr>
                <w:rFonts w:ascii="宋体" w:hAnsi="宋体" w:cs="宋体" w:eastAsia="宋体" w:hint="default"/>
                <w:sz w:val="18"/>
                <w:szCs w:val="18"/>
              </w:rPr>
              <w:t>号</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浙江杭州湾上虞工业园区</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9"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出让</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95" w:right="0"/>
              <w:jc w:val="left"/>
              <w:rPr>
                <w:rFonts w:ascii="Times New Roman" w:hAnsi="Times New Roman" w:cs="Times New Roman" w:eastAsia="Times New Roman" w:hint="default"/>
                <w:sz w:val="18"/>
                <w:szCs w:val="18"/>
              </w:rPr>
            </w:pPr>
            <w:r>
              <w:rPr>
                <w:rFonts w:ascii="Times New Roman"/>
                <w:sz w:val="18"/>
              </w:rPr>
              <w:t>52,633.60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711"/>
        <w:gridCol w:w="3212"/>
        <w:gridCol w:w="2598"/>
        <w:gridCol w:w="712"/>
        <w:gridCol w:w="1134"/>
        <w:gridCol w:w="1134"/>
      </w:tblGrid>
      <w:tr>
        <w:trPr>
          <w:trHeight w:val="352"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5</w:t>
            </w:r>
          </w:p>
        </w:tc>
        <w:tc>
          <w:tcPr>
            <w:tcW w:w="3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t>上虞市国用（</w:t>
            </w:r>
            <w:r>
              <w:rPr>
                <w:rFonts w:ascii="Times New Roman" w:hAnsi="Times New Roman" w:cs="Times New Roman" w:eastAsia="Times New Roman" w:hint="default"/>
                <w:sz w:val="18"/>
                <w:szCs w:val="18"/>
              </w:rPr>
              <w:t>2009</w:t>
            </w:r>
            <w:r>
              <w:rPr>
                <w:rFonts w:ascii="宋体" w:hAnsi="宋体" w:cs="宋体" w:eastAsia="宋体" w:hint="default"/>
                <w:sz w:val="18"/>
                <w:szCs w:val="18"/>
              </w:rPr>
              <w:t>）第</w:t>
            </w:r>
            <w:r>
              <w:rPr>
                <w:rFonts w:ascii="Times New Roman" w:hAnsi="Times New Roman" w:cs="Times New Roman" w:eastAsia="Times New Roman" w:hint="default"/>
                <w:sz w:val="18"/>
                <w:szCs w:val="18"/>
              </w:rPr>
              <w:t>17054</w:t>
            </w:r>
            <w:r>
              <w:rPr>
                <w:rFonts w:ascii="宋体" w:hAnsi="宋体" w:cs="宋体" w:eastAsia="宋体" w:hint="default"/>
                <w:sz w:val="18"/>
                <w:szCs w:val="18"/>
              </w:rPr>
              <w:t>号</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浙江杭州湾上虞工业园区</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9"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379" w:right="0"/>
              <w:jc w:val="left"/>
              <w:rPr>
                <w:rFonts w:ascii="宋体" w:hAnsi="宋体" w:cs="宋体" w:eastAsia="宋体" w:hint="default"/>
                <w:sz w:val="18"/>
                <w:szCs w:val="18"/>
              </w:rPr>
            </w:pPr>
            <w:r>
              <w:rPr>
                <w:rFonts w:ascii="宋体" w:hAnsi="宋体" w:cs="宋体" w:eastAsia="宋体" w:hint="default"/>
                <w:sz w:val="18"/>
                <w:szCs w:val="18"/>
              </w:rPr>
              <w:t>出让</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z w:val="18"/>
              </w:rPr>
              <w:t>33,331.40</w:t>
            </w:r>
          </w:p>
        </w:tc>
      </w:tr>
      <w:tr>
        <w:trPr>
          <w:trHeight w:val="662" w:hRule="exact"/>
        </w:trPr>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6</w:t>
            </w:r>
          </w:p>
        </w:tc>
        <w:tc>
          <w:tcPr>
            <w:tcW w:w="3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浔土国用（</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Times New Roman" w:hAnsi="Times New Roman" w:cs="Times New Roman" w:eastAsia="Times New Roman" w:hint="default"/>
                <w:sz w:val="18"/>
                <w:szCs w:val="18"/>
              </w:rPr>
              <w:t>004287</w:t>
            </w:r>
            <w:r>
              <w:rPr>
                <w:rFonts w:ascii="宋体" w:hAnsi="宋体" w:cs="宋体" w:eastAsia="宋体" w:hint="default"/>
                <w:sz w:val="18"/>
                <w:szCs w:val="18"/>
              </w:rPr>
              <w:t>号</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湖州市和孚镇重兆龙门桥庄介山</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69"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9" w:right="0"/>
              <w:jc w:val="left"/>
              <w:rPr>
                <w:rFonts w:ascii="宋体" w:hAnsi="宋体" w:cs="宋体" w:eastAsia="宋体" w:hint="default"/>
                <w:sz w:val="18"/>
                <w:szCs w:val="18"/>
              </w:rPr>
            </w:pPr>
            <w:r>
              <w:rPr>
                <w:rFonts w:ascii="宋体" w:hAnsi="宋体" w:cs="宋体" w:eastAsia="宋体" w:hint="default"/>
                <w:sz w:val="18"/>
                <w:szCs w:val="18"/>
              </w:rPr>
              <w:t>出让</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40,052</w:t>
            </w:r>
          </w:p>
        </w:tc>
      </w:tr>
    </w:tbl>
    <w:p>
      <w:pPr>
        <w:pStyle w:val="BodyText"/>
        <w:spacing w:line="240" w:lineRule="auto" w:before="10"/>
        <w:ind w:left="1134" w:right="0"/>
        <w:jc w:val="left"/>
        <w:rPr>
          <w:rFonts w:ascii="Times New Roman" w:hAnsi="Times New Roman" w:cs="Times New Roman" w:eastAsia="Times New Roman" w:hint="default"/>
        </w:rPr>
      </w:pPr>
      <w:r>
        <w:rPr/>
        <w:t>商标</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4"/>
          <w:szCs w:val="4"/>
        </w:rPr>
      </w:pPr>
    </w:p>
    <w:tbl>
      <w:tblPr>
        <w:tblW w:w="0" w:type="auto"/>
        <w:jc w:val="left"/>
        <w:tblInd w:w="1126" w:type="dxa"/>
        <w:tblLayout w:type="fixed"/>
        <w:tblCellMar>
          <w:top w:w="0" w:type="dxa"/>
          <w:left w:w="0" w:type="dxa"/>
          <w:bottom w:w="0" w:type="dxa"/>
          <w:right w:w="0" w:type="dxa"/>
        </w:tblCellMar>
        <w:tblLook w:val="01E0"/>
      </w:tblPr>
      <w:tblGrid>
        <w:gridCol w:w="900"/>
        <w:gridCol w:w="2278"/>
        <w:gridCol w:w="1703"/>
        <w:gridCol w:w="2083"/>
        <w:gridCol w:w="2532"/>
      </w:tblGrid>
      <w:tr>
        <w:trPr>
          <w:trHeight w:val="364"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颁发单位</w:t>
            </w:r>
            <w:r>
              <w:rPr>
                <w:rFonts w:ascii="宋体" w:hAnsi="宋体" w:cs="宋体" w:eastAsia="宋体" w:hint="default"/>
                <w:sz w:val="21"/>
                <w:szCs w:val="21"/>
              </w:rPr>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33"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08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注册号</w:t>
            </w:r>
            <w:r>
              <w:rPr>
                <w:rFonts w:ascii="宋体" w:hAnsi="宋体" w:cs="宋体" w:eastAsia="宋体" w:hint="default"/>
                <w:sz w:val="21"/>
                <w:szCs w:val="21"/>
              </w:rPr>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注册有效期</w:t>
            </w:r>
            <w:r>
              <w:rPr>
                <w:rFonts w:ascii="宋体" w:hAnsi="宋体" w:cs="宋体" w:eastAsia="宋体" w:hint="default"/>
                <w:sz w:val="21"/>
                <w:szCs w:val="21"/>
              </w:rPr>
            </w:r>
          </w:p>
        </w:tc>
      </w:tr>
      <w:tr>
        <w:trPr>
          <w:trHeight w:val="397"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国家商标局</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619"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w:t>
            </w:r>
            <w:r>
              <w:rPr>
                <w:rFonts w:ascii="宋体" w:hAnsi="宋体" w:cs="宋体" w:eastAsia="宋体" w:hint="default"/>
                <w:sz w:val="18"/>
                <w:szCs w:val="18"/>
              </w:rPr>
              <w:t>类</w:t>
            </w:r>
          </w:p>
        </w:tc>
        <w:tc>
          <w:tcPr>
            <w:tcW w:w="2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1548063</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2021.4.6</w:t>
            </w:r>
          </w:p>
        </w:tc>
      </w:tr>
      <w:tr>
        <w:trPr>
          <w:trHeight w:val="408"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国家商标局</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619"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w:t>
            </w:r>
            <w:r>
              <w:rPr>
                <w:rFonts w:ascii="宋体" w:hAnsi="宋体" w:cs="宋体" w:eastAsia="宋体" w:hint="default"/>
                <w:sz w:val="18"/>
                <w:szCs w:val="18"/>
              </w:rPr>
              <w:t>类</w:t>
            </w:r>
          </w:p>
        </w:tc>
        <w:tc>
          <w:tcPr>
            <w:tcW w:w="2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1805157</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2022.7.13</w:t>
            </w:r>
          </w:p>
        </w:tc>
      </w:tr>
      <w:tr>
        <w:trPr>
          <w:trHeight w:val="397"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国家商标局</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619"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w:t>
            </w:r>
            <w:r>
              <w:rPr>
                <w:rFonts w:ascii="宋体" w:hAnsi="宋体" w:cs="宋体" w:eastAsia="宋体" w:hint="default"/>
                <w:sz w:val="18"/>
                <w:szCs w:val="18"/>
              </w:rPr>
              <w:t>类</w:t>
            </w:r>
          </w:p>
        </w:tc>
        <w:tc>
          <w:tcPr>
            <w:tcW w:w="2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3569351</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2015.10.6</w:t>
            </w:r>
          </w:p>
        </w:tc>
      </w:tr>
      <w:tr>
        <w:trPr>
          <w:trHeight w:val="408"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center"/>
              <w:rPr>
                <w:rFonts w:ascii="Times New Roman" w:hAnsi="Times New Roman" w:cs="Times New Roman" w:eastAsia="Times New Roman" w:hint="default"/>
                <w:sz w:val="18"/>
                <w:szCs w:val="18"/>
              </w:rPr>
            </w:pPr>
            <w:r>
              <w:rPr>
                <w:rFonts w:ascii="Times New Roman"/>
                <w:sz w:val="18"/>
              </w:rPr>
              <w:t>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国家商标局</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19"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5</w:t>
            </w:r>
            <w:r>
              <w:rPr>
                <w:rFonts w:ascii="宋体" w:hAnsi="宋体" w:cs="宋体" w:eastAsia="宋体" w:hint="default"/>
                <w:sz w:val="18"/>
                <w:szCs w:val="18"/>
              </w:rPr>
              <w:t>类</w:t>
            </w:r>
          </w:p>
        </w:tc>
        <w:tc>
          <w:tcPr>
            <w:tcW w:w="2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1528465</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2021.2.27</w:t>
            </w:r>
          </w:p>
        </w:tc>
      </w:tr>
      <w:tr>
        <w:trPr>
          <w:trHeight w:val="396"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center"/>
              <w:rPr>
                <w:rFonts w:ascii="Times New Roman" w:hAnsi="Times New Roman" w:cs="Times New Roman" w:eastAsia="Times New Roman" w:hint="default"/>
                <w:sz w:val="18"/>
                <w:szCs w:val="18"/>
              </w:rPr>
            </w:pPr>
            <w:r>
              <w:rPr>
                <w:rFonts w:ascii="Times New Roman"/>
                <w:sz w:val="18"/>
              </w:rPr>
              <w:t>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国家商标局</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619"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5</w:t>
            </w:r>
            <w:r>
              <w:rPr>
                <w:rFonts w:ascii="宋体" w:hAnsi="宋体" w:cs="宋体" w:eastAsia="宋体" w:hint="default"/>
                <w:sz w:val="18"/>
                <w:szCs w:val="18"/>
              </w:rPr>
              <w:t>类</w:t>
            </w:r>
          </w:p>
        </w:tc>
        <w:tc>
          <w:tcPr>
            <w:tcW w:w="2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center"/>
              <w:rPr>
                <w:rFonts w:ascii="Times New Roman" w:hAnsi="Times New Roman" w:cs="Times New Roman" w:eastAsia="Times New Roman" w:hint="default"/>
                <w:sz w:val="18"/>
                <w:szCs w:val="18"/>
              </w:rPr>
            </w:pPr>
            <w:r>
              <w:rPr>
                <w:rFonts w:ascii="Times New Roman"/>
                <w:sz w:val="18"/>
              </w:rPr>
              <w:t>3569350</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2015.8.13</w:t>
            </w:r>
          </w:p>
        </w:tc>
      </w:tr>
      <w:tr>
        <w:trPr>
          <w:trHeight w:val="408"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国家商标局</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619"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w:t>
            </w:r>
            <w:r>
              <w:rPr>
                <w:rFonts w:ascii="宋体" w:hAnsi="宋体" w:cs="宋体" w:eastAsia="宋体" w:hint="default"/>
                <w:sz w:val="18"/>
                <w:szCs w:val="18"/>
              </w:rPr>
              <w:t>类</w:t>
            </w:r>
          </w:p>
        </w:tc>
        <w:tc>
          <w:tcPr>
            <w:tcW w:w="2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1805156</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2022.7.13</w:t>
            </w:r>
          </w:p>
        </w:tc>
      </w:tr>
      <w:tr>
        <w:trPr>
          <w:trHeight w:val="397"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国家商标局</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619"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w:t>
            </w:r>
            <w:r>
              <w:rPr>
                <w:rFonts w:ascii="宋体" w:hAnsi="宋体" w:cs="宋体" w:eastAsia="宋体" w:hint="default"/>
                <w:sz w:val="18"/>
                <w:szCs w:val="18"/>
              </w:rPr>
              <w:t>类</w:t>
            </w:r>
          </w:p>
        </w:tc>
        <w:tc>
          <w:tcPr>
            <w:tcW w:w="2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5119422</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2019.12.20</w:t>
            </w:r>
          </w:p>
        </w:tc>
      </w:tr>
      <w:tr>
        <w:trPr>
          <w:trHeight w:val="408"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国家商标局</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619"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3</w:t>
            </w:r>
            <w:r>
              <w:rPr>
                <w:rFonts w:ascii="宋体" w:hAnsi="宋体" w:cs="宋体" w:eastAsia="宋体" w:hint="default"/>
                <w:sz w:val="18"/>
                <w:szCs w:val="18"/>
              </w:rPr>
              <w:t>类</w:t>
            </w:r>
          </w:p>
        </w:tc>
        <w:tc>
          <w:tcPr>
            <w:tcW w:w="2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3855568</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2020.6.20</w:t>
            </w:r>
          </w:p>
        </w:tc>
      </w:tr>
      <w:tr>
        <w:trPr>
          <w:trHeight w:val="397"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18"/>
                <w:szCs w:val="18"/>
              </w:rPr>
            </w:pPr>
            <w:r>
              <w:rPr>
                <w:rFonts w:ascii="Times New Roman"/>
                <w:sz w:val="18"/>
              </w:rPr>
              <w:t>9</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国家商标局</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575"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17</w:t>
            </w:r>
            <w:r>
              <w:rPr>
                <w:rFonts w:ascii="宋体" w:hAnsi="宋体" w:cs="宋体" w:eastAsia="宋体" w:hint="default"/>
                <w:sz w:val="18"/>
                <w:szCs w:val="18"/>
              </w:rPr>
              <w:t>类</w:t>
            </w:r>
          </w:p>
        </w:tc>
        <w:tc>
          <w:tcPr>
            <w:tcW w:w="2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3855575</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2015.8.6</w:t>
            </w:r>
          </w:p>
        </w:tc>
      </w:tr>
      <w:tr>
        <w:trPr>
          <w:trHeight w:val="397"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10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国家商标局</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575"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40</w:t>
            </w:r>
            <w:r>
              <w:rPr>
                <w:rFonts w:ascii="宋体" w:hAnsi="宋体" w:cs="宋体" w:eastAsia="宋体" w:hint="default"/>
                <w:sz w:val="18"/>
                <w:szCs w:val="18"/>
              </w:rPr>
              <w:t>类</w:t>
            </w:r>
          </w:p>
        </w:tc>
        <w:tc>
          <w:tcPr>
            <w:tcW w:w="2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3855571</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2016.4.6</w:t>
            </w:r>
          </w:p>
        </w:tc>
      </w:tr>
      <w:tr>
        <w:trPr>
          <w:trHeight w:val="408"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11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香港商标注册处</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619"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w:t>
            </w:r>
            <w:r>
              <w:rPr>
                <w:rFonts w:ascii="宋体" w:hAnsi="宋体" w:cs="宋体" w:eastAsia="宋体" w:hint="default"/>
                <w:sz w:val="18"/>
                <w:szCs w:val="18"/>
              </w:rPr>
              <w:t>类</w:t>
            </w:r>
          </w:p>
        </w:tc>
        <w:tc>
          <w:tcPr>
            <w:tcW w:w="2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300771930</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2016.11.30</w:t>
            </w:r>
          </w:p>
        </w:tc>
      </w:tr>
      <w:tr>
        <w:trPr>
          <w:trHeight w:val="397"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12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国家商标局</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619" w:right="0"/>
              <w:jc w:val="lef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w:t>
            </w:r>
            <w:r>
              <w:rPr>
                <w:rFonts w:ascii="宋体" w:hAnsi="宋体" w:cs="宋体" w:eastAsia="宋体" w:hint="default"/>
                <w:sz w:val="18"/>
                <w:szCs w:val="18"/>
              </w:rPr>
              <w:t>类</w:t>
            </w:r>
          </w:p>
        </w:tc>
        <w:tc>
          <w:tcPr>
            <w:tcW w:w="2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1407038</w:t>
            </w:r>
          </w:p>
        </w:tc>
        <w:tc>
          <w:tcPr>
            <w:tcW w:w="2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2010.6.13</w:t>
            </w:r>
          </w:p>
        </w:tc>
      </w:tr>
    </w:tbl>
    <w:p>
      <w:pPr>
        <w:pStyle w:val="BodyText"/>
        <w:spacing w:line="240" w:lineRule="auto" w:before="10"/>
        <w:ind w:left="1134" w:right="0"/>
        <w:jc w:val="left"/>
      </w:pPr>
      <w:r>
        <w:rPr/>
        <w:t>主要专利：</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756"/>
        <w:gridCol w:w="4010"/>
        <w:gridCol w:w="2027"/>
        <w:gridCol w:w="1272"/>
        <w:gridCol w:w="1430"/>
      </w:tblGrid>
      <w:tr>
        <w:trPr>
          <w:trHeight w:val="350"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权利人</w:t>
            </w:r>
            <w:r>
              <w:rPr>
                <w:rFonts w:ascii="宋体" w:hAnsi="宋体" w:cs="宋体" w:eastAsia="宋体" w:hint="default"/>
                <w:sz w:val="21"/>
                <w:szCs w:val="21"/>
              </w:rPr>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有效日期</w:t>
            </w:r>
            <w:r>
              <w:rPr>
                <w:rFonts w:ascii="宋体" w:hAnsi="宋体" w:cs="宋体" w:eastAsia="宋体" w:hint="default"/>
                <w:sz w:val="21"/>
                <w:szCs w:val="21"/>
              </w:rPr>
            </w:r>
          </w:p>
        </w:tc>
      </w:tr>
      <w:tr>
        <w:trPr>
          <w:trHeight w:val="349"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一种过碳酸钠制备方法</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ZL02112244.X</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金科股份</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2022.6.27</w:t>
            </w:r>
          </w:p>
        </w:tc>
      </w:tr>
      <w:tr>
        <w:trPr>
          <w:trHeight w:val="349"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一种改性过碳酸钠及其制备方法</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ZL03148070.5</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金科股份</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2023.6.30</w:t>
            </w:r>
          </w:p>
        </w:tc>
      </w:tr>
      <w:tr>
        <w:trPr>
          <w:trHeight w:val="662"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一种低堆密度颗粒型包膜过碳酸钠的制备方法</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ZL200810060394.4</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金科股份</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2028.4.22</w:t>
            </w:r>
          </w:p>
        </w:tc>
      </w:tr>
      <w:tr>
        <w:trPr>
          <w:trHeight w:val="664"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w:t>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一种用于制备无磷过碳酸钠的稳定剂及其使用方法</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ZL200810121701.5</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金科股份</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2028.10.23</w:t>
            </w:r>
          </w:p>
        </w:tc>
      </w:tr>
      <w:tr>
        <w:trPr>
          <w:trHeight w:val="662"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0"/>
              <w:jc w:val="left"/>
              <w:rPr>
                <w:rFonts w:ascii="宋体" w:hAnsi="宋体" w:cs="宋体" w:eastAsia="宋体" w:hint="default"/>
                <w:sz w:val="18"/>
                <w:szCs w:val="18"/>
              </w:rPr>
            </w:pPr>
            <w:r>
              <w:rPr>
                <w:rFonts w:ascii="宋体" w:hAnsi="宋体" w:cs="宋体" w:eastAsia="宋体" w:hint="default"/>
                <w:sz w:val="18"/>
                <w:szCs w:val="18"/>
              </w:rPr>
              <w:t>一种叔丁基过氧化氢及二叔丁基过氧化物的制备方 法</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ZL200810061607.5</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金科股份</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2028.5.30</w:t>
            </w:r>
          </w:p>
        </w:tc>
      </w:tr>
      <w:tr>
        <w:trPr>
          <w:trHeight w:val="349"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一种颗粒型无磷包膜过碳酸钠的制备方法</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ZL200810060392.5</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金科股份</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2028.4.22</w:t>
            </w:r>
          </w:p>
        </w:tc>
      </w:tr>
      <w:tr>
        <w:trPr>
          <w:trHeight w:val="349"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一种颗粒型包膜过碳酸钠的制备方法</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ZL200810060393.X</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金科股份</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2028.4.22</w:t>
            </w:r>
          </w:p>
        </w:tc>
      </w:tr>
      <w:tr>
        <w:trPr>
          <w:trHeight w:val="662"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w:t>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0"/>
              <w:jc w:val="left"/>
              <w:rPr>
                <w:rFonts w:ascii="宋体" w:hAnsi="宋体" w:cs="宋体" w:eastAsia="宋体" w:hint="default"/>
                <w:sz w:val="18"/>
                <w:szCs w:val="18"/>
              </w:rPr>
            </w:pPr>
            <w:r>
              <w:rPr>
                <w:rFonts w:ascii="宋体" w:hAnsi="宋体" w:cs="宋体" w:eastAsia="宋体" w:hint="default"/>
                <w:sz w:val="18"/>
                <w:szCs w:val="18"/>
              </w:rPr>
              <w:t>一种对四乙酰乙二胺生产中两种废酸水的联合处理 方法</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ZL201210001592.X</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金科股份</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2032.1.5</w:t>
            </w:r>
          </w:p>
        </w:tc>
      </w:tr>
      <w:tr>
        <w:trPr>
          <w:trHeight w:val="664"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一种晶体大小可控的三水醋酸钠连续结晶工艺</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ZL201210043014.2</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金科股份</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2032.2.24</w:t>
            </w:r>
          </w:p>
        </w:tc>
      </w:tr>
      <w:tr>
        <w:trPr>
          <w:trHeight w:val="663"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17"/>
              <w:jc w:val="left"/>
              <w:rPr>
                <w:rFonts w:ascii="宋体" w:hAnsi="宋体" w:cs="宋体" w:eastAsia="宋体" w:hint="default"/>
                <w:sz w:val="18"/>
                <w:szCs w:val="18"/>
              </w:rPr>
            </w:pPr>
            <w:r>
              <w:rPr>
                <w:rFonts w:ascii="宋体" w:hAnsi="宋体" w:cs="宋体" w:eastAsia="宋体" w:hint="default"/>
                <w:spacing w:val="-3"/>
                <w:sz w:val="18"/>
                <w:szCs w:val="18"/>
              </w:rPr>
              <w:t>一种颗粒状低含氯量</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三（氨基己酸基）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z w:val="18"/>
                <w:szCs w:val="18"/>
              </w:rPr>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三嗪的生产工艺</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ZL201210054443.X</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金科股份</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2032.3.5</w:t>
            </w:r>
          </w:p>
        </w:tc>
      </w:tr>
      <w:tr>
        <w:trPr>
          <w:trHeight w:val="349"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一种四乙酰乙二胺制备方法</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ZL02112243.1</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金科日化</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2022.6.27</w:t>
            </w:r>
          </w:p>
        </w:tc>
      </w:tr>
      <w:tr>
        <w:trPr>
          <w:trHeight w:val="349"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一种制取过氧乙酸的固体发生剂</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ZL03116720.9</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金科日化</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2023.4.28</w:t>
            </w:r>
          </w:p>
        </w:tc>
      </w:tr>
      <w:tr>
        <w:trPr>
          <w:trHeight w:val="349"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一种催化合成二乙酰乙二胺的方法</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ZL200910095663.5</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金科日化</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2029.1.19</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756"/>
        <w:gridCol w:w="4010"/>
        <w:gridCol w:w="2027"/>
        <w:gridCol w:w="1272"/>
        <w:gridCol w:w="1430"/>
      </w:tblGrid>
      <w:tr>
        <w:trPr>
          <w:trHeight w:val="349"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w:t>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一种二乙酰乙二胺的制备方法</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ZL200810121998.5</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金科日化</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46"/>
              <w:jc w:val="right"/>
              <w:rPr>
                <w:rFonts w:ascii="Times New Roman" w:hAnsi="Times New Roman" w:cs="Times New Roman" w:eastAsia="Times New Roman" w:hint="default"/>
                <w:sz w:val="18"/>
                <w:szCs w:val="18"/>
              </w:rPr>
            </w:pPr>
            <w:r>
              <w:rPr>
                <w:rFonts w:ascii="Times New Roman"/>
                <w:sz w:val="18"/>
              </w:rPr>
              <w:t>2028.11.5</w:t>
            </w:r>
          </w:p>
        </w:tc>
      </w:tr>
      <w:tr>
        <w:trPr>
          <w:trHeight w:val="349"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一种颗粒状漂白活化剂组合物</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ZL200910098254.0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金科日化</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0"/>
              <w:jc w:val="right"/>
              <w:rPr>
                <w:rFonts w:ascii="Times New Roman" w:hAnsi="Times New Roman" w:cs="Times New Roman" w:eastAsia="Times New Roman" w:hint="default"/>
                <w:sz w:val="18"/>
                <w:szCs w:val="18"/>
              </w:rPr>
            </w:pPr>
            <w:r>
              <w:rPr>
                <w:rFonts w:ascii="Times New Roman"/>
                <w:sz w:val="18"/>
              </w:rPr>
              <w:t>2029.5.3</w:t>
            </w:r>
          </w:p>
        </w:tc>
      </w:tr>
      <w:tr>
        <w:trPr>
          <w:trHeight w:val="663"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16</w:t>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0"/>
              <w:jc w:val="left"/>
              <w:rPr>
                <w:rFonts w:ascii="宋体" w:hAnsi="宋体" w:cs="宋体" w:eastAsia="宋体" w:hint="default"/>
                <w:sz w:val="18"/>
                <w:szCs w:val="18"/>
              </w:rPr>
            </w:pPr>
            <w:r>
              <w:rPr>
                <w:rFonts w:ascii="宋体" w:hAnsi="宋体" w:cs="宋体" w:eastAsia="宋体" w:hint="default"/>
                <w:sz w:val="18"/>
                <w:szCs w:val="18"/>
              </w:rPr>
              <w:t>多聚磷酸和金属锌联合使用在对四乙酰乙二胺母液 进行脱色中的应用</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ZL201110176804.3</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9"/>
              <w:jc w:val="right"/>
              <w:rPr>
                <w:rFonts w:ascii="宋体" w:hAnsi="宋体" w:cs="宋体" w:eastAsia="宋体" w:hint="default"/>
                <w:sz w:val="18"/>
                <w:szCs w:val="18"/>
              </w:rPr>
            </w:pPr>
            <w:r>
              <w:rPr>
                <w:rFonts w:ascii="宋体" w:hAnsi="宋体" w:cs="宋体" w:eastAsia="宋体" w:hint="default"/>
                <w:sz w:val="18"/>
                <w:szCs w:val="18"/>
              </w:rPr>
              <w:t>金科日化</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46"/>
              <w:jc w:val="right"/>
              <w:rPr>
                <w:rFonts w:ascii="Times New Roman" w:hAnsi="Times New Roman" w:cs="Times New Roman" w:eastAsia="Times New Roman" w:hint="default"/>
                <w:sz w:val="18"/>
                <w:szCs w:val="18"/>
              </w:rPr>
            </w:pPr>
            <w:r>
              <w:rPr>
                <w:rFonts w:ascii="Times New Roman"/>
                <w:sz w:val="18"/>
              </w:rPr>
              <w:t>2031.6.28</w:t>
            </w:r>
          </w:p>
        </w:tc>
      </w:tr>
      <w:tr>
        <w:trPr>
          <w:trHeight w:val="349"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w:t>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四乙酰乙二胺生产热量回收系统</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ZL201310112961.7</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金科日化</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0"/>
              <w:jc w:val="right"/>
              <w:rPr>
                <w:rFonts w:ascii="Times New Roman" w:hAnsi="Times New Roman" w:cs="Times New Roman" w:eastAsia="Times New Roman" w:hint="default"/>
                <w:sz w:val="18"/>
                <w:szCs w:val="18"/>
              </w:rPr>
            </w:pPr>
            <w:r>
              <w:rPr>
                <w:rFonts w:ascii="Times New Roman"/>
                <w:sz w:val="18"/>
              </w:rPr>
              <w:t>2033.4.2</w:t>
            </w:r>
          </w:p>
        </w:tc>
      </w:tr>
      <w:tr>
        <w:trPr>
          <w:trHeight w:val="349"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w:t>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一种过碳酸钠母液的回收利用方法</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ZL201210054479.8</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金科股份</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0"/>
              <w:jc w:val="right"/>
              <w:rPr>
                <w:rFonts w:ascii="Times New Roman" w:hAnsi="Times New Roman" w:cs="Times New Roman" w:eastAsia="Times New Roman" w:hint="default"/>
                <w:sz w:val="18"/>
                <w:szCs w:val="18"/>
              </w:rPr>
            </w:pPr>
            <w:r>
              <w:rPr>
                <w:rFonts w:ascii="Times New Roman"/>
                <w:sz w:val="18"/>
              </w:rPr>
              <w:t>2032.3.5</w:t>
            </w:r>
          </w:p>
        </w:tc>
      </w:tr>
      <w:tr>
        <w:trPr>
          <w:trHeight w:val="349"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w:t>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一种四乙酰乙二胺的连续结晶方法</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ZL201210052768.4</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金科日化</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90"/>
              <w:jc w:val="right"/>
              <w:rPr>
                <w:rFonts w:ascii="Times New Roman" w:hAnsi="Times New Roman" w:cs="Times New Roman" w:eastAsia="Times New Roman" w:hint="default"/>
                <w:sz w:val="18"/>
                <w:szCs w:val="18"/>
              </w:rPr>
            </w:pPr>
            <w:r>
              <w:rPr>
                <w:rFonts w:ascii="Times New Roman"/>
                <w:sz w:val="18"/>
              </w:rPr>
              <w:t>2032.3.2</w:t>
            </w:r>
          </w:p>
        </w:tc>
      </w:tr>
      <w:tr>
        <w:trPr>
          <w:trHeight w:val="782"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w:t>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管道化连续生产</w:t>
            </w:r>
            <w:r>
              <w:rPr>
                <w:rFonts w:ascii="Times New Roman" w:hAnsi="Times New Roman" w:cs="Times New Roman" w:eastAsia="Times New Roman" w:hint="default"/>
                <w:sz w:val="18"/>
                <w:szCs w:val="18"/>
              </w:rPr>
              <w:t>2-</w:t>
            </w:r>
            <w:r>
              <w:rPr>
                <w:rFonts w:ascii="宋体" w:hAnsi="宋体" w:cs="宋体" w:eastAsia="宋体" w:hint="default"/>
                <w:sz w:val="18"/>
                <w:szCs w:val="18"/>
              </w:rPr>
              <w:t>乙基蒽醌的装置及工艺</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ZL200910101637.9</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87" w:right="-5" w:hanging="86"/>
              <w:jc w:val="left"/>
              <w:rPr>
                <w:rFonts w:ascii="宋体" w:hAnsi="宋体" w:cs="宋体" w:eastAsia="宋体" w:hint="default"/>
                <w:sz w:val="18"/>
                <w:szCs w:val="18"/>
              </w:rPr>
            </w:pPr>
            <w:r>
              <w:rPr>
                <w:rFonts w:ascii="宋体" w:hAnsi="宋体" w:cs="宋体" w:eastAsia="宋体" w:hint="default"/>
                <w:sz w:val="18"/>
                <w:szCs w:val="18"/>
              </w:rPr>
              <w:t>浙江工业大学、 湖州吉昌化学</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2032.08.21</w:t>
            </w:r>
          </w:p>
        </w:tc>
      </w:tr>
      <w:tr>
        <w:trPr>
          <w:trHeight w:val="349"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w:t>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一种回收溶剂的真空装置</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ZL201120273227.5</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吉昌化学</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2022.04.24</w:t>
            </w:r>
          </w:p>
        </w:tc>
      </w:tr>
      <w:tr>
        <w:trPr>
          <w:trHeight w:val="349"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w:t>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一种制备取代基脲联产相应胺盐酸盐的方法</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ZL200810062129.X</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受让专利</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2031.02.02</w:t>
            </w:r>
          </w:p>
        </w:tc>
      </w:tr>
      <w:tr>
        <w:trPr>
          <w:trHeight w:val="364"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w:t>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一种高效蒸馏提纯四丁基脲的蒸馏装置</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ZL200920153624.1</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吉昌化学</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2020.03.03</w:t>
            </w:r>
          </w:p>
        </w:tc>
      </w:tr>
      <w:tr>
        <w:trPr>
          <w:trHeight w:val="349" w:hRule="exact"/>
        </w:trPr>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w:t>
            </w:r>
          </w:p>
        </w:tc>
        <w:tc>
          <w:tcPr>
            <w:tcW w:w="4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用于</w:t>
            </w:r>
            <w:r>
              <w:rPr>
                <w:rFonts w:ascii="Times New Roman" w:hAnsi="Times New Roman" w:cs="Times New Roman" w:eastAsia="Times New Roman" w:hint="default"/>
                <w:sz w:val="18"/>
                <w:szCs w:val="18"/>
              </w:rPr>
              <w:t>2-</w:t>
            </w:r>
            <w:r>
              <w:rPr>
                <w:rFonts w:ascii="宋体" w:hAnsi="宋体" w:cs="宋体" w:eastAsia="宋体" w:hint="default"/>
                <w:sz w:val="18"/>
                <w:szCs w:val="18"/>
              </w:rPr>
              <w:t>乙基蒽醌粗品精馏提纯的装置</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ZL200920153995.X</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69"/>
              <w:jc w:val="right"/>
              <w:rPr>
                <w:rFonts w:ascii="宋体" w:hAnsi="宋体" w:cs="宋体" w:eastAsia="宋体" w:hint="default"/>
                <w:sz w:val="18"/>
                <w:szCs w:val="18"/>
              </w:rPr>
            </w:pPr>
            <w:r>
              <w:rPr>
                <w:rFonts w:ascii="宋体" w:hAnsi="宋体" w:cs="宋体" w:eastAsia="宋体" w:hint="default"/>
                <w:sz w:val="18"/>
                <w:szCs w:val="18"/>
              </w:rPr>
              <w:t>吉昌化学</w:t>
            </w:r>
          </w:p>
        </w:tc>
        <w:tc>
          <w:tcPr>
            <w:tcW w:w="1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2020.05.18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right="3403"/>
        <w:jc w:val="center"/>
        <w:rPr>
          <w:b w:val="0"/>
          <w:bCs w:val="0"/>
        </w:rPr>
      </w:pPr>
      <w:bookmarkStart w:name="_TOC_250007" w:id="22"/>
      <w:bookmarkStart w:name="第四节 管理层讨论与分析" w:id="23"/>
      <w:r>
        <w:rPr>
          <w:b w:val="0"/>
          <w:bCs w:val="0"/>
        </w:rPr>
      </w:r>
      <w:r>
        <w:rPr/>
        <w:t>第四节</w:t>
      </w:r>
      <w:r>
        <w:rPr>
          <w:spacing w:val="-9"/>
        </w:rPr>
        <w:t> </w:t>
      </w:r>
      <w:r>
        <w:rPr/>
        <w:t>管理层讨论与分析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rFonts w:ascii="Times New Roman" w:hAnsi="Times New Roman" w:cs="Times New Roman" w:eastAsia="Times New Roman" w:hint="default"/>
          <w:spacing w:val="-2"/>
        </w:rPr>
        <w:t>2015</w:t>
      </w:r>
      <w:r>
        <w:rPr>
          <w:spacing w:val="-2"/>
        </w:rPr>
        <w:t>年是机遇与挑战并存的一年。世界经济环境复杂严峻，国际金融市场震荡加剧，中国国内经济深层次矛盾凸显，经</w:t>
      </w:r>
      <w:r>
        <w:rPr/>
        <w:t> </w:t>
      </w:r>
      <w:r>
        <w:rPr>
          <w:spacing w:val="-3"/>
        </w:rPr>
        <w:t>济下行压力加大。公司面对如此复杂的宏观经济环境，多举措并举、积极应对，经营取得较好业绩，公司各项工作有序推进</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9"/>
        </w:rPr>
        <w:t> </w:t>
      </w:r>
      <w:r>
        <w:rPr/>
        <w:t>保持了较好的发展态势。</w:t>
      </w:r>
    </w:p>
    <w:p>
      <w:pPr>
        <w:pStyle w:val="BodyText"/>
        <w:spacing w:line="300" w:lineRule="auto" w:before="31"/>
        <w:ind w:right="1142" w:firstLine="360"/>
        <w:jc w:val="both"/>
      </w:pPr>
      <w:r>
        <w:rPr/>
        <w:t>报告期内，公司实现营业收入</w:t>
      </w:r>
      <w:r>
        <w:rPr>
          <w:rFonts w:ascii="Times New Roman" w:hAnsi="Times New Roman" w:cs="Times New Roman" w:eastAsia="Times New Roman" w:hint="default"/>
        </w:rPr>
        <w:t>50,644.25</w:t>
      </w:r>
      <w:r>
        <w:rPr/>
        <w:t>万元，同比上升</w:t>
      </w:r>
      <w:r>
        <w:rPr>
          <w:rFonts w:ascii="Times New Roman" w:hAnsi="Times New Roman" w:cs="Times New Roman" w:eastAsia="Times New Roman" w:hint="default"/>
        </w:rPr>
        <w:t>6.19%</w:t>
      </w:r>
      <w:r>
        <w:rPr/>
        <w:t>，归属于上市公司股东的净利润</w:t>
      </w:r>
      <w:r>
        <w:rPr>
          <w:spacing w:val="-23"/>
        </w:rPr>
        <w:t> </w:t>
      </w:r>
      <w:r>
        <w:rPr>
          <w:rFonts w:ascii="Times New Roman" w:hAnsi="Times New Roman" w:cs="Times New Roman" w:eastAsia="Times New Roman" w:hint="default"/>
        </w:rPr>
        <w:t>4,847.77</w:t>
      </w:r>
      <w:r>
        <w:rPr/>
        <w:t>万元，同比上升 </w:t>
      </w:r>
      <w:r>
        <w:rPr>
          <w:rFonts w:ascii="Times New Roman" w:hAnsi="Times New Roman" w:cs="Times New Roman" w:eastAsia="Times New Roman" w:hint="default"/>
        </w:rPr>
        <w:t>33.99%</w:t>
      </w:r>
      <w:r>
        <w:rPr/>
        <w:t>。</w:t>
      </w:r>
    </w:p>
    <w:p>
      <w:pPr>
        <w:spacing w:before="13"/>
        <w:ind w:left="1133" w:right="0" w:firstLine="0"/>
        <w:jc w:val="left"/>
        <w:rPr>
          <w:rFonts w:ascii="宋体" w:hAnsi="宋体" w:cs="宋体" w:eastAsia="宋体" w:hint="default"/>
          <w:sz w:val="18"/>
          <w:szCs w:val="18"/>
        </w:rPr>
      </w:pPr>
      <w:r>
        <w:rPr>
          <w:rFonts w:ascii="宋体" w:hAnsi="宋体" w:cs="宋体" w:eastAsia="宋体" w:hint="default"/>
          <w:b/>
          <w:bCs/>
          <w:sz w:val="18"/>
          <w:szCs w:val="18"/>
        </w:rPr>
        <w:t>（一）报告期内开展的重点工作与主要业务发展情况</w:t>
      </w:r>
      <w:r>
        <w:rPr>
          <w:rFonts w:ascii="宋体" w:hAnsi="宋体" w:cs="宋体" w:eastAsia="宋体" w:hint="default"/>
          <w:sz w:val="18"/>
          <w:szCs w:val="18"/>
        </w:rPr>
      </w:r>
    </w:p>
    <w:p>
      <w:pPr>
        <w:pStyle w:val="BodyText"/>
        <w:spacing w:line="240" w:lineRule="auto" w:before="76"/>
        <w:ind w:left="1493" w:right="0"/>
        <w:jc w:val="left"/>
      </w:pPr>
      <w:r>
        <w:rPr>
          <w:rFonts w:ascii="Times New Roman" w:hAnsi="Times New Roman" w:cs="Times New Roman" w:eastAsia="Times New Roman" w:hint="default"/>
        </w:rPr>
        <w:t>1</w:t>
      </w:r>
      <w:r>
        <w:rPr/>
        <w:t>、围绕年度工作计划开展各项业务，基本完成年度工作目标</w:t>
      </w:r>
    </w:p>
    <w:p>
      <w:pPr>
        <w:pStyle w:val="BodyText"/>
        <w:spacing w:line="240" w:lineRule="auto" w:before="63"/>
        <w:ind w:left="1494" w:right="0"/>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t>年度，在公司董事会的领导下，公司管理层和全体员工奋发向上，克服各种不利因素，全年完成营业收入</w:t>
      </w:r>
      <w:r>
        <w:rPr>
          <w:rFonts w:ascii="Times New Roman" w:hAnsi="Times New Roman" w:cs="Times New Roman" w:eastAsia="Times New Roman" w:hint="default"/>
        </w:rPr>
        <w:t>50,644.25</w:t>
      </w:r>
    </w:p>
    <w:p>
      <w:pPr>
        <w:pStyle w:val="BodyText"/>
        <w:spacing w:line="300" w:lineRule="auto" w:before="63"/>
        <w:ind w:left="1493" w:right="1123" w:hanging="360"/>
        <w:jc w:val="left"/>
      </w:pPr>
      <w:r>
        <w:rPr/>
        <w:t>万元，利润总额</w:t>
      </w:r>
      <w:r>
        <w:rPr>
          <w:rFonts w:ascii="Times New Roman" w:hAnsi="Times New Roman" w:cs="Times New Roman" w:eastAsia="Times New Roman" w:hint="default"/>
        </w:rPr>
        <w:t>6,546.55</w:t>
      </w:r>
      <w:r>
        <w:rPr/>
        <w:t>万元，净利润</w:t>
      </w:r>
      <w:r>
        <w:rPr>
          <w:rFonts w:ascii="Times New Roman" w:hAnsi="Times New Roman" w:cs="Times New Roman" w:eastAsia="Times New Roman" w:hint="default"/>
        </w:rPr>
        <w:t>5,540.58</w:t>
      </w:r>
      <w:r>
        <w:rPr/>
        <w:t>万元，资产总计</w:t>
      </w:r>
      <w:r>
        <w:rPr>
          <w:rFonts w:ascii="Times New Roman" w:hAnsi="Times New Roman" w:cs="Times New Roman" w:eastAsia="Times New Roman" w:hint="default"/>
        </w:rPr>
        <w:t>8,7671.45</w:t>
      </w:r>
      <w:r>
        <w:rPr/>
        <w:t>万元。 </w:t>
      </w:r>
      <w:r>
        <w:rPr>
          <w:rFonts w:ascii="Times New Roman" w:hAnsi="Times New Roman" w:cs="Times New Roman" w:eastAsia="Times New Roman" w:hint="default"/>
        </w:rPr>
        <w:t>2</w:t>
      </w:r>
      <w:r>
        <w:rPr/>
        <w:t>、资本运作取得成效，资本实力取得长足发展 历经多年努力，公司顺利完成首次公开发行股票工作，并于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月在深圳证券交易所创业板挂牌上市，有效增强公</w:t>
      </w:r>
    </w:p>
    <w:p>
      <w:pPr>
        <w:pStyle w:val="BodyText"/>
        <w:spacing w:line="316" w:lineRule="auto" w:before="13"/>
        <w:ind w:left="1494" w:right="0" w:hanging="360"/>
        <w:jc w:val="left"/>
      </w:pPr>
      <w:r>
        <w:rPr/>
        <w:t>司资本实力，优化资本结构，实现公司发展的新跨越。 </w:t>
      </w:r>
      <w:r>
        <w:rPr>
          <w:spacing w:val="-2"/>
        </w:rPr>
        <w:t>成功登入资本市场后，公司积极响应国家关于加快企业兼并重组的号召，并根据行业发展现状和公司实际经营情况，适</w:t>
      </w:r>
    </w:p>
    <w:p>
      <w:pPr>
        <w:pStyle w:val="BodyText"/>
        <w:spacing w:line="300" w:lineRule="auto" w:before="19"/>
        <w:ind w:right="1123"/>
        <w:jc w:val="left"/>
      </w:pPr>
      <w:r>
        <w:rPr/>
        <w:t>时提出通过内生性增长与外延式扩张相结合的快速做大做强的策略，于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月对湖州吉昌化学有限公司实施并购。该并 购项目的完成，为公司</w:t>
      </w:r>
      <w:r>
        <w:rPr>
          <w:rFonts w:ascii="Times New Roman" w:hAnsi="Times New Roman" w:cs="Times New Roman" w:eastAsia="Times New Roman" w:hint="default"/>
        </w:rPr>
        <w:t>8</w:t>
      </w:r>
      <w:r>
        <w:rPr/>
        <w:t>月份以来的经营贡献了良好的经济效益。</w:t>
      </w:r>
    </w:p>
    <w:p>
      <w:pPr>
        <w:pStyle w:val="BodyText"/>
        <w:spacing w:line="314" w:lineRule="auto" w:before="13"/>
        <w:ind w:left="1134" w:right="1131" w:firstLine="360"/>
        <w:jc w:val="both"/>
      </w:pPr>
      <w:r>
        <w:rPr>
          <w:spacing w:val="-2"/>
        </w:rPr>
        <w:t>在稳固原有主业的基础上，公司及其管理层积极寻求在以移动互联网为代表的新兴领域拓展第二主业，以实现双主业发</w:t>
      </w:r>
      <w:r>
        <w:rPr/>
        <w:t> 展。公司经过大量市场调研与反复论证，决定选择收购杭州哲信</w:t>
      </w:r>
      <w:r>
        <w:rPr>
          <w:rFonts w:ascii="Times New Roman" w:hAnsi="Times New Roman" w:cs="Times New Roman" w:eastAsia="Times New Roman" w:hint="default"/>
        </w:rPr>
        <w:t>100%</w:t>
      </w:r>
      <w:r>
        <w:rPr/>
        <w:t>股权为切入点，全面进入互联网文化娱乐产业。目前 </w:t>
      </w:r>
      <w:r>
        <w:rPr>
          <w:spacing w:val="-2"/>
        </w:rPr>
        <w:t>项目已通过中国证监会审核。本次交易完成后，公司的总资产规模、归属于母公司股东权益规模及归属于母公司股东的净利</w:t>
      </w:r>
      <w:r>
        <w:rPr>
          <w:spacing w:val="-66"/>
        </w:rPr>
        <w:t> </w:t>
      </w:r>
      <w:r>
        <w:rPr>
          <w:spacing w:val="-66"/>
        </w:rPr>
      </w:r>
      <w:r>
        <w:rPr>
          <w:spacing w:val="-2"/>
        </w:rPr>
        <w:t>润水平都将得到显著提升，有利于进一步提升公司的综合竞争能力、市场拓展能力、资源控制能力和后续发展能力，全面提</w:t>
      </w:r>
      <w:r>
        <w:rPr>
          <w:spacing w:val="-66"/>
        </w:rPr>
        <w:t> </w:t>
      </w:r>
      <w:r>
        <w:rPr>
          <w:spacing w:val="-66"/>
        </w:rPr>
      </w:r>
      <w:r>
        <w:rPr/>
        <w:t>升公司的盈利水平，增强上市公司的抗风险能力和可持续发展的能力，增加对股东的回报。</w:t>
      </w:r>
    </w:p>
    <w:p>
      <w:pPr>
        <w:pStyle w:val="BodyText"/>
        <w:spacing w:line="240" w:lineRule="auto" w:before="20"/>
        <w:ind w:left="1493" w:right="0"/>
        <w:jc w:val="left"/>
      </w:pPr>
      <w:r>
        <w:rPr>
          <w:rFonts w:ascii="Times New Roman" w:hAnsi="Times New Roman" w:cs="Times New Roman" w:eastAsia="Times New Roman" w:hint="default"/>
        </w:rPr>
        <w:t>3</w:t>
      </w:r>
      <w:r>
        <w:rPr/>
        <w:t>、优化市场策略，积极谋求发展</w:t>
      </w:r>
    </w:p>
    <w:p>
      <w:pPr>
        <w:pStyle w:val="BodyText"/>
        <w:spacing w:line="300" w:lineRule="auto" w:before="63"/>
        <w:ind w:right="1132" w:firstLine="360"/>
        <w:jc w:val="both"/>
      </w:pPr>
      <w:r>
        <w:rPr>
          <w:rFonts w:ascii="Times New Roman" w:hAnsi="Times New Roman" w:cs="Times New Roman" w:eastAsia="Times New Roman" w:hint="default"/>
          <w:spacing w:val="-2"/>
        </w:rPr>
        <w:t>2015</w:t>
      </w:r>
      <w:r>
        <w:rPr>
          <w:spacing w:val="-2"/>
        </w:rPr>
        <w:t>年，国内国际经济形势异常复杂。国内流动性持续偏紧，实体经济面临前所未有的困难，采购指数一路下行，体现</w:t>
      </w:r>
      <w:r>
        <w:rPr/>
        <w:t> 采购意愿不足。国际上，欧洲传统市场由于经济萎缩，对公司产品的销售产生了一定影响。</w:t>
      </w:r>
    </w:p>
    <w:p>
      <w:pPr>
        <w:pStyle w:val="BodyText"/>
        <w:spacing w:line="316" w:lineRule="auto" w:before="31"/>
        <w:ind w:right="1131" w:firstLine="360"/>
        <w:jc w:val="both"/>
      </w:pPr>
      <w:r>
        <w:rPr>
          <w:spacing w:val="-2"/>
        </w:rPr>
        <w:t>为应对上述不利影响，公司将根据市场价格情况，适时调整销售策略，增加在亚太市场的销售比重；同时，与长期合作</w:t>
      </w:r>
      <w:r>
        <w:rPr/>
        <w:t> </w:t>
      </w:r>
      <w:r>
        <w:rPr>
          <w:spacing w:val="-2"/>
        </w:rPr>
        <w:t>的货代公司签订年度合同锁定运价，以降低销售成本，进一步拓展欧美重要地区的业务，积极通过各种手段，努力将市场危</w:t>
      </w:r>
      <w:r>
        <w:rPr>
          <w:spacing w:val="-66"/>
        </w:rPr>
        <w:t> </w:t>
      </w:r>
      <w:r>
        <w:rPr>
          <w:spacing w:val="-66"/>
        </w:rPr>
      </w:r>
      <w:r>
        <w:rPr/>
        <w:t>机带来的影响降到最低。</w:t>
      </w:r>
    </w:p>
    <w:p>
      <w:pPr>
        <w:pStyle w:val="BodyText"/>
        <w:spacing w:line="300" w:lineRule="auto" w:before="19"/>
        <w:ind w:right="1131" w:firstLine="360"/>
        <w:jc w:val="both"/>
      </w:pPr>
      <w:r>
        <w:rPr/>
        <w:t>国际经济环境依然严峻，需求低迷</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但得益于原材料价格在底部区域的长期稳定以及海运费的大幅回落，公司出口业务 总体依然保持在良好的状态，尤其主营产品过碳酸钠的出口更是显现了供不应求的局面。</w:t>
      </w:r>
    </w:p>
    <w:p>
      <w:pPr>
        <w:pStyle w:val="BodyText"/>
        <w:spacing w:line="240" w:lineRule="auto" w:before="31"/>
        <w:ind w:left="1493" w:right="0"/>
        <w:jc w:val="left"/>
      </w:pPr>
      <w:r>
        <w:rPr>
          <w:rFonts w:ascii="Times New Roman" w:hAnsi="Times New Roman" w:cs="Times New Roman" w:eastAsia="Times New Roman" w:hint="default"/>
        </w:rPr>
        <w:t>4</w:t>
      </w:r>
      <w:r>
        <w:rPr/>
        <w:t>、安全环保常抓不懈，全年无重大安环事故</w:t>
      </w:r>
    </w:p>
    <w:p>
      <w:pPr>
        <w:pStyle w:val="BodyText"/>
        <w:spacing w:line="309" w:lineRule="auto" w:before="63"/>
        <w:ind w:left="1134" w:right="1132" w:firstLine="360"/>
        <w:jc w:val="both"/>
      </w:pPr>
      <w:r>
        <w:rPr>
          <w:rFonts w:ascii="Times New Roman" w:hAnsi="Times New Roman" w:cs="Times New Roman" w:eastAsia="Times New Roman" w:hint="default"/>
          <w:spacing w:val="-2"/>
        </w:rPr>
        <w:t>2015</w:t>
      </w:r>
      <w:r>
        <w:rPr>
          <w:spacing w:val="-2"/>
        </w:rPr>
        <w:t>年是安全生产法、环保法修正颁布实施的年份。面对严峻的外部安环形势，公司上下统一认识，加强领导，规范内</w:t>
      </w:r>
      <w:r>
        <w:rPr/>
        <w:t> </w:t>
      </w:r>
      <w:r>
        <w:rPr>
          <w:spacing w:val="-2"/>
        </w:rPr>
        <w:t>部的管理，查隐患重整改，全力推进废水、废气综合整治；坚持不懈地推进规范化、狠抓管理，扎扎实实开展各项工作。通</w:t>
      </w:r>
      <w:r>
        <w:rPr>
          <w:spacing w:val="-71"/>
        </w:rPr>
        <w:t> </w:t>
      </w:r>
      <w:r>
        <w:rPr>
          <w:spacing w:val="-71"/>
        </w:rPr>
      </w:r>
      <w:r>
        <w:rPr/>
        <w:t>过一系列管理措施常抓不懈，一年来，公司整体安全形势良好，未发生较为严重的安全环保事故。</w:t>
      </w:r>
    </w:p>
    <w:p>
      <w:pPr>
        <w:pStyle w:val="BodyText"/>
        <w:spacing w:line="300" w:lineRule="auto" w:before="24"/>
        <w:ind w:left="1494" w:right="0"/>
        <w:jc w:val="left"/>
      </w:pPr>
      <w:r>
        <w:rPr>
          <w:rFonts w:ascii="Times New Roman" w:hAnsi="Times New Roman" w:cs="Times New Roman" w:eastAsia="Times New Roman" w:hint="default"/>
        </w:rPr>
        <w:t>5</w:t>
      </w:r>
      <w:r>
        <w:rPr/>
        <w:t>、持续推进技术创新与成果转化，知识产权保护成效显著。 </w:t>
      </w:r>
      <w:r>
        <w:rPr>
          <w:spacing w:val="-4"/>
        </w:rPr>
        <w:t>创新是公司业务发展的永恒动力。</w:t>
      </w:r>
      <w:r>
        <w:rPr>
          <w:rFonts w:ascii="Times New Roman" w:hAnsi="Times New Roman" w:cs="Times New Roman" w:eastAsia="Times New Roman" w:hint="default"/>
          <w:spacing w:val="-4"/>
        </w:rPr>
        <w:t>2015</w:t>
      </w:r>
      <w:r>
        <w:rPr>
          <w:spacing w:val="-4"/>
        </w:rPr>
        <w:t>年，公司加大技术研发力度，努力攻克关键技术，努力实施成果转化与技术改造，</w:t>
      </w:r>
    </w:p>
    <w:p>
      <w:pPr>
        <w:pStyle w:val="BodyText"/>
        <w:spacing w:line="316" w:lineRule="auto" w:before="13"/>
        <w:ind w:left="1493" w:right="0" w:hanging="360"/>
        <w:jc w:val="left"/>
      </w:pPr>
      <w:r>
        <w:rPr/>
        <w:t>无论是传统工艺改进，还是新工艺、新产品的研发，都取得了很大的进步。 </w:t>
      </w:r>
      <w:r>
        <w:rPr>
          <w:spacing w:val="-2"/>
        </w:rPr>
        <w:t>在加强技术研发与自主创新能力的同时，积极做好知识产权保护工作，对关键技术进行申报专利保护。</w:t>
      </w:r>
      <w:r>
        <w:rPr>
          <w:rFonts w:ascii="Times New Roman" w:hAnsi="Times New Roman" w:cs="Times New Roman" w:eastAsia="Times New Roman" w:hint="default"/>
          <w:spacing w:val="-2"/>
        </w:rPr>
        <w:t>2015</w:t>
      </w:r>
      <w:r>
        <w:rPr>
          <w:spacing w:val="-2"/>
        </w:rPr>
        <w:t>年度，取得</w:t>
      </w:r>
    </w:p>
    <w:p>
      <w:pPr>
        <w:pStyle w:val="BodyText"/>
        <w:spacing w:line="248" w:lineRule="exact"/>
        <w:ind w:right="0"/>
        <w:jc w:val="left"/>
      </w:pPr>
      <w:r>
        <w:rPr/>
        <w:t>发明专利授权</w:t>
      </w:r>
      <w:r>
        <w:rPr>
          <w:rFonts w:ascii="Times New Roman" w:hAnsi="Times New Roman" w:cs="Times New Roman" w:eastAsia="Times New Roman" w:hint="default"/>
        </w:rPr>
        <w:t>4</w:t>
      </w:r>
      <w:r>
        <w:rPr/>
        <w:t>项。</w:t>
      </w:r>
    </w:p>
    <w:p>
      <w:pPr>
        <w:pStyle w:val="BodyText"/>
        <w:spacing w:line="240" w:lineRule="auto" w:before="63"/>
        <w:ind w:left="1493" w:right="0"/>
        <w:jc w:val="left"/>
      </w:pPr>
      <w:r>
        <w:rPr>
          <w:rFonts w:ascii="Times New Roman" w:hAnsi="Times New Roman" w:cs="Times New Roman" w:eastAsia="Times New Roman" w:hint="default"/>
        </w:rPr>
        <w:t>6</w:t>
      </w:r>
      <w:r>
        <w:rPr/>
        <w:t>、凝聚社会正面评价，不断提升企业美誉度</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0" w:firstLine="360"/>
        <w:jc w:val="left"/>
      </w:pPr>
      <w:r>
        <w:rPr>
          <w:spacing w:val="-2"/>
        </w:rPr>
        <w:t>报告期内，公司在规范运作的基础上，加强市场宣传和品牌认知度建设，先后取得中国驰名商标、浙江工业名牌产品等</w:t>
      </w:r>
      <w:r>
        <w:rPr/>
        <w:t> 荣誉，凝聚社会正面评价，进一步提升了企业美誉度。</w:t>
      </w:r>
    </w:p>
    <w:p>
      <w:pPr>
        <w:pStyle w:val="BodyText"/>
        <w:spacing w:line="240" w:lineRule="auto" w:before="19"/>
        <w:ind w:left="1493" w:right="0"/>
        <w:jc w:val="left"/>
      </w:pPr>
      <w:r>
        <w:rPr>
          <w:rFonts w:ascii="Times New Roman" w:hAnsi="Times New Roman" w:cs="Times New Roman" w:eastAsia="Times New Roman" w:hint="default"/>
        </w:rPr>
        <w:t>7</w:t>
      </w:r>
      <w:r>
        <w:rPr/>
        <w:t>、强化人力资源管理，优化人力资源结构</w:t>
      </w:r>
    </w:p>
    <w:p>
      <w:pPr>
        <w:pStyle w:val="BodyText"/>
        <w:spacing w:line="300" w:lineRule="auto" w:before="63"/>
        <w:ind w:left="1134" w:right="0" w:firstLine="360"/>
        <w:jc w:val="left"/>
      </w:pPr>
      <w:r>
        <w:rPr>
          <w:rFonts w:ascii="Times New Roman" w:hAnsi="Times New Roman" w:cs="Times New Roman" w:eastAsia="Times New Roman" w:hint="default"/>
          <w:spacing w:val="-4"/>
        </w:rPr>
        <w:t>2015</w:t>
      </w:r>
      <w:r>
        <w:rPr>
          <w:spacing w:val="-4"/>
        </w:rPr>
        <w:t>年度，紧紧围绕公司生产经营目标，夯实人力资源工作基础，加强人力资源在各个方面的管理，优化人力资源结构。</w:t>
      </w:r>
      <w:r>
        <w:rPr/>
        <w:t> 全年用工相对稳定，在有力地保障了公司正常的生产和工作秩序的同时，人员进一步得到精简优化。</w:t>
      </w:r>
    </w:p>
    <w:p>
      <w:pPr>
        <w:pStyle w:val="BodyText"/>
        <w:spacing w:line="316" w:lineRule="auto" w:before="31"/>
        <w:ind w:right="0" w:firstLine="360"/>
        <w:jc w:val="left"/>
      </w:pPr>
      <w:r>
        <w:rPr>
          <w:spacing w:val="-2"/>
        </w:rPr>
        <w:t>加强员工培训，按月组织实施培训内容。鼓励各岗位各工种员工积极参加外部培训，积极参与劳动局组织的企业自主评</w:t>
      </w:r>
      <w:r>
        <w:rPr/>
        <w:t> 价职业技能的工作，鼓励员工参与职业技能评审。</w:t>
      </w:r>
    </w:p>
    <w:p>
      <w:pPr>
        <w:pStyle w:val="BodyText"/>
        <w:spacing w:line="309" w:lineRule="auto" w:before="19"/>
        <w:ind w:left="1493" w:right="0"/>
        <w:jc w:val="left"/>
      </w:pPr>
      <w:r>
        <w:rPr/>
        <w:t>关注在职员工职业卫生与健康管理，加强人文关怀，坚持以人为本，关心职工生活，营造良好用人环境。 </w:t>
      </w:r>
      <w:r>
        <w:rPr>
          <w:rFonts w:ascii="Times New Roman" w:hAnsi="Times New Roman" w:cs="Times New Roman" w:eastAsia="Times New Roman" w:hint="default"/>
        </w:rPr>
        <w:t>8</w:t>
      </w:r>
      <w:r>
        <w:rPr/>
        <w:t>、进一步加强公司治理及投资者关系管理 </w:t>
      </w:r>
      <w:r>
        <w:rPr>
          <w:spacing w:val="-2"/>
        </w:rPr>
        <w:t>公司董事会一贯重视公司治理及投资者关系工作。报告期内，公司股东大会、董事会及董事会专门委员会、监事会均按</w:t>
      </w:r>
    </w:p>
    <w:p>
      <w:pPr>
        <w:pStyle w:val="BodyText"/>
        <w:spacing w:line="316" w:lineRule="auto" w:before="24"/>
        <w:ind w:left="1134" w:right="1133"/>
        <w:jc w:val="both"/>
      </w:pPr>
      <w:r>
        <w:rPr>
          <w:spacing w:val="-2"/>
        </w:rPr>
        <w:t>照《公司法》、《证券法》及中国证监会、深交所有关法律法规、《公司章程》及各项议事规则有效独立运行，主要从风险</w:t>
      </w:r>
      <w:r>
        <w:rPr>
          <w:spacing w:val="-69"/>
        </w:rPr>
        <w:t> </w:t>
      </w:r>
      <w:r>
        <w:rPr>
          <w:spacing w:val="-69"/>
        </w:rPr>
      </w:r>
      <w:r>
        <w:rPr>
          <w:spacing w:val="-2"/>
        </w:rPr>
        <w:t>控制及内部控制的角度对公司制度、利润分配、信息披露、关联交易、重大投资、组织架构及会计政策等重大事项进行了有</w:t>
      </w:r>
      <w:r>
        <w:rPr>
          <w:spacing w:val="-66"/>
        </w:rPr>
        <w:t> </w:t>
      </w:r>
      <w:r>
        <w:rPr>
          <w:spacing w:val="-66"/>
        </w:rPr>
      </w:r>
      <w:r>
        <w:rPr/>
        <w:t>效合规的引导和控制。</w:t>
      </w:r>
    </w:p>
    <w:p>
      <w:pPr>
        <w:pStyle w:val="BodyText"/>
        <w:spacing w:line="300" w:lineRule="auto" w:before="19"/>
        <w:ind w:left="1134" w:right="0" w:firstLine="360"/>
        <w:jc w:val="left"/>
      </w:pPr>
      <w:r>
        <w:rPr>
          <w:rFonts w:ascii="Times New Roman" w:hAnsi="Times New Roman" w:cs="Times New Roman" w:eastAsia="Times New Roman" w:hint="default"/>
          <w:spacing w:val="-2"/>
        </w:rPr>
        <w:t>2015</w:t>
      </w:r>
      <w:r>
        <w:rPr>
          <w:spacing w:val="-2"/>
        </w:rPr>
        <w:t>年，除接受特定对象调研和投资者电话咨询外，还通过互动易平台就广大投资者关心的问题积极进行解答，认真维</w:t>
      </w:r>
      <w:r>
        <w:rPr/>
        <w:t> 护好投资者关系。</w:t>
      </w:r>
    </w:p>
    <w:p>
      <w:pPr>
        <w:spacing w:before="31"/>
        <w:ind w:left="1134" w:right="0" w:firstLine="0"/>
        <w:jc w:val="left"/>
        <w:rPr>
          <w:rFonts w:ascii="宋体" w:hAnsi="宋体" w:cs="宋体" w:eastAsia="宋体" w:hint="default"/>
          <w:sz w:val="18"/>
          <w:szCs w:val="18"/>
        </w:rPr>
      </w:pPr>
      <w:r>
        <w:rPr>
          <w:rFonts w:ascii="宋体" w:hAnsi="宋体" w:cs="宋体" w:eastAsia="宋体" w:hint="default"/>
          <w:b/>
          <w:bCs/>
          <w:sz w:val="18"/>
          <w:szCs w:val="18"/>
        </w:rPr>
        <w:t>（二）</w:t>
      </w: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年重点工作</w:t>
      </w:r>
      <w:r>
        <w:rPr>
          <w:rFonts w:ascii="宋体" w:hAnsi="宋体" w:cs="宋体" w:eastAsia="宋体" w:hint="default"/>
          <w:sz w:val="18"/>
          <w:szCs w:val="18"/>
        </w:rPr>
      </w:r>
    </w:p>
    <w:p>
      <w:pPr>
        <w:pStyle w:val="BodyText"/>
        <w:spacing w:line="300" w:lineRule="auto" w:before="63"/>
        <w:ind w:left="1494" w:right="1125"/>
        <w:jc w:val="left"/>
      </w:pPr>
      <w:r>
        <w:rPr>
          <w:rFonts w:ascii="Times New Roman" w:hAnsi="Times New Roman" w:cs="Times New Roman" w:eastAsia="Times New Roman" w:hint="default"/>
        </w:rPr>
        <w:t>1</w:t>
      </w:r>
      <w:r>
        <w:rPr/>
        <w:t>、进一步稳固公司原有主业，谋求健康发展 </w:t>
      </w:r>
      <w:r>
        <w:rPr>
          <w:spacing w:val="-1"/>
        </w:rPr>
        <w:t>公司作为氧系漂白助剂</w:t>
      </w:r>
      <w:r>
        <w:rPr>
          <w:rFonts w:ascii="Times New Roman" w:hAnsi="Times New Roman" w:cs="Times New Roman" w:eastAsia="Times New Roman" w:hint="default"/>
          <w:spacing w:val="-1"/>
        </w:rPr>
        <w:t>SPC</w:t>
      </w:r>
      <w:r>
        <w:rPr>
          <w:spacing w:val="-1"/>
        </w:rPr>
        <w:t>领域的行业龙头企业，产品品质和成本控制能力在国内外同行业中已处于领先水平，在国内</w:t>
      </w:r>
    </w:p>
    <w:p>
      <w:pPr>
        <w:pStyle w:val="BodyText"/>
        <w:spacing w:line="300" w:lineRule="auto" w:before="13"/>
        <w:ind w:right="1130"/>
        <w:jc w:val="left"/>
      </w:pPr>
      <w:r>
        <w:rPr>
          <w:spacing w:val="-1"/>
        </w:rPr>
        <w:t>外市场上具备了较强的综合竞争优势。</w:t>
      </w:r>
      <w:r>
        <w:rPr>
          <w:rFonts w:ascii="Times New Roman" w:hAnsi="Times New Roman" w:cs="Times New Roman" w:eastAsia="Times New Roman" w:hint="default"/>
          <w:spacing w:val="-1"/>
        </w:rPr>
        <w:t>2016</w:t>
      </w:r>
      <w:r>
        <w:rPr>
          <w:spacing w:val="-1"/>
        </w:rPr>
        <w:t>年，将在保持产品、市场优势的基础上，继续推进</w:t>
      </w:r>
      <w:r>
        <w:rPr>
          <w:rFonts w:ascii="Times New Roman" w:hAnsi="Times New Roman" w:cs="Times New Roman" w:eastAsia="Times New Roman" w:hint="default"/>
          <w:spacing w:val="-1"/>
        </w:rPr>
        <w:t>SPC</w:t>
      </w:r>
      <w:r>
        <w:rPr>
          <w:spacing w:val="-1"/>
        </w:rPr>
        <w:t>等原有精细化工新材料业</w:t>
      </w:r>
      <w:r>
        <w:rPr>
          <w:spacing w:val="-80"/>
        </w:rPr>
        <w:t> </w:t>
      </w:r>
      <w:r>
        <w:rPr>
          <w:spacing w:val="-80"/>
        </w:rPr>
      </w:r>
      <w:r>
        <w:rPr/>
        <w:t>务的持续、健康发展。同时，积极协调、推动诺亚氟化工公司新产品生产线的顺利建成、投产，谋求更大发展。</w:t>
      </w:r>
    </w:p>
    <w:p>
      <w:pPr>
        <w:pStyle w:val="BodyText"/>
        <w:spacing w:line="300" w:lineRule="auto" w:before="31"/>
        <w:ind w:left="1494" w:right="0"/>
        <w:jc w:val="left"/>
      </w:pPr>
      <w:r>
        <w:rPr>
          <w:rFonts w:ascii="Times New Roman" w:hAnsi="Times New Roman" w:cs="Times New Roman" w:eastAsia="Times New Roman" w:hint="default"/>
        </w:rPr>
        <w:t>2</w:t>
      </w:r>
      <w:r>
        <w:rPr/>
        <w:t>、加快推进并购重组工作，实现上市公司股东的利益最大化 </w:t>
      </w:r>
      <w:r>
        <w:rPr>
          <w:spacing w:val="-2"/>
        </w:rPr>
        <w:t>加快推进对杭州哲信的并购重组，顺利完成审核、资产交割等后续工作。通过本次交易，上市公司将置入核心竞争力突</w:t>
      </w:r>
    </w:p>
    <w:p>
      <w:pPr>
        <w:pStyle w:val="BodyText"/>
        <w:spacing w:line="316" w:lineRule="auto" w:before="32"/>
        <w:ind w:left="1134" w:right="0"/>
        <w:jc w:val="left"/>
      </w:pPr>
      <w:r>
        <w:rPr>
          <w:spacing w:val="-2"/>
        </w:rPr>
        <w:t>出、发展前景广阔的移动游戏发行业务，实现上市公司双主业并行发展，推动上市公司主营业务的跨越式发展，增强公司的</w:t>
      </w:r>
      <w:r>
        <w:rPr>
          <w:spacing w:val="-66"/>
        </w:rPr>
        <w:t> </w:t>
      </w:r>
      <w:r>
        <w:rPr>
          <w:spacing w:val="-66"/>
        </w:rPr>
      </w:r>
      <w:r>
        <w:rPr/>
        <w:t>持续盈利能力和发展潜力，以实现上市公司股东的利益最大化。</w:t>
      </w:r>
    </w:p>
    <w:p>
      <w:pPr>
        <w:pStyle w:val="BodyText"/>
        <w:spacing w:line="300" w:lineRule="auto" w:before="19"/>
        <w:ind w:left="1494" w:right="0"/>
        <w:jc w:val="left"/>
      </w:pPr>
      <w:r>
        <w:rPr>
          <w:rFonts w:ascii="Times New Roman" w:hAnsi="Times New Roman" w:cs="Times New Roman" w:eastAsia="Times New Roman" w:hint="default"/>
        </w:rPr>
        <w:t>3</w:t>
      </w:r>
      <w:r>
        <w:rPr/>
        <w:t>、科学规划，实施整合，探寻全新的业务管理模式 </w:t>
      </w:r>
      <w:r>
        <w:rPr>
          <w:spacing w:val="-4"/>
        </w:rPr>
        <w:t>科学规划，根据各业务板块的经营特点确定各事业部的战略定位，推进事业部制的管理架构，探寻全新的业务管理模式。</w:t>
      </w:r>
    </w:p>
    <w:p>
      <w:pPr>
        <w:pStyle w:val="BodyText"/>
        <w:spacing w:line="240" w:lineRule="auto" w:before="31"/>
        <w:ind w:left="1134" w:right="0"/>
        <w:jc w:val="left"/>
      </w:pPr>
      <w:r>
        <w:rPr/>
        <w:t>通过并购整合与管理融合，组建高效团队，促进公司发展再上新台阶！</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133" w:right="665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585"/>
        <w:gridCol w:w="1606"/>
        <w:gridCol w:w="1583"/>
        <w:gridCol w:w="1606"/>
        <w:gridCol w:w="1571"/>
        <w:gridCol w:w="1606"/>
      </w:tblGrid>
      <w:tr>
        <w:trPr>
          <w:trHeight w:val="205"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77" w:type="dxa"/>
            <w:gridSpan w:val="2"/>
            <w:vMerge/>
            <w:tcBorders>
              <w:left w:val="single" w:sz="4" w:space="0" w:color="000000"/>
              <w:bottom w:val="single" w:sz="4" w:space="0" w:color="000000"/>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1"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5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571" w:type="dxa"/>
            <w:vMerge/>
            <w:tcBorders>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left="425" w:right="0"/>
              <w:jc w:val="left"/>
              <w:rPr>
                <w:rFonts w:ascii="Times New Roman" w:hAnsi="Times New Roman" w:cs="Times New Roman" w:eastAsia="Times New Roman" w:hint="default"/>
                <w:sz w:val="18"/>
                <w:szCs w:val="18"/>
              </w:rPr>
            </w:pPr>
            <w:r>
              <w:rPr>
                <w:rFonts w:ascii="Times New Roman"/>
                <w:sz w:val="18"/>
              </w:rPr>
              <w:t>506,442,538.26</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left="425" w:right="0"/>
              <w:jc w:val="left"/>
              <w:rPr>
                <w:rFonts w:ascii="Times New Roman" w:hAnsi="Times New Roman" w:cs="Times New Roman" w:eastAsia="Times New Roman" w:hint="default"/>
                <w:sz w:val="18"/>
                <w:szCs w:val="18"/>
              </w:rPr>
            </w:pPr>
            <w:r>
              <w:rPr>
                <w:rFonts w:ascii="Times New Roman"/>
                <w:sz w:val="18"/>
              </w:rPr>
              <w:t>476,902,016.82</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6.19%</w:t>
            </w:r>
          </w:p>
        </w:tc>
      </w:tr>
      <w:tr>
        <w:trPr>
          <w:trHeight w:val="397"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506,442,538.26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476,902,016.82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系列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301,421,660.50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295,547,795.28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TAED</w:t>
            </w:r>
            <w:r>
              <w:rPr>
                <w:rFonts w:ascii="Times New Roman" w:hAnsi="Times New Roman" w:cs="Times New Roman" w:eastAsia="Times New Roman" w:hint="default"/>
                <w:sz w:val="18"/>
                <w:szCs w:val="18"/>
              </w:rPr>
              <w:t> </w:t>
            </w:r>
            <w:r>
              <w:rPr>
                <w:rFonts w:ascii="宋体" w:hAnsi="宋体" w:cs="宋体" w:eastAsia="宋体" w:hint="default"/>
                <w:sz w:val="18"/>
                <w:szCs w:val="18"/>
              </w:rPr>
              <w:t>系列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87,741,266.10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84,459,836.72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47,288,964.45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53,974,955.02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醋酸钠系列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3,047,381.14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3,890,356.07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双氧水系列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17,283,484.78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21,425,517.80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二氧化碳系列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177,124.03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594,162.07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-70.19%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乙基蒽醌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34,962,897.54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14,519,759.72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17,009,393.86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121,717,620.42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109,323,920.73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384,724,917.84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367,578,096.09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化工行业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506,442,538.26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380,061,849.22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系列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301,421,660.50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247,385,325.21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TAED</w:t>
            </w:r>
            <w:r>
              <w:rPr>
                <w:rFonts w:ascii="Times New Roman" w:hAnsi="Times New Roman" w:cs="Times New Roman" w:eastAsia="Times New Roman" w:hint="default"/>
                <w:sz w:val="18"/>
                <w:szCs w:val="18"/>
              </w:rPr>
              <w:t> </w:t>
            </w:r>
            <w:r>
              <w:rPr>
                <w:rFonts w:ascii="宋体" w:hAnsi="宋体" w:cs="宋体" w:eastAsia="宋体" w:hint="default"/>
                <w:sz w:val="18"/>
                <w:szCs w:val="18"/>
              </w:rPr>
              <w:t>系列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87,741,266.10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71,218,566.01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47,288,964.45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28,402,787.51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乙基蒽醌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35,624,436.00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14,589,235.68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pStyle w:val="BodyText"/>
        <w:spacing w:line="240" w:lineRule="auto" w:before="51"/>
        <w:ind w:left="113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0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化工行业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76" w:right="0"/>
              <w:jc w:val="left"/>
              <w:rPr>
                <w:rFonts w:ascii="Times New Roman" w:hAnsi="Times New Roman" w:cs="Times New Roman" w:eastAsia="Times New Roman" w:hint="default"/>
                <w:sz w:val="18"/>
                <w:szCs w:val="18"/>
              </w:rPr>
            </w:pPr>
            <w:r>
              <w:rPr>
                <w:rFonts w:ascii="Times New Roman"/>
                <w:sz w:val="18"/>
              </w:rPr>
              <w:t>212,662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3" w:right="0"/>
              <w:jc w:val="left"/>
              <w:rPr>
                <w:rFonts w:ascii="Times New Roman" w:hAnsi="Times New Roman" w:cs="Times New Roman" w:eastAsia="Times New Roman" w:hint="default"/>
                <w:sz w:val="18"/>
                <w:szCs w:val="18"/>
              </w:rPr>
            </w:pPr>
            <w:r>
              <w:rPr>
                <w:rFonts w:ascii="Times New Roman"/>
                <w:sz w:val="18"/>
              </w:rPr>
              <w:t>211,626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08"/>
        <w:gridCol w:w="1582"/>
        <w:gridCol w:w="1595"/>
        <w:gridCol w:w="1594"/>
        <w:gridCol w:w="1594"/>
        <w:gridCol w:w="1597"/>
      </w:tblGrid>
      <w:tr>
        <w:trPr>
          <w:trHeight w:val="402" w:hRule="exact"/>
        </w:trPr>
        <w:tc>
          <w:tcPr>
            <w:tcW w:w="1608" w:type="dxa"/>
            <w:vMerge w:val="restart"/>
            <w:tcBorders>
              <w:top w:val="single" w:sz="4" w:space="0" w:color="000000"/>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210,020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6,064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-41.24%</w:t>
            </w:r>
          </w:p>
        </w:tc>
      </w:tr>
    </w:tbl>
    <w:p>
      <w:pPr>
        <w:pStyle w:val="BodyText"/>
        <w:spacing w:line="240" w:lineRule="auto" w:before="51"/>
        <w:ind w:left="113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19" w:lineRule="auto" w:before="104"/>
        <w:ind w:right="10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4"/>
        </w:rPr>
        <w:t>库存量的数据同比下降</w:t>
      </w:r>
      <w:r>
        <w:rPr>
          <w:rFonts w:ascii="Times New Roman" w:hAnsi="Times New Roman" w:cs="Times New Roman" w:eastAsia="Times New Roman" w:hint="default"/>
          <w:spacing w:val="-4"/>
        </w:rPr>
        <w:t>41.24%</w:t>
      </w:r>
      <w:r>
        <w:rPr>
          <w:spacing w:val="-4"/>
        </w:rPr>
        <w:t>，主要的原因是</w:t>
      </w:r>
      <w:r>
        <w:rPr>
          <w:rFonts w:ascii="Times New Roman" w:hAnsi="Times New Roman" w:cs="Times New Roman" w:eastAsia="Times New Roman" w:hint="default"/>
          <w:spacing w:val="-4"/>
        </w:rPr>
        <w:t>2015</w:t>
      </w:r>
      <w:r>
        <w:rPr>
          <w:spacing w:val="-4"/>
        </w:rPr>
        <w:t>年底，主要产品</w:t>
      </w:r>
      <w:r>
        <w:rPr>
          <w:rFonts w:ascii="Times New Roman" w:hAnsi="Times New Roman" w:cs="Times New Roman" w:eastAsia="Times New Roman" w:hint="default"/>
          <w:spacing w:val="-4"/>
        </w:rPr>
        <w:t>SPC</w:t>
      </w:r>
      <w:r>
        <w:rPr>
          <w:spacing w:val="-4"/>
        </w:rPr>
        <w:t>的销售供不应求，导致产品库存量同比下降，同时</w:t>
      </w:r>
      <w:r>
        <w:rPr>
          <w:rFonts w:ascii="Times New Roman" w:hAnsi="Times New Roman" w:cs="Times New Roman" w:eastAsia="Times New Roman" w:hint="default"/>
          <w:spacing w:val="-4"/>
        </w:rPr>
        <w:t>SPC</w:t>
      </w:r>
      <w:r>
        <w:rPr>
          <w:rFonts w:ascii="Times New Roman" w:hAnsi="Times New Roman" w:cs="Times New Roman" w:eastAsia="Times New Roman" w:hint="default"/>
          <w:spacing w:val="-5"/>
        </w:rPr>
        <w:t> </w:t>
      </w:r>
      <w:r>
        <w:rPr>
          <w:spacing w:val="-3"/>
        </w:rPr>
        <w:t>主要原料双氧水的库存量也同比下降。过氧化物公司本级产品库存量</w:t>
      </w:r>
      <w:r>
        <w:rPr>
          <w:rFonts w:ascii="Times New Roman" w:hAnsi="Times New Roman" w:cs="Times New Roman" w:eastAsia="Times New Roman" w:hint="default"/>
          <w:spacing w:val="-3"/>
        </w:rPr>
        <w:t>2015</w:t>
      </w:r>
      <w:r>
        <w:rPr>
          <w:spacing w:val="-3"/>
        </w:rPr>
        <w:t>年未为</w:t>
      </w:r>
      <w:r>
        <w:rPr>
          <w:rFonts w:ascii="Times New Roman" w:hAnsi="Times New Roman" w:cs="Times New Roman" w:eastAsia="Times New Roman" w:hint="default"/>
          <w:spacing w:val="-3"/>
        </w:rPr>
        <w:t>1750</w:t>
      </w:r>
      <w:r>
        <w:rPr>
          <w:spacing w:val="-3"/>
        </w:rPr>
        <w:t>吨，</w:t>
      </w:r>
      <w:r>
        <w:rPr>
          <w:rFonts w:ascii="Times New Roman" w:hAnsi="Times New Roman" w:cs="Times New Roman" w:eastAsia="Times New Roman" w:hint="default"/>
          <w:spacing w:val="-3"/>
        </w:rPr>
        <w:t>2014</w:t>
      </w:r>
      <w:r>
        <w:rPr>
          <w:spacing w:val="-3"/>
        </w:rPr>
        <w:t>年未</w:t>
      </w:r>
      <w:r>
        <w:rPr>
          <w:rFonts w:ascii="Times New Roman" w:hAnsi="Times New Roman" w:cs="Times New Roman" w:eastAsia="Times New Roman" w:hint="default"/>
          <w:spacing w:val="-3"/>
        </w:rPr>
        <w:t>3416</w:t>
      </w:r>
      <w:r>
        <w:rPr>
          <w:spacing w:val="-3"/>
        </w:rPr>
        <w:t>吨，同比下降</w:t>
      </w:r>
      <w:r>
        <w:rPr>
          <w:rFonts w:ascii="Times New Roman" w:hAnsi="Times New Roman" w:cs="Times New Roman" w:eastAsia="Times New Roman" w:hint="default"/>
          <w:spacing w:val="-3"/>
        </w:rPr>
        <w:t>48.78%</w:t>
      </w:r>
      <w:r>
        <w:rPr>
          <w:spacing w:val="-3"/>
        </w:rPr>
        <w:t>。</w:t>
      </w:r>
    </w:p>
    <w:p>
      <w:pPr>
        <w:pStyle w:val="BodyText"/>
        <w:spacing w:line="246" w:lineRule="exact"/>
        <w:ind w:right="0"/>
        <w:jc w:val="left"/>
      </w:pPr>
      <w:r>
        <w:rPr/>
        <w:t>双氧水公司产品库存量</w:t>
      </w:r>
      <w:r>
        <w:rPr>
          <w:rFonts w:ascii="Times New Roman" w:hAnsi="Times New Roman" w:cs="Times New Roman" w:eastAsia="Times New Roman" w:hint="default"/>
        </w:rPr>
        <w:t>2015</w:t>
      </w:r>
      <w:r>
        <w:rPr/>
        <w:t>年未为</w:t>
      </w:r>
      <w:r>
        <w:rPr>
          <w:rFonts w:ascii="Times New Roman" w:hAnsi="Times New Roman" w:cs="Times New Roman" w:eastAsia="Times New Roman" w:hint="default"/>
        </w:rPr>
        <w:t>936</w:t>
      </w:r>
      <w:r>
        <w:rPr/>
        <w:t>吨，</w:t>
      </w:r>
      <w:r>
        <w:rPr>
          <w:rFonts w:ascii="Times New Roman" w:hAnsi="Times New Roman" w:cs="Times New Roman" w:eastAsia="Times New Roman" w:hint="default"/>
        </w:rPr>
        <w:t>2014</w:t>
      </w:r>
      <w:r>
        <w:rPr/>
        <w:t>年未为</w:t>
      </w:r>
      <w:r>
        <w:rPr>
          <w:rFonts w:ascii="Times New Roman" w:hAnsi="Times New Roman" w:cs="Times New Roman" w:eastAsia="Times New Roman" w:hint="default"/>
        </w:rPr>
        <w:t>2248</w:t>
      </w:r>
      <w:r>
        <w:rPr/>
        <w:t>吨，同比下降</w:t>
      </w:r>
      <w:r>
        <w:rPr>
          <w:rFonts w:ascii="Times New Roman" w:hAnsi="Times New Roman" w:cs="Times New Roman" w:eastAsia="Times New Roman" w:hint="default"/>
        </w:rPr>
        <w:t>58.38%</w:t>
      </w:r>
      <w:r>
        <w:rPr/>
        <w:t>。</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60" w:lineRule="auto" w:before="44"/>
        <w:ind w:left="1134"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1855" w:space="7065"/>
            <w:col w:w="299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化工行业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346,347,518.06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1" w:right="0"/>
              <w:jc w:val="left"/>
              <w:rPr>
                <w:rFonts w:ascii="Times New Roman" w:hAnsi="Times New Roman" w:cs="Times New Roman" w:eastAsia="Times New Roman" w:hint="default"/>
                <w:sz w:val="18"/>
                <w:szCs w:val="18"/>
              </w:rPr>
            </w:pPr>
            <w:r>
              <w:rPr>
                <w:rFonts w:ascii="Times New Roman"/>
                <w:sz w:val="18"/>
              </w:rPr>
              <w:t>334,878,530.60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0" w:right="0"/>
              <w:jc w:val="left"/>
              <w:rPr>
                <w:rFonts w:ascii="Times New Roman" w:hAnsi="Times New Roman" w:cs="Times New Roman" w:eastAsia="Times New Roman" w:hint="default"/>
                <w:sz w:val="18"/>
                <w:szCs w:val="18"/>
              </w:rPr>
            </w:pPr>
            <w:r>
              <w:rPr>
                <w:rFonts w:ascii="Times New Roman"/>
                <w:sz w:val="18"/>
              </w:rPr>
              <w:t>2.60%</w:t>
            </w:r>
          </w:p>
        </w:tc>
      </w:tr>
    </w:tbl>
    <w:p>
      <w:pPr>
        <w:pStyle w:val="BodyText"/>
        <w:spacing w:line="240" w:lineRule="auto" w:before="51"/>
        <w:ind w:left="1134" w:right="0"/>
        <w:jc w:val="left"/>
      </w:pPr>
      <w:r>
        <w:rPr/>
        <w:t>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7" w:lineRule="auto" w:before="102"/>
        <w:ind w:left="1134" w:right="1114"/>
        <w:jc w:val="left"/>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日与自然人施卫东签订《湖州吉昌化学有限公司股权转让总协议》，以自有资金人民币 </w:t>
      </w:r>
      <w:r>
        <w:rPr>
          <w:rFonts w:ascii="Times New Roman" w:hAnsi="Times New Roman" w:cs="Times New Roman" w:eastAsia="Times New Roman" w:hint="default"/>
        </w:rPr>
        <w:t>1.44</w:t>
      </w:r>
      <w:r>
        <w:rPr>
          <w:rFonts w:ascii="Times New Roman" w:hAnsi="Times New Roman" w:cs="Times New Roman" w:eastAsia="Times New Roman" w:hint="default"/>
          <w:spacing w:val="8"/>
        </w:rPr>
        <w:t> </w:t>
      </w:r>
      <w:r>
        <w:rPr/>
        <w:t>亿元收 购施卫东先生持有的湖州吉昌化学有限公司</w:t>
      </w:r>
      <w:r>
        <w:rPr>
          <w:rFonts w:ascii="Times New Roman" w:hAnsi="Times New Roman" w:cs="Times New Roman" w:eastAsia="Times New Roman" w:hint="default"/>
        </w:rPr>
        <w:t>1241.4 </w:t>
      </w:r>
      <w:r>
        <w:rPr/>
        <w:t>万元（占吉昌化学注册资本的</w:t>
      </w:r>
      <w:r>
        <w:rPr>
          <w:spacing w:val="-38"/>
        </w:rPr>
        <w:t> </w:t>
      </w:r>
      <w:r>
        <w:rPr>
          <w:rFonts w:ascii="Times New Roman" w:hAnsi="Times New Roman" w:cs="Times New Roman" w:eastAsia="Times New Roman" w:hint="default"/>
        </w:rPr>
        <w:t>60%</w:t>
      </w:r>
      <w:r>
        <w:rPr/>
        <w:t>）股权，湖州吉昌成为公司控股子公 司，并纳入公司合并财务报表范围。 </w:t>
      </w:r>
      <w:r>
        <w:rPr>
          <w:rFonts w:ascii="Times New Roman" w:hAnsi="Times New Roman" w:cs="Times New Roman" w:eastAsia="Times New Roman" w:hint="default"/>
        </w:rPr>
        <w:t>2</w:t>
      </w:r>
      <w:r>
        <w:rPr/>
        <w:t>、公司全资子公司浙江金科日化原料有限公司于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日新设成立控股子公司浙江诺亚氟化工有限公司，注册资本</w:t>
      </w:r>
    </w:p>
    <w:p>
      <w:pPr>
        <w:pStyle w:val="BodyText"/>
        <w:spacing w:line="240" w:lineRule="auto" w:before="7"/>
        <w:ind w:left="1134" w:right="0"/>
        <w:jc w:val="left"/>
      </w:pPr>
      <w:r>
        <w:rPr>
          <w:rFonts w:ascii="Times New Roman" w:hAnsi="Times New Roman" w:cs="Times New Roman" w:eastAsia="Times New Roman" w:hint="default"/>
        </w:rPr>
        <w:t>3000</w:t>
      </w:r>
      <w:r>
        <w:rPr/>
        <w:t>万人民币，并纳入合并财务报表范围。</w:t>
      </w:r>
    </w:p>
    <w:p>
      <w:pPr>
        <w:spacing w:line="240" w:lineRule="auto" w:before="11"/>
        <w:rPr>
          <w:rFonts w:ascii="宋体" w:hAnsi="宋体" w:cs="宋体" w:eastAsia="宋体" w:hint="default"/>
          <w:sz w:val="25"/>
          <w:szCs w:val="25"/>
        </w:rPr>
      </w:pPr>
    </w:p>
    <w:p>
      <w:pPr>
        <w:pStyle w:val="Heading4"/>
        <w:spacing w:line="240" w:lineRule="auto"/>
        <w:ind w:left="1134"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174,210,103.77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31.40%</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after="0" w:line="240" w:lineRule="auto"/>
        <w:jc w:val="lef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4"/>
                <w:sz w:val="18"/>
              </w:rPr>
              <w:t>SATTCO</w:t>
            </w:r>
            <w:r>
              <w:rPr>
                <w:rFonts w:ascii="Times New Roman"/>
                <w:spacing w:val="1"/>
                <w:sz w:val="18"/>
              </w:rPr>
              <w:t> </w:t>
            </w:r>
            <w:r>
              <w:rPr>
                <w:rFonts w:ascii="Times New Roman"/>
                <w:sz w:val="18"/>
              </w:rPr>
              <w:t>FZE</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55,515,002.59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METALL-CHEMIE</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GMBH</w:t>
            </w:r>
            <w:r>
              <w:rPr>
                <w:rFonts w:ascii="宋体" w:hAnsi="宋体" w:cs="宋体" w:eastAsia="宋体" w:hint="default"/>
                <w:sz w:val="18"/>
                <w:szCs w:val="18"/>
              </w:rPr>
              <w:t>＆</w:t>
            </w:r>
            <w:r>
              <w:rPr>
                <w:rFonts w:ascii="Times New Roman" w:hAnsi="Times New Roman" w:cs="Times New Roman" w:eastAsia="Times New Roman" w:hint="default"/>
                <w:sz w:val="18"/>
                <w:szCs w:val="18"/>
              </w:rPr>
              <w:t>CO.KG</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45,465,434.53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HENKEL</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30,098,673.76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RB MANUFACTURING</w:t>
            </w:r>
            <w:r>
              <w:rPr>
                <w:rFonts w:ascii="Times New Roman"/>
                <w:spacing w:val="-16"/>
                <w:sz w:val="18"/>
              </w:rPr>
              <w:t> </w:t>
            </w:r>
            <w:r>
              <w:rPr>
                <w:rFonts w:ascii="Times New Roman"/>
                <w:sz w:val="18"/>
              </w:rPr>
              <w:t>LLC</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21,495,658.60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CNS CO.,</w:t>
            </w:r>
            <w:r>
              <w:rPr>
                <w:rFonts w:ascii="Times New Roman"/>
                <w:spacing w:val="-1"/>
                <w:sz w:val="18"/>
              </w:rPr>
              <w:t> </w:t>
            </w:r>
            <w:r>
              <w:rPr>
                <w:rFonts w:ascii="Times New Roman"/>
                <w:spacing w:val="-6"/>
                <w:sz w:val="18"/>
              </w:rPr>
              <w:t>LTD</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21,635,334.29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174,210,103.77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31.40%</w:t>
            </w:r>
          </w:p>
        </w:tc>
      </w:tr>
    </w:tbl>
    <w:p>
      <w:pPr>
        <w:pStyle w:val="BodyText"/>
        <w:spacing w:line="240" w:lineRule="auto" w:before="51"/>
        <w:ind w:left="1134" w:right="0"/>
        <w:jc w:val="left"/>
      </w:pPr>
      <w:r>
        <w:rPr/>
        <w:t>公司主要供应商情况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151,558,154.86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31.67%</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江苏华昌化工股份有限公司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61,354,529.91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国网浙江上虞市供电公司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40,446,786.32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江山市龙达贸易有限公司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20,808,269.87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上虞杭协热电有限公司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16,817,248.67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北方石油国际有限公司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12,131,320.09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151,558,154.86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31.67%</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23,091,686.94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16,637,561.91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38.79%</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主要为运费有所增加及收购湖州吉 昌新增合并企业所致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40,038,212.82</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27,602,538.40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45.05%</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主要为人工费用有所增加及收购湖 州吉昌新增合并企业所致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-2,725,489.00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13,838,715.01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9" w:right="0"/>
              <w:jc w:val="left"/>
              <w:rPr>
                <w:rFonts w:ascii="Times New Roman" w:hAnsi="Times New Roman" w:cs="Times New Roman" w:eastAsia="Times New Roman" w:hint="default"/>
                <w:sz w:val="18"/>
                <w:szCs w:val="18"/>
              </w:rPr>
            </w:pPr>
            <w:r>
              <w:rPr>
                <w:rFonts w:ascii="Times New Roman"/>
                <w:sz w:val="18"/>
              </w:rPr>
              <w:t>-119.69%</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主要为贷款归还及汇况收益增加所 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line="5700" w:lineRule="exact"/>
        <w:ind w:left="1134" w:right="0" w:firstLine="0"/>
        <w:rPr>
          <w:rFonts w:ascii="宋体" w:hAnsi="宋体" w:cs="宋体" w:eastAsia="宋体" w:hint="default"/>
          <w:sz w:val="20"/>
          <w:szCs w:val="20"/>
        </w:rPr>
      </w:pPr>
      <w:r>
        <w:rPr>
          <w:rFonts w:ascii="宋体" w:hAnsi="宋体" w:cs="宋体" w:eastAsia="宋体" w:hint="default"/>
          <w:position w:val="-113"/>
          <w:sz w:val="20"/>
          <w:szCs w:val="20"/>
        </w:rPr>
        <w:drawing>
          <wp:inline distT="0" distB="0" distL="0" distR="0">
            <wp:extent cx="6239510" cy="361950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4" cstate="print"/>
                    <a:stretch>
                      <a:fillRect/>
                    </a:stretch>
                  </pic:blipFill>
                  <pic:spPr>
                    <a:xfrm>
                      <a:off x="0" y="0"/>
                      <a:ext cx="6239510" cy="3619500"/>
                    </a:xfrm>
                    <a:prstGeom prst="rect">
                      <a:avLst/>
                    </a:prstGeom>
                  </pic:spPr>
                </pic:pic>
              </a:graphicData>
            </a:graphic>
          </wp:inline>
        </w:drawing>
      </w:r>
      <w:r>
        <w:rPr>
          <w:rFonts w:ascii="宋体" w:hAnsi="宋体" w:cs="宋体" w:eastAsia="宋体" w:hint="default"/>
          <w:position w:val="-113"/>
          <w:sz w:val="20"/>
          <w:szCs w:val="20"/>
        </w:rPr>
      </w:r>
    </w:p>
    <w:p>
      <w:pPr>
        <w:spacing w:line="240" w:lineRule="auto" w:before="4"/>
        <w:rPr>
          <w:rFonts w:ascii="宋体" w:hAnsi="宋体" w:cs="宋体" w:eastAsia="宋体" w:hint="default"/>
          <w:sz w:val="9"/>
          <w:szCs w:val="9"/>
        </w:rPr>
      </w:pPr>
    </w:p>
    <w:p>
      <w:pPr>
        <w:pStyle w:val="BodyText"/>
        <w:spacing w:line="240" w:lineRule="auto" w:before="44"/>
        <w:ind w:right="0"/>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17,225,772.82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10,983,770.44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10,889,298.92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606,759,757.39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532,994,503.55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478,566,348.62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429,863,225.35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128,193,408.77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103,131,278.20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5,289,720.70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10,234,951.48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162,957,624.62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25,916,642.67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528.78%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-157,667,903.92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-15,681,691.19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905.43%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306,687,766.50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75.25%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259,106,642.78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153,277,893.73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69.04%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47,581,123.72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21,722,106.27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119.04%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23,745,864.95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103,486,195.99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-77.05%</w:t>
            </w:r>
          </w:p>
        </w:tc>
      </w:tr>
    </w:tbl>
    <w:p>
      <w:pPr>
        <w:pStyle w:val="BodyText"/>
        <w:spacing w:line="240" w:lineRule="auto" w:before="51"/>
        <w:ind w:left="1134" w:right="0"/>
        <w:jc w:val="left"/>
      </w:pPr>
      <w:r>
        <w:rPr/>
        <w:t>相关数据同比发生重大变动的主要影响因素说明</w:t>
      </w:r>
    </w:p>
    <w:p>
      <w:pPr>
        <w:pStyle w:val="BodyText"/>
        <w:spacing w:line="338" w:lineRule="auto" w:before="117"/>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报告期内现金流量科目发生重大变化情况及原因如下：</w:t>
      </w:r>
    </w:p>
    <w:p>
      <w:pPr>
        <w:pStyle w:val="BodyText"/>
        <w:spacing w:line="240" w:lineRule="auto" w:before="2"/>
        <w:ind w:left="1134" w:right="0"/>
        <w:jc w:val="left"/>
      </w:pPr>
      <w:r>
        <w:rPr>
          <w:rFonts w:ascii="Times New Roman" w:hAnsi="Times New Roman" w:cs="Times New Roman" w:eastAsia="Times New Roman" w:hint="default"/>
        </w:rPr>
        <w:t>1</w:t>
      </w:r>
      <w:r>
        <w:rPr/>
        <w:t>、投资活动现金流入小计同比下降</w:t>
      </w:r>
      <w:r>
        <w:rPr>
          <w:rFonts w:ascii="Times New Roman" w:hAnsi="Times New Roman" w:cs="Times New Roman" w:eastAsia="Times New Roman" w:hint="default"/>
        </w:rPr>
        <w:t>48.32%</w:t>
      </w:r>
      <w:r>
        <w:rPr/>
        <w:t>，主要原因系</w:t>
      </w:r>
      <w:r>
        <w:rPr>
          <w:rFonts w:ascii="Times New Roman" w:hAnsi="Times New Roman" w:cs="Times New Roman" w:eastAsia="Times New Roman" w:hint="default"/>
        </w:rPr>
        <w:t>2014</w:t>
      </w:r>
      <w:r>
        <w:rPr/>
        <w:t>年度有部分属于固定资产的机器设备的处置。</w:t>
      </w:r>
    </w:p>
    <w:p>
      <w:pPr>
        <w:pStyle w:val="BodyText"/>
        <w:spacing w:line="309" w:lineRule="auto" w:before="63"/>
        <w:ind w:right="0"/>
        <w:jc w:val="left"/>
      </w:pPr>
      <w:r>
        <w:rPr>
          <w:rFonts w:ascii="Times New Roman" w:hAnsi="Times New Roman" w:cs="Times New Roman" w:eastAsia="Times New Roman" w:hint="default"/>
          <w:spacing w:val="-2"/>
        </w:rPr>
        <w:t>2</w:t>
      </w:r>
      <w:r>
        <w:rPr>
          <w:spacing w:val="-2"/>
        </w:rPr>
        <w:t>、投资活动现金流出小计同比增长</w:t>
      </w:r>
      <w:r>
        <w:rPr>
          <w:rFonts w:ascii="Times New Roman" w:hAnsi="Times New Roman" w:cs="Times New Roman" w:eastAsia="Times New Roman" w:hint="default"/>
          <w:spacing w:val="-2"/>
        </w:rPr>
        <w:t>528%</w:t>
      </w:r>
      <w:r>
        <w:rPr>
          <w:spacing w:val="-2"/>
        </w:rPr>
        <w:t>，主要原因系</w:t>
      </w:r>
      <w:r>
        <w:rPr>
          <w:rFonts w:ascii="Times New Roman" w:hAnsi="Times New Roman" w:cs="Times New Roman" w:eastAsia="Times New Roman" w:hint="default"/>
          <w:spacing w:val="-2"/>
        </w:rPr>
        <w:t>2015</w:t>
      </w:r>
      <w:r>
        <w:rPr>
          <w:spacing w:val="-2"/>
        </w:rPr>
        <w:t>年度公司开展的</w:t>
      </w:r>
      <w:r>
        <w:rPr>
          <w:rFonts w:ascii="Times New Roman" w:hAnsi="Times New Roman" w:cs="Times New Roman" w:eastAsia="Times New Roman" w:hint="default"/>
          <w:spacing w:val="-2"/>
        </w:rPr>
        <w:t>SPC</w:t>
      </w:r>
      <w:r>
        <w:rPr>
          <w:spacing w:val="-2"/>
        </w:rPr>
        <w:t>和研发大楼的募投项目，对润科公司的投资，</w:t>
      </w:r>
      <w:r>
        <w:rPr>
          <w:spacing w:val="-74"/>
        </w:rPr>
        <w:t> </w:t>
      </w:r>
      <w:r>
        <w:rPr>
          <w:spacing w:val="-74"/>
        </w:rPr>
      </w:r>
      <w:r>
        <w:rPr/>
        <w:t>以及收购湖州吉昌公司支付的部分股权转让款。 </w:t>
      </w:r>
      <w:r>
        <w:rPr>
          <w:rFonts w:ascii="Times New Roman" w:hAnsi="Times New Roman" w:cs="Times New Roman" w:eastAsia="Times New Roman" w:hint="default"/>
        </w:rPr>
        <w:t>3</w:t>
      </w:r>
      <w:r>
        <w:rPr/>
        <w:t>、筹资活动现金流入小计同比增长</w:t>
      </w:r>
      <w:r>
        <w:rPr>
          <w:rFonts w:ascii="Times New Roman" w:hAnsi="Times New Roman" w:cs="Times New Roman" w:eastAsia="Times New Roman" w:hint="default"/>
        </w:rPr>
        <w:t>75.25%</w:t>
      </w:r>
      <w:r>
        <w:rPr/>
        <w:t>，主要原因系公司于</w:t>
      </w:r>
      <w:r>
        <w:rPr>
          <w:rFonts w:ascii="Times New Roman" w:hAnsi="Times New Roman" w:cs="Times New Roman" w:eastAsia="Times New Roman" w:hint="default"/>
        </w:rPr>
        <w:t>2015</w:t>
      </w:r>
      <w:r>
        <w:rPr/>
        <w:t>年首次公开发行股票募集资金到账，以及下半年公司发 行股份及支付现金购买资产并募集配套资金，相关认购方保证金到账。 </w:t>
      </w:r>
      <w:r>
        <w:rPr>
          <w:rFonts w:ascii="Times New Roman" w:hAnsi="Times New Roman" w:cs="Times New Roman" w:eastAsia="Times New Roman" w:hint="default"/>
        </w:rPr>
        <w:t>4</w:t>
      </w:r>
      <w:r>
        <w:rPr/>
        <w:t>、筹资活动现金流出小计同比增长</w:t>
      </w:r>
      <w:r>
        <w:rPr>
          <w:rFonts w:ascii="Times New Roman" w:hAnsi="Times New Roman" w:cs="Times New Roman" w:eastAsia="Times New Roman" w:hint="default"/>
        </w:rPr>
        <w:t>69.04%</w:t>
      </w:r>
      <w:r>
        <w:rPr/>
        <w:t>，主要原因系</w:t>
      </w:r>
      <w:r>
        <w:rPr>
          <w:rFonts w:ascii="Times New Roman" w:hAnsi="Times New Roman" w:cs="Times New Roman" w:eastAsia="Times New Roman" w:hint="default"/>
        </w:rPr>
        <w:t>2015</w:t>
      </w:r>
      <w:r>
        <w:rPr/>
        <w:t>年度部分贷款的归还。</w:t>
      </w:r>
    </w:p>
    <w:p>
      <w:pPr>
        <w:pStyle w:val="BodyText"/>
        <w:spacing w:line="240" w:lineRule="auto" w:before="46"/>
        <w:ind w:right="0"/>
        <w:jc w:val="left"/>
      </w:pPr>
      <w:r>
        <w:rPr/>
        <w:t>报告期内公司经营活动产生的现金净流量与本年度净利润存在重大差异的原因说明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512"/>
        <w:gridCol w:w="1916"/>
        <w:gridCol w:w="1623"/>
        <w:gridCol w:w="2254"/>
        <w:gridCol w:w="2254"/>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0"/>
              <w:jc w:val="righ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-608,741.84</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6" w:right="0"/>
              <w:jc w:val="left"/>
              <w:rPr>
                <w:rFonts w:ascii="Times New Roman" w:hAnsi="Times New Roman" w:cs="Times New Roman" w:eastAsia="Times New Roman" w:hint="default"/>
                <w:sz w:val="18"/>
                <w:szCs w:val="18"/>
              </w:rPr>
            </w:pPr>
            <w:r>
              <w:rPr>
                <w:rFonts w:ascii="Times New Roman"/>
                <w:sz w:val="18"/>
              </w:rPr>
              <w:t>-0.93%</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主要系金科日化参股的润科 新材料公司的前期费用</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768,281.68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8"/>
              <w:jc w:val="right"/>
              <w:rPr>
                <w:rFonts w:ascii="宋体" w:hAnsi="宋体" w:cs="宋体" w:eastAsia="宋体" w:hint="default"/>
                <w:sz w:val="18"/>
                <w:szCs w:val="18"/>
              </w:rPr>
            </w:pPr>
            <w:r>
              <w:rPr>
                <w:rFonts w:ascii="宋体" w:hAnsi="宋体" w:cs="宋体" w:eastAsia="宋体" w:hint="default"/>
                <w:sz w:val="18"/>
                <w:szCs w:val="18"/>
              </w:rPr>
              <w:t>远期结售汇变动损益</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-676,728.02</w:t>
            </w:r>
            <w:r>
              <w:rPr>
                <w:rFonts w:ascii="Times New Roman"/>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8"/>
              <w:jc w:val="right"/>
              <w:rPr>
                <w:rFonts w:ascii="宋体" w:hAnsi="宋体" w:cs="宋体" w:eastAsia="宋体" w:hint="default"/>
                <w:sz w:val="18"/>
                <w:szCs w:val="18"/>
              </w:rPr>
            </w:pPr>
            <w:r>
              <w:rPr>
                <w:rFonts w:ascii="宋体" w:hAnsi="宋体" w:cs="宋体" w:eastAsia="宋体" w:hint="default"/>
                <w:sz w:val="18"/>
                <w:szCs w:val="18"/>
              </w:rPr>
              <w:t>应收账款的坏账计提</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2,807,618.20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各类政府奖励及部分机器设 备的处置</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1,205,799.02</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主要为水利基金专项资金计 提</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192,572,980.7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21.97%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171,433,288.98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26.07%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-4.10%</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IPO </w:t>
            </w:r>
            <w:r>
              <w:rPr>
                <w:rFonts w:ascii="宋体" w:hAnsi="宋体" w:cs="宋体" w:eastAsia="宋体" w:hint="default"/>
                <w:spacing w:val="-5"/>
                <w:sz w:val="18"/>
                <w:szCs w:val="18"/>
              </w:rPr>
              <w:t>融资金融，但同时开展</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SPC</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2"/>
                <w:sz w:val="18"/>
                <w:szCs w:val="18"/>
              </w:rPr>
              <w:t>和研发大楼的募投项目，以及双氧水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募投项目的替换和贷款的归还等</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94,698,625.54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77,529,457.75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正常</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60,940,284.57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59,590,059.32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-2.11%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正常</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29,466,701.32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1,695,270.10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增加对润科新材料的投资</w:t>
            </w: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pacing w:val="-1"/>
                <w:sz w:val="18"/>
              </w:rPr>
              <w:t>238,038,710.1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27.15%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238,168,271.50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36.22%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-9.07%</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42,771,914.81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6,634,273.44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和研发大楼的募投项目</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-14.68%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贷款归还</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投资状况分析" w:id="43"/>
      <w:bookmarkEnd w:id="43"/>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0" w:right="0"/>
              <w:jc w:val="left"/>
              <w:rPr>
                <w:rFonts w:ascii="Times New Roman" w:hAnsi="Times New Roman" w:cs="Times New Roman" w:eastAsia="Times New Roman" w:hint="default"/>
                <w:sz w:val="18"/>
                <w:szCs w:val="18"/>
              </w:rPr>
            </w:pPr>
            <w:r>
              <w:rPr>
                <w:rFonts w:ascii="Times New Roman"/>
                <w:sz w:val="18"/>
              </w:rPr>
              <w:t>173,466,701.32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1,695,270.10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10,132.39%</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71"/>
      </w:tblGrid>
      <w:tr>
        <w:trPr>
          <w:trHeight w:val="1026"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7" w:right="66"/>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6"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6" w:right="65"/>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6" w:right="53"/>
              <w:jc w:val="both"/>
              <w:rPr>
                <w:rFonts w:ascii="宋体" w:hAnsi="宋体" w:cs="宋体" w:eastAsia="宋体" w:hint="default"/>
                <w:sz w:val="18"/>
                <w:szCs w:val="18"/>
              </w:rPr>
            </w:pPr>
            <w:r>
              <w:rPr>
                <w:rFonts w:ascii="宋体" w:hAnsi="宋体" w:cs="宋体" w:eastAsia="宋体" w:hint="default"/>
                <w:sz w:val="18"/>
                <w:szCs w:val="18"/>
              </w:rPr>
              <w:t>披露索 引（如 有）</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834"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2" w:right="111"/>
              <w:jc w:val="both"/>
              <w:rPr>
                <w:rFonts w:ascii="宋体" w:hAnsi="宋体" w:cs="宋体" w:eastAsia="宋体" w:hint="default"/>
                <w:sz w:val="18"/>
                <w:szCs w:val="18"/>
              </w:rPr>
            </w:pPr>
            <w:r>
              <w:rPr>
                <w:rFonts w:ascii="宋体" w:hAnsi="宋体" w:cs="宋体" w:eastAsia="宋体" w:hint="default"/>
                <w:sz w:val="18"/>
                <w:szCs w:val="18"/>
              </w:rPr>
              <w:t>湖州吉 昌化学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生产和 销售： 无水三 氯化 铝、 </w:t>
            </w:r>
            <w:r>
              <w:rPr>
                <w:rFonts w:ascii="Times New Roman" w:hAnsi="Times New Roman" w:cs="Times New Roman" w:eastAsia="Times New Roman" w:hint="default"/>
                <w:sz w:val="18"/>
                <w:szCs w:val="18"/>
              </w:rPr>
              <w:t>2- </w:t>
            </w:r>
            <w:r>
              <w:rPr>
                <w:rFonts w:ascii="宋体" w:hAnsi="宋体" w:cs="宋体" w:eastAsia="宋体" w:hint="default"/>
                <w:sz w:val="18"/>
                <w:szCs w:val="18"/>
              </w:rPr>
              <w:t>乙基蒽 醌、四 丁基 脲；货 物及技 术进出 口。</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88"/>
              <w:jc w:val="right"/>
              <w:rPr>
                <w:rFonts w:ascii="宋体" w:hAnsi="宋体" w:cs="宋体" w:eastAsia="宋体" w:hint="default"/>
                <w:sz w:val="18"/>
                <w:szCs w:val="18"/>
              </w:rPr>
            </w:pPr>
            <w:r>
              <w:rPr>
                <w:rFonts w:ascii="宋体" w:hAnsi="宋体" w:cs="宋体" w:eastAsia="宋体" w:hint="default"/>
                <w:sz w:val="18"/>
                <w:szCs w:val="18"/>
              </w:rPr>
              <w:t>收购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144,000</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75" w:right="0"/>
              <w:jc w:val="center"/>
              <w:rPr>
                <w:rFonts w:ascii="Times New Roman" w:hAnsi="Times New Roman" w:cs="Times New Roman" w:eastAsia="Times New Roman" w:hint="default"/>
                <w:sz w:val="18"/>
                <w:szCs w:val="18"/>
              </w:rPr>
            </w:pPr>
            <w:r>
              <w:rPr>
                <w:rFonts w:ascii="Times New Roman"/>
                <w:sz w:val="18"/>
              </w:rPr>
              <w:t>60.00%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菱湖吉 昌</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88"/>
              <w:jc w:val="right"/>
              <w:rPr>
                <w:rFonts w:ascii="宋体" w:hAnsi="宋体" w:cs="宋体" w:eastAsia="宋体" w:hint="default"/>
                <w:sz w:val="18"/>
                <w:szCs w:val="18"/>
              </w:rPr>
            </w:pPr>
            <w:r>
              <w:rPr>
                <w:rFonts w:ascii="宋体" w:hAnsi="宋体" w:cs="宋体" w:eastAsia="宋体" w:hint="default"/>
                <w:sz w:val="18"/>
                <w:szCs w:val="18"/>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化学制 品</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17,527,</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742.30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2898"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11"/>
              <w:jc w:val="both"/>
              <w:rPr>
                <w:rFonts w:ascii="宋体" w:hAnsi="宋体" w:cs="宋体" w:eastAsia="宋体" w:hint="default"/>
                <w:sz w:val="18"/>
                <w:szCs w:val="18"/>
              </w:rPr>
            </w:pPr>
            <w:r>
              <w:rPr>
                <w:rFonts w:ascii="宋体" w:hAnsi="宋体" w:cs="宋体" w:eastAsia="宋体" w:hint="default"/>
                <w:sz w:val="18"/>
                <w:szCs w:val="18"/>
              </w:rPr>
              <w:t>浙江润 科新材 料科技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化工新 材料研 发，化 工原 料、化 工产品 销售， 进出口 业务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88"/>
              <w:jc w:val="right"/>
              <w:rPr>
                <w:rFonts w:ascii="宋体" w:hAnsi="宋体" w:cs="宋体" w:eastAsia="宋体" w:hint="default"/>
                <w:sz w:val="18"/>
                <w:szCs w:val="18"/>
              </w:rPr>
            </w:pPr>
            <w:r>
              <w:rPr>
                <w:rFonts w:ascii="宋体" w:hAnsi="宋体" w:cs="宋体" w:eastAsia="宋体" w:hint="default"/>
                <w:sz w:val="18"/>
                <w:szCs w:val="18"/>
              </w:rPr>
              <w:t>增资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29,000,</w:t>
            </w:r>
          </w:p>
          <w:p>
            <w:pPr>
              <w:pStyle w:val="TableParagraph"/>
              <w:spacing w:line="240" w:lineRule="auto" w:before="106"/>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75" w:right="0"/>
              <w:jc w:val="center"/>
              <w:rPr>
                <w:rFonts w:ascii="Times New Roman" w:hAnsi="Times New Roman" w:cs="Times New Roman" w:eastAsia="Times New Roman" w:hint="default"/>
                <w:sz w:val="18"/>
                <w:szCs w:val="18"/>
              </w:rPr>
            </w:pPr>
            <w:r>
              <w:rPr>
                <w:rFonts w:ascii="Times New Roman"/>
                <w:sz w:val="18"/>
              </w:rPr>
              <w:t>40.00%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嘉兴润 博</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88"/>
              <w:jc w:val="right"/>
              <w:rPr>
                <w:rFonts w:ascii="宋体" w:hAnsi="宋体" w:cs="宋体" w:eastAsia="宋体" w:hint="default"/>
                <w:sz w:val="18"/>
                <w:szCs w:val="18"/>
              </w:rPr>
            </w:pPr>
            <w:r>
              <w:rPr>
                <w:rFonts w:ascii="宋体" w:hAnsi="宋体" w:cs="宋体" w:eastAsia="宋体" w:hint="default"/>
                <w:sz w:val="18"/>
                <w:szCs w:val="18"/>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化学制 品</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-1,228,5</w:t>
            </w:r>
          </w:p>
          <w:p>
            <w:pPr>
              <w:pStyle w:val="TableParagraph"/>
              <w:spacing w:line="240" w:lineRule="auto" w:before="106"/>
              <w:ind w:left="225" w:right="0"/>
              <w:jc w:val="center"/>
              <w:rPr>
                <w:rFonts w:ascii="Times New Roman" w:hAnsi="Times New Roman" w:cs="Times New Roman" w:eastAsia="Times New Roman" w:hint="default"/>
                <w:sz w:val="18"/>
                <w:szCs w:val="18"/>
              </w:rPr>
            </w:pPr>
            <w:r>
              <w:rPr>
                <w:rFonts w:ascii="Times New Roman"/>
                <w:sz w:val="18"/>
              </w:rPr>
              <w:t>68.78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71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173,000</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16,299,</w:t>
            </w:r>
          </w:p>
          <w:p>
            <w:pPr>
              <w:pStyle w:val="TableParagraph"/>
              <w:spacing w:line="240" w:lineRule="auto" w:before="106"/>
              <w:ind w:left="157" w:right="0"/>
              <w:jc w:val="left"/>
              <w:rPr>
                <w:rFonts w:ascii="Times New Roman" w:hAnsi="Times New Roman" w:cs="Times New Roman" w:eastAsia="Times New Roman" w:hint="default"/>
                <w:sz w:val="18"/>
                <w:szCs w:val="18"/>
              </w:rPr>
            </w:pPr>
            <w:r>
              <w:rPr>
                <w:rFonts w:ascii="Times New Roman"/>
                <w:sz w:val="18"/>
              </w:rPr>
              <w:t>173.52</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6"/>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57"/>
      </w:tblGrid>
      <w:tr>
        <w:trPr>
          <w:trHeight w:val="1015"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5"/>
              <w:ind w:left="69" w:right="68"/>
              <w:jc w:val="both"/>
              <w:rPr>
                <w:rFonts w:ascii="宋体" w:hAnsi="宋体" w:cs="宋体" w:eastAsia="宋体" w:hint="default"/>
                <w:sz w:val="18"/>
                <w:szCs w:val="18"/>
              </w:rPr>
            </w:pPr>
            <w:r>
              <w:rPr>
                <w:rFonts w:ascii="宋体" w:hAnsi="宋体" w:cs="宋体" w:eastAsia="宋体" w:hint="default"/>
                <w:sz w:val="18"/>
                <w:szCs w:val="18"/>
              </w:rPr>
              <w:t>尚未使用 募集资金 用途及去</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68" w:right="5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36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8" w:right="0"/>
              <w:jc w:val="left"/>
              <w:rPr>
                <w:rFonts w:ascii="宋体" w:hAnsi="宋体" w:cs="宋体" w:eastAsia="宋体" w:hint="default"/>
                <w:sz w:val="18"/>
                <w:szCs w:val="18"/>
              </w:rPr>
            </w:pPr>
            <w:r>
              <w:rPr>
                <w:rFonts w:ascii="宋体" w:hAnsi="宋体" w:cs="宋体" w:eastAsia="宋体" w:hint="default"/>
                <w:sz w:val="18"/>
                <w:szCs w:val="18"/>
              </w:rPr>
              <w:t>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9" w:right="0"/>
              <w:jc w:val="left"/>
              <w:rPr>
                <w:rFonts w:ascii="宋体" w:hAnsi="宋体" w:cs="宋体" w:eastAsia="宋体" w:hint="default"/>
                <w:sz w:val="18"/>
                <w:szCs w:val="18"/>
              </w:rPr>
            </w:pPr>
            <w:r>
              <w:rPr>
                <w:rFonts w:ascii="宋体" w:hAnsi="宋体" w:cs="宋体" w:eastAsia="宋体" w:hint="default"/>
                <w:sz w:val="18"/>
                <w:szCs w:val="18"/>
              </w:rPr>
              <w:t>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39" w:right="0"/>
              <w:jc w:val="left"/>
              <w:rPr>
                <w:rFonts w:ascii="宋体" w:hAnsi="宋体" w:cs="宋体" w:eastAsia="宋体" w:hint="default"/>
                <w:sz w:val="18"/>
                <w:szCs w:val="18"/>
              </w:rPr>
            </w:pPr>
            <w:r>
              <w:rPr>
                <w:rFonts w:ascii="宋体" w:hAnsi="宋体" w:cs="宋体" w:eastAsia="宋体" w:hint="default"/>
                <w:sz w:val="18"/>
                <w:szCs w:val="18"/>
              </w:rPr>
              <w:t>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5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17,551.44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12,488.94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12,488.94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5,084.35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尚未使用 的募集资 金存放于 公司募集 资金专户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17,551.44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12,488.94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12,488.94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5,084.35</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0"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124,889,440.00 </w:t>
            </w:r>
            <w:r>
              <w:rPr>
                <w:rFonts w:ascii="宋体" w:hAnsi="宋体" w:cs="宋体" w:eastAsia="宋体" w:hint="default"/>
                <w:sz w:val="18"/>
                <w:szCs w:val="18"/>
              </w:rPr>
              <w:t>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年度收到的银行存款利息扣除银行手续费等的净额为</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218,590.91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元；累计已使用募集资金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124,889,440.00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元，累计收到的银行存款利息扣除银行手续费等的净额为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218,590.91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50,843,503.94 </w:t>
            </w:r>
            <w:r>
              <w:rPr>
                <w:rFonts w:ascii="宋体" w:hAnsi="宋体" w:cs="宋体" w:eastAsia="宋体" w:hint="default"/>
                <w:sz w:val="18"/>
                <w:szCs w:val="18"/>
              </w:rPr>
              <w:t>元（包括累计收到的银行存款利息扣除银行手续费等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的净额</w:t>
            </w:r>
            <w:r>
              <w:rPr>
                <w:rFonts w:ascii="宋体" w:hAnsi="宋体" w:cs="宋体" w:eastAsia="宋体" w:hint="default"/>
                <w:spacing w:val="-90"/>
                <w:sz w:val="18"/>
                <w:szCs w:val="18"/>
              </w:rPr>
              <w:t>）</w:t>
            </w:r>
            <w:r>
              <w:rPr>
                <w:rFonts w:ascii="宋体" w:hAnsi="宋体" w:cs="宋体" w:eastAsia="宋体" w:hint="default"/>
                <w:sz w:val="18"/>
                <w:szCs w:val="18"/>
              </w:rPr>
              <w:t>。其中年产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w:t>
            </w:r>
            <w:r>
              <w:rPr>
                <w:rFonts w:ascii="宋体" w:hAnsi="宋体" w:cs="宋体" w:eastAsia="宋体" w:hint="default"/>
                <w:spacing w:val="1"/>
                <w:sz w:val="18"/>
                <w:szCs w:val="18"/>
              </w:rPr>
              <w:t>包</w:t>
            </w:r>
            <w:r>
              <w:rPr>
                <w:rFonts w:ascii="宋体" w:hAnsi="宋体" w:cs="宋体" w:eastAsia="宋体" w:hint="default"/>
                <w:sz w:val="18"/>
                <w:szCs w:val="18"/>
              </w:rPr>
              <w:t>裹型无磷过碳酸钠技改项目已累计使用募集资金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2,798.</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万元；年产</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万吨钯触媒双氧水</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技改项目已累计使用募集资金 </w:t>
            </w:r>
            <w:r>
              <w:rPr>
                <w:rFonts w:ascii="Times New Roman" w:hAnsi="Times New Roman" w:cs="Times New Roman" w:eastAsia="Times New Roman" w:hint="default"/>
                <w:sz w:val="18"/>
                <w:szCs w:val="18"/>
              </w:rPr>
              <w:t>8,971.00 </w:t>
            </w:r>
            <w:r>
              <w:rPr>
                <w:rFonts w:ascii="宋体" w:hAnsi="宋体" w:cs="宋体" w:eastAsia="宋体" w:hint="default"/>
                <w:sz w:val="18"/>
                <w:szCs w:val="18"/>
              </w:rPr>
              <w:t>万元；研发中心建设项目已累计使用募集资金 </w:t>
            </w:r>
            <w:r>
              <w:rPr>
                <w:rFonts w:ascii="Times New Roman" w:hAnsi="Times New Roman" w:cs="Times New Roman" w:eastAsia="Times New Roman" w:hint="default"/>
                <w:sz w:val="18"/>
                <w:szCs w:val="18"/>
              </w:rPr>
              <w:t>719.83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22"/>
        <w:gridCol w:w="718"/>
        <w:gridCol w:w="716"/>
        <w:gridCol w:w="703"/>
        <w:gridCol w:w="735"/>
        <w:gridCol w:w="716"/>
        <w:gridCol w:w="719"/>
        <w:gridCol w:w="718"/>
        <w:gridCol w:w="718"/>
        <w:gridCol w:w="711"/>
      </w:tblGrid>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63" w:right="62"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3" w:right="8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87"/>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0"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2" w:right="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2" w:right="70"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4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0"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2"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4"/>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1"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万吨包裹型 无磷过碳酸钠技改 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5,973.44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5,973.44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w w:val="95"/>
                <w:sz w:val="18"/>
              </w:rPr>
              <w:t>2,798.11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w w:val="95"/>
                <w:sz w:val="18"/>
              </w:rPr>
              <w:t>2,798.11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46.84%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万吨钯触媒 双氧水二期技改项 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8,971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8,971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8,971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8,971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1,076.44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1,776.48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2,607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2,607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719.83</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719.83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27.61%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9" w:space="0" w:color="D2D2D2"/>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17,551.4</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4</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17,551.4</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4</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12,488.9</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4</w:t>
            </w:r>
          </w:p>
        </w:tc>
        <w:tc>
          <w:tcPr>
            <w:tcW w:w="703" w:type="dxa"/>
            <w:vMerge w:val="restart"/>
            <w:tcBorders>
              <w:top w:val="single" w:sz="4" w:space="0" w:color="000000"/>
              <w:left w:val="single" w:sz="4" w:space="0" w:color="000000"/>
              <w:right w:val="single" w:sz="9"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12,488.9</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4</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 w:right="0"/>
              <w:jc w:val="left"/>
              <w:rPr>
                <w:rFonts w:ascii="Times New Roman" w:hAnsi="Times New Roman" w:cs="Times New Roman" w:eastAsia="Times New Roman" w:hint="default"/>
                <w:sz w:val="18"/>
                <w:szCs w:val="18"/>
              </w:rPr>
            </w:pPr>
            <w:r>
              <w:rPr>
                <w:rFonts w:ascii="Times New Roman"/>
                <w:sz w:val="18"/>
              </w:rPr>
              <w:t>1,076.44</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1,776.48</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2"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3" w:type="dxa"/>
            <w:vMerge/>
            <w:tcBorders>
              <w:left w:val="single" w:sz="4" w:space="0" w:color="000000"/>
              <w:right w:val="single" w:sz="9" w:space="0" w:color="D2D2D2"/>
            </w:tcBorders>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9" w:space="0" w:color="D2D2D2"/>
            </w:tcBorders>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38"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9" w:space="0" w:color="D2D2D2"/>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17,551.4</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4</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17,551.4</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4</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12,488.9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03" w:type="dxa"/>
            <w:vMerge w:val="restart"/>
            <w:tcBorders>
              <w:top w:val="single" w:sz="4" w:space="0" w:color="000000"/>
              <w:left w:val="single" w:sz="4" w:space="0" w:color="000000"/>
              <w:right w:val="single" w:sz="4" w:space="0" w:color="000000"/>
            </w:tcBorders>
          </w:tcPr>
          <w:p>
            <w:pPr>
              <w:pStyle w:val="TableParagraph"/>
              <w:spacing w:line="240" w:lineRule="auto" w:before="91"/>
              <w:ind w:left="94" w:right="0"/>
              <w:jc w:val="left"/>
              <w:rPr>
                <w:rFonts w:ascii="Times New Roman" w:hAnsi="Times New Roman" w:cs="Times New Roman" w:eastAsia="Times New Roman" w:hint="default"/>
                <w:sz w:val="18"/>
                <w:szCs w:val="18"/>
              </w:rPr>
            </w:pPr>
            <w:r>
              <w:rPr>
                <w:rFonts w:ascii="Times New Roman"/>
                <w:sz w:val="18"/>
              </w:rPr>
              <w:t>12,488.</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94</w:t>
            </w:r>
          </w:p>
        </w:tc>
        <w:tc>
          <w:tcPr>
            <w:tcW w:w="7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9"/>
              <w:jc w:val="center"/>
              <w:rPr>
                <w:rFonts w:ascii="Times New Roman" w:hAnsi="Times New Roman" w:cs="Times New Roman" w:eastAsia="Times New Roman" w:hint="default"/>
                <w:sz w:val="18"/>
                <w:szCs w:val="18"/>
              </w:rPr>
            </w:pPr>
            <w:r>
              <w:rPr>
                <w:rFonts w:ascii="Times New Roman"/>
                <w:sz w:val="18"/>
              </w:rPr>
              <w:t>--</w:t>
            </w:r>
          </w:p>
        </w:tc>
        <w:tc>
          <w:tcPr>
            <w:tcW w:w="7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c>
          <w:tcPr>
            <w:tcW w:w="7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1,076.44</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1,776.48</w:t>
            </w:r>
          </w:p>
        </w:tc>
        <w:tc>
          <w:tcPr>
            <w:tcW w:w="7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02"/>
              <w:jc w:val="right"/>
              <w:rPr>
                <w:rFonts w:ascii="Times New Roman" w:hAnsi="Times New Roman" w:cs="Times New Roman" w:eastAsia="Times New Roman" w:hint="default"/>
                <w:sz w:val="18"/>
                <w:szCs w:val="18"/>
              </w:rPr>
            </w:pPr>
            <w:r>
              <w:rPr>
                <w:rFonts w:ascii="Times New Roman"/>
                <w:sz w:val="18"/>
              </w:rPr>
              <w:t>--</w:t>
            </w:r>
          </w:p>
        </w:tc>
        <w:tc>
          <w:tcPr>
            <w:tcW w:w="722"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3" w:type="dxa"/>
            <w:vMerge/>
            <w:tcBorders>
              <w:left w:val="single" w:sz="4" w:space="0" w:color="000000"/>
              <w:right w:val="single" w:sz="4" w:space="0" w:color="000000"/>
            </w:tcBorders>
          </w:tcPr>
          <w:p>
            <w:pPr/>
          </w:p>
        </w:tc>
        <w:tc>
          <w:tcPr>
            <w:tcW w:w="735" w:type="dxa"/>
            <w:vMerge/>
            <w:tcBorders>
              <w:left w:val="single" w:sz="4" w:space="0" w:color="000000"/>
              <w:right w:val="single" w:sz="4" w:space="0" w:color="000000"/>
            </w:tcBorders>
            <w:shd w:val="clear" w:color="auto" w:fill="D2D2D2"/>
          </w:tcPr>
          <w:p>
            <w:pPr/>
          </w:p>
        </w:tc>
        <w:tc>
          <w:tcPr>
            <w:tcW w:w="716" w:type="dxa"/>
            <w:vMerge/>
            <w:tcBorders>
              <w:left w:val="single" w:sz="4" w:space="0" w:color="000000"/>
              <w:right w:val="single" w:sz="4" w:space="0" w:color="000000"/>
            </w:tcBorders>
            <w:shd w:val="clear" w:color="auto" w:fill="D2D2D2"/>
          </w:tcPr>
          <w:p>
            <w:pPr/>
          </w:p>
        </w:tc>
        <w:tc>
          <w:tcPr>
            <w:tcW w:w="719"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tcPr>
          <w:p>
            <w:pPr/>
          </w:p>
        </w:tc>
        <w:tc>
          <w:tcPr>
            <w:tcW w:w="718" w:type="dxa"/>
            <w:vMerge/>
            <w:tcBorders>
              <w:left w:val="single" w:sz="4" w:space="0" w:color="000000"/>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r>
      <w:tr>
        <w:trPr>
          <w:trHeight w:val="16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shd w:val="clear" w:color="auto" w:fill="D2D2D2"/>
          </w:tcPr>
          <w:p>
            <w:pPr/>
          </w:p>
        </w:tc>
        <w:tc>
          <w:tcPr>
            <w:tcW w:w="716" w:type="dxa"/>
            <w:vMerge/>
            <w:tcBorders>
              <w:left w:val="single" w:sz="4" w:space="0" w:color="000000"/>
              <w:bottom w:val="single" w:sz="4" w:space="0" w:color="000000"/>
              <w:right w:val="single" w:sz="4" w:space="0" w:color="000000"/>
            </w:tcBorders>
            <w:shd w:val="clear" w:color="auto" w:fill="D2D2D2"/>
          </w:tcPr>
          <w:p>
            <w:pPr/>
          </w:p>
        </w:tc>
        <w:tc>
          <w:tcPr>
            <w:tcW w:w="719"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未达到计划进度或</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50"/>
        <w:gridCol w:w="7912"/>
      </w:tblGrid>
      <w:tr>
        <w:trPr>
          <w:trHeight w:val="67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3"/>
              <w:jc w:val="left"/>
              <w:rPr>
                <w:rFonts w:ascii="宋体" w:hAnsi="宋体" w:cs="宋体" w:eastAsia="宋体" w:hint="default"/>
                <w:sz w:val="18"/>
                <w:szCs w:val="18"/>
              </w:rPr>
            </w:pPr>
            <w:r>
              <w:rPr>
                <w:rFonts w:ascii="宋体" w:hAnsi="宋体" w:cs="宋体" w:eastAsia="宋体" w:hint="default"/>
                <w:sz w:val="18"/>
                <w:szCs w:val="18"/>
              </w:rPr>
              <w:t>预计收益的情况和 原因（分具体项目）</w:t>
            </w: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日第二届董事会第六次会议，审议通过《关于以募集资金置换预先已投入募</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集资金投资项目的自筹资金的议案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，同意公司以募集资金置换截至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预先已投入募</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集资金投资项目的自筹资金 </w:t>
            </w:r>
            <w:r>
              <w:rPr>
                <w:rFonts w:ascii="Times New Roman" w:hAnsi="Times New Roman" w:cs="Times New Roman" w:eastAsia="Times New Roman" w:hint="default"/>
                <w:sz w:val="18"/>
                <w:szCs w:val="18"/>
              </w:rPr>
              <w:t>7,690.78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经公司第二届董事会第六次会议审议同意，公司将年产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万吨钯触媒双氧水二期技改项目节余资</w:t>
            </w:r>
          </w:p>
          <w:p>
            <w:pPr>
              <w:pStyle w:val="TableParagraph"/>
              <w:spacing w:line="314" w:lineRule="auto" w:before="61"/>
              <w:ind w:left="22" w:right="22"/>
              <w:jc w:val="both"/>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1,477.86 </w:t>
            </w:r>
            <w:r>
              <w:rPr>
                <w:rFonts w:ascii="宋体" w:hAnsi="宋体" w:cs="宋体" w:eastAsia="宋体" w:hint="default"/>
                <w:sz w:val="18"/>
                <w:szCs w:val="18"/>
              </w:rPr>
              <w:t>万元，永久补充流动资金（含募集资金计划用于项目铺底流动资金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402</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万元）。该项目出</w:t>
            </w:r>
            <w:r>
              <w:rPr>
                <w:rFonts w:ascii="宋体" w:hAnsi="宋体" w:cs="宋体" w:eastAsia="宋体" w:hint="default"/>
                <w:sz w:val="18"/>
                <w:szCs w:val="18"/>
              </w:rPr>
              <w:t> </w:t>
            </w:r>
            <w:r>
              <w:rPr>
                <w:rFonts w:ascii="宋体" w:hAnsi="宋体" w:cs="宋体" w:eastAsia="宋体" w:hint="default"/>
                <w:spacing w:val="-2"/>
                <w:sz w:val="18"/>
                <w:szCs w:val="18"/>
              </w:rPr>
              <w:t>现募集资金结余的原因主要为：项目建设过程中，公司进行了反复论证，在确保项目产能不变的前提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下，充分依托一期项目成熟的工艺技术，并结合一期项目生产设备及公用工程的布局，对该项目的工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艺设计及建设布局进行了全面优化调整，生产设备及公用工程的综合利用率得以提升；此外，项目建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设期间，由于不锈钢市场价格有所下降，致使设备采购金额有所下降。以上原因致使项目建设投入较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募集资金计划投入有所减少。</w:t>
            </w:r>
            <w:r>
              <w:rPr>
                <w:rFonts w:ascii="Times New Roman" w:hAnsi="Times New Roman" w:cs="Times New Roman" w:eastAsia="Times New Roman" w:hint="default"/>
                <w:sz w:val="18"/>
                <w:szCs w:val="18"/>
              </w:rPr>
              <w:t>2.</w:t>
            </w:r>
            <w:r>
              <w:rPr>
                <w:rFonts w:ascii="宋体" w:hAnsi="宋体" w:cs="宋体" w:eastAsia="宋体" w:hint="default"/>
                <w:sz w:val="18"/>
                <w:szCs w:val="18"/>
              </w:rPr>
              <w:t>其余募投项目尚未完工。</w:t>
            </w: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尚未使用的募集资金存放于公司募集资金专户</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after="0" w:line="338"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pict>
          <v:shape style="position:absolute;margin-left:197.537003pt;margin-top:88.451691pt;width:75.95pt;height:31.25pt;mso-position-horizontal-relative:page;mso-position-vertical-relative:paragraph;z-index:-1065592" type="#_x0000_t202" filled="false" stroked="false">
            <v:textbox inset="0,0,0,0">
              <w:txbxContent>
                <w:p>
                  <w:pPr>
                    <w:pStyle w:val="BodyText"/>
                    <w:spacing w:line="205" w:lineRule="exact"/>
                    <w:ind w:left="0" w:right="0"/>
                    <w:jc w:val="left"/>
                  </w:pPr>
                  <w:r>
                    <w:rPr/>
                    <w:t>销售；</w:t>
                  </w:r>
                </w:p>
              </w:txbxContent>
            </v:textbox>
            <w10:wrap type="none"/>
          </v:shape>
        </w:pict>
      </w:r>
      <w:r>
        <w:rPr/>
        <w:pict>
          <v:group style="position:absolute;margin-left:221.720001pt;margin-top:88.451691pt;width:51.75pt;height:31.25pt;mso-position-horizontal-relative:page;mso-position-vertical-relative:paragraph;z-index:-1065544" coordorigin="4434,1769" coordsize="1035,625">
            <v:shape style="position:absolute;left:4434;top:1769;width:1035;height:625" coordorigin="4434,1769" coordsize="1035,625" path="m4434,2393l5469,2393,5469,1769,4434,1769,4434,2393xe" filled="true" fillcolor="#ffffff" stroked="false">
              <v:path arrowok="t"/>
              <v:fill type="solid"/>
            </v:shape>
            <w10:wrap type="none"/>
          </v:group>
        </w:pict>
      </w: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1"/>
        <w:rPr>
          <w:rFonts w:ascii="宋体" w:hAnsi="宋体" w:cs="宋体" w:eastAsia="宋体" w:hint="default"/>
          <w:sz w:val="8"/>
          <w:szCs w:val="8"/>
        </w:rPr>
      </w:pPr>
      <w:r>
        <w:rPr/>
        <w:pict>
          <v:shape style="position:absolute;margin-left:197.537003pt;margin-top:542.619995pt;width:75.95pt;height:78pt;mso-position-horizontal-relative:page;mso-position-vertical-relative:page;z-index:-10655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2"/>
                    <w:ind w:left="0" w:right="0"/>
                    <w:jc w:val="left"/>
                  </w:pPr>
                  <w:r>
                    <w:rPr/>
                    <w:t>销售；</w:t>
                  </w:r>
                </w:p>
              </w:txbxContent>
            </v:textbox>
            <w10:wrap type="none"/>
          </v:shape>
        </w:pict>
      </w: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9"/>
              <w:jc w:val="both"/>
              <w:rPr>
                <w:rFonts w:ascii="宋体" w:hAnsi="宋体" w:cs="宋体" w:eastAsia="宋体" w:hint="default"/>
                <w:sz w:val="18"/>
                <w:szCs w:val="18"/>
              </w:rPr>
            </w:pPr>
            <w:r>
              <w:rPr>
                <w:rFonts w:ascii="宋体" w:hAnsi="宋体" w:cs="宋体" w:eastAsia="宋体" w:hint="default"/>
                <w:sz w:val="18"/>
                <w:szCs w:val="18"/>
              </w:rPr>
              <w:t>浙江金科日 化原料有限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
              <w:jc w:val="left"/>
              <w:rPr>
                <w:rFonts w:ascii="宋体" w:hAnsi="宋体" w:cs="宋体" w:eastAsia="宋体" w:hint="default"/>
                <w:sz w:val="18"/>
                <w:szCs w:val="18"/>
              </w:rPr>
            </w:pPr>
            <w:r>
              <w:rPr>
                <w:rFonts w:ascii="宋体" w:hAnsi="宋体" w:cs="宋体" w:eastAsia="宋体" w:hint="default"/>
                <w:sz w:val="18"/>
                <w:szCs w:val="18"/>
              </w:rPr>
              <w:t>四乙酰乙二 胺（</w:t>
            </w:r>
            <w:r>
              <w:rPr>
                <w:rFonts w:ascii="Times New Roman" w:hAnsi="Times New Roman" w:cs="Times New Roman" w:eastAsia="Times New Roman" w:hint="default"/>
                <w:sz w:val="18"/>
                <w:szCs w:val="18"/>
              </w:rPr>
              <w:t>TEAD</w:t>
            </w:r>
            <w:r>
              <w:rPr>
                <w:rFonts w:ascii="宋体" w:hAnsi="宋体" w:cs="宋体" w:eastAsia="宋体" w:hint="default"/>
                <w:sz w:val="18"/>
                <w:szCs w:val="18"/>
              </w:rPr>
              <w:t>） 研发、清洁 生产、 进出口贸易</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72000000.00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153,725,673.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97,718,486.3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89,562,697.9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3,466,247.45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3,771,528.09</w:t>
            </w:r>
          </w:p>
        </w:tc>
      </w:tr>
      <w:tr>
        <w:trPr>
          <w:trHeight w:val="383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浙江金科双 氧水有限公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双氧水新工 艺的研究与 开发；工业 用白土（活 性氧化铝， </w:t>
            </w:r>
            <w:r>
              <w:rPr>
                <w:rFonts w:ascii="宋体" w:hAnsi="宋体" w:cs="宋体" w:eastAsia="宋体" w:hint="default"/>
                <w:spacing w:val="-16"/>
                <w:sz w:val="18"/>
                <w:szCs w:val="18"/>
              </w:rPr>
              <w:t>副产）、其他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化工产品</w:t>
            </w:r>
          </w:p>
          <w:p>
            <w:pPr>
              <w:pStyle w:val="TableParagraph"/>
              <w:spacing w:line="319" w:lineRule="auto" w:before="19"/>
              <w:ind w:left="22" w:right="110"/>
              <w:jc w:val="left"/>
              <w:rPr>
                <w:rFonts w:ascii="宋体" w:hAnsi="宋体" w:cs="宋体" w:eastAsia="宋体" w:hint="default"/>
                <w:sz w:val="18"/>
                <w:szCs w:val="18"/>
              </w:rPr>
            </w:pPr>
            <w:r>
              <w:rPr>
                <w:rFonts w:ascii="宋体" w:hAnsi="宋体" w:cs="宋体" w:eastAsia="宋体" w:hint="default"/>
                <w:sz w:val="18"/>
                <w:szCs w:val="18"/>
              </w:rPr>
              <w:t>（除危险化 学品及易制 毒品） 进出口贸易 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169710000.0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197,302,454.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181,223,104.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121,000,234.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43" w:right="0"/>
              <w:jc w:val="center"/>
              <w:rPr>
                <w:rFonts w:ascii="Times New Roman" w:hAnsi="Times New Roman" w:cs="Times New Roman" w:eastAsia="Times New Roman" w:hint="default"/>
                <w:sz w:val="18"/>
                <w:szCs w:val="18"/>
              </w:rPr>
            </w:pPr>
            <w:r>
              <w:rPr>
                <w:rFonts w:ascii="Times New Roman"/>
                <w:sz w:val="18"/>
              </w:rPr>
              <w:t>7,562,195.12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44" w:right="0"/>
              <w:jc w:val="center"/>
              <w:rPr>
                <w:rFonts w:ascii="Times New Roman" w:hAnsi="Times New Roman" w:cs="Times New Roman" w:eastAsia="Times New Roman" w:hint="default"/>
                <w:sz w:val="18"/>
                <w:szCs w:val="18"/>
              </w:rPr>
            </w:pPr>
            <w:r>
              <w:rPr>
                <w:rFonts w:ascii="Times New Roman"/>
                <w:sz w:val="18"/>
              </w:rPr>
              <w:t>4,282,449.93</w:t>
            </w:r>
          </w:p>
        </w:tc>
      </w:tr>
      <w:tr>
        <w:trPr>
          <w:trHeight w:val="19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湖州吉昌化 学有限公司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生产和销售</w:t>
            </w:r>
          </w:p>
          <w:p>
            <w:pPr>
              <w:pStyle w:val="TableParagraph"/>
              <w:spacing w:line="314" w:lineRule="auto" w:before="75"/>
              <w:ind w:left="22"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乙基蒽醌、 四丁基脲、 聚合氯化 铝；货物及 技术进出口</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43"/>
              <w:jc w:val="center"/>
              <w:rPr>
                <w:rFonts w:ascii="Times New Roman" w:hAnsi="Times New Roman" w:cs="Times New Roman" w:eastAsia="Times New Roman" w:hint="default"/>
                <w:sz w:val="18"/>
                <w:szCs w:val="18"/>
              </w:rPr>
            </w:pPr>
            <w:r>
              <w:rPr>
                <w:rFonts w:ascii="Times New Roman"/>
                <w:sz w:val="18"/>
              </w:rPr>
              <w:t>20690000.00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71,920,504.8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52,188,173.2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46,095,860.9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20,900,858.5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17,527,742.3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134" w:right="0"/>
        <w:jc w:val="left"/>
      </w:pPr>
      <w:r>
        <w:rPr/>
        <w:pict>
          <v:group style="position:absolute;margin-left:221.720001pt;margin-top:-176.618286pt;width:51.75pt;height:117.5pt;mso-position-horizontal-relative:page;mso-position-vertical-relative:paragraph;z-index:-1065520" coordorigin="4434,-3532" coordsize="1035,2350">
            <v:group style="position:absolute;left:4434;top:-3532;width:1035;height:1560" coordorigin="4434,-3532" coordsize="1035,1560">
              <v:shape style="position:absolute;left:4434;top:-3532;width:1035;height:1560" coordorigin="4434,-3532" coordsize="1035,1560" path="m4434,-1972l5469,-1972,5469,-3532,4434,-3532,4434,-1972xe" filled="true" fillcolor="#ffffff" stroked="false">
                <v:path arrowok="t"/>
                <v:fill type="solid"/>
              </v:shape>
            </v:group>
            <v:group style="position:absolute;left:4434;top:-1963;width:1035;height:780" coordorigin="4434,-1963" coordsize="1035,780">
              <v:shape style="position:absolute;left:4434;top:-1963;width:1035;height:780" coordorigin="4434,-1963" coordsize="1035,780" path="m4434,-1183l5469,-1183,5469,-1963,4434,-1963,4434,-1183xe" filled="true" fillcolor="#ffffff" stroked="false">
                <v:path arrowok="t"/>
                <v:fill type="solid"/>
              </v:shape>
            </v:group>
            <w10:wrap type="none"/>
          </v:group>
        </w:pict>
      </w:r>
      <w:r>
        <w:rPr/>
        <w:t>报告期内取得和处置子公司的情况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湖州吉昌化学有限公司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公司以自有资金购买湖州吉昌化学有限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湖州吉昌化学有限公司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年纳入合并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报表的净利润 </w:t>
            </w:r>
            <w:r>
              <w:rPr>
                <w:rFonts w:ascii="Times New Roman" w:hAnsi="Times New Roman" w:cs="Times New Roman" w:eastAsia="Times New Roman" w:hint="default"/>
                <w:sz w:val="18"/>
                <w:szCs w:val="18"/>
              </w:rPr>
              <w:t>18464454.65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浙江诺亚氟化工有限公司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子公司金科日化投资取得诺亚公司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的股权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报告期诺亚公司尚入投入生产</w:t>
            </w:r>
          </w:p>
        </w:tc>
      </w:tr>
    </w:tbl>
    <w:p>
      <w:pPr>
        <w:pStyle w:val="BodyText"/>
        <w:spacing w:line="357" w:lineRule="auto" w:before="51"/>
        <w:ind w:left="1134" w:right="1782"/>
        <w:jc w:val="left"/>
      </w:pPr>
      <w:r>
        <w:rPr/>
        <w:t>主要控股参股公司情况说明 浙江润科新材料科技有限公司：为子公司金科日化于</w:t>
      </w:r>
      <w:r>
        <w:rPr>
          <w:rFonts w:ascii="Times New Roman" w:hAnsi="Times New Roman" w:cs="Times New Roman" w:eastAsia="Times New Roman" w:hint="default"/>
        </w:rPr>
        <w:t>2014</w:t>
      </w:r>
      <w:r>
        <w:rPr/>
        <w:t>年度投资取得润科公司</w:t>
      </w:r>
      <w:r>
        <w:rPr>
          <w:rFonts w:ascii="Times New Roman" w:hAnsi="Times New Roman" w:cs="Times New Roman" w:eastAsia="Times New Roman" w:hint="default"/>
        </w:rPr>
        <w:t>40%</w:t>
      </w:r>
      <w:r>
        <w:rPr/>
        <w:t>股权，预计</w:t>
      </w:r>
      <w:r>
        <w:rPr>
          <w:rFonts w:ascii="Times New Roman" w:hAnsi="Times New Roman" w:cs="Times New Roman" w:eastAsia="Times New Roman" w:hint="default"/>
        </w:rPr>
        <w:t>2016</w:t>
      </w:r>
      <w:r>
        <w:rPr/>
        <w:t>年投入生产。</w:t>
      </w:r>
    </w:p>
    <w:p>
      <w:pPr>
        <w:spacing w:line="240" w:lineRule="auto" w:before="9"/>
        <w:rPr>
          <w:rFonts w:ascii="宋体" w:hAnsi="宋体" w:cs="宋体" w:eastAsia="宋体" w:hint="default"/>
          <w:sz w:val="16"/>
          <w:szCs w:val="16"/>
        </w:rPr>
      </w:pPr>
    </w:p>
    <w:p>
      <w:pPr>
        <w:pStyle w:val="Heading2"/>
        <w:spacing w:line="240" w:lineRule="auto"/>
        <w:ind w:right="0"/>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493" w:right="0" w:hanging="360"/>
        <w:jc w:val="left"/>
      </w:pPr>
      <w:r>
        <w:rPr/>
        <w:t>（一）公司所处行业发展趋势 </w:t>
      </w:r>
      <w:r>
        <w:rPr>
          <w:spacing w:val="-2"/>
        </w:rPr>
        <w:t>洗涤用品行业是一个与国民经济和日常生活密切相关的行业。从全球范围来看，洗涤剂已逐渐由普通型向专用性、功能</w:t>
      </w:r>
    </w:p>
    <w:p>
      <w:pPr>
        <w:pStyle w:val="BodyText"/>
        <w:spacing w:line="312" w:lineRule="auto" w:before="19"/>
        <w:ind w:right="0"/>
        <w:jc w:val="left"/>
      </w:pPr>
      <w:r>
        <w:rPr>
          <w:spacing w:val="-4"/>
        </w:rPr>
        <w:t>性方向发展，添加各种新型功能性助剂的洗涤剂已成为行业发展的趋势。其中，添加氧系漂白助剂的含氧洗衣粉因具有高效、</w:t>
      </w:r>
      <w:r>
        <w:rPr>
          <w:spacing w:val="-44"/>
        </w:rPr>
        <w:t> </w:t>
      </w:r>
      <w:r>
        <w:rPr>
          <w:spacing w:val="-44"/>
        </w:rPr>
      </w:r>
      <w:r>
        <w:rPr>
          <w:spacing w:val="-2"/>
        </w:rPr>
        <w:t>节能、环保的特性，已在欧洲、日本等发达国家和地区得到广泛使用，即使在液体洗涤剂份额很高的美国市场，消费者为了</w:t>
      </w:r>
      <w:r>
        <w:rPr>
          <w:spacing w:val="-66"/>
        </w:rPr>
        <w:t> </w:t>
      </w:r>
      <w:r>
        <w:rPr>
          <w:spacing w:val="-66"/>
        </w:rPr>
      </w:r>
      <w:r>
        <w:rPr>
          <w:spacing w:val="-3"/>
        </w:rPr>
        <w:t>达到更好的洗涤效果，仍习惯于额外加入含氧助洗剂（过氧化物含量超过</w:t>
      </w:r>
      <w:r>
        <w:rPr>
          <w:rFonts w:ascii="Times New Roman" w:hAnsi="Times New Roman" w:cs="Times New Roman" w:eastAsia="Times New Roman" w:hint="default"/>
          <w:spacing w:val="-3"/>
        </w:rPr>
        <w:t>40%</w:t>
      </w:r>
      <w:r>
        <w:rPr>
          <w:spacing w:val="-3"/>
        </w:rPr>
        <w:t>的含氧洗衣粉，如彩漂粉）。在新兴市场地区，</w:t>
      </w:r>
      <w:r>
        <w:rPr>
          <w:spacing w:val="-66"/>
        </w:rPr>
        <w:t> </w:t>
      </w:r>
      <w:r>
        <w:rPr>
          <w:spacing w:val="-66"/>
        </w:rPr>
      </w:r>
      <w:r>
        <w:rPr/>
        <w:t>含氧洗衣粉应用尚处于起步阶段，市场份额较小，但随着居民生活水平的提高，发展潜力较大。</w:t>
      </w:r>
    </w:p>
    <w:p>
      <w:pPr>
        <w:pStyle w:val="BodyText"/>
        <w:spacing w:line="309" w:lineRule="auto" w:before="22"/>
        <w:ind w:right="1133" w:firstLine="360"/>
        <w:jc w:val="both"/>
      </w:pPr>
      <w:r>
        <w:rPr>
          <w:spacing w:val="-2"/>
        </w:rPr>
        <w:t>漂白助剂是洗衣粉的主要功能性成份，主要功能是去除织物的污垢和泛黄。常用的洗涤漂白助剂通常分为两类：氯系漂</w:t>
      </w:r>
      <w:r>
        <w:rPr/>
        <w:t> 白助剂及氧系漂白助剂。氯系漂白助剂主要为次氯酸钠，氧系漂白助剂主要包括</w:t>
      </w:r>
      <w:r>
        <w:rPr>
          <w:rFonts w:ascii="Times New Roman" w:hAnsi="Times New Roman" w:cs="Times New Roman" w:eastAsia="Times New Roman" w:hint="default"/>
        </w:rPr>
        <w:t>SPC</w:t>
      </w:r>
      <w:r>
        <w:rPr/>
        <w:t>、</w:t>
      </w:r>
      <w:r>
        <w:rPr>
          <w:rFonts w:ascii="Times New Roman" w:hAnsi="Times New Roman" w:cs="Times New Roman" w:eastAsia="Times New Roman" w:hint="default"/>
        </w:rPr>
        <w:t>SPB</w:t>
      </w:r>
      <w:r>
        <w:rPr/>
        <w:t>。</w:t>
      </w:r>
      <w:r>
        <w:rPr>
          <w:rFonts w:ascii="Times New Roman" w:hAnsi="Times New Roman" w:cs="Times New Roman" w:eastAsia="Times New Roman" w:hint="default"/>
        </w:rPr>
        <w:t>SPC</w:t>
      </w:r>
      <w:r>
        <w:rPr/>
        <w:t>凭借其高效、节能、环保 的特性，已逐步取代</w:t>
      </w:r>
      <w:r>
        <w:rPr>
          <w:rFonts w:ascii="Times New Roman" w:hAnsi="Times New Roman" w:cs="Times New Roman" w:eastAsia="Times New Roman" w:hint="default"/>
        </w:rPr>
        <w:t>SPB</w:t>
      </w:r>
      <w:r>
        <w:rPr/>
        <w:t>、次氯酸钠，成为主流的漂白助剂。</w:t>
      </w:r>
    </w:p>
    <w:p>
      <w:pPr>
        <w:pStyle w:val="BodyText"/>
        <w:spacing w:line="240" w:lineRule="auto" w:before="5"/>
        <w:ind w:right="0"/>
        <w:jc w:val="left"/>
      </w:pPr>
      <w:r>
        <w:rPr/>
        <w:t>（二）公司未来发展战略及</w:t>
      </w:r>
      <w:r>
        <w:rPr>
          <w:rFonts w:ascii="Times New Roman" w:hAnsi="Times New Roman" w:cs="Times New Roman" w:eastAsia="Times New Roman" w:hint="default"/>
        </w:rPr>
        <w:t>2016</w:t>
      </w:r>
      <w:r>
        <w:rPr/>
        <w:t>年展望</w:t>
      </w:r>
    </w:p>
    <w:p>
      <w:pPr>
        <w:pStyle w:val="BodyText"/>
        <w:spacing w:line="300" w:lineRule="auto" w:before="63"/>
        <w:ind w:left="1494" w:right="1125"/>
        <w:jc w:val="left"/>
      </w:pPr>
      <w:r>
        <w:rPr>
          <w:rFonts w:ascii="Times New Roman" w:hAnsi="Times New Roman" w:cs="Times New Roman" w:eastAsia="Times New Roman" w:hint="default"/>
        </w:rPr>
        <w:t>1</w:t>
      </w:r>
      <w:r>
        <w:rPr/>
        <w:t>、进一步稳固公司原有主业，谋求健康发展 </w:t>
      </w:r>
      <w:r>
        <w:rPr>
          <w:spacing w:val="-1"/>
        </w:rPr>
        <w:t>公司作为氧系漂白助剂</w:t>
      </w:r>
      <w:r>
        <w:rPr>
          <w:rFonts w:ascii="Times New Roman" w:hAnsi="Times New Roman" w:cs="Times New Roman" w:eastAsia="Times New Roman" w:hint="default"/>
          <w:spacing w:val="-1"/>
        </w:rPr>
        <w:t>SPC</w:t>
      </w:r>
      <w:r>
        <w:rPr>
          <w:spacing w:val="-1"/>
        </w:rPr>
        <w:t>领域的行业龙头企业，产品品质和成本控制能力在国内外同行业中已处于领先水平，在国内</w:t>
      </w:r>
    </w:p>
    <w:p>
      <w:pPr>
        <w:pStyle w:val="BodyText"/>
        <w:spacing w:line="300" w:lineRule="auto" w:before="13"/>
        <w:ind w:right="1130"/>
        <w:jc w:val="left"/>
      </w:pPr>
      <w:r>
        <w:rPr>
          <w:spacing w:val="-1"/>
        </w:rPr>
        <w:t>外市场上具备了较强的综合竞争优势。</w:t>
      </w:r>
      <w:r>
        <w:rPr>
          <w:rFonts w:ascii="Times New Roman" w:hAnsi="Times New Roman" w:cs="Times New Roman" w:eastAsia="Times New Roman" w:hint="default"/>
          <w:spacing w:val="-1"/>
        </w:rPr>
        <w:t>2016</w:t>
      </w:r>
      <w:r>
        <w:rPr>
          <w:spacing w:val="-1"/>
        </w:rPr>
        <w:t>年，将在保持产品、市场优势的基础上，继续推进</w:t>
      </w:r>
      <w:r>
        <w:rPr>
          <w:rFonts w:ascii="Times New Roman" w:hAnsi="Times New Roman" w:cs="Times New Roman" w:eastAsia="Times New Roman" w:hint="default"/>
          <w:spacing w:val="-1"/>
        </w:rPr>
        <w:t>SPC</w:t>
      </w:r>
      <w:r>
        <w:rPr>
          <w:spacing w:val="-1"/>
        </w:rPr>
        <w:t>等原有精细化工新材料业</w:t>
      </w:r>
      <w:r>
        <w:rPr>
          <w:spacing w:val="-80"/>
        </w:rPr>
        <w:t> </w:t>
      </w:r>
      <w:r>
        <w:rPr>
          <w:spacing w:val="-80"/>
        </w:rPr>
      </w:r>
      <w:r>
        <w:rPr/>
        <w:t>务的持续、健康发展。同时，积极协调、推动新产品生产线的顺利建成、投产，谋求更大发展。</w:t>
      </w:r>
    </w:p>
    <w:p>
      <w:pPr>
        <w:pStyle w:val="BodyText"/>
        <w:spacing w:line="300" w:lineRule="auto" w:before="31"/>
        <w:ind w:left="1494" w:right="0"/>
        <w:jc w:val="left"/>
      </w:pPr>
      <w:r>
        <w:rPr>
          <w:rFonts w:ascii="Times New Roman" w:hAnsi="Times New Roman" w:cs="Times New Roman" w:eastAsia="Times New Roman" w:hint="default"/>
        </w:rPr>
        <w:t>2</w:t>
      </w:r>
      <w:r>
        <w:rPr/>
        <w:t>、加快推进并购重组工作，实现上市公司股东的利益最大化 </w:t>
      </w:r>
      <w:r>
        <w:rPr>
          <w:spacing w:val="-2"/>
        </w:rPr>
        <w:t>加快推进对杭州哲信的并购重组，顺利完成审核、资产交割等后续工作。通过本次交易，上市公司将置入核心竞争力突</w:t>
      </w:r>
    </w:p>
    <w:p>
      <w:pPr>
        <w:pStyle w:val="BodyText"/>
        <w:spacing w:line="316" w:lineRule="auto" w:before="31"/>
        <w:ind w:left="1134" w:right="0"/>
        <w:jc w:val="left"/>
      </w:pPr>
      <w:r>
        <w:rPr>
          <w:spacing w:val="-2"/>
        </w:rPr>
        <w:t>出、发展前景广阔的移动游戏发行业务，实现上市公司双主业并行发展，推动上市公司主营业务的跨越式发展，增强公司的</w:t>
      </w:r>
      <w:r>
        <w:rPr>
          <w:spacing w:val="-66"/>
        </w:rPr>
        <w:t> </w:t>
      </w:r>
      <w:r>
        <w:rPr>
          <w:spacing w:val="-66"/>
        </w:rPr>
      </w:r>
      <w:r>
        <w:rPr/>
        <w:t>持续盈利能力和发展潜力，以实现上市公司股东的利益最大化。</w:t>
      </w:r>
    </w:p>
    <w:p>
      <w:pPr>
        <w:pStyle w:val="BodyText"/>
        <w:spacing w:line="300" w:lineRule="auto" w:before="19"/>
        <w:ind w:left="1494" w:right="0"/>
        <w:jc w:val="left"/>
      </w:pPr>
      <w:r>
        <w:rPr>
          <w:rFonts w:ascii="Times New Roman" w:hAnsi="Times New Roman" w:cs="Times New Roman" w:eastAsia="Times New Roman" w:hint="default"/>
        </w:rPr>
        <w:t>3</w:t>
      </w:r>
      <w:r>
        <w:rPr/>
        <w:t>、科学规划，实施整合，探寻全新的业务管理模式 </w:t>
      </w:r>
      <w:r>
        <w:rPr>
          <w:spacing w:val="-4"/>
        </w:rPr>
        <w:t>科学规划，根据各业务板块的经营特点确定各事业部的战略定位，推进事业部制的管理架构，探寻全新的业务管理模式。</w:t>
      </w:r>
    </w:p>
    <w:p>
      <w:pPr>
        <w:pStyle w:val="BodyText"/>
        <w:spacing w:line="240" w:lineRule="auto" w:before="31"/>
        <w:ind w:left="1134" w:right="0"/>
        <w:jc w:val="left"/>
      </w:pPr>
      <w:r>
        <w:rPr/>
        <w:t>通过并购整合与管理融合，组建高效团队，促进公司发展再上新台阶！</w:t>
      </w:r>
    </w:p>
    <w:p>
      <w:pPr>
        <w:pStyle w:val="BodyText"/>
        <w:spacing w:line="240" w:lineRule="auto" w:before="76"/>
        <w:ind w:right="0"/>
        <w:jc w:val="left"/>
      </w:pPr>
      <w:r>
        <w:rPr/>
        <w:t>（三）风险因素</w:t>
      </w:r>
    </w:p>
    <w:p>
      <w:pPr>
        <w:pStyle w:val="BodyText"/>
        <w:spacing w:line="300" w:lineRule="auto" w:before="76"/>
        <w:ind w:left="1494" w:right="1125"/>
        <w:jc w:val="left"/>
      </w:pPr>
      <w:r>
        <w:rPr>
          <w:rFonts w:ascii="Times New Roman" w:hAnsi="Times New Roman" w:cs="Times New Roman" w:eastAsia="Times New Roman" w:hint="default"/>
        </w:rPr>
        <w:t>1</w:t>
      </w:r>
      <w:r>
        <w:rPr/>
        <w:t>、市场竞争加剧的风险 </w:t>
      </w:r>
      <w:r>
        <w:rPr>
          <w:rFonts w:ascii="Times New Roman" w:hAnsi="Times New Roman" w:cs="Times New Roman" w:eastAsia="Times New Roman" w:hint="default"/>
          <w:spacing w:val="-1"/>
        </w:rPr>
        <w:t>SPC</w:t>
      </w:r>
      <w:r>
        <w:rPr>
          <w:spacing w:val="-1"/>
        </w:rPr>
        <w:t>作为优良的氧系漂白助剂，已在欧美、日本等发达国家和地区得到广泛使用，并在新兴市场国家得到较快推广。良</w:t>
      </w:r>
    </w:p>
    <w:p>
      <w:pPr>
        <w:pStyle w:val="BodyText"/>
        <w:spacing w:line="319" w:lineRule="auto" w:before="13"/>
        <w:ind w:left="1134" w:right="0"/>
        <w:jc w:val="left"/>
      </w:pPr>
      <w:r>
        <w:rPr>
          <w:spacing w:val="-2"/>
        </w:rPr>
        <w:t>好的市场前景将吸引新的竞争者进入，原有竞争对手也将加强竞争手段，从而导致行业竞争加剧。市场竞争加剧将可能导致</w:t>
      </w:r>
      <w:r>
        <w:rPr>
          <w:spacing w:val="-66"/>
        </w:rPr>
        <w:t> </w:t>
      </w:r>
      <w:r>
        <w:rPr>
          <w:spacing w:val="-66"/>
        </w:rPr>
      </w:r>
      <w:r>
        <w:rPr/>
        <w:t>公司市场份额下降，以及产品价格的下滑，从而对公司盈利造成不利影响。</w:t>
      </w:r>
    </w:p>
    <w:p>
      <w:pPr>
        <w:pStyle w:val="BodyText"/>
        <w:spacing w:line="316" w:lineRule="auto" w:before="17"/>
        <w:ind w:right="1131" w:firstLine="360"/>
        <w:jc w:val="both"/>
      </w:pPr>
      <w:r>
        <w:rPr>
          <w:spacing w:val="-2"/>
        </w:rPr>
        <w:t>应对措施：公司将以提高产品的科技含量和市场竞争力为宗旨，继续扩大现有主导产品在技术、质量、成本和规模上的</w:t>
      </w:r>
      <w:r>
        <w:rPr/>
        <w:t> </w:t>
      </w:r>
      <w:r>
        <w:rPr>
          <w:spacing w:val="-2"/>
        </w:rPr>
        <w:t>领先优势。加大新品和新兴市场的开发力度，以国际先进水平为标准，围绕过氧化物和功能性日化原料，开发高附加值、高</w:t>
      </w:r>
      <w:r>
        <w:rPr>
          <w:spacing w:val="-66"/>
        </w:rPr>
        <w:t> </w:t>
      </w:r>
      <w:r>
        <w:rPr>
          <w:spacing w:val="-66"/>
        </w:rPr>
      </w:r>
      <w:r>
        <w:rPr>
          <w:spacing w:val="-2"/>
        </w:rPr>
        <w:t>市场占有率的新产品。公司将着力培育包裹型</w:t>
      </w:r>
      <w:r>
        <w:rPr>
          <w:rFonts w:ascii="Times New Roman" w:hAnsi="Times New Roman" w:cs="Times New Roman" w:eastAsia="Times New Roman" w:hint="default"/>
          <w:spacing w:val="-2"/>
        </w:rPr>
        <w:t>SPC</w:t>
      </w:r>
      <w:r>
        <w:rPr>
          <w:spacing w:val="-2"/>
        </w:rPr>
        <w:t>、无磷</w:t>
      </w:r>
      <w:r>
        <w:rPr>
          <w:rFonts w:ascii="Times New Roman" w:hAnsi="Times New Roman" w:cs="Times New Roman" w:eastAsia="Times New Roman" w:hint="default"/>
          <w:spacing w:val="-2"/>
        </w:rPr>
        <w:t>SPC</w:t>
      </w:r>
      <w:r>
        <w:rPr>
          <w:rFonts w:ascii="Times New Roman" w:hAnsi="Times New Roman" w:cs="Times New Roman" w:eastAsia="Times New Roman" w:hint="default"/>
          <w:spacing w:val="32"/>
        </w:rPr>
        <w:t> </w:t>
      </w:r>
      <w:r>
        <w:rPr>
          <w:spacing w:val="-1"/>
        </w:rPr>
        <w:t>等多个已具有领先优势的产品，推动国内日化洗涤等相关行业</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的技术进步和产业升级。</w:t>
      </w:r>
    </w:p>
    <w:p>
      <w:pPr>
        <w:pStyle w:val="BodyText"/>
        <w:spacing w:line="300" w:lineRule="auto" w:before="76"/>
        <w:ind w:left="1494" w:right="0"/>
        <w:jc w:val="left"/>
      </w:pPr>
      <w:r>
        <w:rPr>
          <w:rFonts w:ascii="Times New Roman" w:hAnsi="Times New Roman" w:cs="Times New Roman" w:eastAsia="Times New Roman" w:hint="default"/>
        </w:rPr>
        <w:t>2</w:t>
      </w:r>
      <w:r>
        <w:rPr/>
        <w:t>、核心技术人员流失风险 </w:t>
      </w:r>
      <w:r>
        <w:rPr>
          <w:spacing w:val="-2"/>
        </w:rPr>
        <w:t>行业技术变革日新月异和市场竞争的不断加剧，特别是大数据和互联网的产业兴起，对公司的市场开拓、技术储备和人</w:t>
      </w:r>
    </w:p>
    <w:p>
      <w:pPr>
        <w:pStyle w:val="BodyText"/>
        <w:spacing w:line="319" w:lineRule="auto" w:before="31"/>
        <w:ind w:left="1134" w:right="1032"/>
        <w:jc w:val="left"/>
      </w:pPr>
      <w:r>
        <w:rPr/>
        <w:t>才储备带来一定的挑战。如果公司不能有效保持和完善核心人员的激励机制，将会影响到核心人员积极性、创造性的发挥， 也会影响到核心团队后备力量的建设，造成人才流失，从而给公司的生产经营造成不利影响。</w:t>
      </w:r>
    </w:p>
    <w:p>
      <w:pPr>
        <w:pStyle w:val="BodyText"/>
        <w:spacing w:line="316" w:lineRule="auto" w:before="17"/>
        <w:ind w:right="0" w:firstLine="360"/>
        <w:jc w:val="left"/>
      </w:pPr>
      <w:r>
        <w:rPr>
          <w:spacing w:val="-4"/>
        </w:rPr>
        <w:t>应对措施：人才资源是公司核心竞争力，公司把对外部高端人才的引进和对内部骨干及后备人才的培养提到了战略高度，</w:t>
      </w:r>
      <w:r>
        <w:rPr/>
        <w:t> </w:t>
      </w:r>
      <w:r>
        <w:rPr>
          <w:spacing w:val="-2"/>
        </w:rPr>
        <w:t>建立了完善的人才聘用及管理、激励制度，并适时推出股权激励计划，稳定核心技术人才队伍，使股东、管理层、骨干员工</w:t>
      </w:r>
      <w:r>
        <w:rPr>
          <w:spacing w:val="-68"/>
        </w:rPr>
        <w:t> </w:t>
      </w:r>
      <w:r>
        <w:rPr>
          <w:spacing w:val="-68"/>
        </w:rPr>
      </w:r>
      <w:r>
        <w:rPr/>
        <w:t>的利益进一步趋同。公司自上市以来，核心人员稳定，流失风险较小。</w:t>
      </w:r>
    </w:p>
    <w:p>
      <w:pPr>
        <w:pStyle w:val="BodyText"/>
        <w:spacing w:line="300" w:lineRule="auto" w:before="19"/>
        <w:ind w:left="1494" w:right="0"/>
        <w:jc w:val="left"/>
      </w:pPr>
      <w:r>
        <w:rPr>
          <w:rFonts w:ascii="Times New Roman" w:hAnsi="Times New Roman" w:cs="Times New Roman" w:eastAsia="Times New Roman" w:hint="default"/>
        </w:rPr>
        <w:t>3</w:t>
      </w:r>
      <w:r>
        <w:rPr/>
        <w:t>、投资并购及管理风险 </w:t>
      </w:r>
      <w:r>
        <w:rPr>
          <w:spacing w:val="-2"/>
        </w:rPr>
        <w:t>为了公司的快速发展，公司上市以来，旋即相继实施了多个股权投资和并购，但投资并购本身就是一种风险较高的商业</w:t>
      </w:r>
    </w:p>
    <w:p>
      <w:pPr>
        <w:pStyle w:val="BodyText"/>
        <w:spacing w:line="316" w:lineRule="auto" w:before="31"/>
        <w:ind w:left="1134" w:right="0"/>
        <w:jc w:val="left"/>
      </w:pPr>
      <w:r>
        <w:rPr>
          <w:spacing w:val="-2"/>
        </w:rPr>
        <w:t>活动。随着投资并购项目的不断增多，公司与被投资并购的企业之间存在业务模式、管理制度、企业文化上的差异，异地管</w:t>
      </w:r>
      <w:r>
        <w:rPr>
          <w:spacing w:val="-66"/>
        </w:rPr>
        <w:t> </w:t>
      </w:r>
      <w:r>
        <w:rPr>
          <w:spacing w:val="-66"/>
        </w:rPr>
      </w:r>
      <w:r>
        <w:rPr>
          <w:spacing w:val="-2"/>
        </w:rPr>
        <w:t>理带来的管控风险、团队的稳定性风险等因素都给公司管理带来新的挑战。同时，公司对外投资并购时，存在项目本身承诺</w:t>
      </w:r>
      <w:r>
        <w:rPr>
          <w:spacing w:val="-66"/>
        </w:rPr>
        <w:t> </w:t>
      </w:r>
      <w:r>
        <w:rPr>
          <w:spacing w:val="-66"/>
        </w:rPr>
      </w:r>
      <w:r>
        <w:rPr>
          <w:spacing w:val="-4"/>
        </w:rPr>
        <w:t>利润能否实现、商誉减值、市场政策变化及法律等方面的风险因素。若因宏观经济环境的恶化或被收购公司的经营出现风险，</w:t>
      </w:r>
      <w:r>
        <w:rPr>
          <w:spacing w:val="-44"/>
        </w:rPr>
        <w:t> </w:t>
      </w:r>
      <w:r>
        <w:rPr>
          <w:spacing w:val="-44"/>
        </w:rPr>
      </w:r>
      <w:r>
        <w:rPr/>
        <w:t>相关收购形成的商誉将对公司年度经营业绩产生不利影响。</w:t>
      </w:r>
    </w:p>
    <w:p>
      <w:pPr>
        <w:pStyle w:val="BodyText"/>
        <w:spacing w:line="316" w:lineRule="auto" w:before="19"/>
        <w:ind w:left="1134" w:right="0" w:firstLine="360"/>
        <w:jc w:val="left"/>
      </w:pPr>
      <w:r>
        <w:rPr>
          <w:spacing w:val="-2"/>
        </w:rPr>
        <w:t>应对措施：公司在投资并购方面采取较为稳健的投资策略，审慎选择投资标的，投前做好市场以及收购对象的尽职调查</w:t>
      </w:r>
      <w:r>
        <w:rPr/>
        <w:t> </w:t>
      </w:r>
      <w:r>
        <w:rPr>
          <w:spacing w:val="-4"/>
        </w:rPr>
        <w:t>工作，并完善投资并购协议以减少法律风险，投后发挥协同效应实现其价值，从而不断提升公司盈利能力和市场规模。同时，</w:t>
      </w:r>
      <w:r>
        <w:rPr>
          <w:spacing w:val="-46"/>
        </w:rPr>
        <w:t> </w:t>
      </w:r>
      <w:r>
        <w:rPr>
          <w:spacing w:val="-46"/>
        </w:rPr>
      </w:r>
      <w:r>
        <w:rPr/>
        <w:t>公司将加强内部控制尤其是风险控制体系建设，以面对公司规模扩大后所带来的管理风险。</w:t>
      </w:r>
    </w:p>
    <w:p>
      <w:pPr>
        <w:pStyle w:val="BodyText"/>
        <w:spacing w:line="300" w:lineRule="auto" w:before="19"/>
        <w:ind w:left="1494" w:right="0"/>
        <w:jc w:val="left"/>
      </w:pPr>
      <w:r>
        <w:rPr>
          <w:rFonts w:ascii="Times New Roman" w:hAnsi="Times New Roman" w:cs="Times New Roman" w:eastAsia="Times New Roman" w:hint="default"/>
        </w:rPr>
        <w:t>4</w:t>
      </w:r>
      <w:r>
        <w:rPr/>
        <w:t>、募集资金投资项目实施风险 </w:t>
      </w:r>
      <w:r>
        <w:rPr>
          <w:spacing w:val="-2"/>
        </w:rPr>
        <w:t>公司在实施本次募集资金投资项目前，已进行了可行性论证，但项目实施过程中，市场环境、产业政策、工程进度、产</w:t>
      </w:r>
    </w:p>
    <w:p>
      <w:pPr>
        <w:pStyle w:val="BodyText"/>
        <w:spacing w:line="316" w:lineRule="auto" w:before="31"/>
        <w:ind w:left="1493" w:right="0" w:hanging="360"/>
        <w:jc w:val="left"/>
      </w:pPr>
      <w:r>
        <w:rPr/>
        <w:t>品市场销售状况等方面仍将可能出现变化，项目仍存在一定的实施风险，将可能对公司的经营业绩产生不利影响。 </w:t>
      </w:r>
      <w:r>
        <w:rPr>
          <w:spacing w:val="-4"/>
        </w:rPr>
        <w:t>应对措施：公司将严格按照有关规定，结合项目轻重缓急管理和使用本次募集资金，稳步推进募集资金投资项目的建设。</w:t>
      </w:r>
    </w:p>
    <w:p>
      <w:pPr>
        <w:pStyle w:val="BodyText"/>
        <w:spacing w:line="240" w:lineRule="auto" w:before="19"/>
        <w:ind w:right="0"/>
        <w:jc w:val="left"/>
      </w:pPr>
      <w:r>
        <w:rPr/>
        <w:t>公司将在项目的实施过程中，进一步提升自主创新成果的应用力度，加强市场销售推广，降低募集资金投资项目实施风险。</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十、接待调研、沟通、采访等活动情况" w:id="58"/>
      <w:bookmarkEnd w:id="58"/>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01"/>
              <w:jc w:val="righ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3"/>
              <w:jc w:val="right"/>
              <w:rPr>
                <w:rFonts w:ascii="宋体" w:hAnsi="宋体" w:cs="宋体" w:eastAsia="宋体" w:hint="default"/>
                <w:sz w:val="18"/>
                <w:szCs w:val="18"/>
              </w:rPr>
            </w:pPr>
            <w:r>
              <w:rPr>
                <w:rFonts w:ascii="宋体" w:hAnsi="宋体" w:cs="宋体" w:eastAsia="宋体" w:hint="default"/>
                <w:sz w:val="18"/>
                <w:szCs w:val="18"/>
              </w:rPr>
              <w:t>公司生产经营与未来发展战略</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6" w:id="60"/>
      <w:bookmarkStart w:name="第五节 重要事项" w:id="61"/>
      <w:r>
        <w:rPr>
          <w:b w:val="0"/>
          <w:bCs w:val="0"/>
        </w:rPr>
      </w:r>
      <w:r>
        <w:rPr/>
        <w:t>第五节</w:t>
      </w:r>
      <w:r>
        <w:rPr>
          <w:spacing w:val="-5"/>
        </w:rPr>
        <w:t> </w:t>
      </w:r>
      <w:r>
        <w:rPr/>
        <w:t>重要事项</w:t>
      </w:r>
      <w:bookmarkEnd w:id="6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日召开的</w:t>
      </w:r>
      <w:r>
        <w:rPr>
          <w:rFonts w:ascii="Times New Roman" w:hAnsi="Times New Roman" w:cs="Times New Roman" w:eastAsia="Times New Roman" w:hint="default"/>
        </w:rPr>
        <w:t>2014</w:t>
      </w:r>
      <w:r>
        <w:rPr/>
        <w:t>年度股东大会审议通过了</w:t>
      </w:r>
      <w:r>
        <w:rPr>
          <w:rFonts w:ascii="Times New Roman" w:hAnsi="Times New Roman" w:cs="Times New Roman" w:eastAsia="Times New Roman" w:hint="default"/>
        </w:rPr>
        <w:t>2014</w:t>
      </w:r>
      <w:r>
        <w:rPr/>
        <w:t>年度权益分派方案。公司</w:t>
      </w:r>
      <w:r>
        <w:rPr>
          <w:rFonts w:ascii="Times New Roman" w:hAnsi="Times New Roman" w:cs="Times New Roman" w:eastAsia="Times New Roman" w:hint="default"/>
        </w:rPr>
        <w:t>2014</w:t>
      </w:r>
      <w:r>
        <w:rPr/>
        <w:t>年度权益分派方案：公司以</w:t>
      </w:r>
    </w:p>
    <w:p>
      <w:pPr>
        <w:pStyle w:val="BodyText"/>
        <w:spacing w:line="300" w:lineRule="auto" w:before="63"/>
        <w:ind w:right="1033"/>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日公司总股本</w:t>
      </w:r>
      <w:r>
        <w:rPr>
          <w:rFonts w:ascii="Times New Roman" w:hAnsi="Times New Roman" w:cs="Times New Roman" w:eastAsia="Times New Roman" w:hint="default"/>
        </w:rPr>
        <w:t>10,600</w:t>
      </w:r>
      <w:r>
        <w:rPr/>
        <w:t>万股为基数，按每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1.00</w:t>
      </w:r>
      <w:r>
        <w:rPr/>
        <w:t>元（含税），合计派送现金</w:t>
      </w:r>
      <w:r>
        <w:rPr>
          <w:rFonts w:ascii="Times New Roman" w:hAnsi="Times New Roman" w:cs="Times New Roman" w:eastAsia="Times New Roman" w:hint="default"/>
        </w:rPr>
        <w:t>1,060</w:t>
      </w:r>
      <w:r>
        <w:rPr/>
        <w:t>万元（含税），合 计派送现金</w:t>
      </w:r>
      <w:r>
        <w:rPr>
          <w:rFonts w:ascii="Times New Roman" w:hAnsi="Times New Roman" w:cs="Times New Roman" w:eastAsia="Times New Roman" w:hint="default"/>
        </w:rPr>
        <w:t>1,060</w:t>
      </w:r>
      <w:r>
        <w:rPr/>
        <w:t>万元（含税），剩余未分配利润结转下一年度。本次权益分派股权登记日为：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日，除权除息日 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 </w:t>
      </w: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25</w:t>
      </w:r>
      <w:r>
        <w:rPr>
          <w:spacing w:val="-2"/>
        </w:rPr>
        <w:t>日召开的</w:t>
      </w:r>
      <w:r>
        <w:rPr>
          <w:rFonts w:ascii="Times New Roman" w:hAnsi="Times New Roman" w:cs="Times New Roman" w:eastAsia="Times New Roman" w:hint="default"/>
          <w:spacing w:val="-2"/>
        </w:rPr>
        <w:t>2015</w:t>
      </w:r>
      <w:r>
        <w:rPr>
          <w:spacing w:val="-2"/>
        </w:rPr>
        <w:t>年第一次临时股东大会审议通过了《关于公司</w:t>
      </w:r>
      <w:r>
        <w:rPr>
          <w:rFonts w:ascii="Times New Roman" w:hAnsi="Times New Roman" w:cs="Times New Roman" w:eastAsia="Times New Roman" w:hint="default"/>
          <w:spacing w:val="-2"/>
        </w:rPr>
        <w:t>2015</w:t>
      </w:r>
      <w:r>
        <w:rPr>
          <w:spacing w:val="-2"/>
        </w:rPr>
        <w:t>年半年度资本公积金转增股本的方案</w:t>
      </w:r>
      <w:r>
        <w:rPr>
          <w:spacing w:val="-48"/>
        </w:rPr>
        <w:t> </w:t>
      </w:r>
      <w:r>
        <w:rPr/>
        <w:t>的议案》。公司</w:t>
      </w:r>
      <w:r>
        <w:rPr>
          <w:rFonts w:ascii="Times New Roman" w:hAnsi="Times New Roman" w:cs="Times New Roman" w:eastAsia="Times New Roman" w:hint="default"/>
        </w:rPr>
        <w:t>2015</w:t>
      </w:r>
      <w:r>
        <w:rPr/>
        <w:t>年半年度资本公积金转增股本的方案：公司以截至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日公司股份总数</w:t>
      </w:r>
      <w:r>
        <w:rPr>
          <w:rFonts w:ascii="Times New Roman" w:hAnsi="Times New Roman" w:cs="Times New Roman" w:eastAsia="Times New Roman" w:hint="default"/>
        </w:rPr>
        <w:t>106,000,000</w:t>
      </w:r>
      <w:r>
        <w:rPr/>
        <w:t>股为基数， 以资本公积金向全体股东按每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股，共计转增股本</w:t>
      </w:r>
      <w:r>
        <w:rPr>
          <w:rFonts w:ascii="Times New Roman" w:hAnsi="Times New Roman" w:cs="Times New Roman" w:eastAsia="Times New Roman" w:hint="default"/>
        </w:rPr>
        <w:t>159,000,000</w:t>
      </w:r>
      <w:r>
        <w:rPr/>
        <w:t>股，转增股本后公司总股本将增加至</w:t>
      </w:r>
      <w:r>
        <w:rPr>
          <w:rFonts w:ascii="Times New Roman" w:hAnsi="Times New Roman" w:cs="Times New Roman" w:eastAsia="Times New Roman" w:hint="default"/>
        </w:rPr>
        <w:t>265,000,000</w:t>
      </w:r>
      <w:r>
        <w:rPr/>
        <w:t>股。 本次资本公积转增股本股权登记日为：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日，除权除息日为：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w:t>
      </w: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3"/>
        <w:ind w:left="1134" w:right="0"/>
        <w:jc w:val="left"/>
      </w:pPr>
      <w:r>
        <w:rPr/>
        <w:t>公司报告期利润分配预案及资本公积金转增股本预案与公司章程和分红管理办法等的相关规定一致</w:t>
      </w:r>
    </w:p>
    <w:p>
      <w:pPr>
        <w:pStyle w:val="BodyText"/>
        <w:spacing w:line="348" w:lineRule="auto" w:before="117"/>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265,000,000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21,200,000.00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45,702,040.50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38"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 </w:t>
            </w:r>
            <w:r>
              <w:rPr>
                <w:rFonts w:ascii="Times New Roman" w:hAnsi="Times New Roman" w:cs="Times New Roman" w:eastAsia="Times New Roman" w:hint="default"/>
                <w:sz w:val="18"/>
                <w:szCs w:val="18"/>
              </w:rPr>
              <w:t>2015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年年度权益分派预案为</w:t>
            </w:r>
            <w:r>
              <w:rPr>
                <w:rFonts w:ascii="宋体" w:hAnsi="宋体" w:cs="宋体" w:eastAsia="宋体" w:hint="default"/>
                <w:spacing w:val="-82"/>
                <w:sz w:val="18"/>
                <w:szCs w:val="18"/>
              </w:rPr>
              <w:t>：</w:t>
            </w:r>
            <w:r>
              <w:rPr>
                <w:rFonts w:ascii="宋体" w:hAnsi="宋体" w:cs="宋体" w:eastAsia="宋体" w:hint="default"/>
                <w:sz w:val="18"/>
                <w:szCs w:val="18"/>
              </w:rPr>
              <w:t>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1"/>
                <w:sz w:val="18"/>
                <w:szCs w:val="18"/>
              </w:rPr>
              <w:t>股</w:t>
            </w:r>
            <w:r>
              <w:rPr>
                <w:rFonts w:ascii="宋体" w:hAnsi="宋体" w:cs="宋体" w:eastAsia="宋体" w:hint="default"/>
                <w:sz w:val="18"/>
                <w:szCs w:val="18"/>
              </w:rPr>
              <w:t>份总数 </w:t>
            </w:r>
            <w:r>
              <w:rPr>
                <w:rFonts w:ascii="Times New Roman" w:hAnsi="Times New Roman" w:cs="Times New Roman" w:eastAsia="Times New Roman" w:hint="default"/>
                <w:sz w:val="18"/>
                <w:szCs w:val="18"/>
              </w:rPr>
              <w:t>265,00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,000  </w:t>
            </w:r>
            <w:r>
              <w:rPr>
                <w:rFonts w:ascii="宋体" w:hAnsi="宋体" w:cs="宋体" w:eastAsia="宋体" w:hint="default"/>
                <w:sz w:val="18"/>
                <w:szCs w:val="18"/>
              </w:rPr>
              <w:t>股为基数</w:t>
            </w:r>
            <w:r>
              <w:rPr>
                <w:rFonts w:ascii="宋体" w:hAnsi="宋体" w:cs="宋体" w:eastAsia="宋体" w:hint="default"/>
                <w:spacing w:val="-82"/>
                <w:sz w:val="18"/>
                <w:szCs w:val="18"/>
              </w:rPr>
              <w:t>，</w:t>
            </w:r>
            <w:r>
              <w:rPr>
                <w:rFonts w:ascii="宋体" w:hAnsi="宋体" w:cs="宋体" w:eastAsia="宋体" w:hint="default"/>
                <w:sz w:val="18"/>
                <w:szCs w:val="18"/>
              </w:rPr>
              <w:t>向全体股东每</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股派</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元人民币现金（含税</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资本公积金转增股本方案：以截至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日公司股份总数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106,000,000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数，以资本公积金向全体股东按每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股，共计转增股本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159,000,000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股，转增股本后公司总股本将增加至</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265,000,000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tc>
      </w:tr>
    </w:tbl>
    <w:p>
      <w:pPr>
        <w:pStyle w:val="BodyText"/>
        <w:spacing w:line="240" w:lineRule="auto" w:before="51"/>
        <w:ind w:left="113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2"/>
        <w:ind w:right="1123"/>
        <w:jc w:val="left"/>
      </w:pPr>
      <w:r>
        <w:rPr>
          <w:rFonts w:ascii="Times New Roman" w:hAnsi="Times New Roman" w:cs="Times New Roman" w:eastAsia="Times New Roman" w:hint="default"/>
        </w:rPr>
        <w:t>1.</w:t>
      </w:r>
      <w:r>
        <w:rPr/>
        <w:t>公司 </w:t>
      </w:r>
      <w:r>
        <w:rPr>
          <w:rFonts w:ascii="Times New Roman" w:hAnsi="Times New Roman" w:cs="Times New Roman" w:eastAsia="Times New Roman" w:hint="default"/>
        </w:rPr>
        <w:t>2014 </w:t>
      </w:r>
      <w:r>
        <w:rPr/>
        <w:t>年年度权益分派方案为：以公司现有总股本 </w:t>
      </w:r>
      <w:r>
        <w:rPr>
          <w:rFonts w:ascii="Times New Roman" w:hAnsi="Times New Roman" w:cs="Times New Roman" w:eastAsia="Times New Roman" w:hint="default"/>
        </w:rPr>
        <w:t>106,000,000 </w:t>
      </w:r>
      <w:r>
        <w:rPr/>
        <w:t>股为基数，向全体股东每 </w:t>
      </w:r>
      <w:r>
        <w:rPr>
          <w:rFonts w:ascii="Times New Roman" w:hAnsi="Times New Roman" w:cs="Times New Roman" w:eastAsia="Times New Roman" w:hint="default"/>
        </w:rPr>
        <w:t>10 </w:t>
      </w:r>
      <w:r>
        <w:rPr/>
        <w:t>股派 </w:t>
      </w:r>
      <w:r>
        <w:rPr>
          <w:rFonts w:ascii="Times New Roman" w:hAnsi="Times New Roman" w:cs="Times New Roman" w:eastAsia="Times New Roman" w:hint="default"/>
        </w:rPr>
        <w:t>1.000000 </w:t>
      </w:r>
      <w:r>
        <w:rPr/>
        <w:t>元人民币 现金（含税</w:t>
      </w:r>
      <w:r>
        <w:rPr>
          <w:rFonts w:ascii="Times New Roman" w:hAnsi="Times New Roman" w:cs="Times New Roman" w:eastAsia="Times New Roman" w:hint="default"/>
        </w:rPr>
        <w:t>)</w:t>
      </w:r>
      <w:r>
        <w:rPr/>
        <w:t>。 </w:t>
      </w:r>
      <w:r>
        <w:rPr>
          <w:rFonts w:ascii="Times New Roman" w:hAnsi="Times New Roman" w:cs="Times New Roman" w:eastAsia="Times New Roman" w:hint="default"/>
        </w:rPr>
        <w:t>2.</w:t>
      </w:r>
      <w:r>
        <w:rPr/>
        <w:t>资本公积金转增股本方案：以截至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日公司股份总数</w:t>
      </w:r>
      <w:r>
        <w:rPr>
          <w:rFonts w:ascii="Times New Roman" w:hAnsi="Times New Roman" w:cs="Times New Roman" w:eastAsia="Times New Roman" w:hint="default"/>
        </w:rPr>
        <w:t>106,000,000</w:t>
      </w:r>
      <w:r>
        <w:rPr/>
        <w:t>股为基数，以资本公积金向全体股东按每</w:t>
      </w:r>
      <w:r>
        <w:rPr>
          <w:rFonts w:ascii="Times New Roman" w:hAnsi="Times New Roman" w:cs="Times New Roman" w:eastAsia="Times New Roman" w:hint="default"/>
        </w:rPr>
        <w:t>10</w:t>
      </w:r>
      <w:r>
        <w:rPr/>
        <w:t>股 转增</w:t>
      </w:r>
      <w:r>
        <w:rPr>
          <w:rFonts w:ascii="Times New Roman" w:hAnsi="Times New Roman" w:cs="Times New Roman" w:eastAsia="Times New Roman" w:hint="default"/>
        </w:rPr>
        <w:t>15</w:t>
      </w:r>
      <w:r>
        <w:rPr/>
        <w:t>股，共计转增股本</w:t>
      </w:r>
      <w:r>
        <w:rPr>
          <w:rFonts w:ascii="Times New Roman" w:hAnsi="Times New Roman" w:cs="Times New Roman" w:eastAsia="Times New Roman" w:hint="default"/>
        </w:rPr>
        <w:t>159,000,000</w:t>
      </w:r>
      <w:r>
        <w:rPr/>
        <w:t>股，转增股本后公司总股本将增加至</w:t>
      </w:r>
      <w:r>
        <w:rPr>
          <w:rFonts w:ascii="Times New Roman" w:hAnsi="Times New Roman" w:cs="Times New Roman" w:eastAsia="Times New Roman" w:hint="default"/>
        </w:rPr>
        <w:t>265,000,000</w:t>
      </w:r>
      <w:r>
        <w:rPr/>
        <w:t>股。 </w:t>
      </w:r>
      <w:r>
        <w:rPr>
          <w:rFonts w:ascii="Times New Roman" w:hAnsi="Times New Roman" w:cs="Times New Roman" w:eastAsia="Times New Roman" w:hint="default"/>
          <w:spacing w:val="-1"/>
        </w:rPr>
        <w:t>3.2015</w:t>
      </w:r>
      <w:r>
        <w:rPr>
          <w:spacing w:val="-1"/>
        </w:rPr>
        <w:t>年年度权益分派（预案）为：经公司第二届董事会第十七次会议和第二届监事会第十次会议审议通过</w:t>
      </w:r>
      <w:r>
        <w:rPr>
          <w:rFonts w:ascii="Times New Roman" w:hAnsi="Times New Roman" w:cs="Times New Roman" w:eastAsia="Times New Roman" w:hint="default"/>
          <w:spacing w:val="-1"/>
        </w:rPr>
        <w:t>2015</w:t>
      </w:r>
      <w:r>
        <w:rPr>
          <w:spacing w:val="-1"/>
        </w:rPr>
        <w:t>年度利润分</w:t>
      </w:r>
      <w:r>
        <w:rPr>
          <w:spacing w:val="-73"/>
        </w:rPr>
        <w:t> </w:t>
      </w:r>
      <w:r>
        <w:rPr>
          <w:spacing w:val="-4"/>
        </w:rPr>
        <w:t>配预案，预案如下：以公司</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日总股本</w:t>
      </w:r>
      <w:r>
        <w:rPr>
          <w:rFonts w:ascii="Times New Roman" w:hAnsi="Times New Roman" w:cs="Times New Roman" w:eastAsia="Times New Roman" w:hint="default"/>
          <w:spacing w:val="-4"/>
        </w:rPr>
        <w:t>26500</w:t>
      </w:r>
      <w:r>
        <w:rPr>
          <w:spacing w:val="-4"/>
        </w:rPr>
        <w:t>万股为基数，以未分配利润向全体股东每</w:t>
      </w:r>
      <w:r>
        <w:rPr>
          <w:rFonts w:ascii="Times New Roman" w:hAnsi="Times New Roman" w:cs="Times New Roman" w:eastAsia="Times New Roman" w:hint="default"/>
          <w:spacing w:val="-4"/>
        </w:rPr>
        <w:t>10</w:t>
      </w:r>
      <w:r>
        <w:rPr>
          <w:spacing w:val="-4"/>
        </w:rPr>
        <w:t>股派发现金红利</w:t>
      </w:r>
      <w:r>
        <w:rPr>
          <w:rFonts w:ascii="Times New Roman" w:hAnsi="Times New Roman" w:cs="Times New Roman" w:eastAsia="Times New Roman" w:hint="default"/>
          <w:spacing w:val="-4"/>
        </w:rPr>
        <w:t>0.8</w:t>
      </w:r>
      <w:r>
        <w:rPr>
          <w:spacing w:val="-4"/>
        </w:rPr>
        <w:t>元（含</w:t>
      </w:r>
      <w:r>
        <w:rPr>
          <w:spacing w:val="-51"/>
        </w:rPr>
        <w:t> </w:t>
      </w:r>
      <w:r>
        <w:rPr>
          <w:spacing w:val="-51"/>
        </w:rPr>
      </w:r>
      <w:r>
        <w:rPr/>
        <w:t>税）。上述利润分配预案尚待股东大会审议批准。</w:t>
      </w:r>
    </w:p>
    <w:p>
      <w:pPr>
        <w:pStyle w:val="BodyText"/>
        <w:spacing w:line="240" w:lineRule="auto" w:before="72"/>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48,477,706.11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36,179,269.27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51,184,782.03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0"/>
        <w:jc w:val="left"/>
        <w:rPr>
          <w:b w:val="0"/>
          <w:bCs w:val="0"/>
        </w:rPr>
      </w:pPr>
      <w:bookmarkStart w:name="1、公司、股东、实际控制人、收购人、董事、监事、高级管理人员或其他关联方在报告期" w:id="64"/>
      <w:bookmarkEnd w:id="64"/>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813"/>
        <w:gridCol w:w="1137"/>
        <w:gridCol w:w="1126"/>
        <w:gridCol w:w="1127"/>
        <w:gridCol w:w="1126"/>
        <w:gridCol w:w="1121"/>
        <w:gridCol w:w="1108"/>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7"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629" w:hRule="exact"/>
        </w:trPr>
        <w:tc>
          <w:tcPr>
            <w:tcW w:w="2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8" w:right="100"/>
              <w:jc w:val="left"/>
              <w:rPr>
                <w:rFonts w:ascii="宋体" w:hAnsi="宋体" w:cs="宋体" w:eastAsia="宋体" w:hint="default"/>
                <w:sz w:val="18"/>
                <w:szCs w:val="18"/>
              </w:rPr>
            </w:pPr>
            <w:r>
              <w:rPr>
                <w:rFonts w:ascii="宋体" w:hAnsi="宋体" w:cs="宋体" w:eastAsia="宋体" w:hint="default"/>
                <w:sz w:val="18"/>
                <w:szCs w:val="18"/>
              </w:rPr>
              <w:t>朱志刚 、金 科控股集团 有限公司</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71"/>
              <w:ind w:left="22" w:right="192"/>
              <w:jc w:val="both"/>
              <w:rPr>
                <w:rFonts w:ascii="宋体" w:hAnsi="宋体" w:cs="宋体" w:eastAsia="宋体" w:hint="default"/>
                <w:sz w:val="18"/>
                <w:szCs w:val="18"/>
              </w:rPr>
            </w:pPr>
            <w:r>
              <w:rPr>
                <w:rFonts w:ascii="宋体" w:hAnsi="宋体" w:cs="宋体" w:eastAsia="宋体" w:hint="default"/>
                <w:sz w:val="18"/>
                <w:szCs w:val="18"/>
              </w:rPr>
              <w:t>自公司的股 票在深圳证 券交易所上 市交易之日 起三十六个</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严格履行承 </w:t>
            </w:r>
            <w:r>
              <w:rPr>
                <w:rFonts w:ascii="宋体" w:hAnsi="宋体" w:cs="宋体" w:eastAsia="宋体" w:hint="default"/>
                <w:spacing w:val="-5"/>
                <w:sz w:val="18"/>
                <w:szCs w:val="18"/>
              </w:rPr>
              <w:t>诺，迄今没有</w:t>
            </w:r>
            <w:r>
              <w:rPr>
                <w:rFonts w:ascii="宋体" w:hAnsi="宋体" w:cs="宋体" w:eastAsia="宋体" w:hint="default"/>
                <w:sz w:val="18"/>
                <w:szCs w:val="18"/>
              </w:rPr>
              <w:t> 任何违反承 诺的事项发 生。</w:t>
            </w:r>
          </w:p>
        </w:tc>
      </w:tr>
      <w:tr>
        <w:trPr>
          <w:trHeight w:val="391" w:hRule="exact"/>
        </w:trPr>
        <w:tc>
          <w:tcPr>
            <w:tcW w:w="2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37"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630" w:hRule="exact"/>
        </w:trPr>
        <w:tc>
          <w:tcPr>
            <w:tcW w:w="2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7"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月内，不转让 或者委托他 人管理本方 直接或间接 持有的公司 首次公开发 行股票前已 发行的股份， 也不由公司 回购本方持 有的上述股 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上虞市金创 </w:t>
            </w:r>
            <w:r>
              <w:rPr>
                <w:rFonts w:ascii="宋体" w:hAnsi="宋体" w:cs="宋体" w:eastAsia="宋体" w:hint="default"/>
                <w:spacing w:val="-2"/>
                <w:sz w:val="18"/>
                <w:szCs w:val="18"/>
              </w:rPr>
              <w:t>投资中心（普</w:t>
            </w:r>
            <w:r>
              <w:rPr>
                <w:rFonts w:ascii="宋体" w:hAnsi="宋体" w:cs="宋体" w:eastAsia="宋体" w:hint="default"/>
                <w:sz w:val="18"/>
                <w:szCs w:val="18"/>
              </w:rPr>
              <w:t> 通合伙） 、 浙江利建创 业投资有限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自公司股票 在深圳证券 交易所上市 交易之日起 十二个月内， 不转让或者 委托他人管 理本方直接 或间接持有 的公司首次 公开发行股 票前已发行 的股份，也不 由公司回购 本方持有的 上述股份。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1"/>
              <w:ind w:left="22" w:right="24"/>
              <w:jc w:val="left"/>
              <w:rPr>
                <w:rFonts w:ascii="宋体" w:hAnsi="宋体" w:cs="宋体" w:eastAsia="宋体" w:hint="default"/>
                <w:sz w:val="18"/>
                <w:szCs w:val="18"/>
              </w:rPr>
            </w:pPr>
            <w:r>
              <w:rPr>
                <w:rFonts w:ascii="宋体" w:hAnsi="宋体" w:cs="宋体" w:eastAsia="宋体" w:hint="default"/>
                <w:sz w:val="18"/>
                <w:szCs w:val="18"/>
              </w:rPr>
              <w:t>严格履行承 </w:t>
            </w:r>
            <w:r>
              <w:rPr>
                <w:rFonts w:ascii="宋体" w:hAnsi="宋体" w:cs="宋体" w:eastAsia="宋体" w:hint="default"/>
                <w:spacing w:val="-5"/>
                <w:sz w:val="18"/>
                <w:szCs w:val="18"/>
              </w:rPr>
              <w:t>诺，迄今没有</w:t>
            </w:r>
            <w:r>
              <w:rPr>
                <w:rFonts w:ascii="宋体" w:hAnsi="宋体" w:cs="宋体" w:eastAsia="宋体" w:hint="default"/>
                <w:sz w:val="18"/>
                <w:szCs w:val="18"/>
              </w:rPr>
              <w:t> 任何违反承 诺的事项发 生。</w:t>
            </w:r>
          </w:p>
        </w:tc>
      </w:tr>
      <w:tr>
        <w:trPr>
          <w:trHeight w:val="504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3" w:right="100"/>
              <w:jc w:val="left"/>
              <w:rPr>
                <w:rFonts w:ascii="宋体" w:hAnsi="宋体" w:cs="宋体" w:eastAsia="宋体" w:hint="default"/>
                <w:sz w:val="18"/>
                <w:szCs w:val="18"/>
              </w:rPr>
            </w:pPr>
            <w:r>
              <w:rPr>
                <w:rFonts w:ascii="宋体" w:hAnsi="宋体" w:cs="宋体" w:eastAsia="宋体" w:hint="default"/>
                <w:sz w:val="18"/>
                <w:szCs w:val="18"/>
              </w:rPr>
              <w:t>朱志刚 、金 科控股集团 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）本方拟 长期持有公 </w:t>
            </w:r>
            <w:r>
              <w:rPr>
                <w:rFonts w:ascii="宋体" w:hAnsi="宋体" w:cs="宋体" w:eastAsia="宋体" w:hint="default"/>
                <w:spacing w:val="-2"/>
                <w:sz w:val="18"/>
                <w:szCs w:val="18"/>
              </w:rPr>
              <w:t>司股份，并严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格遵守关于 股份锁定期 的承诺。</w:t>
            </w:r>
            <w:r>
              <w:rPr>
                <w:rFonts w:ascii="Times New Roman" w:hAnsi="Times New Roman" w:cs="Times New Roman" w:eastAsia="Times New Roman" w:hint="default"/>
                <w:sz w:val="18"/>
                <w:szCs w:val="18"/>
              </w:rPr>
              <w:t>2</w:t>
            </w:r>
            <w:r>
              <w:rPr>
                <w:rFonts w:ascii="宋体" w:hAnsi="宋体" w:cs="宋体" w:eastAsia="宋体" w:hint="default"/>
                <w:sz w:val="18"/>
                <w:szCs w:val="18"/>
              </w:rPr>
              <w:t>） 如果在锁定 </w:t>
            </w:r>
            <w:r>
              <w:rPr>
                <w:rFonts w:ascii="宋体" w:hAnsi="宋体" w:cs="宋体" w:eastAsia="宋体" w:hint="default"/>
                <w:spacing w:val="-2"/>
                <w:sz w:val="18"/>
                <w:szCs w:val="18"/>
              </w:rPr>
              <w:t>期满后，本方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拟减持公司 </w:t>
            </w:r>
            <w:r>
              <w:rPr>
                <w:rFonts w:ascii="宋体" w:hAnsi="宋体" w:cs="宋体" w:eastAsia="宋体" w:hint="default"/>
                <w:spacing w:val="-2"/>
                <w:sz w:val="18"/>
                <w:szCs w:val="18"/>
              </w:rPr>
              <w:t>股份的，将认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真遵守中国 </w:t>
            </w:r>
            <w:r>
              <w:rPr>
                <w:rFonts w:ascii="宋体" w:hAnsi="宋体" w:cs="宋体" w:eastAsia="宋体" w:hint="default"/>
                <w:spacing w:val="-2"/>
                <w:sz w:val="18"/>
                <w:szCs w:val="18"/>
              </w:rPr>
              <w:t>证监会、证券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交易所关于 股东减持的 </w:t>
            </w:r>
            <w:r>
              <w:rPr>
                <w:rFonts w:ascii="宋体" w:hAnsi="宋体" w:cs="宋体" w:eastAsia="宋体" w:hint="default"/>
                <w:spacing w:val="-2"/>
                <w:sz w:val="18"/>
                <w:szCs w:val="18"/>
              </w:rPr>
              <w:t>相关规定，结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合公司稳定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严格履行承 </w:t>
            </w:r>
            <w:r>
              <w:rPr>
                <w:rFonts w:ascii="宋体" w:hAnsi="宋体" w:cs="宋体" w:eastAsia="宋体" w:hint="default"/>
                <w:spacing w:val="-5"/>
                <w:sz w:val="18"/>
                <w:szCs w:val="18"/>
              </w:rPr>
              <w:t>诺，迄今没有</w:t>
            </w:r>
            <w:r>
              <w:rPr>
                <w:rFonts w:ascii="宋体" w:hAnsi="宋体" w:cs="宋体" w:eastAsia="宋体" w:hint="default"/>
                <w:sz w:val="18"/>
                <w:szCs w:val="18"/>
              </w:rPr>
              <w:t> 任何违反承 诺的事项发 生。</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股价、开展经</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营、资本运作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的需要，审慎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制定股份减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持计划，在该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部分股份锁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定期满后逐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步减持</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本方减持行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为将通过竞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价交易、大宗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交易等中国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证监会、证券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交易所认可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的方式进行。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）如在锁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定期满后两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年内减持的，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减持价格不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低于公司首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次公开发行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A</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股股票的发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行价（本次发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行后发生权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益分派、公积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金转增股本、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配股等情况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的，发行价进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行相应的除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权除息处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w:t>
            </w:r>
            <w:r>
              <w:rPr>
                <w:rFonts w:ascii="宋体" w:hAnsi="宋体" w:cs="宋体" w:eastAsia="宋体" w:hint="default"/>
                <w:spacing w:val="-90"/>
                <w:sz w:val="18"/>
                <w:szCs w:val="18"/>
              </w:rPr>
              <w:t>）</w:t>
            </w:r>
            <w:r>
              <w:rPr>
                <w:rFonts w:ascii="宋体" w:hAnsi="宋体" w:cs="宋体" w:eastAsia="宋体" w:hint="default"/>
                <w:sz w:val="18"/>
                <w:szCs w:val="18"/>
              </w:rPr>
              <w:t>；如在锁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定期满两年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后减持的，按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照市场价格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5"/>
                <w:sz w:val="18"/>
                <w:szCs w:val="18"/>
              </w:rPr>
              <w:t>）公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司首次公开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内，若公司股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交易日的收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盘价均低于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发行价，或者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47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期末收盘价 低于发行价， 所持有公司 股票的锁定 期限自动延</w:t>
            </w:r>
          </w:p>
          <w:p>
            <w:pPr>
              <w:pStyle w:val="TableParagraph"/>
              <w:spacing w:line="314" w:lineRule="auto" w:before="17"/>
              <w:ind w:left="22" w:right="12"/>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个月（本</w:t>
            </w:r>
            <w:r>
              <w:rPr>
                <w:rFonts w:ascii="宋体" w:hAnsi="宋体" w:cs="宋体" w:eastAsia="宋体" w:hint="default"/>
                <w:sz w:val="18"/>
                <w:szCs w:val="18"/>
              </w:rPr>
              <w:t> 次发行后发 生权益分派、 公积金转增 股本、配股等 情况的，发行 价进行相应 的除权除息 </w:t>
            </w:r>
            <w:r>
              <w:rPr>
                <w:rFonts w:ascii="宋体" w:hAnsi="宋体" w:cs="宋体" w:eastAsia="宋体" w:hint="default"/>
                <w:spacing w:val="-26"/>
                <w:sz w:val="18"/>
                <w:szCs w:val="18"/>
              </w:rPr>
              <w:t>处理）。（</w:t>
            </w:r>
            <w:r>
              <w:rPr>
                <w:rFonts w:ascii="Times New Roman" w:hAnsi="Times New Roman" w:cs="Times New Roman" w:eastAsia="Times New Roman" w:hint="default"/>
                <w:spacing w:val="-26"/>
                <w:sz w:val="18"/>
                <w:szCs w:val="18"/>
              </w:rPr>
              <w:t>6</w:t>
            </w:r>
            <w:r>
              <w:rPr>
                <w:rFonts w:ascii="宋体" w:hAnsi="宋体" w:cs="宋体" w:eastAsia="宋体" w:hint="default"/>
                <w:spacing w:val="-26"/>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本方在减持 时，会提前将</w:t>
            </w:r>
            <w:r>
              <w:rPr>
                <w:rFonts w:ascii="宋体" w:hAnsi="宋体" w:cs="宋体" w:eastAsia="宋体" w:hint="default"/>
                <w:sz w:val="18"/>
                <w:szCs w:val="18"/>
              </w:rPr>
              <w:t> 减持意向和 拟减持数量 等信息以书 面方式通知 公司，并由公 司及时予以 公告，自公司 公告之日起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个交易日后， 方可减持公 司股份。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上虞市金创 </w:t>
            </w:r>
            <w:r>
              <w:rPr>
                <w:rFonts w:ascii="宋体" w:hAnsi="宋体" w:cs="宋体" w:eastAsia="宋体" w:hint="default"/>
                <w:spacing w:val="-2"/>
                <w:sz w:val="18"/>
                <w:szCs w:val="18"/>
              </w:rPr>
              <w:t>投资中心（普</w:t>
            </w:r>
            <w:r>
              <w:rPr>
                <w:rFonts w:ascii="宋体" w:hAnsi="宋体" w:cs="宋体" w:eastAsia="宋体" w:hint="default"/>
                <w:sz w:val="18"/>
                <w:szCs w:val="18"/>
              </w:rPr>
              <w:t> </w:t>
            </w:r>
            <w:r>
              <w:rPr>
                <w:rFonts w:ascii="宋体" w:hAnsi="宋体" w:cs="宋体" w:eastAsia="宋体" w:hint="default"/>
                <w:spacing w:val="-15"/>
                <w:sz w:val="18"/>
                <w:szCs w:val="18"/>
              </w:rPr>
              <w:t>通合伙）、浙</w:t>
            </w:r>
            <w:r>
              <w:rPr>
                <w:rFonts w:ascii="宋体" w:hAnsi="宋体" w:cs="宋体" w:eastAsia="宋体" w:hint="default"/>
                <w:sz w:val="18"/>
                <w:szCs w:val="18"/>
              </w:rPr>
              <w:t> 江利建创业 投资有限公 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）本方将 严格遵守关 于股份锁定 期的承诺。</w:t>
            </w:r>
          </w:p>
          <w:p>
            <w:pPr>
              <w:pStyle w:val="TableParagraph"/>
              <w:spacing w:line="314" w:lineRule="auto" w:before="22"/>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）在锁定 </w:t>
            </w:r>
            <w:r>
              <w:rPr>
                <w:rFonts w:ascii="宋体" w:hAnsi="宋体" w:cs="宋体" w:eastAsia="宋体" w:hint="default"/>
                <w:spacing w:val="-2"/>
                <w:sz w:val="18"/>
                <w:szCs w:val="18"/>
              </w:rPr>
              <w:t>期满后，可以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根据公司经 营、资本市 </w:t>
            </w:r>
            <w:r>
              <w:rPr>
                <w:rFonts w:ascii="宋体" w:hAnsi="宋体" w:cs="宋体" w:eastAsia="宋体" w:hint="default"/>
                <w:spacing w:val="-2"/>
                <w:sz w:val="18"/>
                <w:szCs w:val="18"/>
              </w:rPr>
              <w:t>场、自身资金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需求等情况 进行综合分 </w:t>
            </w:r>
            <w:r>
              <w:rPr>
                <w:rFonts w:ascii="宋体" w:hAnsi="宋体" w:cs="宋体" w:eastAsia="宋体" w:hint="default"/>
                <w:spacing w:val="-2"/>
                <w:sz w:val="18"/>
                <w:szCs w:val="18"/>
              </w:rPr>
              <w:t>析，自主选择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集中竞价或 大宗交易的 方式予以减 </w:t>
            </w:r>
            <w:r>
              <w:rPr>
                <w:rFonts w:ascii="宋体" w:hAnsi="宋体" w:cs="宋体" w:eastAsia="宋体" w:hint="default"/>
                <w:spacing w:val="-15"/>
                <w:sz w:val="18"/>
                <w:szCs w:val="18"/>
              </w:rPr>
              <w:t>持。（</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）本方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在减持时，会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严格履行承 </w:t>
            </w:r>
            <w:r>
              <w:rPr>
                <w:rFonts w:ascii="宋体" w:hAnsi="宋体" w:cs="宋体" w:eastAsia="宋体" w:hint="default"/>
                <w:spacing w:val="-5"/>
                <w:sz w:val="18"/>
                <w:szCs w:val="18"/>
              </w:rPr>
              <w:t>诺，迄今没有</w:t>
            </w:r>
            <w:r>
              <w:rPr>
                <w:rFonts w:ascii="宋体" w:hAnsi="宋体" w:cs="宋体" w:eastAsia="宋体" w:hint="default"/>
                <w:sz w:val="18"/>
                <w:szCs w:val="18"/>
              </w:rPr>
              <w:t> 任何违反承 诺的事项发 生。</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79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提前将减持 意向和拟减 持数量等信 息以书面方 式通知公司， 并由公司及 时予以公告， 自公司公告 之日起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个交 易日后，方可 减持公司股 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0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21"/>
              <w:jc w:val="left"/>
              <w:rPr>
                <w:rFonts w:ascii="宋体" w:hAnsi="宋体" w:cs="宋体" w:eastAsia="宋体" w:hint="default"/>
                <w:sz w:val="18"/>
                <w:szCs w:val="18"/>
              </w:rPr>
            </w:pPr>
            <w:r>
              <w:rPr>
                <w:rFonts w:ascii="宋体" w:hAnsi="宋体" w:cs="宋体" w:eastAsia="宋体" w:hint="default"/>
                <w:sz w:val="18"/>
                <w:szCs w:val="18"/>
              </w:rPr>
              <w:t>浙江金科过 氧化物股份 </w:t>
            </w:r>
            <w:r>
              <w:rPr>
                <w:rFonts w:ascii="宋体" w:hAnsi="宋体" w:cs="宋体" w:eastAsia="宋体" w:hint="default"/>
                <w:spacing w:val="-2"/>
                <w:sz w:val="18"/>
                <w:szCs w:val="18"/>
              </w:rPr>
              <w:t>有限公司、金</w:t>
            </w:r>
            <w:r>
              <w:rPr>
                <w:rFonts w:ascii="宋体" w:hAnsi="宋体" w:cs="宋体" w:eastAsia="宋体" w:hint="default"/>
                <w:sz w:val="18"/>
                <w:szCs w:val="18"/>
              </w:rPr>
              <w:t> 科控股集团 </w:t>
            </w:r>
            <w:r>
              <w:rPr>
                <w:rFonts w:ascii="宋体" w:hAnsi="宋体" w:cs="宋体" w:eastAsia="宋体" w:hint="default"/>
                <w:spacing w:val="-2"/>
                <w:sz w:val="18"/>
                <w:szCs w:val="18"/>
              </w:rPr>
              <w:t>有限公司、朱</w:t>
            </w:r>
            <w:r>
              <w:rPr>
                <w:rFonts w:ascii="宋体" w:hAnsi="宋体" w:cs="宋体" w:eastAsia="宋体" w:hint="default"/>
                <w:sz w:val="18"/>
                <w:szCs w:val="18"/>
              </w:rPr>
              <w:t> 志刚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、本次发行 上市后公司 的利润分配 </w:t>
            </w:r>
            <w:r>
              <w:rPr>
                <w:rFonts w:ascii="宋体" w:hAnsi="宋体" w:cs="宋体" w:eastAsia="宋体" w:hint="default"/>
                <w:spacing w:val="-2"/>
                <w:sz w:val="18"/>
                <w:szCs w:val="18"/>
              </w:rPr>
              <w:t>政策：根据本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次公开发行 股票并上市 后将生效的</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p>
            <w:pPr>
              <w:pStyle w:val="TableParagraph"/>
              <w:spacing w:line="316" w:lineRule="auto" w:before="76"/>
              <w:ind w:left="22" w:right="12"/>
              <w:jc w:val="left"/>
              <w:rPr>
                <w:rFonts w:ascii="宋体" w:hAnsi="宋体" w:cs="宋体" w:eastAsia="宋体" w:hint="default"/>
                <w:sz w:val="18"/>
                <w:szCs w:val="18"/>
              </w:rPr>
            </w:pPr>
            <w:r>
              <w:rPr>
                <w:rFonts w:ascii="宋体" w:hAnsi="宋体" w:cs="宋体" w:eastAsia="宋体" w:hint="default"/>
                <w:spacing w:val="-28"/>
                <w:sz w:val="18"/>
                <w:szCs w:val="18"/>
              </w:rPr>
              <w:t>（草案）》，有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关股利分配 的主要规定 </w:t>
            </w:r>
            <w:r>
              <w:rPr>
                <w:rFonts w:ascii="宋体" w:hAnsi="宋体" w:cs="宋体" w:eastAsia="宋体" w:hint="default"/>
                <w:spacing w:val="-15"/>
                <w:sz w:val="18"/>
                <w:szCs w:val="18"/>
              </w:rPr>
              <w:t>如下：（</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）公</w:t>
            </w:r>
            <w:r>
              <w:rPr>
                <w:rFonts w:ascii="宋体" w:hAnsi="宋体" w:cs="宋体" w:eastAsia="宋体" w:hint="default"/>
                <w:spacing w:val="-5"/>
                <w:sz w:val="18"/>
                <w:szCs w:val="18"/>
              </w:rPr>
              <w:t> </w:t>
            </w:r>
            <w:r>
              <w:rPr>
                <w:rFonts w:ascii="宋体" w:hAnsi="宋体" w:cs="宋体" w:eastAsia="宋体" w:hint="default"/>
                <w:sz w:val="18"/>
                <w:szCs w:val="18"/>
              </w:rPr>
              <w:t>司的利润分</w:t>
            </w:r>
            <w:r>
              <w:rPr>
                <w:rFonts w:ascii="宋体" w:hAnsi="宋体" w:cs="宋体" w:eastAsia="宋体" w:hint="default"/>
                <w:sz w:val="18"/>
                <w:szCs w:val="18"/>
              </w:rPr>
              <w:t> 配应重视对 投资者的合 理投资回报， 并兼顾公司 的可持续发 </w:t>
            </w:r>
            <w:r>
              <w:rPr>
                <w:rFonts w:ascii="宋体" w:hAnsi="宋体" w:cs="宋体" w:eastAsia="宋体" w:hint="default"/>
                <w:spacing w:val="-15"/>
                <w:sz w:val="18"/>
                <w:szCs w:val="18"/>
              </w:rPr>
              <w:t>展；（</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利润分配政 策应保持连 续性和稳定 性，公司根据</w:t>
            </w:r>
            <w:r>
              <w:rPr>
                <w:rFonts w:ascii="宋体" w:hAnsi="宋体" w:cs="宋体" w:eastAsia="宋体" w:hint="default"/>
                <w:sz w:val="18"/>
                <w:szCs w:val="18"/>
              </w:rPr>
              <w:t> 生产经营情 况、投资规划 和长期发展 等确需要调 整利润分配 政策的，调整 后的利润分 配政策应以 股权权益保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3"/>
              <w:ind w:left="22" w:right="24"/>
              <w:jc w:val="left"/>
              <w:rPr>
                <w:rFonts w:ascii="宋体" w:hAnsi="宋体" w:cs="宋体" w:eastAsia="宋体" w:hint="default"/>
                <w:sz w:val="18"/>
                <w:szCs w:val="18"/>
              </w:rPr>
            </w:pPr>
            <w:r>
              <w:rPr>
                <w:rFonts w:ascii="宋体" w:hAnsi="宋体" w:cs="宋体" w:eastAsia="宋体" w:hint="default"/>
                <w:sz w:val="18"/>
                <w:szCs w:val="18"/>
              </w:rPr>
              <w:t>严格履行承 </w:t>
            </w:r>
            <w:r>
              <w:rPr>
                <w:rFonts w:ascii="宋体" w:hAnsi="宋体" w:cs="宋体" w:eastAsia="宋体" w:hint="default"/>
                <w:spacing w:val="-5"/>
                <w:sz w:val="18"/>
                <w:szCs w:val="18"/>
              </w:rPr>
              <w:t>诺，迄今没有</w:t>
            </w:r>
            <w:r>
              <w:rPr>
                <w:rFonts w:ascii="宋体" w:hAnsi="宋体" w:cs="宋体" w:eastAsia="宋体" w:hint="default"/>
                <w:sz w:val="18"/>
                <w:szCs w:val="18"/>
              </w:rPr>
              <w:t> 任何违反承 诺的事项发 生。</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护为出发点，</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不得违反中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国证监会和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的有关规定。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有关调整利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润分配政策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的议案，需要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事先征求独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立董事及监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事会意见，并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经公司董事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会审议后提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交公司股东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大会批准；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事会审议利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润分配政策、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利润分配方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案的议案时，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应取得全体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分之二以上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同意；公司股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东大会审议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利润分配政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策、利润分配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方案的议案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时，应充分听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取公众投资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者的意见；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以采取现金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或者股票方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式分配股利，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积极推行现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金分配的方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式，可以进行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中期现金分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pacing w:val="-5"/>
                <w:sz w:val="18"/>
                <w:szCs w:val="18"/>
              </w:rPr>
              <w:t>）</w:t>
            </w:r>
            <w:r>
              <w:rPr>
                <w:rFonts w:ascii="宋体" w:hAnsi="宋体" w:cs="宋体" w:eastAsia="宋体" w:hint="default"/>
                <w:sz w:val="18"/>
                <w:szCs w:val="18"/>
              </w:rPr>
              <w:t>在满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足公司正常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生产经营对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资金需求的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情况下，公司</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应当优先采</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取现金方式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）若公司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当年进行利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润分配，则以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现金形式累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计分配的利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润不少于当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年实现的可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供分配利润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的百分之二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十</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pacing w:val="-5"/>
                <w:sz w:val="18"/>
                <w:szCs w:val="18"/>
              </w:rPr>
              <w:t>）</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最近三年以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现金方式累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计分配的利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润不少于最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近三年实现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的年均可分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配利润的百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分之四十；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）年度公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司盈利但董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事会未做出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配预案的，应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当在年度报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告中披露未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分红的原因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及未用于分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红的资金留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存公司的用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途，独立董事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应当对此发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表独立意见；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）公司最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近三年以现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金方式累计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分配的利润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少于最近三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年实现的年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均可分配利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润的百分之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三十的，不得</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0654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2"/>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向社会公众</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增发新股、发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行可转换公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司债券或向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原有股东配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售股份</w:t>
            </w:r>
            <w:r>
              <w:rPr>
                <w:rFonts w:ascii="宋体" w:hAnsi="宋体" w:cs="宋体" w:eastAsia="宋体" w:hint="default"/>
                <w:spacing w:val="-100"/>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10</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股东违规占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用公司资金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的，公司应当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扣减该股东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本应分配的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现金红利，以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偿还其占用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的资金。</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本次发行上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市后子公司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的利润分配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政策：本公司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子公司浙江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金科双氧水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浙江金科日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化原料有限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程》均有明确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的分红条款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规定，保证了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配政策的连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续性和稳定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性。浙江金科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双氧水有限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程》第十九条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w:t>
            </w:r>
            <w:r>
              <w:rPr>
                <w:rFonts w:ascii="宋体" w:hAnsi="宋体" w:cs="宋体" w:eastAsia="宋体" w:hint="default"/>
                <w:spacing w:val="-9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在公司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盈利年度，公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司当年分配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给股东的利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润不少于公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司弥补亏损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和提取公积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金后所余利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浙江金科日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0654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1"/>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化原料有限</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公司《公司章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程》第十六条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w:t>
            </w:r>
            <w:r>
              <w:rPr>
                <w:rFonts w:ascii="宋体" w:hAnsi="宋体" w:cs="宋体" w:eastAsia="宋体" w:hint="default"/>
                <w:spacing w:val="-9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在公司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盈利年度，公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司当年分配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给股东的利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润不少于公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司弥补亏损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和提取公积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金后所余利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润的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50%</w:t>
            </w:r>
            <w:r>
              <w:rPr>
                <w:rFonts w:ascii="宋体" w:hAnsi="宋体" w:cs="宋体" w:eastAsia="宋体" w:hint="default"/>
                <w:spacing w:val="-90"/>
                <w:sz w:val="18"/>
                <w:szCs w:val="18"/>
              </w:rPr>
              <w:t>。</w:t>
            </w:r>
            <w:r>
              <w:rPr>
                <w:rFonts w:ascii="Times New Roman" w:hAnsi="Times New Roman" w:cs="Times New Roman" w:eastAsia="Times New Roman" w:hint="default"/>
                <w:w w:val="100"/>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利润分配的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具体规划：为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进一步细化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z w:val="18"/>
                <w:szCs w:val="18"/>
              </w:rPr>
              <w:t>》中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关于利润分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配政策的条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款，增强公司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利润分配决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策的透明度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和可操作性，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便于股东对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公司经营和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分配进行监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督，公司在充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分考虑全体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股东的利益，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并根据公司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的经营业绩、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现金流量、财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务状况、业务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开展状况和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发展前景及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相关其他重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要因素，对本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次发行完成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后的股利分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配政策进行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了积极、稳妥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的规划，具体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分红回报规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划如下</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股东回报规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划制定考虑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因素。公司着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眼于长远和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可持续发展，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综合考虑企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业实际情况、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发展目标，建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立对投资者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持续、稳定、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科学的回报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规划与机制，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从而对股利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分配作出指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定性安排，以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保证股利分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配的连续性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和稳定性。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）股东回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报规划制定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原则。公司股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东回报规划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应充分考虑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和听取股东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（特别是公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众投资者</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外部监事的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意见，在满足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公司正常生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产经营对资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金需求的情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况下，坚持现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金分红为主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的基本原则，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每年现金分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红的比例不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低于当年实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现可供分配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利润的百分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之二十，或者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最近三年以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现金方式累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计分配的利</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润不少于最</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近三年实现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的年均可分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配利润的百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分之四十。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）股东回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报规划制定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周期和相关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决策机制。公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司至少每五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年重新审阅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一次《股东分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红回报规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w:t>
            </w:r>
            <w:r>
              <w:rPr>
                <w:rFonts w:ascii="宋体" w:hAnsi="宋体" w:cs="宋体" w:eastAsia="宋体" w:hint="default"/>
                <w:spacing w:val="-90"/>
                <w:sz w:val="18"/>
                <w:szCs w:val="18"/>
              </w:rPr>
              <w:t>》</w:t>
            </w:r>
            <w:r>
              <w:rPr>
                <w:rFonts w:ascii="宋体" w:hAnsi="宋体" w:cs="宋体" w:eastAsia="宋体" w:hint="default"/>
                <w:sz w:val="18"/>
                <w:szCs w:val="18"/>
              </w:rPr>
              <w:t>，根据股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东（特别是公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众投资者</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外部监事的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意见对公司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正在实施的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股利分配政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策作出适当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且必要的修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改，确定该时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段的股东回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报计划。并由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结合具体经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营数据，充分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考虑公司盈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利规模、现金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流量状况、发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展阶段及当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期资金需求，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并结合股东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（特别是公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众投资者</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外部监事的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意见制定年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度或中期分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红方案，并经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决通过后实</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34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3"/>
              <w:ind w:left="22" w:right="89"/>
              <w:jc w:val="both"/>
              <w:rPr>
                <w:rFonts w:ascii="宋体" w:hAnsi="宋体" w:cs="宋体" w:eastAsia="宋体" w:hint="default"/>
                <w:sz w:val="18"/>
                <w:szCs w:val="18"/>
              </w:rPr>
            </w:pPr>
            <w:r>
              <w:rPr>
                <w:rFonts w:ascii="宋体" w:hAnsi="宋体" w:cs="宋体" w:eastAsia="宋体" w:hint="default"/>
                <w:sz w:val="18"/>
                <w:szCs w:val="18"/>
              </w:rPr>
              <w:t>度股东分红 回报计划。 </w:t>
            </w:r>
            <w:r>
              <w:rPr>
                <w:rFonts w:ascii="Times New Roman" w:hAnsi="Times New Roman" w:cs="Times New Roman" w:eastAsia="Times New Roman" w:hint="default"/>
                <w:sz w:val="18"/>
                <w:szCs w:val="18"/>
              </w:rPr>
              <w:t>2012-2016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12"/>
              <w:jc w:val="left"/>
              <w:rPr>
                <w:rFonts w:ascii="宋体" w:hAnsi="宋体" w:cs="宋体" w:eastAsia="宋体" w:hint="default"/>
                <w:sz w:val="18"/>
                <w:szCs w:val="18"/>
              </w:rPr>
            </w:pPr>
            <w:r>
              <w:rPr>
                <w:rFonts w:ascii="宋体" w:hAnsi="宋体" w:cs="宋体" w:eastAsia="宋体" w:hint="default"/>
                <w:sz w:val="18"/>
                <w:szCs w:val="18"/>
              </w:rPr>
              <w:t>是公司谋求 上市，实现跨 越式发展目 标的重要时 期，公司该时 期的发展与 股东的鼎力 相助密不可 分。为此，公 司计划将为 股东提供足 额投资回报。 </w:t>
            </w:r>
            <w:r>
              <w:rPr>
                <w:rFonts w:ascii="Times New Roman" w:hAnsi="Times New Roman" w:cs="Times New Roman" w:eastAsia="Times New Roman" w:hint="default"/>
                <w:sz w:val="18"/>
                <w:szCs w:val="18"/>
              </w:rPr>
              <w:t>4</w:t>
            </w:r>
            <w:r>
              <w:rPr>
                <w:rFonts w:ascii="宋体" w:hAnsi="宋体" w:cs="宋体" w:eastAsia="宋体" w:hint="default"/>
                <w:sz w:val="18"/>
                <w:szCs w:val="18"/>
              </w:rPr>
              <w:t>、控股股东 和实际控制 人关于上市 后利润分配 的承诺。公司 控股股东和 实际控制人 承诺：未来公 司股东大会 根据公司章 程的规定通 过利润分配 具体方案时， 本方表示同 意并将投赞 成票。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3" w:right="10"/>
              <w:jc w:val="left"/>
              <w:rPr>
                <w:rFonts w:ascii="宋体" w:hAnsi="宋体" w:cs="宋体" w:eastAsia="宋体" w:hint="default"/>
                <w:sz w:val="18"/>
                <w:szCs w:val="18"/>
              </w:rPr>
            </w:pPr>
            <w:r>
              <w:rPr>
                <w:rFonts w:ascii="宋体" w:hAnsi="宋体" w:cs="宋体" w:eastAsia="宋体" w:hint="default"/>
                <w:sz w:val="18"/>
                <w:szCs w:val="18"/>
              </w:rPr>
              <w:t>金科控股集 团有限公司、 朱志刚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一、避免同业 竞争的承诺； 本公司控股 股东金科控 股、实际控制 人朱志刚承 </w:t>
            </w:r>
            <w:r>
              <w:rPr>
                <w:rFonts w:ascii="宋体" w:hAnsi="宋体" w:cs="宋体" w:eastAsia="宋体" w:hint="default"/>
                <w:spacing w:val="-15"/>
                <w:sz w:val="18"/>
                <w:szCs w:val="18"/>
              </w:rPr>
              <w:t>诺：（</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）本方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控制的企业</w:t>
            </w:r>
          </w:p>
          <w:p>
            <w:pPr>
              <w:pStyle w:val="TableParagraph"/>
              <w:spacing w:line="316" w:lineRule="auto" w:before="20"/>
              <w:ind w:left="22" w:right="192"/>
              <w:jc w:val="both"/>
              <w:rPr>
                <w:rFonts w:ascii="宋体" w:hAnsi="宋体" w:cs="宋体" w:eastAsia="宋体" w:hint="default"/>
                <w:sz w:val="18"/>
                <w:szCs w:val="18"/>
              </w:rPr>
            </w:pPr>
            <w:r>
              <w:rPr>
                <w:rFonts w:ascii="宋体" w:hAnsi="宋体" w:cs="宋体" w:eastAsia="宋体" w:hint="default"/>
                <w:sz w:val="18"/>
                <w:szCs w:val="18"/>
              </w:rPr>
              <w:t>（浙江金科 过氧化物股 份有限公司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24"/>
              <w:jc w:val="left"/>
              <w:rPr>
                <w:rFonts w:ascii="宋体" w:hAnsi="宋体" w:cs="宋体" w:eastAsia="宋体" w:hint="default"/>
                <w:sz w:val="18"/>
                <w:szCs w:val="18"/>
              </w:rPr>
            </w:pPr>
            <w:r>
              <w:rPr>
                <w:rFonts w:ascii="宋体" w:hAnsi="宋体" w:cs="宋体" w:eastAsia="宋体" w:hint="default"/>
                <w:sz w:val="18"/>
                <w:szCs w:val="18"/>
              </w:rPr>
              <w:t>严格履行承 </w:t>
            </w:r>
            <w:r>
              <w:rPr>
                <w:rFonts w:ascii="宋体" w:hAnsi="宋体" w:cs="宋体" w:eastAsia="宋体" w:hint="default"/>
                <w:spacing w:val="-5"/>
                <w:sz w:val="18"/>
                <w:szCs w:val="18"/>
              </w:rPr>
              <w:t>诺，迄今没有</w:t>
            </w:r>
            <w:r>
              <w:rPr>
                <w:rFonts w:ascii="宋体" w:hAnsi="宋体" w:cs="宋体" w:eastAsia="宋体" w:hint="default"/>
                <w:sz w:val="18"/>
                <w:szCs w:val="18"/>
              </w:rPr>
              <w:t> 任何违反承 诺的事项发 生。</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及其子公司</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除外）目前并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没有以任何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形式从事或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参与与浙江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金科过氧化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物股份有限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公司及其子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公司主营业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务构成或可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能构成直接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关系的业务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或活动</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本方依照中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被确认为浙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江金科过氧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化物股份有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控制人、控股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股东期间，本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方保证本方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及本方实际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控制的除浙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江金科过氧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化物股份有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子公司以外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将不会在中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国境内或境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外以任何方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式（包括但不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限于单独经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营、通过合资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经营或拥有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另一公司或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企业的股权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及其它权益）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从事或参与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任何与浙江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金科过氧化</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物股份有限</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公司及其子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争的任何业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务或活动，不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以任何方式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从事或参与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任何与浙江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金科过氧化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物股份有限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公司及其子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公司业务相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同、相似或可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能取代浙江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金科过氧化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物股份有限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公司及其子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公司业务的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活动；二、规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范和减少关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诺；本公司控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股股东金科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控股、实际控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制人朱志刚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方将严格按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照《公司法》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以及股份公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z w:val="18"/>
                <w:szCs w:val="18"/>
              </w:rPr>
              <w:t>》等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有关规定行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使股东权利；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大会对有关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涉及本方事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易进行表决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时，履行回避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表决的义务；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）在任何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情况下，不要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求股份公司</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向本方提供</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任何形式的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5"/>
                <w:sz w:val="18"/>
                <w:szCs w:val="18"/>
              </w:rPr>
              <w:t>）在</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双方的关联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交易上，严格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遵循市场原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则，尽量避免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不必要的关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联交易发生；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）对于无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法避免或者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有合理原因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而发生的关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联交易，将遵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循市场公正、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公平、公开的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原则，并依法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签订协议，履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行合法程序，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按照股份公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和《深圳证券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交易所创业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板股票上市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规则》等有关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规定履行信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息披露义务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和办理有关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审议程序，保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证不通过关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其他股东的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合法权益。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三、避免资金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占用的承诺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股东金科控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人朱志刚承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5"/>
                <w:sz w:val="18"/>
                <w:szCs w:val="18"/>
              </w:rPr>
              <w:t>）</w:t>
            </w:r>
            <w:r>
              <w:rPr>
                <w:rFonts w:ascii="宋体" w:hAnsi="宋体" w:cs="宋体" w:eastAsia="宋体" w:hint="default"/>
                <w:sz w:val="18"/>
                <w:szCs w:val="18"/>
              </w:rPr>
              <w:t>严格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限制朱志刚、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金科控股及</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他关联方与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发行人在发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生经营性资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金往来中占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用资金，不要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求发行人为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其垫支工资、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福利、保险、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广告等期间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费用，也不互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相代为承担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成本和其他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支出</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）不</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得利用控股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股东及实际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控制人身份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要求发行人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以下列方式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将资金直接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或间接地提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供给金科控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股、朱志刚及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他关联方使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用：①有偿或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无偿地拆借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给金科控股、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朱志刚及其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关联方使用；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②通过银行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或非银行金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融机构向金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科控股、朱志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刚及其控制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的其他关联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方提供委托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贷款；③委托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金科控股、朱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志刚及其控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制的其他关</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844"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联方进行投 资活动；④为 金科控股、朱 志刚及其控 制的其他关 联方开具没 有真实交易 背景的商业 承兑汇票；⑤ 代金科控股、 朱志刚及其 控制的其他 关联方偿还 </w:t>
            </w:r>
            <w:r>
              <w:rPr>
                <w:rFonts w:ascii="宋体" w:hAnsi="宋体" w:cs="宋体" w:eastAsia="宋体" w:hint="default"/>
                <w:spacing w:val="-15"/>
                <w:sz w:val="18"/>
                <w:szCs w:val="18"/>
              </w:rPr>
              <w:t>债务。（</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）如</w:t>
            </w:r>
            <w:r>
              <w:rPr>
                <w:rFonts w:ascii="宋体" w:hAnsi="宋体" w:cs="宋体" w:eastAsia="宋体" w:hint="default"/>
                <w:spacing w:val="-5"/>
                <w:sz w:val="18"/>
                <w:szCs w:val="18"/>
              </w:rPr>
              <w:t> </w:t>
            </w:r>
            <w:r>
              <w:rPr>
                <w:rFonts w:ascii="宋体" w:hAnsi="宋体" w:cs="宋体" w:eastAsia="宋体" w:hint="default"/>
                <w:sz w:val="18"/>
                <w:szCs w:val="18"/>
              </w:rPr>
              <w:t>果本方及本</w:t>
            </w:r>
            <w:r>
              <w:rPr>
                <w:rFonts w:ascii="宋体" w:hAnsi="宋体" w:cs="宋体" w:eastAsia="宋体" w:hint="default"/>
                <w:sz w:val="18"/>
                <w:szCs w:val="18"/>
              </w:rPr>
              <w:t> 方控制的企 业违反上述 承诺，与发行 人发生非经 营性资金往 来，需在持有 发行人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以 上的股东要 求时立即返 还资金，并赔 偿发行人相 当于同期银 行贷款利率 四倍的资金 占用费；视情 节轻重由责 任人向发行 人或其子公 司缴纳</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10,000 </w:t>
            </w:r>
            <w:r>
              <w:rPr>
                <w:rFonts w:ascii="宋体" w:hAnsi="宋体" w:cs="宋体" w:eastAsia="宋体" w:hint="default"/>
                <w:sz w:val="18"/>
                <w:szCs w:val="18"/>
              </w:rPr>
              <w:t>元以上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元以</w:t>
            </w: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下的罚款；性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质严重的，报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送司法机关 追究刑事责 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浙江金科过 氧化物股份 </w:t>
            </w:r>
            <w:r>
              <w:rPr>
                <w:rFonts w:ascii="宋体" w:hAnsi="宋体" w:cs="宋体" w:eastAsia="宋体" w:hint="default"/>
                <w:spacing w:val="-2"/>
                <w:sz w:val="18"/>
                <w:szCs w:val="18"/>
              </w:rPr>
              <w:t>有限公司、金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02" w:lineRule="auto"/>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自发行人本 次发行并上 市之日起三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严格履行承 </w:t>
            </w:r>
            <w:r>
              <w:rPr>
                <w:rFonts w:ascii="宋体" w:hAnsi="宋体" w:cs="宋体" w:eastAsia="宋体" w:hint="default"/>
                <w:spacing w:val="-5"/>
                <w:sz w:val="18"/>
                <w:szCs w:val="18"/>
              </w:rPr>
              <w:t>诺，迄今没有</w:t>
            </w:r>
            <w:r>
              <w:rPr>
                <w:rFonts w:ascii="宋体" w:hAnsi="宋体" w:cs="宋体" w:eastAsia="宋体" w:hint="default"/>
                <w:sz w:val="18"/>
                <w:szCs w:val="18"/>
              </w:rPr>
              <w:t> 任何违反承</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科控股集团 </w:t>
            </w:r>
            <w:r>
              <w:rPr>
                <w:rFonts w:ascii="宋体" w:hAnsi="宋体" w:cs="宋体" w:eastAsia="宋体" w:hint="default"/>
                <w:spacing w:val="-2"/>
                <w:sz w:val="18"/>
                <w:szCs w:val="18"/>
              </w:rPr>
              <w:t>有限公司、朱</w:t>
            </w:r>
            <w:r>
              <w:rPr>
                <w:rFonts w:ascii="宋体" w:hAnsi="宋体" w:cs="宋体" w:eastAsia="宋体" w:hint="default"/>
                <w:sz w:val="18"/>
                <w:szCs w:val="18"/>
              </w:rPr>
              <w:t> 志刚</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年内，发行人 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 收盘价均低 于最近一期 每股净资产， 在增持发行 人股份不会 影响发行人 的上市地位 的前提下，本 公司将按照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日发行人</w:t>
            </w:r>
          </w:p>
          <w:p>
            <w:pPr>
              <w:pStyle w:val="TableParagraph"/>
              <w:spacing w:line="314" w:lineRule="auto" w:before="63"/>
              <w:ind w:left="22" w:right="12"/>
              <w:jc w:val="left"/>
              <w:rPr>
                <w:rFonts w:ascii="宋体" w:hAnsi="宋体" w:cs="宋体" w:eastAsia="宋体" w:hint="default"/>
                <w:sz w:val="18"/>
                <w:szCs w:val="18"/>
              </w:rPr>
            </w:pPr>
            <w:r>
              <w:rPr>
                <w:rFonts w:ascii="宋体" w:hAnsi="宋体" w:cs="宋体" w:eastAsia="宋体" w:hint="default"/>
                <w:sz w:val="18"/>
                <w:szCs w:val="18"/>
              </w:rPr>
              <w:t>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年度股东大 会审议通过 的《浙江金科 过氧化物股 份有限公司 首次公开发 行人民币普 通股股票并 上市后三年 内稳定股份 的预案》的规 定增持发行 人股份以稳 定股价。</w:t>
            </w:r>
            <w:r>
              <w:rPr>
                <w:rFonts w:ascii="Times New Roman" w:hAnsi="Times New Roman" w:cs="Times New Roman" w:eastAsia="Times New Roman" w:hint="default"/>
                <w:sz w:val="18"/>
                <w:szCs w:val="18"/>
              </w:rPr>
              <w:t>1</w:t>
            </w:r>
            <w:r>
              <w:rPr>
                <w:rFonts w:ascii="宋体" w:hAnsi="宋体" w:cs="宋体" w:eastAsia="宋体" w:hint="default"/>
                <w:sz w:val="18"/>
                <w:szCs w:val="18"/>
              </w:rPr>
              <w:t>、 启动股价稳 定措施的预 警条件和具 </w:t>
            </w:r>
            <w:r>
              <w:rPr>
                <w:rFonts w:ascii="宋体" w:hAnsi="宋体" w:cs="宋体" w:eastAsia="宋体" w:hint="default"/>
                <w:spacing w:val="-13"/>
                <w:sz w:val="18"/>
                <w:szCs w:val="18"/>
              </w:rPr>
              <w:t>体条件：（</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z w:val="18"/>
                <w:szCs w:val="18"/>
              </w:rPr>
              <w:t> 预警条件：公</w:t>
            </w:r>
            <w:r>
              <w:rPr>
                <w:rFonts w:ascii="宋体" w:hAnsi="宋体" w:cs="宋体" w:eastAsia="宋体" w:hint="default"/>
                <w:sz w:val="18"/>
                <w:szCs w:val="18"/>
              </w:rPr>
              <w:t> 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个交易日的 收盘价均低 于每股净资 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 </w:t>
            </w:r>
            <w:r>
              <w:rPr>
                <w:rFonts w:ascii="宋体" w:hAnsi="宋体" w:cs="宋体" w:eastAsia="宋体" w:hint="default"/>
                <w:sz w:val="18"/>
                <w:szCs w:val="18"/>
              </w:rPr>
              <w:t>时，公司将在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个工作日 内召开投资 者见面会或 通过电子信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3"/>
              <w:jc w:val="left"/>
              <w:rPr>
                <w:rFonts w:ascii="宋体" w:hAnsi="宋体" w:cs="宋体" w:eastAsia="宋体" w:hint="default"/>
                <w:sz w:val="18"/>
                <w:szCs w:val="18"/>
              </w:rPr>
            </w:pPr>
            <w:r>
              <w:rPr>
                <w:rFonts w:ascii="宋体" w:hAnsi="宋体" w:cs="宋体" w:eastAsia="宋体" w:hint="default"/>
                <w:sz w:val="18"/>
                <w:szCs w:val="18"/>
              </w:rPr>
              <w:t>诺的事项发 生。</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346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息交流平台， 与投资者就 公司经营状 况、财务指 标、发展战略 进行深入沟 </w:t>
            </w:r>
            <w:r>
              <w:rPr>
                <w:rFonts w:ascii="宋体" w:hAnsi="宋体" w:cs="宋体" w:eastAsia="宋体" w:hint="default"/>
                <w:spacing w:val="-15"/>
                <w:sz w:val="18"/>
                <w:szCs w:val="18"/>
              </w:rPr>
              <w:t>通。（</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）具体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条件：公司稳</w:t>
            </w:r>
            <w:r>
              <w:rPr>
                <w:rFonts w:ascii="宋体" w:hAnsi="宋体" w:cs="宋体" w:eastAsia="宋体" w:hint="default"/>
                <w:sz w:val="18"/>
                <w:szCs w:val="18"/>
              </w:rPr>
              <w:t> 定股价的具 体措施包括 回购公司股 票并注销；控 股股东及公 司董事（独立 </w:t>
            </w:r>
            <w:r>
              <w:rPr>
                <w:rFonts w:ascii="宋体" w:hAnsi="宋体" w:cs="宋体" w:eastAsia="宋体" w:hint="default"/>
                <w:spacing w:val="-15"/>
                <w:sz w:val="18"/>
                <w:szCs w:val="18"/>
              </w:rPr>
              <w:t>董事除外）、</w:t>
            </w:r>
            <w:r>
              <w:rPr>
                <w:rFonts w:ascii="宋体" w:hAnsi="宋体" w:cs="宋体" w:eastAsia="宋体" w:hint="default"/>
                <w:sz w:val="18"/>
                <w:szCs w:val="18"/>
              </w:rPr>
              <w:t> 高级管理人 员增持公司 股票。启动上 述措施的具 体条件分别 为：①回购公 司股票并注 销的具体条 件：公司股票 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 易日的收盘 价均低于最 近一期每股 净资产；公司 上市后满一 年；公司最近 一年无重大 违法行为；公 司不处于亏 损状态；回购 股份后，公司 具备持续经 营能力；回购 股份后，公司 的股权分布 原则上应当 符合上市条 件。</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金科控股集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严格履行承</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3002pt;margin-top:90.11998pt;width:62pt;height:668.85pt;mso-position-horizontal-relative:page;mso-position-vertical-relative:page;z-index:-10654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r>
        <w:rPr/>
        <w:pict>
          <v:group style="position:absolute;margin-left:367.660004pt;margin-top:90.11998pt;width:55.85pt;height:668.85pt;mso-position-horizontal-relative:page;mso-position-vertical-relative:page;z-index:-1065376" coordorigin="7353,1802" coordsize="1117,13377">
            <v:shape style="position:absolute;left:7353;top:1802;width:1117;height:13377" coordorigin="7353,1802" coordsize="1117,13377" path="m7353,15179l8470,15179,8470,1802,7353,1802,7353,1517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诺，迄今没有</w:t>
            </w:r>
          </w:p>
        </w:tc>
      </w:tr>
      <w:tr>
        <w:trPr>
          <w:trHeight w:val="30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朱志刚、浙江</w:t>
            </w: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并在创业板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任何违反承</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金科过氧化</w:t>
            </w: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上市招股说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诺的事项发</w:t>
            </w: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物股份有限</w:t>
            </w: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明书不存在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生。</w:t>
            </w: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虚假记载、误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导性陈述或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者重大遗漏。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）如公司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招股说明书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存在虚假记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载、误导性陈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述或者重大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遗漏，对判断</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公司是否符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合法律规定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的发行条件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构成重大、实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质影响的，公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司将在证券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监督管理部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门作出上述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认定时，依法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回购首次公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开发行的全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部新股；控股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股东金科控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股将在证券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监督管理部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门作出上述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认定时，依法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购回首次公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开发行时已</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公开发售的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股份（如有）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）如公司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首次公开发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行并在创业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板上市招股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说明书存在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虚假记载、误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导性陈述或</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者重大遗漏，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致使投资者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在证券交易</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9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中遭受损失 的，相关各方 将依法赔偿 投资者损失。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331"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本公司实际 控制人朱志 刚承诺：在发 行人上市后， 若由于发行 人及其子公 司在上市前 的经营活动 中存在应缴 未缴的社会 保险和住房 公积金而被 有关政府部 门要求补缴 或者处罚，将 赔偿发行人 及其全资子 公司由此产 生的全部损 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24"/>
              <w:jc w:val="left"/>
              <w:rPr>
                <w:rFonts w:ascii="宋体" w:hAnsi="宋体" w:cs="宋体" w:eastAsia="宋体" w:hint="default"/>
                <w:sz w:val="18"/>
                <w:szCs w:val="18"/>
              </w:rPr>
            </w:pPr>
            <w:r>
              <w:rPr>
                <w:rFonts w:ascii="宋体" w:hAnsi="宋体" w:cs="宋体" w:eastAsia="宋体" w:hint="default"/>
                <w:sz w:val="18"/>
                <w:szCs w:val="18"/>
              </w:rPr>
              <w:t>严格履行承 </w:t>
            </w:r>
            <w:r>
              <w:rPr>
                <w:rFonts w:ascii="宋体" w:hAnsi="宋体" w:cs="宋体" w:eastAsia="宋体" w:hint="default"/>
                <w:spacing w:val="-5"/>
                <w:sz w:val="18"/>
                <w:szCs w:val="18"/>
              </w:rPr>
              <w:t>诺，迄今没有</w:t>
            </w:r>
            <w:r>
              <w:rPr>
                <w:rFonts w:ascii="宋体" w:hAnsi="宋体" w:cs="宋体" w:eastAsia="宋体" w:hint="default"/>
                <w:sz w:val="18"/>
                <w:szCs w:val="18"/>
              </w:rPr>
              <w:t> 任何违反承 诺的事项发 生。</w:t>
            </w:r>
          </w:p>
        </w:tc>
      </w:tr>
      <w:tr>
        <w:trPr>
          <w:trHeight w:val="629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3" w:right="10"/>
              <w:jc w:val="left"/>
              <w:rPr>
                <w:rFonts w:ascii="宋体" w:hAnsi="宋体" w:cs="宋体" w:eastAsia="宋体" w:hint="default"/>
                <w:sz w:val="18"/>
                <w:szCs w:val="18"/>
              </w:rPr>
            </w:pPr>
            <w:r>
              <w:rPr>
                <w:rFonts w:ascii="宋体" w:hAnsi="宋体" w:cs="宋体" w:eastAsia="宋体" w:hint="default"/>
                <w:sz w:val="18"/>
                <w:szCs w:val="18"/>
              </w:rPr>
              <w:t>金科控股集 团有限公司、 朱志刚、浙江 金科过氧化 物股份有限 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、如非因不 可抗力原因 导致未能履 行公开承诺 事项的，公司 及公司控股 股东、实际控 制人、董事、 监事、高级管 理人员需提 出新的承诺</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（相关承诺 需按法律、法 规、公司章程 的规定履行 相关审批程 序）并接受如 下约束措施， 直至新的承 诺履行完毕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严格履行承 </w:t>
            </w:r>
            <w:r>
              <w:rPr>
                <w:rFonts w:ascii="宋体" w:hAnsi="宋体" w:cs="宋体" w:eastAsia="宋体" w:hint="default"/>
                <w:spacing w:val="-5"/>
                <w:sz w:val="18"/>
                <w:szCs w:val="18"/>
              </w:rPr>
              <w:t>诺，迄今没有</w:t>
            </w:r>
            <w:r>
              <w:rPr>
                <w:rFonts w:ascii="宋体" w:hAnsi="宋体" w:cs="宋体" w:eastAsia="宋体" w:hint="default"/>
                <w:sz w:val="18"/>
                <w:szCs w:val="18"/>
              </w:rPr>
              <w:t> 任何违反承 诺的事项发 生。</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460.23999pt;width:62pt;height:303.2pt;mso-position-horizontal-relative:page;mso-position-vertical-relative:page;z-index:-10653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1"/>
                      <w:szCs w:val="21"/>
                    </w:rPr>
                  </w:pPr>
                </w:p>
                <w:p>
                  <w:pPr>
                    <w:pStyle w:val="BodyText"/>
                    <w:spacing w:line="240" w:lineRule="auto"/>
                    <w:ind w:left="0" w:right="0"/>
                    <w:jc w:val="left"/>
                  </w:pPr>
                  <w:r>
                    <w:rPr/>
                    <w:t>、</w:t>
                  </w:r>
                </w:p>
              </w:txbxContent>
            </v:textbox>
            <w10:wrap type="none"/>
          </v:shape>
        </w:pict>
      </w:r>
      <w:r>
        <w:rPr/>
        <w:pict>
          <v:group style="position:absolute;margin-left:367.660004pt;margin-top:460.23999pt;width:55.85pt;height:303.2pt;mso-position-horizontal-relative:page;mso-position-vertical-relative:page;z-index:-1065328" coordorigin="7353,9205" coordsize="1117,6064">
            <v:shape style="position:absolute;left:7353;top:9205;width:1117;height:6064" coordorigin="7353,9205" coordsize="1117,6064" path="m7353,15269l8470,15269,8470,9205,7353,9205,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或相应补救</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措施实施完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毕。</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本次发行完</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成后可能会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摊薄股东的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即期回报，为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保护中小投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资者的合法</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权益，本公司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将采取的相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关措施如下：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、保障本次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发行募集资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金安全和有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效使用，提高</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未来股东回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w:t>
            </w:r>
            <w:r>
              <w:rPr>
                <w:rFonts w:ascii="Times New Roman" w:hAnsi="Times New Roman" w:cs="Times New Roman" w:eastAsia="Times New Roman" w:hint="default"/>
                <w:sz w:val="18"/>
                <w:szCs w:val="18"/>
              </w:rPr>
              <w:t>2</w:t>
            </w:r>
            <w:r>
              <w:rPr>
                <w:rFonts w:ascii="宋体" w:hAnsi="宋体" w:cs="宋体" w:eastAsia="宋体" w:hint="default"/>
                <w:sz w:val="18"/>
                <w:szCs w:val="18"/>
              </w:rPr>
              <w:t>、加快</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区域战略布</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局，提升公司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竞争力；</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优化投资回</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严格履行承</w:t>
            </w:r>
          </w:p>
        </w:tc>
      </w:tr>
      <w:tr>
        <w:trPr>
          <w:trHeight w:val="93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3" w:right="190"/>
              <w:jc w:val="both"/>
              <w:rPr>
                <w:rFonts w:ascii="宋体" w:hAnsi="宋体" w:cs="宋体" w:eastAsia="宋体" w:hint="default"/>
                <w:sz w:val="18"/>
                <w:szCs w:val="18"/>
              </w:rPr>
            </w:pPr>
            <w:r>
              <w:rPr>
                <w:rFonts w:ascii="宋体" w:hAnsi="宋体" w:cs="宋体" w:eastAsia="宋体" w:hint="default"/>
                <w:sz w:val="18"/>
                <w:szCs w:val="18"/>
              </w:rPr>
              <w:t>浙江金科过 氧化物股份 有限公司</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2"/>
              <w:jc w:val="left"/>
              <w:rPr>
                <w:rFonts w:ascii="宋体" w:hAnsi="宋体" w:cs="宋体" w:eastAsia="宋体" w:hint="default"/>
                <w:sz w:val="18"/>
                <w:szCs w:val="18"/>
              </w:rPr>
            </w:pPr>
            <w:r>
              <w:rPr>
                <w:rFonts w:ascii="宋体" w:hAnsi="宋体" w:cs="宋体" w:eastAsia="宋体" w:hint="default"/>
                <w:sz w:val="18"/>
                <w:szCs w:val="18"/>
              </w:rPr>
              <w:t>报机制。为保 障中小投资 者合法利益，</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3"/>
              <w:jc w:val="left"/>
              <w:rPr>
                <w:rFonts w:ascii="宋体" w:hAnsi="宋体" w:cs="宋体" w:eastAsia="宋体" w:hint="default"/>
                <w:sz w:val="18"/>
                <w:szCs w:val="18"/>
              </w:rPr>
            </w:pPr>
            <w:r>
              <w:rPr>
                <w:rFonts w:ascii="宋体" w:hAnsi="宋体" w:cs="宋体" w:eastAsia="宋体" w:hint="default"/>
                <w:spacing w:val="-5"/>
                <w:sz w:val="18"/>
                <w:szCs w:val="18"/>
              </w:rPr>
              <w:t>诺，迄今没有</w:t>
            </w:r>
            <w:r>
              <w:rPr>
                <w:rFonts w:ascii="宋体" w:hAnsi="宋体" w:cs="宋体" w:eastAsia="宋体" w:hint="default"/>
                <w:sz w:val="18"/>
                <w:szCs w:val="18"/>
              </w:rPr>
              <w:t> 任何违反承 诺的事项发</w:t>
            </w:r>
          </w:p>
        </w:tc>
      </w:tr>
      <w:tr>
        <w:trPr>
          <w:trHeight w:val="32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本公司作出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生。</w:t>
            </w: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承诺如下：</w:t>
            </w:r>
            <w:r>
              <w:rPr>
                <w:rFonts w:ascii="Times New Roman" w:hAnsi="Times New Roman" w:cs="Times New Roman" w:eastAsia="Times New Roman" w:hint="default"/>
                <w:sz w:val="18"/>
                <w:szCs w:val="18"/>
              </w:rPr>
              <w:t>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在坚持每年</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以现金方式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分配的利润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应不低于当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年实现的可</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分配利润的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的现金分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红政策的基</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础上，提高现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金分红水平，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在公司本次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发行完成当</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年及发行后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第一个会计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年度和第二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个会计年度，</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公司计划每</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376.5pt;mso-position-horizontal-relative:page;mso-position-vertical-relative:page;z-index:-10652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3"/>
                      <w:szCs w:val="23"/>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股现金分红</w:t>
            </w:r>
          </w:p>
        </w:tc>
        <w:tc>
          <w:tcPr>
            <w:tcW w:w="1126" w:type="dxa"/>
            <w:vMerge w:val="restart"/>
            <w:tcBorders>
              <w:top w:val="single" w:sz="4" w:space="0" w:color="000000"/>
              <w:left w:val="single" w:sz="4" w:space="0" w:color="000000"/>
              <w:right w:val="single" w:sz="4" w:space="0" w:color="000000"/>
            </w:tcBorders>
          </w:tcPr>
          <w:p>
            <w:pPr>
              <w:pStyle w:val="TableParagraph"/>
              <w:spacing w:line="75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0"/>
                <w:sz w:val="20"/>
                <w:szCs w:val="20"/>
              </w:rPr>
              <w:pict>
                <v:group style="width:55.85pt;height:376.5pt;mso-position-horizontal-relative:char;mso-position-vertical-relative:line" coordorigin="0,0" coordsize="1117,7530">
                  <v:group style="position:absolute;left:0;top:0;width:1117;height:7530" coordorigin="0,0" coordsize="1117,7530">
                    <v:shape style="position:absolute;left:0;top:0;width:1117;height:7530" coordorigin="0,0" coordsize="1117,7530" path="m0,7530l1116,7530,1116,0,0,0,0,7530xe" filled="true" fillcolor="#ffffff" stroked="false">
                      <v:path arrowok="t"/>
                      <v:fill type="solid"/>
                    </v:shape>
                  </v:group>
                </v:group>
              </w:pict>
            </w:r>
            <w:r>
              <w:rPr>
                <w:rFonts w:ascii="Times New Roman" w:hAnsi="Times New Roman" w:cs="Times New Roman" w:eastAsia="Times New Roman" w:hint="default"/>
                <w:position w:val="-150"/>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不低于发行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前一年度水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平。若本次发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行后公司股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票发生转增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或者送股等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除权事项的，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每股现金股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利水平相应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进行调整。</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若上述承诺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未能得到有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效履行，本公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司将在股东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大会及中国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证监会指定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的披露媒体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上公开说明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未履行的具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体原因并向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股东和社会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公众投资者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道歉。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7"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w:t>
            </w:r>
          </w:p>
        </w:tc>
        <w:tc>
          <w:tcPr>
            <w:tcW w:w="6733" w:type="dxa"/>
            <w:gridSpan w:val="6"/>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细说明未完成履行的具体原因及下</w:t>
            </w:r>
          </w:p>
        </w:tc>
        <w:tc>
          <w:tcPr>
            <w:tcW w:w="6733"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6"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一步的工作计划</w:t>
            </w:r>
          </w:p>
        </w:tc>
        <w:tc>
          <w:tcPr>
            <w:tcW w:w="6733" w:type="dxa"/>
            <w:gridSpan w:val="6"/>
            <w:tcBorders>
              <w:top w:val="nil" w:sz="6" w:space="0" w:color="auto"/>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left="1134"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after="0" w:line="338"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29"/>
        <w:jc w:val="both"/>
      </w:pPr>
      <w:r>
        <w:rPr/>
        <w:t>（</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日与自然人施卫东签订《湖州吉昌化学有限公司股权转让总协议》，以自有资金人民币 </w:t>
      </w:r>
      <w:r>
        <w:rPr>
          <w:rFonts w:ascii="Times New Roman" w:hAnsi="Times New Roman" w:cs="Times New Roman" w:eastAsia="Times New Roman" w:hint="default"/>
        </w:rPr>
        <w:t>1.44</w:t>
      </w:r>
      <w:r>
        <w:rPr>
          <w:rFonts w:ascii="Times New Roman" w:hAnsi="Times New Roman" w:cs="Times New Roman" w:eastAsia="Times New Roman" w:hint="default"/>
          <w:spacing w:val="8"/>
        </w:rPr>
        <w:t> </w:t>
      </w:r>
      <w:r>
        <w:rPr/>
        <w:t>亿元 收购施卫东先生持有的湖州吉昌化学有限公司</w:t>
      </w:r>
      <w:r>
        <w:rPr>
          <w:rFonts w:ascii="Times New Roman" w:hAnsi="Times New Roman" w:cs="Times New Roman" w:eastAsia="Times New Roman" w:hint="default"/>
        </w:rPr>
        <w:t>1241.4 </w:t>
      </w:r>
      <w:r>
        <w:rPr/>
        <w:t>万元（占吉昌化学注册资本的</w:t>
      </w:r>
      <w:r>
        <w:rPr>
          <w:spacing w:val="-37"/>
        </w:rPr>
        <w:t> </w:t>
      </w:r>
      <w:r>
        <w:rPr>
          <w:rFonts w:ascii="Times New Roman" w:hAnsi="Times New Roman" w:cs="Times New Roman" w:eastAsia="Times New Roman" w:hint="default"/>
        </w:rPr>
        <w:t>60%</w:t>
      </w:r>
      <w:r>
        <w:rPr/>
        <w:t>）股权，湖州吉昌成为公司控股子 公司，并纳入公司合并财务报表范围。</w:t>
      </w:r>
    </w:p>
    <w:p>
      <w:pPr>
        <w:pStyle w:val="BodyText"/>
        <w:spacing w:line="240" w:lineRule="auto" w:before="31"/>
        <w:ind w:left="1134" w:right="0"/>
        <w:jc w:val="both"/>
      </w:pPr>
      <w:r>
        <w:rPr/>
        <w:t>（</w:t>
      </w:r>
      <w:r>
        <w:rPr>
          <w:rFonts w:ascii="Times New Roman" w:hAnsi="Times New Roman" w:cs="Times New Roman" w:eastAsia="Times New Roman" w:hint="default"/>
        </w:rPr>
        <w:t>2</w:t>
      </w:r>
      <w:r>
        <w:rPr/>
        <w:t>）公司全资子公司浙江金科日化原料有限公司于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日新设成立控股子公司浙江诺亚氟化工有限公司，注册资本</w:t>
      </w:r>
    </w:p>
    <w:p>
      <w:pPr>
        <w:pStyle w:val="BodyText"/>
        <w:spacing w:line="240" w:lineRule="auto" w:before="63"/>
        <w:ind w:right="0"/>
        <w:jc w:val="both"/>
      </w:pPr>
      <w:r>
        <w:rPr>
          <w:rFonts w:ascii="Times New Roman" w:hAnsi="Times New Roman" w:cs="Times New Roman" w:eastAsia="Times New Roman" w:hint="default"/>
        </w:rPr>
        <w:t>3000</w:t>
      </w:r>
      <w:r>
        <w:rPr/>
        <w:t>万人民币，并纳入合并财务报表范围。</w:t>
      </w:r>
    </w:p>
    <w:p>
      <w:pPr>
        <w:spacing w:line="240" w:lineRule="auto" w:before="1"/>
        <w:rPr>
          <w:rFonts w:ascii="宋体" w:hAnsi="宋体" w:cs="宋体" w:eastAsia="宋体" w:hint="default"/>
          <w:sz w:val="24"/>
          <w:szCs w:val="24"/>
        </w:rPr>
      </w:pPr>
    </w:p>
    <w:p>
      <w:pPr>
        <w:pStyle w:val="Heading2"/>
        <w:spacing w:line="240" w:lineRule="auto"/>
        <w:ind w:left="1134" w:right="0"/>
        <w:jc w:val="both"/>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both"/>
      </w:pPr>
      <w:r>
        <w:rPr/>
        <w:t>现聘任的会计师事务所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程志刚、吕安吉</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1</w:t>
      </w:r>
      <w:r>
        <w:rPr/>
        <w:t>、截止报告期末，公司不存在未履行法院生效判决、所负数额较大的债务到期未清偿等情况。</w:t>
      </w:r>
    </w:p>
    <w:p>
      <w:pPr>
        <w:pStyle w:val="BodyText"/>
        <w:spacing w:line="300" w:lineRule="auto" w:before="63"/>
        <w:ind w:left="1134" w:right="1122"/>
        <w:jc w:val="left"/>
      </w:pPr>
      <w:r>
        <w:rPr>
          <w:rFonts w:ascii="Times New Roman" w:hAnsi="Times New Roman" w:cs="Times New Roman" w:eastAsia="Times New Roman" w:hint="default"/>
        </w:rPr>
        <w:t>2</w:t>
      </w:r>
      <w:r>
        <w:rPr/>
        <w:t>、截止报告期末，公司控股股东金科控股集团有限公司、公司实际控制人朱志刚先生，不存在未履行法院生效判决、所负 数额较大的债务到期未清偿等情况。</w:t>
      </w:r>
    </w:p>
    <w:p>
      <w:pPr>
        <w:spacing w:line="240" w:lineRule="auto" w:before="10"/>
        <w:rPr>
          <w:rFonts w:ascii="宋体" w:hAnsi="宋体" w:cs="宋体" w:eastAsia="宋体" w:hint="default"/>
          <w:sz w:val="21"/>
          <w:szCs w:val="21"/>
        </w:rPr>
      </w:pPr>
    </w:p>
    <w:p>
      <w:pPr>
        <w:pStyle w:val="Heading2"/>
        <w:spacing w:line="240" w:lineRule="auto"/>
        <w:ind w:left="1134" w:right="0"/>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4"/>
        <w:spacing w:line="240" w:lineRule="auto"/>
        <w:ind w:left="1134" w:right="0"/>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23"/>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、浙江金科全资子公司浙江金科日化原料有限公司因与嘉兴润博化工科技有限公司因业务发展需要，拟同比例增加浙江润 </w:t>
      </w:r>
      <w:r>
        <w:rPr>
          <w:spacing w:val="-2"/>
        </w:rPr>
        <w:t>科注册资本至</w:t>
      </w:r>
      <w:r>
        <w:rPr>
          <w:rFonts w:ascii="Times New Roman" w:hAnsi="Times New Roman" w:cs="Times New Roman" w:eastAsia="Times New Roman" w:hint="default"/>
          <w:spacing w:val="-2"/>
        </w:rPr>
        <w:t>8000</w:t>
      </w:r>
      <w:r>
        <w:rPr>
          <w:spacing w:val="-2"/>
        </w:rPr>
        <w:t>万元，其中金科日化拟使用自有资金</w:t>
      </w:r>
      <w:r>
        <w:rPr>
          <w:rFonts w:ascii="Times New Roman" w:hAnsi="Times New Roman" w:cs="Times New Roman" w:eastAsia="Times New Roman" w:hint="default"/>
          <w:spacing w:val="-2"/>
        </w:rPr>
        <w:t>1200</w:t>
      </w:r>
      <w:r>
        <w:rPr>
          <w:spacing w:val="-2"/>
        </w:rPr>
        <w:t>万元对浙江润科增资，嘉兴润博认缴</w:t>
      </w:r>
      <w:r>
        <w:rPr>
          <w:rFonts w:ascii="Times New Roman" w:hAnsi="Times New Roman" w:cs="Times New Roman" w:eastAsia="Times New Roman" w:hint="default"/>
          <w:spacing w:val="-2"/>
        </w:rPr>
        <w:t>1800</w:t>
      </w:r>
      <w:r>
        <w:rPr>
          <w:spacing w:val="-2"/>
        </w:rPr>
        <w:t>万元增资额。</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p>
    <w:p>
      <w:pPr>
        <w:pStyle w:val="BodyText"/>
        <w:spacing w:line="304" w:lineRule="auto"/>
        <w:ind w:right="1128"/>
        <w:jc w:val="left"/>
      </w:pPr>
      <w:r>
        <w:rPr>
          <w:spacing w:val="-2"/>
        </w:rPr>
        <w:t>月</w:t>
      </w:r>
      <w:r>
        <w:rPr>
          <w:rFonts w:ascii="Times New Roman" w:hAnsi="Times New Roman" w:cs="Times New Roman" w:eastAsia="Times New Roman" w:hint="default"/>
          <w:spacing w:val="-2"/>
        </w:rPr>
        <w:t>12</w:t>
      </w:r>
      <w:r>
        <w:rPr>
          <w:spacing w:val="-2"/>
        </w:rPr>
        <w:t>日，公司召开了第二届董事会第十一次会议，会议审议通过了《关于同意全资子公司使用自有资金对参股公司增资的议</w:t>
      </w:r>
      <w:r>
        <w:rPr>
          <w:spacing w:val="-64"/>
        </w:rPr>
        <w:t> </w:t>
      </w:r>
      <w:r>
        <w:rPr>
          <w:spacing w:val="-64"/>
        </w:rPr>
      </w:r>
      <w:r>
        <w:rPr/>
        <w:t>案》 </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28</w:t>
      </w:r>
      <w:r>
        <w:rPr>
          <w:spacing w:val="-1"/>
        </w:rPr>
        <w:t>日，公司于巨潮资讯网披露了《发行股份及支付现金购买资产并募集配套资金暨关联交易预案》</w:t>
      </w:r>
      <w:r>
        <w:rPr>
          <w:rFonts w:ascii="Times New Roman" w:hAnsi="Times New Roman" w:cs="Times New Roman" w:eastAsia="Times New Roman" w:hint="default"/>
          <w:spacing w:val="-1"/>
        </w:rPr>
        <w:t>,</w:t>
      </w:r>
      <w:r>
        <w:rPr>
          <w:spacing w:val="-1"/>
        </w:rPr>
        <w:t>公司拟以</w:t>
      </w:r>
      <w:r>
        <w:rPr>
          <w:spacing w:val="-70"/>
        </w:rPr>
        <w:t> </w:t>
      </w:r>
      <w:r>
        <w:rPr/>
        <w:t>发行股份及支付现金的方式收购杭州哲信信息技术有限公司</w:t>
      </w:r>
      <w:r>
        <w:rPr>
          <w:rFonts w:ascii="Times New Roman" w:hAnsi="Times New Roman" w:cs="Times New Roman" w:eastAsia="Times New Roman" w:hint="default"/>
        </w:rPr>
        <w:t>100%</w:t>
      </w:r>
      <w:r>
        <w:rPr/>
        <w:t>股权并募集配套资金</w:t>
      </w:r>
      <w:r>
        <w:rPr>
          <w:rFonts w:ascii="Times New Roman" w:hAnsi="Times New Roman" w:cs="Times New Roman" w:eastAsia="Times New Roman" w:hint="default"/>
        </w:rPr>
        <w:t>.</w:t>
      </w:r>
      <w:r>
        <w:rPr/>
        <w:t>截止目前为止</w:t>
      </w:r>
      <w:r>
        <w:rPr>
          <w:rFonts w:ascii="Times New Roman" w:hAnsi="Times New Roman" w:cs="Times New Roman" w:eastAsia="Times New Roman" w:hint="default"/>
        </w:rPr>
        <w:t>,</w:t>
      </w:r>
      <w:r>
        <w:rPr/>
        <w:t>本次交易已经中国证 监会上市公司并购重组审核委员会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11 </w:t>
      </w:r>
      <w:r>
        <w:rPr/>
        <w:t>日召开的 </w:t>
      </w:r>
      <w:r>
        <w:rPr>
          <w:rFonts w:ascii="Times New Roman" w:hAnsi="Times New Roman" w:cs="Times New Roman" w:eastAsia="Times New Roman" w:hint="default"/>
        </w:rPr>
        <w:t>2016 </w:t>
      </w:r>
      <w:r>
        <w:rPr/>
        <w:t>年第 </w:t>
      </w:r>
      <w:r>
        <w:rPr>
          <w:rFonts w:ascii="Times New Roman" w:hAnsi="Times New Roman" w:cs="Times New Roman" w:eastAsia="Times New Roman" w:hint="default"/>
        </w:rPr>
        <w:t>25</w:t>
      </w:r>
      <w:r>
        <w:rPr>
          <w:rFonts w:ascii="Times New Roman" w:hAnsi="Times New Roman" w:cs="Times New Roman" w:eastAsia="Times New Roman" w:hint="default"/>
          <w:spacing w:val="40"/>
        </w:rPr>
        <w:t> </w:t>
      </w:r>
      <w:r>
        <w:rPr/>
        <w:t>次并购重组委员会工作会议审核有条件通过。</w:t>
      </w:r>
    </w:p>
    <w:p>
      <w:pPr>
        <w:pStyle w:val="BodyText"/>
        <w:spacing w:line="240" w:lineRule="auto" w:before="50"/>
        <w:ind w:right="0"/>
        <w:jc w:val="left"/>
      </w:pPr>
      <w:r>
        <w:rPr/>
        <w:t>重大关联交易临时报告披露网站相关查询</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60"/>
        <w:gridCol w:w="2650"/>
        <w:gridCol w:w="3459"/>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both"/>
              <w:rPr>
                <w:rFonts w:ascii="宋体" w:hAnsi="宋体" w:cs="宋体" w:eastAsia="宋体" w:hint="default"/>
                <w:sz w:val="18"/>
                <w:szCs w:val="18"/>
              </w:rPr>
            </w:pPr>
            <w:r>
              <w:rPr>
                <w:rFonts w:ascii="宋体" w:hAnsi="宋体" w:cs="宋体" w:eastAsia="宋体" w:hint="default"/>
                <w:sz w:val="18"/>
                <w:szCs w:val="18"/>
              </w:rPr>
              <w:t>平安证券有限责任公司关于浙江金科过氧 化物股份有限公司关联交易事项的核查意 见</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85"/>
              <w:jc w:val="both"/>
              <w:rPr>
                <w:rFonts w:ascii="宋体" w:hAnsi="宋体" w:cs="宋体" w:eastAsia="宋体" w:hint="default"/>
                <w:sz w:val="18"/>
                <w:szCs w:val="18"/>
              </w:rPr>
            </w:pPr>
            <w:r>
              <w:rPr>
                <w:rFonts w:ascii="宋体" w:hAnsi="宋体" w:cs="宋体" w:eastAsia="宋体" w:hint="default"/>
                <w:sz w:val="18"/>
                <w:szCs w:val="18"/>
              </w:rPr>
              <w:t>浙江金科过氧化物股份有限公司发行股份 及支付现金购买资产并募集配套资金暨关 联交易预案</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5"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5"/>
              <w:jc w:val="left"/>
              <w:rPr>
                <w:rFonts w:ascii="宋体" w:hAnsi="宋体" w:cs="宋体" w:eastAsia="宋体" w:hint="default"/>
                <w:sz w:val="18"/>
                <w:szCs w:val="18"/>
              </w:rPr>
            </w:pPr>
            <w:r>
              <w:rPr>
                <w:rFonts w:ascii="宋体" w:hAnsi="宋体" w:cs="宋体" w:eastAsia="宋体" w:hint="default"/>
                <w:sz w:val="18"/>
                <w:szCs w:val="18"/>
              </w:rPr>
              <w:t>浙江金科过氧化物股份有限公司日常关联 交易预计公告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公司报告期不存在租赁情况。</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七、其他重大事项的说明" w:id="94"/>
      <w:bookmarkEnd w:id="94"/>
      <w:r>
        <w:rPr>
          <w:b w:val="0"/>
          <w:bCs w:val="0"/>
        </w:rPr>
      </w:r>
      <w:r>
        <w:rPr/>
        <w:t>十七、其他重大事项的说明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68"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日，公司于巨潮资讯网披露了《发行股份及支付现金购买资产并募集配套资金暨关联交易预案》</w:t>
      </w:r>
      <w:r>
        <w:rPr>
          <w:rFonts w:ascii="Times New Roman" w:hAnsi="Times New Roman" w:cs="Times New Roman" w:eastAsia="Times New Roman" w:hint="default"/>
        </w:rPr>
        <w:t>,</w:t>
      </w:r>
      <w:r>
        <w:rPr/>
        <w:t>公司拟 以发行股份及支付现金的方式收购杭州哲信信息技术有限公司</w:t>
      </w:r>
      <w:r>
        <w:rPr>
          <w:rFonts w:ascii="Times New Roman" w:hAnsi="Times New Roman" w:cs="Times New Roman" w:eastAsia="Times New Roman" w:hint="default"/>
        </w:rPr>
        <w:t>100%</w:t>
      </w:r>
      <w:r>
        <w:rPr/>
        <w:t>股权并募集配套资金</w:t>
      </w:r>
      <w:r>
        <w:rPr>
          <w:rFonts w:ascii="Times New Roman" w:hAnsi="Times New Roman" w:cs="Times New Roman" w:eastAsia="Times New Roman" w:hint="default"/>
        </w:rPr>
        <w:t>.</w:t>
      </w:r>
      <w:r>
        <w:rPr/>
        <w:t>截止目前为止</w:t>
      </w:r>
      <w:r>
        <w:rPr>
          <w:rFonts w:ascii="Times New Roman" w:hAnsi="Times New Roman" w:cs="Times New Roman" w:eastAsia="Times New Roman" w:hint="default"/>
        </w:rPr>
        <w:t>,</w:t>
      </w:r>
      <w:r>
        <w:rPr/>
        <w:t>本次交易已经中国 证监会上市公司并购重组审核委员会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11 </w:t>
      </w:r>
      <w:r>
        <w:rPr/>
        <w:t>日召开的 </w:t>
      </w:r>
      <w:r>
        <w:rPr>
          <w:rFonts w:ascii="Times New Roman" w:hAnsi="Times New Roman" w:cs="Times New Roman" w:eastAsia="Times New Roman" w:hint="default"/>
        </w:rPr>
        <w:t>2016 </w:t>
      </w:r>
      <w:r>
        <w:rPr/>
        <w:t>年第 </w:t>
      </w:r>
      <w:r>
        <w:rPr>
          <w:rFonts w:ascii="Times New Roman" w:hAnsi="Times New Roman" w:cs="Times New Roman" w:eastAsia="Times New Roman" w:hint="default"/>
        </w:rPr>
        <w:t>25</w:t>
      </w:r>
      <w:r>
        <w:rPr>
          <w:rFonts w:ascii="Times New Roman" w:hAnsi="Times New Roman" w:cs="Times New Roman" w:eastAsia="Times New Roman" w:hint="default"/>
          <w:spacing w:val="40"/>
        </w:rPr>
        <w:t> </w:t>
      </w:r>
      <w:r>
        <w:rPr/>
        <w:t>次并购重组委员会工作会议审核有条件通 过。</w:t>
      </w:r>
    </w:p>
    <w:p>
      <w:pPr>
        <w:spacing w:line="240" w:lineRule="auto" w:before="9"/>
        <w:rPr>
          <w:rFonts w:ascii="宋体" w:hAnsi="宋体" w:cs="宋体" w:eastAsia="宋体" w:hint="default"/>
          <w:sz w:val="21"/>
          <w:szCs w:val="21"/>
        </w:rPr>
      </w:pPr>
    </w:p>
    <w:p>
      <w:pPr>
        <w:pStyle w:val="Heading2"/>
        <w:spacing w:line="240" w:lineRule="auto"/>
        <w:ind w:left="1134" w:right="0"/>
        <w:jc w:val="left"/>
        <w:rPr>
          <w:b w:val="0"/>
          <w:bCs w:val="0"/>
        </w:rPr>
      </w:pPr>
      <w:bookmarkStart w:name="十八、公司子公司重大事项" w:id="95"/>
      <w:bookmarkEnd w:id="95"/>
      <w:r>
        <w:rPr>
          <w:b w:val="0"/>
          <w:bCs w:val="0"/>
        </w:rPr>
      </w:r>
      <w:r>
        <w:rPr/>
        <w:t>十八、公司子公司重大事项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九、社会责任情况" w:id="96"/>
      <w:bookmarkEnd w:id="96"/>
      <w:r>
        <w:rPr>
          <w:b w:val="0"/>
          <w:bCs w:val="0"/>
        </w:rPr>
      </w:r>
      <w:r>
        <w:rPr/>
        <w:t>十九、社会责任情况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二十、公司债券相关情况" w:id="97"/>
      <w:bookmarkEnd w:id="97"/>
      <w:r>
        <w:rPr>
          <w:b w:val="0"/>
          <w:bCs w:val="0"/>
        </w:rPr>
      </w:r>
      <w:r>
        <w:rPr/>
        <w:t>二十、公司债券相关情况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2113"/>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0"/>
        <w:jc w:val="left"/>
        <w:rPr>
          <w:b w:val="0"/>
          <w:bCs w:val="0"/>
        </w:rPr>
      </w:pPr>
      <w:bookmarkStart w:name="_TOC_250005" w:id="98"/>
      <w:bookmarkStart w:name="第六节 股份变动及股东情况" w:id="99"/>
      <w:r>
        <w:rPr>
          <w:b w:val="0"/>
          <w:bCs w:val="0"/>
        </w:rPr>
      </w:r>
      <w:r>
        <w:rPr/>
        <w:t>第六节</w:t>
      </w:r>
      <w:r>
        <w:rPr>
          <w:spacing w:val="-10"/>
        </w:rPr>
        <w:t> </w:t>
      </w:r>
      <w:r>
        <w:rPr/>
        <w:t>股份变动及股东情况</w:t>
      </w:r>
      <w:bookmarkEnd w:id="9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0"/>
      <w:bookmarkEnd w:id="100"/>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1"/>
      <w:bookmarkEnd w:id="10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44,888,72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56.46%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67,333,08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67,333,08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112,221,8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42.35%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34,611,28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43.54%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51,916,92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51,916,92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86,528,20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32.65%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66,250,00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66,250,00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66,250,00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66,250,00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股份变动的原因</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1</w:t>
      </w:r>
      <w:r>
        <w:rPr>
          <w:spacing w:val="-2"/>
        </w:rPr>
        <w:t>、本次变动前，公司股份数为</w:t>
      </w:r>
      <w:r>
        <w:rPr>
          <w:rFonts w:ascii="Times New Roman" w:hAnsi="Times New Roman" w:cs="Times New Roman" w:eastAsia="Times New Roman" w:hint="default"/>
          <w:spacing w:val="-2"/>
        </w:rPr>
        <w:t>7950</w:t>
      </w:r>
      <w:r>
        <w:rPr>
          <w:spacing w:val="-2"/>
        </w:rPr>
        <w:t>万股。</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日，经中国证券监督管理委员会《关于核准浙江金科过氧化物股份有</w:t>
      </w:r>
      <w:r>
        <w:rPr>
          <w:spacing w:val="-54"/>
        </w:rPr>
        <w:t> </w:t>
      </w:r>
      <w:r>
        <w:rPr>
          <w:spacing w:val="-54"/>
        </w:rPr>
      </w:r>
      <w:r>
        <w:rPr/>
        <w:t>限公司首次公开发行股票的批复》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703</w:t>
      </w:r>
      <w:r>
        <w:rPr/>
        <w:t>号</w:t>
      </w:r>
      <w:r>
        <w:rPr>
          <w:rFonts w:ascii="Times New Roman" w:hAnsi="Times New Roman" w:cs="Times New Roman" w:eastAsia="Times New Roman" w:hint="default"/>
        </w:rPr>
        <w:t>)</w:t>
      </w:r>
      <w:r>
        <w:rPr/>
        <w:t>核准，公司向社会公开发行人民币普通股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)26,500,000</w:t>
      </w:r>
      <w:r>
        <w:rPr/>
        <w:t>股，</w:t>
      </w:r>
    </w:p>
    <w:p>
      <w:pPr>
        <w:pStyle w:val="BodyText"/>
        <w:spacing w:line="304" w:lineRule="auto"/>
        <w:ind w:right="1039"/>
        <w:jc w:val="left"/>
      </w:pPr>
      <w:r>
        <w:rPr/>
        <w:t>每股面值人民币</w:t>
      </w:r>
      <w:r>
        <w:rPr>
          <w:rFonts w:ascii="Times New Roman" w:hAnsi="Times New Roman" w:cs="Times New Roman" w:eastAsia="Times New Roman" w:hint="default"/>
        </w:rPr>
        <w:t>1</w:t>
      </w:r>
      <w:r>
        <w:rPr/>
        <w:t>元。上述公开发行新增股本已经天健会计师事务所（特殊普通合伙）验证，并由其出具《验资报告》（天 </w:t>
      </w:r>
      <w:r>
        <w:rPr>
          <w:spacing w:val="-3"/>
        </w:rPr>
        <w:t>健验〔</w:t>
      </w:r>
      <w:r>
        <w:rPr>
          <w:rFonts w:ascii="Times New Roman" w:hAnsi="Times New Roman" w:cs="Times New Roman" w:eastAsia="Times New Roman" w:hint="default"/>
          <w:spacing w:val="-3"/>
        </w:rPr>
        <w:t>2015</w:t>
      </w:r>
      <w:r>
        <w:rPr>
          <w:spacing w:val="-3"/>
        </w:rPr>
        <w:t>〕</w:t>
      </w:r>
      <w:r>
        <w:rPr>
          <w:rFonts w:ascii="Times New Roman" w:hAnsi="Times New Roman" w:cs="Times New Roman" w:eastAsia="Times New Roman" w:hint="default"/>
          <w:spacing w:val="-3"/>
        </w:rPr>
        <w:t>115</w:t>
      </w:r>
      <w:r>
        <w:rPr>
          <w:spacing w:val="-3"/>
        </w:rPr>
        <w:t>号），上述新增股本公司于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24</w:t>
      </w:r>
      <w:r>
        <w:rPr>
          <w:spacing w:val="-3"/>
        </w:rPr>
        <w:t>日办妥工商变更登记手续。本次股份变动后，公司股份总数为</w:t>
      </w:r>
      <w:r>
        <w:rPr>
          <w:rFonts w:ascii="Times New Roman" w:hAnsi="Times New Roman" w:cs="Times New Roman" w:eastAsia="Times New Roman" w:hint="default"/>
          <w:spacing w:val="-3"/>
        </w:rPr>
        <w:t>10600</w:t>
      </w:r>
      <w:r>
        <w:rPr>
          <w:rFonts w:ascii="Times New Roman" w:hAnsi="Times New Roman" w:cs="Times New Roman" w:eastAsia="Times New Roman" w:hint="default"/>
          <w:spacing w:val="-27"/>
        </w:rPr>
        <w:t> </w:t>
      </w:r>
      <w:r>
        <w:rPr/>
        <w:t>万股。 </w:t>
      </w:r>
      <w:r>
        <w:rPr>
          <w:rFonts w:ascii="Times New Roman" w:hAnsi="Times New Roman" w:cs="Times New Roman" w:eastAsia="Times New Roman" w:hint="default"/>
          <w:spacing w:val="-6"/>
        </w:rPr>
        <w:t>2</w:t>
      </w:r>
      <w:r>
        <w:rPr>
          <w:spacing w:val="-6"/>
        </w:rPr>
        <w:t>、</w:t>
      </w:r>
      <w:r>
        <w:rPr>
          <w:rFonts w:ascii="Times New Roman" w:hAnsi="Times New Roman" w:cs="Times New Roman" w:eastAsia="Times New Roman" w:hint="default"/>
          <w:spacing w:val="-6"/>
        </w:rPr>
        <w:t>2015</w:t>
      </w:r>
      <w:r>
        <w:rPr>
          <w:spacing w:val="-6"/>
        </w:rPr>
        <w:t>年</w:t>
      </w:r>
      <w:r>
        <w:rPr>
          <w:rFonts w:ascii="Times New Roman" w:hAnsi="Times New Roman" w:cs="Times New Roman" w:eastAsia="Times New Roman" w:hint="default"/>
          <w:spacing w:val="-6"/>
        </w:rPr>
        <w:t>8</w:t>
      </w:r>
      <w:r>
        <w:rPr>
          <w:spacing w:val="-6"/>
        </w:rPr>
        <w:t>月</w:t>
      </w:r>
      <w:r>
        <w:rPr>
          <w:rFonts w:ascii="Times New Roman" w:hAnsi="Times New Roman" w:cs="Times New Roman" w:eastAsia="Times New Roman" w:hint="default"/>
          <w:spacing w:val="-6"/>
        </w:rPr>
        <w:t>25</w:t>
      </w:r>
      <w:r>
        <w:rPr>
          <w:spacing w:val="-6"/>
        </w:rPr>
        <w:t>日，公司召开</w:t>
      </w:r>
      <w:r>
        <w:rPr>
          <w:rFonts w:ascii="Times New Roman" w:hAnsi="Times New Roman" w:cs="Times New Roman" w:eastAsia="Times New Roman" w:hint="default"/>
          <w:spacing w:val="-6"/>
        </w:rPr>
        <w:t>2015</w:t>
      </w:r>
      <w:r>
        <w:rPr>
          <w:spacing w:val="-6"/>
        </w:rPr>
        <w:t>年第一次临时股东大会，审议通过了《关于</w:t>
      </w:r>
      <w:r>
        <w:rPr>
          <w:rFonts w:ascii="Times New Roman" w:hAnsi="Times New Roman" w:cs="Times New Roman" w:eastAsia="Times New Roman" w:hint="default"/>
          <w:spacing w:val="-6"/>
        </w:rPr>
        <w:t>2015</w:t>
      </w:r>
      <w:r>
        <w:rPr>
          <w:spacing w:val="-6"/>
        </w:rPr>
        <w:t>年半年度资本公积金转增股本方案的议案》，</w:t>
      </w:r>
      <w:r>
        <w:rPr>
          <w:spacing w:val="-61"/>
        </w:rPr>
        <w:t> </w:t>
      </w:r>
      <w:r>
        <w:rPr>
          <w:spacing w:val="-61"/>
        </w:rPr>
      </w:r>
      <w:r>
        <w:rPr/>
        <w:t>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日公司股份总数</w:t>
      </w:r>
      <w:r>
        <w:rPr>
          <w:rFonts w:ascii="Times New Roman" w:hAnsi="Times New Roman" w:cs="Times New Roman" w:eastAsia="Times New Roman" w:hint="default"/>
        </w:rPr>
        <w:t>106,000,000</w:t>
      </w:r>
      <w:r>
        <w:rPr/>
        <w:t>股为基数，以资本公积金向全体股东按每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股，共计转增股本 </w:t>
      </w:r>
      <w:r>
        <w:rPr>
          <w:rFonts w:ascii="Times New Roman" w:hAnsi="Times New Roman" w:cs="Times New Roman" w:eastAsia="Times New Roman" w:hint="default"/>
          <w:spacing w:val="-2"/>
        </w:rPr>
        <w:t>159,000,000</w:t>
      </w:r>
      <w:r>
        <w:rPr>
          <w:spacing w:val="-2"/>
        </w:rPr>
        <w:t>股，上述转增股本公司于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27</w:t>
      </w:r>
      <w:r>
        <w:rPr>
          <w:spacing w:val="-2"/>
        </w:rPr>
        <w:t>日办妥工商变更登记手续。本次股份变动后，公司股份总数为</w:t>
      </w:r>
      <w:r>
        <w:rPr>
          <w:rFonts w:ascii="Times New Roman" w:hAnsi="Times New Roman" w:cs="Times New Roman" w:eastAsia="Times New Roman" w:hint="default"/>
          <w:spacing w:val="-2"/>
        </w:rPr>
        <w:t>26500</w:t>
      </w:r>
      <w:r>
        <w:rPr>
          <w:spacing w:val="-2"/>
        </w:rPr>
        <w:t>万股。</w:t>
      </w:r>
    </w:p>
    <w:p>
      <w:pPr>
        <w:spacing w:line="240" w:lineRule="auto" w:before="0"/>
        <w:rPr>
          <w:rFonts w:ascii="宋体" w:hAnsi="宋体" w:cs="宋体" w:eastAsia="宋体" w:hint="default"/>
          <w:sz w:val="18"/>
          <w:szCs w:val="18"/>
        </w:rPr>
      </w:pPr>
    </w:p>
    <w:p>
      <w:pPr>
        <w:pStyle w:val="BodyText"/>
        <w:spacing w:line="240" w:lineRule="auto" w:before="126"/>
        <w:ind w:right="0"/>
        <w:jc w:val="left"/>
      </w:pPr>
      <w:r>
        <w:rPr/>
        <w:t>股份变动的批准情况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1207"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日，经中国证券监督管理委员会《关于核准浙江金科过氧化物股份有限公司首次公开发行股票的批复》</w:t>
      </w:r>
      <w:r>
        <w:rPr>
          <w:rFonts w:ascii="Times New Roman" w:hAnsi="Times New Roman" w:cs="Times New Roman" w:eastAsia="Times New Roman" w:hint="default"/>
        </w:rPr>
        <w:t>(</w:t>
      </w:r>
      <w:r>
        <w:rPr/>
        <w:t>证</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033"/>
        <w:jc w:val="left"/>
      </w:pPr>
      <w:r>
        <w:rPr/>
        <w:t>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703</w:t>
      </w:r>
      <w:r>
        <w:rPr/>
        <w:t>号</w:t>
      </w:r>
      <w:r>
        <w:rPr>
          <w:rFonts w:ascii="Times New Roman" w:hAnsi="Times New Roman" w:cs="Times New Roman" w:eastAsia="Times New Roman" w:hint="default"/>
        </w:rPr>
        <w:t>)</w:t>
      </w:r>
      <w:r>
        <w:rPr/>
        <w:t>核准，公司向社会公开发行人民币普通股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)26,500,000</w:t>
      </w:r>
      <w:r>
        <w:rPr/>
        <w:t>股，每股面值人民币</w:t>
      </w:r>
      <w:r>
        <w:rPr>
          <w:rFonts w:ascii="Times New Roman" w:hAnsi="Times New Roman" w:cs="Times New Roman" w:eastAsia="Times New Roman" w:hint="default"/>
        </w:rPr>
        <w:t>1</w:t>
      </w:r>
      <w:r>
        <w:rPr/>
        <w:t>元。上述公开发行新 增股本已经天健会计师事务所（特殊普通合伙）验证，并由其出具《验资报告》（天健验〔</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115</w:t>
      </w:r>
      <w:r>
        <w:rPr/>
        <w:t>号），上述新增股本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日办妥工商变更登记手续。 </w:t>
      </w:r>
      <w:r>
        <w:rPr>
          <w:rFonts w:ascii="Times New Roman" w:hAnsi="Times New Roman" w:cs="Times New Roman" w:eastAsia="Times New Roman" w:hint="default"/>
          <w:spacing w:val="-6"/>
        </w:rPr>
        <w:t>2</w:t>
      </w:r>
      <w:r>
        <w:rPr>
          <w:spacing w:val="-6"/>
        </w:rPr>
        <w:t>、</w:t>
      </w:r>
      <w:r>
        <w:rPr>
          <w:rFonts w:ascii="Times New Roman" w:hAnsi="Times New Roman" w:cs="Times New Roman" w:eastAsia="Times New Roman" w:hint="default"/>
          <w:spacing w:val="-6"/>
        </w:rPr>
        <w:t>2015</w:t>
      </w:r>
      <w:r>
        <w:rPr>
          <w:spacing w:val="-6"/>
        </w:rPr>
        <w:t>年</w:t>
      </w:r>
      <w:r>
        <w:rPr>
          <w:rFonts w:ascii="Times New Roman" w:hAnsi="Times New Roman" w:cs="Times New Roman" w:eastAsia="Times New Roman" w:hint="default"/>
          <w:spacing w:val="-6"/>
        </w:rPr>
        <w:t>8</w:t>
      </w:r>
      <w:r>
        <w:rPr>
          <w:spacing w:val="-6"/>
        </w:rPr>
        <w:t>月</w:t>
      </w:r>
      <w:r>
        <w:rPr>
          <w:rFonts w:ascii="Times New Roman" w:hAnsi="Times New Roman" w:cs="Times New Roman" w:eastAsia="Times New Roman" w:hint="default"/>
          <w:spacing w:val="-6"/>
        </w:rPr>
        <w:t>25</w:t>
      </w:r>
      <w:r>
        <w:rPr>
          <w:spacing w:val="-6"/>
        </w:rPr>
        <w:t>日，公司召开</w:t>
      </w:r>
      <w:r>
        <w:rPr>
          <w:rFonts w:ascii="Times New Roman" w:hAnsi="Times New Roman" w:cs="Times New Roman" w:eastAsia="Times New Roman" w:hint="default"/>
          <w:spacing w:val="-6"/>
        </w:rPr>
        <w:t>2015</w:t>
      </w:r>
      <w:r>
        <w:rPr>
          <w:spacing w:val="-6"/>
        </w:rPr>
        <w:t>年第一次临时股东大会，审议通过了《关于</w:t>
      </w:r>
      <w:r>
        <w:rPr>
          <w:rFonts w:ascii="Times New Roman" w:hAnsi="Times New Roman" w:cs="Times New Roman" w:eastAsia="Times New Roman" w:hint="default"/>
          <w:spacing w:val="-6"/>
        </w:rPr>
        <w:t>2015</w:t>
      </w:r>
      <w:r>
        <w:rPr>
          <w:spacing w:val="-6"/>
        </w:rPr>
        <w:t>年半年度资本公积金转增股本方案的议案》，</w:t>
      </w:r>
      <w:r>
        <w:rPr>
          <w:spacing w:val="-61"/>
        </w:rPr>
        <w:t> </w:t>
      </w:r>
      <w:r>
        <w:rPr>
          <w:spacing w:val="-61"/>
        </w:rPr>
      </w:r>
      <w:r>
        <w:rPr/>
        <w:t>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日公司股份总数</w:t>
      </w:r>
      <w:r>
        <w:rPr>
          <w:rFonts w:ascii="Times New Roman" w:hAnsi="Times New Roman" w:cs="Times New Roman" w:eastAsia="Times New Roman" w:hint="default"/>
        </w:rPr>
        <w:t>106,000,000</w:t>
      </w:r>
      <w:r>
        <w:rPr/>
        <w:t>股为基数，以资本公积金向全体股东按每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股，共计转增股本 </w:t>
      </w:r>
      <w:r>
        <w:rPr>
          <w:rFonts w:ascii="Times New Roman" w:hAnsi="Times New Roman" w:cs="Times New Roman" w:eastAsia="Times New Roman" w:hint="default"/>
        </w:rPr>
        <w:t>159,000,000</w:t>
      </w:r>
      <w:r>
        <w:rPr/>
        <w:t>股。公司于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日在中国证监会创业板指定信息披露网站公告了《 关于</w:t>
      </w:r>
      <w:r>
        <w:rPr>
          <w:rFonts w:ascii="Times New Roman" w:hAnsi="Times New Roman" w:cs="Times New Roman" w:eastAsia="Times New Roman" w:hint="default"/>
        </w:rPr>
        <w:t>2015</w:t>
      </w:r>
      <w:r>
        <w:rPr/>
        <w:t>年半年度资本公积转增股本实施公告》，本次权益分派股权登记日为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日，除权除息日为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 实施完毕后公司总股本增至</w:t>
      </w:r>
      <w:r>
        <w:rPr>
          <w:rFonts w:ascii="Times New Roman" w:hAnsi="Times New Roman" w:cs="Times New Roman" w:eastAsia="Times New Roman" w:hint="default"/>
        </w:rPr>
        <w:t>26500</w:t>
      </w:r>
      <w:r>
        <w:rPr/>
        <w:t>万股。</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股份变动的过户情况</w:t>
      </w:r>
    </w:p>
    <w:p>
      <w:pPr>
        <w:pStyle w:val="BodyText"/>
        <w:spacing w:line="319" w:lineRule="auto" w:before="117"/>
        <w:ind w:left="1493" w:right="112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w:t>
      </w:r>
      <w:r>
        <w:rPr>
          <w:rFonts w:ascii="Times New Roman" w:hAnsi="Times New Roman" w:cs="Times New Roman" w:eastAsia="Times New Roman" w:hint="default"/>
        </w:rPr>
        <w:t>,</w:t>
      </w:r>
      <w:r>
        <w:rPr/>
        <w:t>公司首次公开发行股票的股份已在中国证券登记结算有限责任公司深圳分公司办理了证券登记手续。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日，公司召开</w:t>
      </w:r>
      <w:r>
        <w:rPr>
          <w:rFonts w:ascii="Times New Roman" w:hAnsi="Times New Roman" w:cs="Times New Roman" w:eastAsia="Times New Roman" w:hint="default"/>
        </w:rPr>
        <w:t>2015</w:t>
      </w:r>
      <w:r>
        <w:rPr/>
        <w:t>年第一次临时股东大会，审议通过了《关于</w:t>
      </w:r>
      <w:r>
        <w:rPr>
          <w:rFonts w:ascii="Times New Roman" w:hAnsi="Times New Roman" w:cs="Times New Roman" w:eastAsia="Times New Roman" w:hint="default"/>
        </w:rPr>
        <w:t>2015</w:t>
      </w:r>
      <w:r>
        <w:rPr/>
        <w:t>年半年度资本公积金转增股本方案的议</w:t>
      </w:r>
    </w:p>
    <w:p>
      <w:pPr>
        <w:pStyle w:val="BodyText"/>
        <w:spacing w:line="300" w:lineRule="auto"/>
        <w:ind w:right="1139"/>
        <w:jc w:val="both"/>
      </w:pPr>
      <w:r>
        <w:rPr/>
        <w:t>案》，以截至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日公司股份总数</w:t>
      </w:r>
      <w:r>
        <w:rPr>
          <w:rFonts w:ascii="Times New Roman" w:hAnsi="Times New Roman" w:cs="Times New Roman" w:eastAsia="Times New Roman" w:hint="default"/>
        </w:rPr>
        <w:t>106,000,000</w:t>
      </w:r>
      <w:r>
        <w:rPr/>
        <w:t>股为基数，以资本公积金向全体股东按每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股，共计转增股 本</w:t>
      </w:r>
      <w:r>
        <w:rPr>
          <w:rFonts w:ascii="Times New Roman" w:hAnsi="Times New Roman" w:cs="Times New Roman" w:eastAsia="Times New Roman" w:hint="default"/>
        </w:rPr>
        <w:t>159,000,000</w:t>
      </w:r>
      <w:r>
        <w:rPr/>
        <w:t>股。公司于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日在中国证监会创业板指定信息披露网站公告了《关于</w:t>
      </w:r>
      <w:r>
        <w:rPr>
          <w:rFonts w:ascii="Times New Roman" w:hAnsi="Times New Roman" w:cs="Times New Roman" w:eastAsia="Times New Roman" w:hint="default"/>
        </w:rPr>
        <w:t>2015</w:t>
      </w:r>
      <w:r>
        <w:rPr/>
        <w:t>年半年度资本公积转增股 本实施公告》，本次权益分派股权登记日为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日，除权除息日为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w:t>
      </w:r>
      <w:r>
        <w:rPr>
          <w:rFonts w:ascii="Times New Roman" w:hAnsi="Times New Roman" w:cs="Times New Roman" w:eastAsia="Times New Roman" w:hint="default"/>
        </w:rPr>
        <w:t>.</w:t>
      </w:r>
      <w:r>
        <w:rPr/>
        <w:t>本次权益分派已经实施完毕。</w:t>
      </w:r>
    </w:p>
    <w:p>
      <w:pPr>
        <w:pStyle w:val="BodyText"/>
        <w:spacing w:line="240" w:lineRule="auto" w:before="53"/>
        <w:ind w:left="1134" w:right="0"/>
        <w:jc w:val="left"/>
      </w:pPr>
      <w:r>
        <w:rPr/>
        <w:t>股份变动对最近一年和最近一期基本每股收益和稀释每股收益、归属于公司普通股股东的每股净资产等财务指标的影响</w:t>
      </w:r>
    </w:p>
    <w:p>
      <w:pPr>
        <w:pStyle w:val="BodyText"/>
        <w:spacing w:line="338" w:lineRule="auto" w:before="117"/>
        <w:ind w:left="1493" w:right="121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w:t>
      </w:r>
      <w:r>
        <w:rPr>
          <w:rFonts w:ascii="Times New Roman" w:hAnsi="Times New Roman" w:cs="Times New Roman" w:eastAsia="Times New Roman" w:hint="default"/>
        </w:rPr>
        <w:t>,</w:t>
      </w:r>
      <w:r>
        <w:rPr/>
        <w:t>公司总股本从</w:t>
      </w:r>
      <w:r>
        <w:rPr>
          <w:rFonts w:ascii="Times New Roman" w:hAnsi="Times New Roman" w:cs="Times New Roman" w:eastAsia="Times New Roman" w:hint="default"/>
        </w:rPr>
        <w:t>7950</w:t>
      </w:r>
      <w:r>
        <w:rPr/>
        <w:t>万股增加至</w:t>
      </w:r>
      <w:r>
        <w:rPr>
          <w:rFonts w:ascii="Times New Roman" w:hAnsi="Times New Roman" w:cs="Times New Roman" w:eastAsia="Times New Roman" w:hint="default"/>
        </w:rPr>
        <w:t>26500</w:t>
      </w:r>
      <w:r>
        <w:rPr/>
        <w:t>万股</w:t>
      </w:r>
      <w:r>
        <w:rPr>
          <w:rFonts w:ascii="Times New Roman" w:hAnsi="Times New Roman" w:cs="Times New Roman" w:eastAsia="Times New Roman" w:hint="default"/>
        </w:rPr>
        <w:t>,</w:t>
      </w:r>
      <w:r>
        <w:rPr/>
        <w:t>本报告期公司基本每股收益和稀释每股收益均为</w:t>
      </w:r>
      <w:r>
        <w:rPr>
          <w:rFonts w:ascii="Times New Roman" w:hAnsi="Times New Roman" w:cs="Times New Roman" w:eastAsia="Times New Roman" w:hint="default"/>
        </w:rPr>
        <w:t>0.19</w:t>
      </w:r>
      <w:r>
        <w:rPr/>
        <w:t>元</w:t>
      </w:r>
      <w:r>
        <w:rPr>
          <w:rFonts w:ascii="Times New Roman" w:hAnsi="Times New Roman" w:cs="Times New Roman" w:eastAsia="Times New Roman" w:hint="default"/>
        </w:rPr>
        <w:t>,</w:t>
      </w:r>
      <w:r>
        <w:rPr/>
        <w:t>上年同期公</w:t>
      </w:r>
    </w:p>
    <w:p>
      <w:pPr>
        <w:pStyle w:val="BodyText"/>
        <w:spacing w:line="230" w:lineRule="exact"/>
        <w:ind w:right="0"/>
        <w:jc w:val="left"/>
      </w:pPr>
      <w:r>
        <w:rPr/>
        <w:t>司基本每股收益和稀释每股收益均为</w:t>
      </w:r>
      <w:r>
        <w:rPr>
          <w:rFonts w:ascii="Times New Roman" w:hAnsi="Times New Roman" w:cs="Times New Roman" w:eastAsia="Times New Roman" w:hint="default"/>
        </w:rPr>
        <w:t>0.46</w:t>
      </w:r>
      <w:r>
        <w:rPr/>
        <w:t>元</w:t>
      </w:r>
      <w:r>
        <w:rPr>
          <w:rFonts w:ascii="Times New Roman" w:hAnsi="Times New Roman" w:cs="Times New Roman" w:eastAsia="Times New Roman" w:hint="default"/>
        </w:rPr>
        <w:t>,</w:t>
      </w:r>
      <w:r>
        <w:rPr/>
        <w:t>本报告期归属于上市公司股东的每股净资产为</w:t>
      </w:r>
      <w:r>
        <w:rPr>
          <w:rFonts w:ascii="Times New Roman" w:hAnsi="Times New Roman" w:cs="Times New Roman" w:eastAsia="Times New Roman" w:hint="default"/>
        </w:rPr>
        <w:t>2.47</w:t>
      </w:r>
      <w:r>
        <w:rPr/>
        <w:t>元</w:t>
      </w:r>
      <w:r>
        <w:rPr>
          <w:rFonts w:ascii="Times New Roman" w:hAnsi="Times New Roman" w:cs="Times New Roman" w:eastAsia="Times New Roman" w:hint="default"/>
        </w:rPr>
        <w:t>.</w:t>
      </w:r>
      <w:r>
        <w:rPr/>
        <w:t>上年同期归属于上市公司</w:t>
      </w:r>
    </w:p>
    <w:p>
      <w:pPr>
        <w:pStyle w:val="BodyText"/>
        <w:spacing w:line="340" w:lineRule="auto" w:before="63"/>
        <w:ind w:right="6793"/>
        <w:jc w:val="left"/>
      </w:pPr>
      <w:r>
        <w:rPr/>
        <w:t>股东的每股净资产为</w:t>
      </w:r>
      <w:r>
        <w:rPr>
          <w:rFonts w:ascii="Times New Roman" w:hAnsi="Times New Roman" w:cs="Times New Roman" w:eastAsia="Times New Roman" w:hint="default"/>
        </w:rPr>
        <w:t>5.18</w:t>
      </w:r>
      <w:r>
        <w:rPr/>
        <w:t>元。 公司认为必要或证券监管机构要求披露的其他内容</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02"/>
      <w:bookmarkEnd w:id="10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证券发行与上市情况" w:id="103"/>
      <w:bookmarkEnd w:id="103"/>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04"/>
      <w:bookmarkEnd w:id="104"/>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26,500,000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26,500,000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357" w:lineRule="auto" w:before="51"/>
        <w:ind w:left="1494" w:right="1122" w:hanging="360"/>
        <w:jc w:val="left"/>
      </w:pPr>
      <w:r>
        <w:rPr/>
        <w:t>报告期内证券发行（不含优先股）情况的说明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日获得中国证券监督管理委员会下发的《关于核准浙江金科过氧化物股份有限公司首次公开发行股</w:t>
      </w:r>
    </w:p>
    <w:p>
      <w:pPr>
        <w:spacing w:after="0" w:line="357"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57"/>
        <w:jc w:val="both"/>
      </w:pPr>
      <w:r>
        <w:rPr/>
        <w:t>票的批复</w:t>
      </w:r>
      <w:r>
        <w:rPr>
          <w:spacing w:val="-20"/>
        </w:rPr>
        <w:t> </w:t>
      </w:r>
      <w:r>
        <w:rPr/>
        <w:t>》</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703</w:t>
      </w:r>
      <w:r>
        <w:rPr/>
        <w:t>号</w:t>
      </w:r>
      <w:r>
        <w:rPr>
          <w:rFonts w:ascii="Times New Roman" w:hAnsi="Times New Roman" w:cs="Times New Roman" w:eastAsia="Times New Roman" w:hint="default"/>
        </w:rPr>
        <w:t>),</w:t>
      </w:r>
      <w:r>
        <w:rPr/>
        <w:t>核准本公司公开发行新股不超过</w:t>
      </w:r>
      <w:r>
        <w:rPr>
          <w:rFonts w:ascii="Times New Roman" w:hAnsi="Times New Roman" w:cs="Times New Roman" w:eastAsia="Times New Roman" w:hint="default"/>
        </w:rPr>
        <w:t>2650</w:t>
      </w:r>
      <w:r>
        <w:rPr/>
        <w:t>万股</w:t>
      </w:r>
      <w:r>
        <w:rPr>
          <w:rFonts w:ascii="Times New Roman" w:hAnsi="Times New Roman" w:cs="Times New Roman" w:eastAsia="Times New Roman" w:hint="default"/>
        </w:rPr>
        <w:t>;</w:t>
      </w:r>
      <w:r>
        <w:rPr/>
        <w:t>并于深圳证券交易所网站公告《关于浙江 金科过氧化物股份有限公司股票在创业板上市交易的公告</w:t>
      </w:r>
      <w:r>
        <w:rPr>
          <w:spacing w:val="-20"/>
        </w:rPr>
        <w:t> </w:t>
      </w:r>
      <w:r>
        <w:rPr/>
        <w:t>》</w:t>
      </w:r>
      <w:r>
        <w:rPr>
          <w:rFonts w:ascii="Times New Roman" w:hAnsi="Times New Roman" w:cs="Times New Roman" w:eastAsia="Times New Roman" w:hint="default"/>
        </w:rPr>
        <w:t>,</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日在深圳证券交易所挂牌上市</w:t>
      </w:r>
      <w:r>
        <w:rPr>
          <w:rFonts w:ascii="Times New Roman" w:hAnsi="Times New Roman" w:cs="Times New Roman" w:eastAsia="Times New Roman" w:hint="default"/>
        </w:rPr>
        <w:t>,</w:t>
      </w:r>
      <w:r>
        <w:rPr/>
        <w:t>公司总股本 由</w:t>
      </w:r>
      <w:r>
        <w:rPr>
          <w:rFonts w:ascii="Times New Roman" w:hAnsi="Times New Roman" w:cs="Times New Roman" w:eastAsia="Times New Roman" w:hint="default"/>
        </w:rPr>
        <w:t>7950</w:t>
      </w:r>
      <w:r>
        <w:rPr/>
        <w:t>万股变为</w:t>
      </w:r>
      <w:r>
        <w:rPr>
          <w:rFonts w:ascii="Times New Roman" w:hAnsi="Times New Roman" w:cs="Times New Roman" w:eastAsia="Times New Roman" w:hint="default"/>
        </w:rPr>
        <w:t>10600</w:t>
      </w:r>
      <w:r>
        <w:rPr/>
        <w:t>万股。</w:t>
      </w:r>
    </w:p>
    <w:p>
      <w:pPr>
        <w:spacing w:line="240" w:lineRule="auto" w:before="1"/>
        <w:rPr>
          <w:rFonts w:ascii="宋体" w:hAnsi="宋体" w:cs="宋体" w:eastAsia="宋体" w:hint="default"/>
          <w:sz w:val="22"/>
          <w:szCs w:val="22"/>
        </w:rPr>
      </w:pPr>
    </w:p>
    <w:p>
      <w:pPr>
        <w:pStyle w:val="Heading4"/>
        <w:spacing w:line="240" w:lineRule="auto"/>
        <w:ind w:left="1134" w:right="0"/>
        <w:jc w:val="left"/>
        <w:rPr>
          <w:b w:val="0"/>
          <w:bCs w:val="0"/>
        </w:rPr>
      </w:pPr>
      <w:bookmarkStart w:name="2、公司股份总数及股东结构的变动、公司资产和负债结构的变动情况说明" w:id="105"/>
      <w:bookmarkEnd w:id="10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日，经中国证券监督管理委员会《关于核准浙江金科过氧化物股份有限公司首次公开发行股票的批复》</w:t>
      </w:r>
      <w:r>
        <w:rPr>
          <w:rFonts w:ascii="Times New Roman" w:hAnsi="Times New Roman" w:cs="Times New Roman" w:eastAsia="Times New Roman" w:hint="default"/>
        </w:rPr>
        <w:t>(</w:t>
      </w:r>
      <w:r>
        <w:rPr/>
        <w:t>证 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703</w:t>
      </w:r>
      <w:r>
        <w:rPr/>
        <w:t>号</w:t>
      </w:r>
      <w:r>
        <w:rPr>
          <w:rFonts w:ascii="Times New Roman" w:hAnsi="Times New Roman" w:cs="Times New Roman" w:eastAsia="Times New Roman" w:hint="default"/>
        </w:rPr>
        <w:t>)</w:t>
      </w:r>
      <w:r>
        <w:rPr/>
        <w:t>核准，公司向社会公开发行人民币普通股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)26,500,000</w:t>
      </w:r>
      <w:r>
        <w:rPr/>
        <w:t>股，每股面值人民币</w:t>
      </w:r>
      <w:r>
        <w:rPr>
          <w:rFonts w:ascii="Times New Roman" w:hAnsi="Times New Roman" w:cs="Times New Roman" w:eastAsia="Times New Roman" w:hint="default"/>
        </w:rPr>
        <w:t>1</w:t>
      </w:r>
      <w:r>
        <w:rPr/>
        <w:t>元。上述公开发行新</w:t>
      </w:r>
    </w:p>
    <w:p>
      <w:pPr>
        <w:pStyle w:val="BodyText"/>
        <w:spacing w:line="300" w:lineRule="auto"/>
        <w:ind w:right="0"/>
        <w:jc w:val="left"/>
      </w:pPr>
      <w:r>
        <w:rPr/>
        <w:t>增股本已经天健会计师事务所（特殊普通合伙）验证，并由其出具《验资报告》（天健验〔</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115</w:t>
      </w:r>
      <w:r>
        <w:rPr/>
        <w:t>号），上述新增股本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日办妥工商变更登记手续。本次股份变动后，公司股份总数为</w:t>
      </w:r>
      <w:r>
        <w:rPr>
          <w:rFonts w:ascii="Times New Roman" w:hAnsi="Times New Roman" w:cs="Times New Roman" w:eastAsia="Times New Roman" w:hint="default"/>
        </w:rPr>
        <w:t>10600</w:t>
      </w:r>
      <w:r>
        <w:rPr/>
        <w:t>万股。 </w:t>
      </w:r>
      <w:r>
        <w:rPr>
          <w:rFonts w:ascii="Times New Roman" w:hAnsi="Times New Roman" w:cs="Times New Roman" w:eastAsia="Times New Roman" w:hint="default"/>
          <w:spacing w:val="-6"/>
        </w:rPr>
        <w:t>2</w:t>
      </w:r>
      <w:r>
        <w:rPr>
          <w:spacing w:val="-6"/>
        </w:rPr>
        <w:t>、</w:t>
      </w:r>
      <w:r>
        <w:rPr>
          <w:rFonts w:ascii="Times New Roman" w:hAnsi="Times New Roman" w:cs="Times New Roman" w:eastAsia="Times New Roman" w:hint="default"/>
          <w:spacing w:val="-6"/>
        </w:rPr>
        <w:t>2015</w:t>
      </w:r>
      <w:r>
        <w:rPr>
          <w:spacing w:val="-6"/>
        </w:rPr>
        <w:t>年</w:t>
      </w:r>
      <w:r>
        <w:rPr>
          <w:rFonts w:ascii="Times New Roman" w:hAnsi="Times New Roman" w:cs="Times New Roman" w:eastAsia="Times New Roman" w:hint="default"/>
          <w:spacing w:val="-6"/>
        </w:rPr>
        <w:t>8</w:t>
      </w:r>
      <w:r>
        <w:rPr>
          <w:spacing w:val="-6"/>
        </w:rPr>
        <w:t>月</w:t>
      </w:r>
      <w:r>
        <w:rPr>
          <w:rFonts w:ascii="Times New Roman" w:hAnsi="Times New Roman" w:cs="Times New Roman" w:eastAsia="Times New Roman" w:hint="default"/>
          <w:spacing w:val="-6"/>
        </w:rPr>
        <w:t>25</w:t>
      </w:r>
      <w:r>
        <w:rPr>
          <w:spacing w:val="-6"/>
        </w:rPr>
        <w:t>日，公司召开</w:t>
      </w:r>
      <w:r>
        <w:rPr>
          <w:rFonts w:ascii="Times New Roman" w:hAnsi="Times New Roman" w:cs="Times New Roman" w:eastAsia="Times New Roman" w:hint="default"/>
          <w:spacing w:val="-6"/>
        </w:rPr>
        <w:t>2015</w:t>
      </w:r>
      <w:r>
        <w:rPr>
          <w:spacing w:val="-6"/>
        </w:rPr>
        <w:t>年第一次临时股东大会，审议通过了《关于</w:t>
      </w:r>
      <w:r>
        <w:rPr>
          <w:rFonts w:ascii="Times New Roman" w:hAnsi="Times New Roman" w:cs="Times New Roman" w:eastAsia="Times New Roman" w:hint="default"/>
          <w:spacing w:val="-6"/>
        </w:rPr>
        <w:t>2015</w:t>
      </w:r>
      <w:r>
        <w:rPr>
          <w:spacing w:val="-6"/>
        </w:rPr>
        <w:t>年半年度资本公积金转增股本方案的议案》，</w:t>
      </w:r>
      <w:r>
        <w:rPr>
          <w:spacing w:val="-61"/>
        </w:rPr>
        <w:t> </w:t>
      </w:r>
      <w:r>
        <w:rPr>
          <w:spacing w:val="-61"/>
        </w:rPr>
      </w:r>
      <w:r>
        <w:rPr/>
        <w:t>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日公司股份总数</w:t>
      </w:r>
      <w:r>
        <w:rPr>
          <w:rFonts w:ascii="Times New Roman" w:hAnsi="Times New Roman" w:cs="Times New Roman" w:eastAsia="Times New Roman" w:hint="default"/>
        </w:rPr>
        <w:t>106,000,000</w:t>
      </w:r>
      <w:r>
        <w:rPr/>
        <w:t>股为基数，以资本公积金向全体股东按每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股，共计转增股本 </w:t>
      </w:r>
      <w:r>
        <w:rPr>
          <w:rFonts w:ascii="Times New Roman" w:hAnsi="Times New Roman" w:cs="Times New Roman" w:eastAsia="Times New Roman" w:hint="default"/>
          <w:spacing w:val="-2"/>
        </w:rPr>
        <w:t>159,000,000</w:t>
      </w:r>
      <w:r>
        <w:rPr>
          <w:spacing w:val="-2"/>
        </w:rPr>
        <w:t>股，上述转增股本公司于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27</w:t>
      </w:r>
      <w:r>
        <w:rPr>
          <w:spacing w:val="-2"/>
        </w:rPr>
        <w:t>日办妥工商变更登记手续。本次股份变动后，公司股份总数为</w:t>
      </w:r>
      <w:r>
        <w:rPr>
          <w:rFonts w:ascii="Times New Roman" w:hAnsi="Times New Roman" w:cs="Times New Roman" w:eastAsia="Times New Roman" w:hint="default"/>
          <w:spacing w:val="-2"/>
        </w:rPr>
        <w:t>26500</w:t>
      </w:r>
      <w:r>
        <w:rPr>
          <w:spacing w:val="-2"/>
        </w:rPr>
        <w:t>万股。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9"/>
        <w:ind w:right="0"/>
        <w:jc w:val="left"/>
        <w:rPr>
          <w:b w:val="0"/>
          <w:bCs w:val="0"/>
        </w:rPr>
      </w:pPr>
      <w:bookmarkStart w:name="3、现存的内部职工股情况" w:id="106"/>
      <w:bookmarkEnd w:id="106"/>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07"/>
      <w:bookmarkEnd w:id="107"/>
      <w:r>
        <w:rPr>
          <w:b w:val="0"/>
          <w:bCs w:val="0"/>
        </w:rPr>
      </w:r>
      <w:r>
        <w:rPr/>
        <w:t>三、股东和实际控制人情况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08"/>
      <w:bookmarkEnd w:id="108"/>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pict>
          <v:shape style="position:absolute;margin-left:449.277008pt;margin-top:68.291710pt;width:85.6pt;height:31.2pt;mso-position-horizontal-relative:page;mso-position-vertical-relative:paragraph;z-index:-1065256"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2.399994pt;margin-top:68.291710pt;width:52.45pt;height:31.2pt;mso-position-horizontal-relative:page;mso-position-vertical-relative:paragraph;z-index:-1065232" coordorigin="9648,1366" coordsize="1049,624">
            <v:shape style="position:absolute;left:9648;top:1366;width:1049;height:624" coordorigin="9648,1366" coordsize="1049,624" path="m9648,1990l10697,1990,10697,1366,9648,1366,9648,1990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12,715</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12,722</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金科控股集团有 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24.19%</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64,116,55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pacing w:val="-1"/>
                <w:sz w:val="18"/>
              </w:rPr>
              <w:t>64,116,55</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5"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56,500,000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23.59%</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62,526,55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62,526,55</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12,000,000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浙江利建创业投 资有限公司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5.73%</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15,191,05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15,191,05</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上虞市金创投资 中心（普通合伙）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5.25%</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13,925,22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13,925,22</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浙江卧龙创业投 资有限公司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12,659,17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12,659,17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葛敏海</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4,253,450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4,253,450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1,912,000</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上海盛万彦润投 </w:t>
            </w:r>
            <w:r>
              <w:rPr>
                <w:rFonts w:ascii="宋体" w:hAnsi="宋体" w:cs="宋体" w:eastAsia="宋体" w:hint="default"/>
                <w:spacing w:val="-4"/>
                <w:sz w:val="18"/>
                <w:szCs w:val="18"/>
              </w:rPr>
              <w:t>资合伙企业（有限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3,164,900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3,164,900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苏州恒博创业投 资有限公司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3,164,900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3,164,900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3,150,000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李向龙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2,687,500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2,687,500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2,687,500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陈文豪</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2,531,875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2,531,875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韩礼力</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2,531,875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2,531,875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章伟新</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2,531,875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2,531,875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金科控股集团有限公司为朱志刚实际控制的企业。</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李向龙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2,687,500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2,687,500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肖行昌</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2,037,478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2,037,478</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王必旺</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1,600,750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1,600,750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卢立君</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李红彪</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1,312,100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1,312,100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彼阳红太阳投资有限公司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陈乒邦</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1,216,500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1,216,500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吴航珍</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拓森电子</w:t>
            </w:r>
            <w:r>
              <w:rPr>
                <w:rFonts w:ascii="Times New Roman" w:hAnsi="Times New Roman" w:cs="Times New Roman" w:eastAsia="Times New Roman" w:hint="default"/>
                <w:sz w:val="18"/>
                <w:szCs w:val="18"/>
              </w:rPr>
              <w:t>(</w:t>
            </w:r>
            <w:r>
              <w:rPr>
                <w:rFonts w:ascii="宋体" w:hAnsi="宋体" w:cs="宋体" w:eastAsia="宋体" w:hint="default"/>
                <w:sz w:val="18"/>
                <w:szCs w:val="18"/>
              </w:rPr>
              <w:t>杭州</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浙江象舆行投资管理有限公司－象 舆行－思源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期私募证券投资基金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979,243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979,243</w:t>
            </w:r>
          </w:p>
        </w:tc>
      </w:tr>
      <w:tr>
        <w:trPr>
          <w:trHeight w:val="133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16" w:right="23"/>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名无限售流通股东之间，以及前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名股 </w:t>
            </w:r>
            <w:r>
              <w:rPr>
                <w:rFonts w:ascii="宋体" w:hAnsi="宋体" w:cs="宋体" w:eastAsia="宋体" w:hint="default"/>
                <w:sz w:val="18"/>
                <w:szCs w:val="18"/>
              </w:rPr>
              <w:t>东之间是否有关联关系和一致行动人情况。</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71"/>
              <w:ind w:left="16" w:right="0"/>
              <w:jc w:val="left"/>
              <w:rPr>
                <w:rFonts w:ascii="宋体" w:hAnsi="宋体" w:cs="宋体" w:eastAsia="宋体" w:hint="default"/>
                <w:sz w:val="18"/>
                <w:szCs w:val="18"/>
              </w:rPr>
            </w:pPr>
            <w:r>
              <w:rPr>
                <w:rFonts w:ascii="宋体" w:hAnsi="宋体" w:cs="宋体" w:eastAsia="宋体" w:hint="default"/>
                <w:sz w:val="18"/>
                <w:szCs w:val="18"/>
              </w:rPr>
              <w:t>股东拓森电子</w:t>
            </w:r>
            <w:r>
              <w:rPr>
                <w:rFonts w:ascii="Times New Roman" w:hAnsi="Times New Roman" w:cs="Times New Roman" w:eastAsia="Times New Roman" w:hint="default"/>
                <w:sz w:val="18"/>
                <w:szCs w:val="18"/>
              </w:rPr>
              <w:t>(</w:t>
            </w:r>
            <w:r>
              <w:rPr>
                <w:rFonts w:ascii="宋体" w:hAnsi="宋体" w:cs="宋体" w:eastAsia="宋体" w:hint="default"/>
                <w:sz w:val="18"/>
                <w:szCs w:val="18"/>
              </w:rPr>
              <w:t>杭州</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股外，还通过西南证</w:t>
            </w:r>
          </w:p>
          <w:p>
            <w:pPr>
              <w:pStyle w:val="TableParagraph"/>
              <w:spacing w:line="240" w:lineRule="auto" w:before="6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券股份有限公司客户信用交易担保证券账户持有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股，实际合计持有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80"/>
        <w:gridCol w:w="6688"/>
      </w:tblGrid>
      <w:tr>
        <w:trPr>
          <w:trHeight w:val="322" w:hRule="exact"/>
        </w:trPr>
        <w:tc>
          <w:tcPr>
            <w:tcW w:w="2880" w:type="dxa"/>
            <w:vMerge w:val="restart"/>
            <w:tcBorders>
              <w:top w:val="single" w:sz="4" w:space="0" w:color="000000"/>
              <w:left w:val="single" w:sz="4" w:space="0" w:color="000000"/>
              <w:right w:val="single" w:sz="4" w:space="0" w:color="000000"/>
            </w:tcBorders>
            <w:shd w:val="clear" w:color="auto" w:fill="D2D2D2"/>
          </w:tcPr>
          <w:p>
            <w:pPr/>
          </w:p>
        </w:tc>
        <w:tc>
          <w:tcPr>
            <w:tcW w:w="66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宋体" w:hAnsi="宋体" w:cs="宋体" w:eastAsia="宋体" w:hint="default"/>
                <w:spacing w:val="-75"/>
                <w:sz w:val="18"/>
                <w:szCs w:val="18"/>
              </w:rPr>
              <w:t>。</w:t>
            </w:r>
            <w:r>
              <w:rPr>
                <w:rFonts w:ascii="宋体" w:hAnsi="宋体" w:cs="宋体" w:eastAsia="宋体" w:hint="default"/>
                <w:sz w:val="18"/>
                <w:szCs w:val="18"/>
              </w:rPr>
              <w:t>股东肖行昌通过兴业证券股份有限公司客户信用交易担保证券账户持有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2,037,478</w:t>
            </w:r>
          </w:p>
        </w:tc>
      </w:tr>
      <w:tr>
        <w:trPr>
          <w:trHeight w:val="312" w:hRule="exact"/>
        </w:trPr>
        <w:tc>
          <w:tcPr>
            <w:tcW w:w="2880" w:type="dxa"/>
            <w:vMerge/>
            <w:tcBorders>
              <w:left w:val="single" w:sz="4" w:space="0" w:color="000000"/>
              <w:right w:val="single" w:sz="4" w:space="0" w:color="000000"/>
            </w:tcBorders>
            <w:shd w:val="clear" w:color="auto" w:fill="D2D2D2"/>
          </w:tcPr>
          <w:p>
            <w:pPr/>
          </w:p>
        </w:tc>
        <w:tc>
          <w:tcPr>
            <w:tcW w:w="66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2,037,478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股。股东王必旺通过招商证券股份有限公司客户信用交</w:t>
            </w:r>
          </w:p>
        </w:tc>
      </w:tr>
      <w:tr>
        <w:trPr>
          <w:trHeight w:val="312" w:hRule="exact"/>
        </w:trPr>
        <w:tc>
          <w:tcPr>
            <w:tcW w:w="2880" w:type="dxa"/>
            <w:vMerge/>
            <w:tcBorders>
              <w:left w:val="single" w:sz="4" w:space="0" w:color="000000"/>
              <w:right w:val="single" w:sz="4" w:space="0" w:color="000000"/>
            </w:tcBorders>
            <w:shd w:val="clear" w:color="auto" w:fill="D2D2D2"/>
          </w:tcPr>
          <w:p>
            <w:pPr/>
          </w:p>
        </w:tc>
        <w:tc>
          <w:tcPr>
            <w:tcW w:w="66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易担保证券账户持有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1,600,750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股，实际合计持有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1,600,750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股。股东卢立君通过浙商</w:t>
            </w:r>
          </w:p>
        </w:tc>
      </w:tr>
      <w:tr>
        <w:trPr>
          <w:trHeight w:val="312" w:hRule="exact"/>
        </w:trPr>
        <w:tc>
          <w:tcPr>
            <w:tcW w:w="2880" w:type="dxa"/>
            <w:vMerge/>
            <w:tcBorders>
              <w:left w:val="single" w:sz="4" w:space="0" w:color="000000"/>
              <w:right w:val="single" w:sz="4" w:space="0" w:color="000000"/>
            </w:tcBorders>
            <w:shd w:val="clear" w:color="auto" w:fill="D2D2D2"/>
          </w:tcPr>
          <w:p>
            <w:pPr/>
          </w:p>
        </w:tc>
        <w:tc>
          <w:tcPr>
            <w:tcW w:w="66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证券股份有限公司客户信用交易担保证券账户持有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p>
        </w:tc>
      </w:tr>
      <w:tr>
        <w:trPr>
          <w:trHeight w:val="312" w:hRule="exact"/>
        </w:trPr>
        <w:tc>
          <w:tcPr>
            <w:tcW w:w="2880" w:type="dxa"/>
            <w:vMerge/>
            <w:tcBorders>
              <w:left w:val="single" w:sz="4" w:space="0" w:color="000000"/>
              <w:right w:val="single" w:sz="4" w:space="0" w:color="000000"/>
            </w:tcBorders>
            <w:shd w:val="clear" w:color="auto" w:fill="D2D2D2"/>
          </w:tcPr>
          <w:p>
            <w:pPr/>
          </w:p>
        </w:tc>
        <w:tc>
          <w:tcPr>
            <w:tcW w:w="66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75"/>
                <w:sz w:val="18"/>
                <w:szCs w:val="18"/>
              </w:rPr>
              <w:t>。</w:t>
            </w:r>
            <w:r>
              <w:rPr>
                <w:rFonts w:ascii="宋体" w:hAnsi="宋体" w:cs="宋体" w:eastAsia="宋体" w:hint="default"/>
                <w:sz w:val="18"/>
                <w:szCs w:val="18"/>
              </w:rPr>
              <w:t>股东彼阳红太阳投资有限公司通过日信证券有限责任公司客户信用交易</w:t>
            </w:r>
          </w:p>
        </w:tc>
      </w:tr>
      <w:tr>
        <w:trPr>
          <w:trHeight w:val="312" w:hRule="exact"/>
        </w:trPr>
        <w:tc>
          <w:tcPr>
            <w:tcW w:w="2880" w:type="dxa"/>
            <w:vMerge/>
            <w:tcBorders>
              <w:left w:val="single" w:sz="4" w:space="0" w:color="000000"/>
              <w:right w:val="single" w:sz="4" w:space="0" w:color="000000"/>
            </w:tcBorders>
            <w:shd w:val="clear" w:color="auto" w:fill="D2D2D2"/>
          </w:tcPr>
          <w:p>
            <w:pPr/>
          </w:p>
        </w:tc>
        <w:tc>
          <w:tcPr>
            <w:tcW w:w="66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担保证券账户持有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1,280,000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股，实际合计持有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1,280,000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股。股东吴航珍通过西南证</w:t>
            </w:r>
          </w:p>
        </w:tc>
      </w:tr>
      <w:tr>
        <w:trPr>
          <w:trHeight w:val="313" w:hRule="exact"/>
        </w:trPr>
        <w:tc>
          <w:tcPr>
            <w:tcW w:w="2880" w:type="dxa"/>
            <w:vMerge/>
            <w:tcBorders>
              <w:left w:val="single" w:sz="4" w:space="0" w:color="000000"/>
              <w:right w:val="single" w:sz="4" w:space="0" w:color="000000"/>
            </w:tcBorders>
            <w:shd w:val="clear" w:color="auto" w:fill="D2D2D2"/>
          </w:tcPr>
          <w:p>
            <w:pPr/>
          </w:p>
        </w:tc>
        <w:tc>
          <w:tcPr>
            <w:tcW w:w="66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券股份有限公司客户信用交易担保证券账户持有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p>
        </w:tc>
      </w:tr>
      <w:tr>
        <w:trPr>
          <w:trHeight w:val="352" w:hRule="exact"/>
        </w:trPr>
        <w:tc>
          <w:tcPr>
            <w:tcW w:w="2880" w:type="dxa"/>
            <w:vMerge/>
            <w:tcBorders>
              <w:left w:val="single" w:sz="4" w:space="0" w:color="000000"/>
              <w:bottom w:val="single" w:sz="4" w:space="0" w:color="000000"/>
              <w:right w:val="single" w:sz="4" w:space="0" w:color="000000"/>
            </w:tcBorders>
            <w:shd w:val="clear" w:color="auto" w:fill="D2D2D2"/>
          </w:tcPr>
          <w:p>
            <w:pPr/>
          </w:p>
        </w:tc>
        <w:tc>
          <w:tcPr>
            <w:tcW w:w="66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09"/>
      <w:bookmarkEnd w:id="109"/>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控股股东类型：法人</w:t>
      </w:r>
    </w:p>
    <w:tbl>
      <w:tblPr>
        <w:tblW w:w="0" w:type="auto"/>
        <w:jc w:val="left"/>
        <w:tblInd w:w="1129" w:type="dxa"/>
        <w:tblLayout w:type="fixed"/>
        <w:tblCellMar>
          <w:top w:w="0" w:type="dxa"/>
          <w:left w:w="0" w:type="dxa"/>
          <w:bottom w:w="0" w:type="dxa"/>
          <w:right w:w="0" w:type="dxa"/>
        </w:tblCellMar>
        <w:tblLook w:val="01E0"/>
      </w:tblPr>
      <w:tblGrid>
        <w:gridCol w:w="2265"/>
        <w:gridCol w:w="1616"/>
        <w:gridCol w:w="1423"/>
        <w:gridCol w:w="2067"/>
        <w:gridCol w:w="2198"/>
      </w:tblGrid>
      <w:tr>
        <w:trPr>
          <w:trHeight w:val="714"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621" w:right="57"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586"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金科控股集团有限公司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91330604146113809Y</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一般经营项目：环保、制造 设备、泳池成套设备、水处 理设备设计、制造、安装； 金属制品加工、销售；实业 </w:t>
            </w:r>
            <w:r>
              <w:rPr>
                <w:rFonts w:ascii="宋体" w:hAnsi="宋体" w:cs="宋体" w:eastAsia="宋体" w:hint="default"/>
                <w:spacing w:val="-16"/>
                <w:sz w:val="18"/>
                <w:szCs w:val="18"/>
              </w:rPr>
              <w:t>投资、控股；进出口业务（法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律法规禁止项目除外，限制</w:t>
            </w:r>
            <w:r>
              <w:rPr>
                <w:rFonts w:ascii="宋体" w:hAnsi="宋体" w:cs="宋体" w:eastAsia="宋体" w:hint="default"/>
                <w:sz w:val="18"/>
                <w:szCs w:val="18"/>
              </w:rPr>
              <w:t> 项目取得许可证后方可经 </w:t>
            </w:r>
            <w:r>
              <w:rPr>
                <w:rFonts w:ascii="宋体" w:hAnsi="宋体" w:cs="宋体" w:eastAsia="宋体" w:hint="default"/>
                <w:spacing w:val="-30"/>
                <w:sz w:val="18"/>
                <w:szCs w:val="18"/>
              </w:rPr>
              <w:t>营）。</w:t>
            </w:r>
          </w:p>
        </w:tc>
      </w:tr>
    </w:tbl>
    <w:p>
      <w:pPr>
        <w:pStyle w:val="BodyText"/>
        <w:spacing w:line="240" w:lineRule="auto" w:before="68"/>
        <w:ind w:left="113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公司实际控制人情况" w:id="110"/>
      <w:bookmarkEnd w:id="110"/>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28"/>
        <w:gridCol w:w="2121"/>
        <w:gridCol w:w="4120"/>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朱志刚先生为现任浙江金科过氧化物股份有限公司及金科控股集团有限公司董 事长</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8"/>
        <w:ind w:left="1134" w:right="0"/>
        <w:jc w:val="left"/>
      </w:pPr>
      <w:r>
        <w:rPr/>
        <w:t>实际控制人报告期内变更</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right="6793"/>
        <w:jc w:val="left"/>
      </w:pPr>
      <w:r>
        <w:rPr/>
        <w:t>公司报告期实际控制人未发生变更。 公司与实际控制人之间的产权及控制关系的方框图</w:t>
      </w:r>
    </w:p>
    <w:p>
      <w:pPr>
        <w:spacing w:line="240" w:lineRule="auto" w:before="8"/>
        <w:rPr>
          <w:rFonts w:ascii="宋体" w:hAnsi="宋体" w:cs="宋体" w:eastAsia="宋体" w:hint="default"/>
          <w:sz w:val="22"/>
          <w:szCs w:val="22"/>
        </w:rPr>
      </w:pPr>
    </w:p>
    <w:p>
      <w:pPr>
        <w:spacing w:line="2880" w:lineRule="exact"/>
        <w:ind w:left="2336"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4591995" cy="1828800"/>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5" cstate="print"/>
                    <a:stretch>
                      <a:fillRect/>
                    </a:stretch>
                  </pic:blipFill>
                  <pic:spPr>
                    <a:xfrm>
                      <a:off x="0" y="0"/>
                      <a:ext cx="4591995" cy="1828800"/>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8"/>
        <w:rPr>
          <w:rFonts w:ascii="宋体" w:hAnsi="宋体" w:cs="宋体" w:eastAsia="宋体" w:hint="default"/>
          <w:sz w:val="21"/>
          <w:szCs w:val="21"/>
        </w:rPr>
      </w:pPr>
    </w:p>
    <w:p>
      <w:pPr>
        <w:pStyle w:val="Heading3"/>
        <w:spacing w:line="240" w:lineRule="auto"/>
        <w:ind w:right="0"/>
        <w:jc w:val="left"/>
      </w:pPr>
      <w:r>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11"/>
      <w:bookmarkEnd w:id="111"/>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12"/>
      <w:bookmarkEnd w:id="112"/>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4" w:id="113"/>
      <w:bookmarkStart w:name="第七节 优先股相关情况" w:id="114"/>
      <w:r>
        <w:rPr>
          <w:b w:val="0"/>
          <w:bCs w:val="0"/>
        </w:rPr>
      </w:r>
      <w:r>
        <w:rPr/>
        <w:t>第七节</w:t>
      </w:r>
      <w:r>
        <w:rPr>
          <w:spacing w:val="-8"/>
        </w:rPr>
        <w:t> </w:t>
      </w:r>
      <w:r>
        <w:rPr/>
        <w:t>优先股相关情况</w:t>
      </w:r>
      <w:bookmarkEnd w:id="113"/>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_TOC_250003" w:id="115"/>
      <w:bookmarkStart w:name="第八节 董事、监事、高级管理人员和员工情况" w:id="116"/>
      <w:r>
        <w:rPr>
          <w:b w:val="0"/>
          <w:bCs w:val="0"/>
        </w:rPr>
      </w:r>
      <w:r>
        <w:rPr/>
        <w:t>第八节</w:t>
      </w:r>
      <w:r>
        <w:rPr>
          <w:spacing w:val="-16"/>
        </w:rPr>
        <w:t> </w:t>
      </w:r>
      <w:r>
        <w:rPr/>
        <w:t>董事、监事、高级管理人员和员工情况</w:t>
      </w:r>
      <w:bookmarkEnd w:id="1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7"/>
      <w:bookmarkEnd w:id="117"/>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25,010,60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37,515,95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62,526,55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葛敏海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1,701,400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2,552,050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4,253,450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章伟新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1,012,800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1,519,075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2,531,875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章金龙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911,500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1,367,175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2,278,675</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魏洪涛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569,625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949,425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吴剑波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竺素娥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马贵翔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陈智敏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姚勇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丁宁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项丰标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毛军勇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227,900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341,725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569,625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梁百其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秦海娟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杜志平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29,244,00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43,865,60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73,109,60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公司董事、监事、高级管理人员变动情况" w:id="118"/>
      <w:bookmarkEnd w:id="118"/>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毛军勇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高管职务调整</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杜志平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毛军勇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秦海娟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陈智敏</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新任</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任职情况" w:id="119"/>
      <w:bookmarkEnd w:id="119"/>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16" w:lineRule="auto" w:before="115"/>
        <w:ind w:left="1493" w:right="1116" w:hanging="360"/>
        <w:jc w:val="left"/>
      </w:pPr>
      <w:r>
        <w:rPr>
          <w:rFonts w:ascii="宋体" w:hAnsi="宋体" w:cs="宋体" w:eastAsia="宋体" w:hint="default"/>
          <w:b/>
          <w:bCs/>
        </w:rPr>
        <w:t>（一）董事会成员</w:t>
      </w:r>
      <w:r>
        <w:rPr>
          <w:rFonts w:ascii="宋体" w:hAnsi="宋体" w:cs="宋体" w:eastAsia="宋体" w:hint="default"/>
          <w:b/>
          <w:bCs/>
          <w:w w:val="99"/>
        </w:rPr>
        <w:t> </w:t>
      </w:r>
      <w:r>
        <w:rPr>
          <w:spacing w:val="-2"/>
        </w:rPr>
        <w:t>朱志刚先生：公司董事长兼法定代表人，</w:t>
      </w:r>
      <w:r>
        <w:rPr>
          <w:rFonts w:ascii="Times New Roman" w:hAnsi="Times New Roman" w:cs="Times New Roman" w:eastAsia="Times New Roman" w:hint="default"/>
          <w:spacing w:val="-2"/>
        </w:rPr>
        <w:t>1965</w:t>
      </w:r>
      <w:r>
        <w:rPr>
          <w:spacing w:val="-2"/>
        </w:rPr>
        <w:t>年出生，中国国籍，澳门永久居留权，经济学研究生结业，经济师、工程</w:t>
      </w:r>
    </w:p>
    <w:p>
      <w:pPr>
        <w:pStyle w:val="BodyText"/>
        <w:spacing w:line="248" w:lineRule="exact"/>
        <w:ind w:right="0"/>
        <w:jc w:val="left"/>
      </w:pPr>
      <w:r>
        <w:rPr/>
        <w:t>师职称，浙江工业大学兼职教授。朱先生</w:t>
      </w:r>
      <w:r>
        <w:rPr>
          <w:rFonts w:ascii="Times New Roman" w:hAnsi="Times New Roman" w:cs="Times New Roman" w:eastAsia="Times New Roman" w:hint="default"/>
        </w:rPr>
        <w:t>1983</w:t>
      </w:r>
      <w:r>
        <w:rPr/>
        <w:t>年至</w:t>
      </w:r>
      <w:r>
        <w:rPr>
          <w:rFonts w:ascii="Times New Roman" w:hAnsi="Times New Roman" w:cs="Times New Roman" w:eastAsia="Times New Roman" w:hint="default"/>
        </w:rPr>
        <w:t>1996</w:t>
      </w:r>
      <w:r>
        <w:rPr/>
        <w:t>年期间历任上虞市曹娥塑料厂副厂长，上虞树脂化工厂厂长，上虞联</w:t>
      </w:r>
    </w:p>
    <w:p>
      <w:pPr>
        <w:spacing w:after="0" w:line="248" w:lineRule="exact"/>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039"/>
        <w:jc w:val="left"/>
      </w:pPr>
      <w:r>
        <w:rPr>
          <w:spacing w:val="-4"/>
        </w:rPr>
        <w:t>丰给排水设备厂厂长，上虞市金泰实业总公司总经理；</w:t>
      </w:r>
      <w:r>
        <w:rPr>
          <w:rFonts w:ascii="Times New Roman" w:hAnsi="Times New Roman" w:cs="Times New Roman" w:eastAsia="Times New Roman" w:hint="default"/>
          <w:spacing w:val="-4"/>
        </w:rPr>
        <w:t>1997</w:t>
      </w:r>
      <w:r>
        <w:rPr>
          <w:spacing w:val="-4"/>
        </w:rPr>
        <w:t>年至今历任金科控股董事长，金科置业董事长，时代广场董事长，</w:t>
      </w:r>
      <w:r>
        <w:rPr>
          <w:spacing w:val="-37"/>
        </w:rPr>
        <w:t> </w:t>
      </w:r>
      <w:r>
        <w:rPr>
          <w:spacing w:val="-37"/>
        </w:rPr>
      </w:r>
      <w:r>
        <w:rPr/>
        <w:t>时代金科董事长兼总经理，浙江金科董事长。朱先生由股东金科控股提名，本届董事任期自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 </w:t>
      </w:r>
      <w:r>
        <w:rPr/>
        <w:t>日。</w:t>
      </w:r>
    </w:p>
    <w:p>
      <w:pPr>
        <w:pStyle w:val="BodyText"/>
        <w:spacing w:line="307" w:lineRule="auto" w:before="31"/>
        <w:ind w:right="1129" w:firstLine="360"/>
        <w:jc w:val="both"/>
      </w:pPr>
      <w:r>
        <w:rPr>
          <w:spacing w:val="-2"/>
        </w:rPr>
        <w:t>葛敏海先生：公司副董事长，</w:t>
      </w:r>
      <w:r>
        <w:rPr>
          <w:rFonts w:ascii="Times New Roman" w:hAnsi="Times New Roman" w:cs="Times New Roman" w:eastAsia="Times New Roman" w:hint="default"/>
          <w:spacing w:val="-2"/>
        </w:rPr>
        <w:t>1975</w:t>
      </w:r>
      <w:r>
        <w:rPr>
          <w:spacing w:val="-2"/>
        </w:rPr>
        <w:t>年出生，中国国籍，无境外永久居留权，工商管理硕士。葛先生</w:t>
      </w:r>
      <w:r>
        <w:rPr>
          <w:rFonts w:ascii="Times New Roman" w:hAnsi="Times New Roman" w:cs="Times New Roman" w:eastAsia="Times New Roman" w:hint="default"/>
          <w:spacing w:val="-2"/>
        </w:rPr>
        <w:t>1998</w:t>
      </w:r>
      <w:r>
        <w:rPr>
          <w:spacing w:val="-2"/>
        </w:rPr>
        <w:t>年至今历任金科</w:t>
      </w:r>
      <w:r>
        <w:rPr/>
        <w:t> </w:t>
      </w:r>
      <w:r>
        <w:rPr>
          <w:spacing w:val="-2"/>
        </w:rPr>
        <w:t>控股投资发展部副部长、部长、总裁办主任、副总裁、总裁，时代金科董事，金科科技董事长，上虞雷迪森执行董事兼总经</w:t>
      </w:r>
      <w:r>
        <w:rPr>
          <w:spacing w:val="-72"/>
        </w:rPr>
        <w:t> </w:t>
      </w:r>
      <w:r>
        <w:rPr>
          <w:spacing w:val="-72"/>
        </w:rPr>
      </w:r>
      <w:r>
        <w:rPr/>
        <w:t>理，万锦商贸执行董事兼总经理，浙江金科副董事长。葛先生由股东金科控股提名，本届董事任期自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w:t>
      </w:r>
    </w:p>
    <w:p>
      <w:pPr>
        <w:pStyle w:val="BodyText"/>
        <w:spacing w:line="307" w:lineRule="auto" w:before="7"/>
        <w:ind w:right="1033" w:firstLine="360"/>
        <w:jc w:val="left"/>
      </w:pPr>
      <w:r>
        <w:rPr/>
        <w:t>章伟新先生：公司董事兼总经理，</w:t>
      </w:r>
      <w:r>
        <w:rPr>
          <w:rFonts w:ascii="Times New Roman" w:hAnsi="Times New Roman" w:cs="Times New Roman" w:eastAsia="Times New Roman" w:hint="default"/>
        </w:rPr>
        <w:t>1967</w:t>
      </w:r>
      <w:r>
        <w:rPr/>
        <w:t>年出生，中国国籍，无境外永久居留权，大专学历，经济师职称。章先生</w:t>
      </w:r>
      <w:r>
        <w:rPr>
          <w:rFonts w:ascii="Times New Roman" w:hAnsi="Times New Roman" w:cs="Times New Roman" w:eastAsia="Times New Roman" w:hint="default"/>
        </w:rPr>
        <w:t>1985 </w:t>
      </w:r>
      <w:r>
        <w:rPr/>
        <w:t>年至</w:t>
      </w:r>
      <w:r>
        <w:rPr>
          <w:rFonts w:ascii="Times New Roman" w:hAnsi="Times New Roman" w:cs="Times New Roman" w:eastAsia="Times New Roman" w:hint="default"/>
        </w:rPr>
        <w:t>2004</w:t>
      </w:r>
      <w:r>
        <w:rPr/>
        <w:t>年历任中国工商银行上虞市支行办事处主任、信贷科长、二级支行行长；</w:t>
      </w:r>
      <w:r>
        <w:rPr>
          <w:rFonts w:ascii="Times New Roman" w:hAnsi="Times New Roman" w:cs="Times New Roman" w:eastAsia="Times New Roman" w:hint="default"/>
        </w:rPr>
        <w:t>2004</w:t>
      </w:r>
      <w:r>
        <w:rPr/>
        <w:t>年至今历任金科科技常务副总经理、 </w:t>
      </w:r>
      <w:r>
        <w:rPr>
          <w:spacing w:val="-2"/>
        </w:rPr>
        <w:t>总经理、董事长，金科双氧水董事长，时代金科常务副总经理、总经理、董事长，运通控股执行董事兼总经理，美生日化总</w:t>
      </w:r>
      <w:r>
        <w:rPr>
          <w:spacing w:val="-72"/>
        </w:rPr>
        <w:t> </w:t>
      </w:r>
      <w:r>
        <w:rPr>
          <w:spacing w:val="-72"/>
        </w:rPr>
      </w:r>
      <w:r>
        <w:rPr/>
        <w:t>经理，浙江金科董事兼总经理。章先生由股东金科控股提名，本届董事任期自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w:t>
      </w:r>
    </w:p>
    <w:p>
      <w:pPr>
        <w:pStyle w:val="BodyText"/>
        <w:spacing w:line="300" w:lineRule="auto" w:before="7"/>
        <w:ind w:left="1134" w:right="1032" w:firstLine="360"/>
        <w:jc w:val="left"/>
      </w:pPr>
      <w:r>
        <w:rPr>
          <w:spacing w:val="-2"/>
        </w:rPr>
        <w:t>章金龙先生：公司董事兼副总经理，</w:t>
      </w:r>
      <w:r>
        <w:rPr>
          <w:rFonts w:ascii="Times New Roman" w:hAnsi="Times New Roman" w:cs="Times New Roman" w:eastAsia="Times New Roman" w:hint="default"/>
          <w:spacing w:val="-2"/>
        </w:rPr>
        <w:t>1962</w:t>
      </w:r>
      <w:r>
        <w:rPr>
          <w:spacing w:val="-2"/>
        </w:rPr>
        <w:t>年出生，中国国籍，无境外永久居留权，本科学历，工程师职称。章先生</w:t>
      </w:r>
      <w:r>
        <w:rPr>
          <w:rFonts w:ascii="Times New Roman" w:hAnsi="Times New Roman" w:cs="Times New Roman" w:eastAsia="Times New Roman" w:hint="default"/>
          <w:spacing w:val="-2"/>
        </w:rPr>
        <w:t>1984</w:t>
      </w:r>
      <w:r>
        <w:rPr>
          <w:rFonts w:ascii="Times New Roman" w:hAnsi="Times New Roman" w:cs="Times New Roman" w:eastAsia="Times New Roman" w:hint="default"/>
        </w:rPr>
        <w:t> </w:t>
      </w:r>
      <w:r>
        <w:rPr/>
        <w:t>年至</w:t>
      </w:r>
      <w:r>
        <w:rPr>
          <w:rFonts w:ascii="Times New Roman" w:hAnsi="Times New Roman" w:cs="Times New Roman" w:eastAsia="Times New Roman" w:hint="default"/>
        </w:rPr>
        <w:t>1995</w:t>
      </w:r>
      <w:r>
        <w:rPr/>
        <w:t>年任浙江联丰集团有限公司技术部长；</w:t>
      </w:r>
      <w:r>
        <w:rPr>
          <w:rFonts w:ascii="Times New Roman" w:hAnsi="Times New Roman" w:cs="Times New Roman" w:eastAsia="Times New Roman" w:hint="default"/>
        </w:rPr>
        <w:t>1996</w:t>
      </w:r>
      <w:r>
        <w:rPr/>
        <w:t>年至今历任上虞金泰副总经理，金科科技副总经理、总经理、董事长， </w:t>
      </w:r>
      <w:r>
        <w:rPr>
          <w:spacing w:val="-5"/>
        </w:rPr>
        <w:t>时代金科董事兼副总经理，浙江金科董事兼副总经理、公司研发中心主任。章先生由股东金科控股提名，本届董事任期自</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w:t>
      </w:r>
    </w:p>
    <w:p>
      <w:pPr>
        <w:pStyle w:val="BodyText"/>
        <w:spacing w:line="309" w:lineRule="auto" w:before="13"/>
        <w:ind w:right="1130" w:firstLine="360"/>
        <w:jc w:val="both"/>
      </w:pPr>
      <w:r>
        <w:rPr>
          <w:spacing w:val="-2"/>
        </w:rPr>
        <w:t>魏洪涛先生：公司董事、副总经理兼董事会秘书，</w:t>
      </w:r>
      <w:r>
        <w:rPr>
          <w:rFonts w:ascii="Times New Roman" w:hAnsi="Times New Roman" w:cs="Times New Roman" w:eastAsia="Times New Roman" w:hint="default"/>
          <w:spacing w:val="-2"/>
        </w:rPr>
        <w:t>1977</w:t>
      </w:r>
      <w:r>
        <w:rPr>
          <w:spacing w:val="-2"/>
        </w:rPr>
        <w:t>年出生，中国国籍，无境外永久居留权，大专学历。魏先生</w:t>
      </w:r>
      <w:r>
        <w:rPr>
          <w:rFonts w:ascii="Times New Roman" w:hAnsi="Times New Roman" w:cs="Times New Roman" w:eastAsia="Times New Roman" w:hint="default"/>
          <w:spacing w:val="-2"/>
        </w:rPr>
        <w:t>1998</w:t>
      </w:r>
      <w:r>
        <w:rPr>
          <w:rFonts w:ascii="Times New Roman" w:hAnsi="Times New Roman" w:cs="Times New Roman" w:eastAsia="Times New Roman" w:hint="default"/>
        </w:rPr>
        <w:t> </w:t>
      </w:r>
      <w:r>
        <w:rPr>
          <w:spacing w:val="-2"/>
        </w:rPr>
        <w:t>年至今历任金科控股文员、总裁办主任，金科科技总经理助理、副总经理，时代金科董事、副总经理兼董事会秘书，浙江金</w:t>
      </w:r>
      <w:r>
        <w:rPr>
          <w:spacing w:val="-68"/>
        </w:rPr>
        <w:t> </w:t>
      </w:r>
      <w:r>
        <w:rPr>
          <w:spacing w:val="-68"/>
        </w:rPr>
      </w:r>
      <w:r>
        <w:rPr/>
        <w:t>科董事、副总经理兼董事会秘书。魏先生由股东金科控股提名，本届董事任期自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w:t>
      </w:r>
    </w:p>
    <w:p>
      <w:pPr>
        <w:pStyle w:val="BodyText"/>
        <w:spacing w:line="300" w:lineRule="auto" w:before="5"/>
        <w:ind w:right="1130" w:firstLine="360"/>
        <w:jc w:val="both"/>
      </w:pPr>
      <w:r>
        <w:rPr>
          <w:spacing w:val="-2"/>
        </w:rPr>
        <w:t>吴剑波先生：公司董事，</w:t>
      </w:r>
      <w:r>
        <w:rPr>
          <w:rFonts w:ascii="Times New Roman" w:hAnsi="Times New Roman" w:cs="Times New Roman" w:eastAsia="Times New Roman" w:hint="default"/>
          <w:spacing w:val="-2"/>
        </w:rPr>
        <w:t>1980</w:t>
      </w:r>
      <w:r>
        <w:rPr>
          <w:spacing w:val="-2"/>
        </w:rPr>
        <w:t>年出生，中国国籍，无境外永久居留权，经济学硕士。毕业于英国牛津大学。曾任马鸿投</w:t>
      </w:r>
      <w:r>
        <w:rPr/>
        <w:t> </w:t>
      </w:r>
      <w:r>
        <w:rPr>
          <w:spacing w:val="-2"/>
        </w:rPr>
        <w:t>资管理有限公司合伙人、浙江卧龙创业投资有限公司总经理、奥地利</w:t>
      </w:r>
      <w:r>
        <w:rPr>
          <w:rFonts w:ascii="Times New Roman" w:hAnsi="Times New Roman" w:cs="Times New Roman" w:eastAsia="Times New Roman" w:hint="default"/>
          <w:spacing w:val="-2"/>
        </w:rPr>
        <w:t>ATB</w:t>
      </w:r>
      <w:r>
        <w:rPr>
          <w:spacing w:val="-2"/>
        </w:rPr>
        <w:t>驱动技术股份公司</w:t>
      </w:r>
      <w:r>
        <w:rPr>
          <w:rFonts w:ascii="Times New Roman" w:hAnsi="Times New Roman" w:cs="Times New Roman" w:eastAsia="Times New Roman" w:hint="default"/>
          <w:spacing w:val="-2"/>
        </w:rPr>
        <w:t>CFO</w:t>
      </w:r>
      <w:r>
        <w:rPr>
          <w:spacing w:val="-2"/>
        </w:rPr>
        <w:t>。吴先生由股东卧龙创投提</w:t>
      </w:r>
      <w:r>
        <w:rPr>
          <w:spacing w:val="-51"/>
        </w:rPr>
        <w:t> </w:t>
      </w:r>
      <w:r>
        <w:rPr>
          <w:spacing w:val="-51"/>
        </w:rPr>
      </w:r>
      <w:r>
        <w:rPr/>
        <w:t>名，本届董事任期自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w:t>
      </w:r>
    </w:p>
    <w:p>
      <w:pPr>
        <w:pStyle w:val="BodyText"/>
        <w:spacing w:line="309" w:lineRule="auto" w:before="13"/>
        <w:ind w:left="1134" w:right="1043" w:firstLine="360"/>
        <w:jc w:val="both"/>
      </w:pPr>
      <w:r>
        <w:rPr>
          <w:spacing w:val="-4"/>
        </w:rPr>
        <w:t>竺素娥女士：公司独立董事，</w:t>
      </w:r>
      <w:r>
        <w:rPr>
          <w:rFonts w:ascii="Times New Roman" w:hAnsi="Times New Roman" w:cs="Times New Roman" w:eastAsia="Times New Roman" w:hint="default"/>
          <w:spacing w:val="-4"/>
        </w:rPr>
        <w:t>1963</w:t>
      </w:r>
      <w:r>
        <w:rPr>
          <w:spacing w:val="-4"/>
        </w:rPr>
        <w:t>年生，中国国籍，无境外永久居留权，硕士学历，注册会计师（非执业），教授职称。</w:t>
      </w:r>
      <w:r>
        <w:rPr/>
        <w:t> 竺女士现任浙江工商大学财务管理研究所所长，校学术委员会委员，浙江工商大学财务与会计学院教授，硕士研究生导师。 竺女士由股东朱志刚提名，本届董事任期自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w:t>
      </w:r>
    </w:p>
    <w:p>
      <w:pPr>
        <w:pStyle w:val="BodyText"/>
        <w:spacing w:line="300" w:lineRule="auto" w:before="5"/>
        <w:ind w:right="1129" w:firstLine="360"/>
        <w:jc w:val="both"/>
      </w:pPr>
      <w:r>
        <w:rPr>
          <w:spacing w:val="-2"/>
        </w:rPr>
        <w:t>马贵翔先生：公司独立董事，</w:t>
      </w:r>
      <w:r>
        <w:rPr>
          <w:rFonts w:ascii="Times New Roman" w:hAnsi="Times New Roman" w:cs="Times New Roman" w:eastAsia="Times New Roman" w:hint="default"/>
          <w:spacing w:val="-2"/>
        </w:rPr>
        <w:t>1964</w:t>
      </w:r>
      <w:r>
        <w:rPr>
          <w:spacing w:val="-2"/>
        </w:rPr>
        <w:t>年出生，中国国籍，无境外永久居留权，九三学社社员，中国政法大学法学博士，教</w:t>
      </w:r>
      <w:r>
        <w:rPr/>
        <w:t> 授职称。马先生现任复旦大学法学院教授，博士生导师。马先生由股东朱志刚提名，本届董事任期自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2017</w:t>
      </w:r>
      <w:r>
        <w:rPr>
          <w:rFonts w:ascii="Times New Roman" w:hAnsi="Times New Roman" w:cs="Times New Roman" w:eastAsia="Times New Roman" w:hint="default"/>
          <w:spacing w:val="-36"/>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w:t>
      </w:r>
    </w:p>
    <w:p>
      <w:pPr>
        <w:pStyle w:val="BodyText"/>
        <w:spacing w:line="300" w:lineRule="auto" w:before="13"/>
        <w:ind w:right="1129" w:firstLine="360"/>
        <w:jc w:val="both"/>
      </w:pPr>
      <w:r>
        <w:rPr/>
        <w:t>陈智敏女士：公司独立董事，</w:t>
      </w:r>
      <w:r>
        <w:rPr>
          <w:rFonts w:ascii="Times New Roman" w:hAnsi="Times New Roman" w:cs="Times New Roman" w:eastAsia="Times New Roman" w:hint="default"/>
        </w:rPr>
        <w:t>1960</w:t>
      </w:r>
      <w:r>
        <w:rPr/>
        <w:t>年</w:t>
      </w:r>
      <w:r>
        <w:rPr>
          <w:rFonts w:ascii="Times New Roman" w:hAnsi="Times New Roman" w:cs="Times New Roman" w:eastAsia="Times New Roman" w:hint="default"/>
        </w:rPr>
        <w:t>4</w:t>
      </w:r>
      <w:r>
        <w:rPr/>
        <w:t>月出生，杭州市民建常委及经济委主任，硕士研究生。浙江天健东方工程投资咨 </w:t>
      </w:r>
      <w:r>
        <w:rPr>
          <w:spacing w:val="-5"/>
        </w:rPr>
        <w:t>询有限公司高级顾问、浙江省注册会计师协会常务理事。</w:t>
      </w:r>
      <w:r>
        <w:rPr>
          <w:rFonts w:ascii="Times New Roman" w:hAnsi="Times New Roman" w:cs="Times New Roman" w:eastAsia="Times New Roman" w:hint="default"/>
          <w:spacing w:val="-5"/>
        </w:rPr>
        <w:t>1996</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-2000</w:t>
      </w:r>
      <w:r>
        <w:rPr>
          <w:spacing w:val="-5"/>
        </w:rPr>
        <w:t>年</w:t>
      </w:r>
      <w:r>
        <w:rPr>
          <w:rFonts w:ascii="Times New Roman" w:hAnsi="Times New Roman" w:cs="Times New Roman" w:eastAsia="Times New Roman" w:hint="default"/>
          <w:spacing w:val="-5"/>
        </w:rPr>
        <w:t>1</w:t>
      </w:r>
      <w:r>
        <w:rPr>
          <w:spacing w:val="-5"/>
        </w:rPr>
        <w:t>月，任浙江浙经资产评估所所长；</w:t>
      </w:r>
      <w:r>
        <w:rPr>
          <w:rFonts w:ascii="Times New Roman" w:hAnsi="Times New Roman" w:cs="Times New Roman" w:eastAsia="Times New Roman" w:hint="default"/>
          <w:spacing w:val="-5"/>
        </w:rPr>
        <w:t>2000</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-2009</w:t>
      </w:r>
      <w:r>
        <w:rPr>
          <w:rFonts w:ascii="Times New Roman" w:hAnsi="Times New Roman" w:cs="Times New Roman" w:eastAsia="Times New Roman" w:hint="default"/>
          <w:spacing w:val="-9"/>
        </w:rPr>
        <w:t> </w:t>
      </w:r>
      <w:r>
        <w:rPr>
          <w:spacing w:val="-1"/>
        </w:rPr>
        <w:t>年</w:t>
      </w:r>
      <w:r>
        <w:rPr>
          <w:rFonts w:ascii="Times New Roman" w:hAnsi="Times New Roman" w:cs="Times New Roman" w:eastAsia="Times New Roman" w:hint="default"/>
          <w:spacing w:val="-1"/>
        </w:rPr>
        <w:t>2</w:t>
      </w:r>
      <w:r>
        <w:rPr>
          <w:spacing w:val="-1"/>
        </w:rPr>
        <w:t>月，任浙江浙经资产评估有限公司董事长兼总经理；</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月，任浙江天健东方工程投资咨询有限公司总经</w:t>
      </w:r>
      <w:r>
        <w:rPr>
          <w:spacing w:val="-81"/>
        </w:rPr>
        <w:t> </w:t>
      </w:r>
      <w:r>
        <w:rPr>
          <w:spacing w:val="-81"/>
        </w:rPr>
      </w:r>
      <w:r>
        <w:rPr/>
        <w:t>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月至今，任浙江天健东方工程投资咨询有限公司退休。九届、十届、十一届浙江省政协委员，十一届、十二届</w:t>
      </w:r>
      <w:r>
        <w:rPr>
          <w:spacing w:val="-83"/>
        </w:rPr>
        <w:t> </w:t>
      </w:r>
      <w:r>
        <w:rPr>
          <w:spacing w:val="-83"/>
        </w:rPr>
      </w:r>
      <w:r>
        <w:rPr/>
        <w:t>杭州市民建委员。</w:t>
      </w:r>
    </w:p>
    <w:p>
      <w:pPr>
        <w:pStyle w:val="BodyText"/>
        <w:spacing w:line="316" w:lineRule="auto" w:before="31"/>
        <w:ind w:left="1494" w:right="1116" w:hanging="360"/>
        <w:jc w:val="left"/>
        <w:rPr>
          <w:rFonts w:ascii="Times New Roman" w:hAnsi="Times New Roman" w:cs="Times New Roman" w:eastAsia="Times New Roman" w:hint="default"/>
        </w:rPr>
      </w:pPr>
      <w:r>
        <w:rPr>
          <w:rFonts w:ascii="宋体" w:hAnsi="宋体" w:cs="宋体" w:eastAsia="宋体" w:hint="default"/>
          <w:b/>
          <w:bCs/>
        </w:rPr>
        <w:t>（二）监事会成员</w:t>
      </w:r>
      <w:r>
        <w:rPr>
          <w:rFonts w:ascii="宋体" w:hAnsi="宋体" w:cs="宋体" w:eastAsia="宋体" w:hint="default"/>
          <w:b/>
          <w:bCs/>
          <w:w w:val="99"/>
        </w:rPr>
        <w:t> </w:t>
      </w:r>
      <w:r>
        <w:rPr>
          <w:spacing w:val="-5"/>
        </w:rPr>
        <w:t>姚勇先生：公司监事会主席，</w:t>
      </w:r>
      <w:r>
        <w:rPr>
          <w:rFonts w:ascii="Times New Roman" w:hAnsi="Times New Roman" w:cs="Times New Roman" w:eastAsia="Times New Roman" w:hint="default"/>
          <w:spacing w:val="-5"/>
        </w:rPr>
        <w:t>1963</w:t>
      </w:r>
      <w:r>
        <w:rPr>
          <w:spacing w:val="-5"/>
        </w:rPr>
        <w:t>年出生，中国国籍，无境外永久居留权，大专学历，工程师职称。姚先生</w:t>
      </w:r>
      <w:r>
        <w:rPr>
          <w:rFonts w:ascii="Times New Roman" w:hAnsi="Times New Roman" w:cs="Times New Roman" w:eastAsia="Times New Roman" w:hint="default"/>
          <w:spacing w:val="-5"/>
        </w:rPr>
        <w:t>1980</w:t>
      </w:r>
      <w:r>
        <w:rPr>
          <w:spacing w:val="-5"/>
        </w:rPr>
        <w:t>年至</w:t>
      </w:r>
      <w:r>
        <w:rPr>
          <w:rFonts w:ascii="Times New Roman" w:hAnsi="Times New Roman" w:cs="Times New Roman" w:eastAsia="Times New Roman" w:hint="default"/>
          <w:spacing w:val="-5"/>
        </w:rPr>
        <w:t>2002</w:t>
      </w:r>
    </w:p>
    <w:p>
      <w:pPr>
        <w:pStyle w:val="BodyText"/>
        <w:spacing w:line="300" w:lineRule="auto"/>
        <w:ind w:right="0"/>
        <w:jc w:val="left"/>
      </w:pPr>
      <w:r>
        <w:rPr>
          <w:spacing w:val="-2"/>
        </w:rPr>
        <w:t>年历任嘉兴化工厂技术员，嘉化集团外贸部经理；</w:t>
      </w:r>
      <w:r>
        <w:rPr>
          <w:rFonts w:ascii="Times New Roman" w:hAnsi="Times New Roman" w:cs="Times New Roman" w:eastAsia="Times New Roman" w:hint="default"/>
          <w:spacing w:val="-2"/>
        </w:rPr>
        <w:t>2002</w:t>
      </w:r>
      <w:r>
        <w:rPr>
          <w:spacing w:val="-2"/>
        </w:rPr>
        <w:t>年至今担任职杭州天阳科技有限公司监事；</w:t>
      </w:r>
      <w:r>
        <w:rPr>
          <w:rFonts w:ascii="Times New Roman" w:hAnsi="Times New Roman" w:cs="Times New Roman" w:eastAsia="Times New Roman" w:hint="default"/>
          <w:spacing w:val="-2"/>
        </w:rPr>
        <w:t>2011</w:t>
      </w:r>
      <w:r>
        <w:rPr>
          <w:spacing w:val="-2"/>
        </w:rPr>
        <w:t>年至今担任利建创投</w:t>
      </w:r>
      <w:r>
        <w:rPr>
          <w:spacing w:val="-57"/>
        </w:rPr>
        <w:t> </w:t>
      </w:r>
      <w:r>
        <w:rPr/>
        <w:t>副总经理。姚先生由股东利建创投提名，本届任期自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w:t>
      </w:r>
    </w:p>
    <w:p>
      <w:pPr>
        <w:pStyle w:val="BodyText"/>
        <w:spacing w:line="304" w:lineRule="auto" w:before="13"/>
        <w:ind w:right="1130" w:firstLine="360"/>
        <w:jc w:val="both"/>
      </w:pPr>
      <w:r>
        <w:rPr>
          <w:spacing w:val="-2"/>
        </w:rPr>
        <w:t>丁宁先生：公司监事，</w:t>
      </w:r>
      <w:r>
        <w:rPr>
          <w:rFonts w:ascii="Times New Roman" w:hAnsi="Times New Roman" w:cs="Times New Roman" w:eastAsia="Times New Roman" w:hint="default"/>
          <w:spacing w:val="-2"/>
        </w:rPr>
        <w:t>1969</w:t>
      </w:r>
      <w:r>
        <w:rPr>
          <w:spacing w:val="-2"/>
        </w:rPr>
        <w:t>年出生，中国国籍，无境外永久居留权，经济学硕士、工商管理硕士。丁先生</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1995</w:t>
      </w:r>
      <w:r>
        <w:rPr>
          <w:rFonts w:ascii="Times New Roman" w:hAnsi="Times New Roman" w:cs="Times New Roman" w:eastAsia="Times New Roman" w:hint="default"/>
        </w:rPr>
        <w:t> </w:t>
      </w:r>
      <w:r>
        <w:rPr>
          <w:spacing w:val="-2"/>
        </w:rPr>
        <w:t>年就职于上海万国证券公司投资银行部；</w:t>
      </w:r>
      <w:r>
        <w:rPr>
          <w:rFonts w:ascii="Times New Roman" w:hAnsi="Times New Roman" w:cs="Times New Roman" w:eastAsia="Times New Roman" w:hint="default"/>
          <w:spacing w:val="-2"/>
        </w:rPr>
        <w:t>1995</w:t>
      </w:r>
      <w:r>
        <w:rPr>
          <w:spacing w:val="-2"/>
        </w:rPr>
        <w:t>年至</w:t>
      </w:r>
      <w:r>
        <w:rPr>
          <w:rFonts w:ascii="Times New Roman" w:hAnsi="Times New Roman" w:cs="Times New Roman" w:eastAsia="Times New Roman" w:hint="default"/>
          <w:spacing w:val="-2"/>
        </w:rPr>
        <w:t>1996</w:t>
      </w:r>
      <w:r>
        <w:rPr>
          <w:spacing w:val="-2"/>
        </w:rPr>
        <w:t>年就职于大和证券上海代表处投资银行部；</w:t>
      </w:r>
      <w:r>
        <w:rPr>
          <w:rFonts w:ascii="Times New Roman" w:hAnsi="Times New Roman" w:cs="Times New Roman" w:eastAsia="Times New Roman" w:hint="default"/>
          <w:spacing w:val="-2"/>
        </w:rPr>
        <w:t>1997</w:t>
      </w:r>
      <w:r>
        <w:rPr>
          <w:spacing w:val="-2"/>
        </w:rPr>
        <w:t>年至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12</w:t>
      </w:r>
      <w:r>
        <w:rPr>
          <w:spacing w:val="-2"/>
        </w:rPr>
        <w:t>月就职</w:t>
      </w:r>
      <w:r>
        <w:rPr>
          <w:spacing w:val="-46"/>
        </w:rPr>
        <w:t> </w:t>
      </w:r>
      <w:r>
        <w:rPr>
          <w:spacing w:val="-2"/>
        </w:rPr>
        <w:t>于荷兰证券亚洲公司；</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2002</w:t>
      </w:r>
      <w:r>
        <w:rPr>
          <w:spacing w:val="-2"/>
        </w:rPr>
        <w:t>年就职于德勤管理咨询公司新加坡战略咨询部；</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2006</w:t>
      </w:r>
      <w:r>
        <w:rPr>
          <w:spacing w:val="-2"/>
        </w:rPr>
        <w:t>就职于任康恩贝集团投资</w:t>
      </w:r>
      <w:r>
        <w:rPr>
          <w:spacing w:val="-48"/>
        </w:rPr>
        <w:t> </w:t>
      </w:r>
      <w:r>
        <w:rPr>
          <w:spacing w:val="-2"/>
        </w:rPr>
        <w:t>管理部；</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2007</w:t>
      </w:r>
      <w:r>
        <w:rPr>
          <w:spacing w:val="-2"/>
        </w:rPr>
        <w:t>年就职于上海中博创业投资有限公司；</w:t>
      </w:r>
      <w:r>
        <w:rPr>
          <w:rFonts w:ascii="Times New Roman" w:hAnsi="Times New Roman" w:cs="Times New Roman" w:eastAsia="Times New Roman" w:hint="default"/>
          <w:spacing w:val="-2"/>
        </w:rPr>
        <w:t>2008</w:t>
      </w:r>
      <w:r>
        <w:rPr>
          <w:spacing w:val="-2"/>
        </w:rPr>
        <w:t>年至</w:t>
      </w:r>
      <w:r>
        <w:rPr>
          <w:rFonts w:ascii="Times New Roman" w:hAnsi="Times New Roman" w:cs="Times New Roman" w:eastAsia="Times New Roman" w:hint="default"/>
          <w:spacing w:val="-2"/>
        </w:rPr>
        <w:t>2009</w:t>
      </w:r>
      <w:r>
        <w:rPr>
          <w:spacing w:val="-2"/>
        </w:rPr>
        <w:t>年就职于平安资产管理有限公司；</w:t>
      </w:r>
      <w:r>
        <w:rPr>
          <w:rFonts w:ascii="Times New Roman" w:hAnsi="Times New Roman" w:cs="Times New Roman" w:eastAsia="Times New Roman" w:hint="default"/>
          <w:spacing w:val="-2"/>
        </w:rPr>
        <w:t>2009</w:t>
      </w:r>
      <w:r>
        <w:rPr>
          <w:spacing w:val="-2"/>
        </w:rPr>
        <w:t>年至今担</w:t>
      </w:r>
      <w:r>
        <w:rPr>
          <w:spacing w:val="-46"/>
        </w:rPr>
        <w:t> </w:t>
      </w:r>
      <w:r>
        <w:rPr>
          <w:spacing w:val="-2"/>
        </w:rPr>
        <w:t>任上海地平线投资有限公司总经理，上海漠星投资管理有限公司执行董事，苏州恒博创业投资有限公司副总经理。丁先生由</w:t>
      </w:r>
      <w:r>
        <w:rPr>
          <w:spacing w:val="-66"/>
        </w:rPr>
        <w:t> </w:t>
      </w:r>
      <w:r>
        <w:rPr>
          <w:spacing w:val="-66"/>
        </w:rPr>
      </w:r>
      <w:r>
        <w:rPr/>
        <w:t>股东恒博创投提名，本届任期自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w:t>
      </w:r>
    </w:p>
    <w:p>
      <w:pPr>
        <w:pStyle w:val="BodyText"/>
        <w:spacing w:line="300" w:lineRule="auto" w:before="9"/>
        <w:ind w:right="1042" w:firstLine="360"/>
        <w:jc w:val="both"/>
      </w:pPr>
      <w:r>
        <w:rPr>
          <w:spacing w:val="-2"/>
        </w:rPr>
        <w:t>项丰标先生：公司监事，</w:t>
      </w:r>
      <w:r>
        <w:rPr>
          <w:rFonts w:ascii="Times New Roman" w:hAnsi="Times New Roman" w:cs="Times New Roman" w:eastAsia="Times New Roman" w:hint="default"/>
          <w:spacing w:val="-2"/>
        </w:rPr>
        <w:t>1973</w:t>
      </w:r>
      <w:r>
        <w:rPr>
          <w:spacing w:val="-2"/>
        </w:rPr>
        <w:t>年出生，中国国籍，无境外永久居留权，高中学历。项先生</w:t>
      </w:r>
      <w:r>
        <w:rPr>
          <w:rFonts w:ascii="Times New Roman" w:hAnsi="Times New Roman" w:cs="Times New Roman" w:eastAsia="Times New Roman" w:hint="default"/>
          <w:spacing w:val="-2"/>
        </w:rPr>
        <w:t>1991</w:t>
      </w:r>
      <w:r>
        <w:rPr>
          <w:spacing w:val="-2"/>
        </w:rPr>
        <w:t>年至</w:t>
      </w:r>
      <w:r>
        <w:rPr>
          <w:rFonts w:ascii="Times New Roman" w:hAnsi="Times New Roman" w:cs="Times New Roman" w:eastAsia="Times New Roman" w:hint="default"/>
          <w:spacing w:val="-2"/>
        </w:rPr>
        <w:t>1995</w:t>
      </w:r>
      <w:r>
        <w:rPr>
          <w:spacing w:val="-2"/>
        </w:rPr>
        <w:t>年就职于浙江联</w:t>
      </w:r>
      <w:r>
        <w:rPr/>
        <w:t> </w:t>
      </w:r>
      <w:r>
        <w:rPr>
          <w:spacing w:val="-4"/>
        </w:rPr>
        <w:t>丰集团制冷机厂；</w:t>
      </w:r>
      <w:r>
        <w:rPr>
          <w:rFonts w:ascii="Times New Roman" w:hAnsi="Times New Roman" w:cs="Times New Roman" w:eastAsia="Times New Roman" w:hint="default"/>
          <w:spacing w:val="-4"/>
        </w:rPr>
        <w:t>1995</w:t>
      </w:r>
      <w:r>
        <w:rPr>
          <w:spacing w:val="-4"/>
        </w:rPr>
        <w:t>年至今历任绍兴金泰企业集团有限公司车间主任，金科科技制造部部长、监事，浙江金科制造部部长、</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安环部部长。项先生由公司职工代表大会选举产生，本届任期自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w:t>
      </w:r>
    </w:p>
    <w:p>
      <w:pPr>
        <w:pStyle w:val="BodyText"/>
        <w:spacing w:line="307" w:lineRule="auto" w:before="63"/>
        <w:ind w:left="1493" w:right="1267" w:hanging="360"/>
        <w:jc w:val="left"/>
      </w:pPr>
      <w:r>
        <w:rPr>
          <w:rFonts w:ascii="宋体" w:hAnsi="宋体" w:cs="宋体" w:eastAsia="宋体" w:hint="default"/>
          <w:b/>
          <w:bCs/>
        </w:rPr>
        <w:t>（三）高级管理人员</w:t>
      </w:r>
      <w:r>
        <w:rPr>
          <w:rFonts w:ascii="宋体" w:hAnsi="宋体" w:cs="宋体" w:eastAsia="宋体" w:hint="default"/>
          <w:b/>
          <w:bCs/>
          <w:w w:val="99"/>
        </w:rPr>
        <w:t> </w:t>
      </w:r>
      <w:r>
        <w:rPr/>
        <w:t>章伟新先生：公司董事兼总经理，简历详见本节</w:t>
      </w:r>
      <w:r>
        <w:rPr>
          <w:rFonts w:ascii="Times New Roman" w:hAnsi="Times New Roman" w:cs="Times New Roman" w:eastAsia="Times New Roman" w:hint="default"/>
        </w:rPr>
        <w:t>“</w:t>
      </w:r>
      <w:r>
        <w:rPr/>
        <w:t>三、任职情况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的相关内容。 章金龙先生：公司董事兼副总经理，简历详见本节</w:t>
      </w:r>
      <w:r>
        <w:rPr>
          <w:rFonts w:ascii="Times New Roman" w:hAnsi="Times New Roman" w:cs="Times New Roman" w:eastAsia="Times New Roman" w:hint="default"/>
        </w:rPr>
        <w:t>“</w:t>
      </w:r>
      <w:r>
        <w:rPr/>
        <w:t>三、任职情况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的相关内容。 魏洪涛先生：公司董事、副总经理兼董事会秘书，简历详见本节</w:t>
      </w:r>
      <w:r>
        <w:rPr>
          <w:rFonts w:ascii="Times New Roman" w:hAnsi="Times New Roman" w:cs="Times New Roman" w:eastAsia="Times New Roman" w:hint="default"/>
        </w:rPr>
        <w:t>“</w:t>
      </w:r>
      <w:r>
        <w:rPr/>
        <w:t>三、任职情况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的相关内容。</w:t>
      </w:r>
    </w:p>
    <w:p>
      <w:pPr>
        <w:pStyle w:val="BodyText"/>
        <w:spacing w:line="300" w:lineRule="auto" w:before="7"/>
        <w:ind w:right="1129" w:firstLine="360"/>
        <w:jc w:val="both"/>
      </w:pPr>
      <w:r>
        <w:rPr>
          <w:spacing w:val="-5"/>
        </w:rPr>
        <w:t>毛军勇先生：公司副总经理，</w:t>
      </w:r>
      <w:r>
        <w:rPr>
          <w:rFonts w:ascii="Times New Roman" w:hAnsi="Times New Roman" w:cs="Times New Roman" w:eastAsia="Times New Roman" w:hint="default"/>
          <w:spacing w:val="-5"/>
        </w:rPr>
        <w:t>1974</w:t>
      </w:r>
      <w:r>
        <w:rPr>
          <w:spacing w:val="-5"/>
        </w:rPr>
        <w:t>年出生，中国国籍，无境外永久居留权，大学学历，会计师职称。毛先生</w:t>
      </w:r>
      <w:r>
        <w:rPr>
          <w:rFonts w:ascii="Times New Roman" w:hAnsi="Times New Roman" w:cs="Times New Roman" w:eastAsia="Times New Roman" w:hint="default"/>
          <w:spacing w:val="-5"/>
        </w:rPr>
        <w:t>1993</w:t>
      </w:r>
      <w:r>
        <w:rPr>
          <w:spacing w:val="-5"/>
        </w:rPr>
        <w:t>年至</w:t>
      </w:r>
      <w:r>
        <w:rPr>
          <w:rFonts w:ascii="Times New Roman" w:hAnsi="Times New Roman" w:cs="Times New Roman" w:eastAsia="Times New Roman" w:hint="default"/>
          <w:spacing w:val="-5"/>
        </w:rPr>
        <w:t>2004</w:t>
      </w:r>
      <w:r>
        <w:rPr>
          <w:rFonts w:ascii="Times New Roman" w:hAnsi="Times New Roman" w:cs="Times New Roman" w:eastAsia="Times New Roman" w:hint="default"/>
        </w:rPr>
        <w:t> </w:t>
      </w:r>
      <w:r>
        <w:rPr>
          <w:spacing w:val="-2"/>
        </w:rPr>
        <w:t>年历任江西铜业集团公司永平铜矿下属分公司财务主办、财务部主管会计、采矿场财务组主任；</w:t>
      </w:r>
      <w:r>
        <w:rPr>
          <w:rFonts w:ascii="Times New Roman" w:hAnsi="Times New Roman" w:cs="Times New Roman" w:eastAsia="Times New Roman" w:hint="default"/>
          <w:spacing w:val="-2"/>
        </w:rPr>
        <w:t>2004</w:t>
      </w:r>
      <w:r>
        <w:rPr>
          <w:spacing w:val="-2"/>
        </w:rPr>
        <w:t>年至</w:t>
      </w:r>
      <w:r>
        <w:rPr>
          <w:rFonts w:ascii="宋体" w:hAnsi="宋体" w:cs="宋体" w:eastAsia="宋体" w:hint="default"/>
          <w:b/>
          <w:bCs/>
          <w:spacing w:val="-2"/>
        </w:rPr>
        <w:t>今</w:t>
      </w:r>
      <w:r>
        <w:rPr>
          <w:spacing w:val="-2"/>
        </w:rPr>
        <w:t>历任金科科技财</w:t>
      </w:r>
      <w:r>
        <w:rPr>
          <w:spacing w:val="-61"/>
        </w:rPr>
        <w:t> </w:t>
      </w:r>
      <w:r>
        <w:rPr/>
        <w:t>务部长，时代金科总经理助理兼财务部长，浙江金科财务总监。</w:t>
      </w:r>
    </w:p>
    <w:p>
      <w:pPr>
        <w:pStyle w:val="BodyText"/>
        <w:spacing w:line="300" w:lineRule="auto" w:before="31"/>
        <w:ind w:right="1129" w:firstLine="360"/>
        <w:jc w:val="both"/>
      </w:pPr>
      <w:r>
        <w:rPr>
          <w:spacing w:val="-2"/>
        </w:rPr>
        <w:t>梁百其先生：公司副总经理，</w:t>
      </w:r>
      <w:r>
        <w:rPr>
          <w:rFonts w:ascii="Times New Roman" w:hAnsi="Times New Roman" w:cs="Times New Roman" w:eastAsia="Times New Roman" w:hint="default"/>
          <w:spacing w:val="-2"/>
        </w:rPr>
        <w:t>1974</w:t>
      </w:r>
      <w:r>
        <w:rPr>
          <w:spacing w:val="-2"/>
        </w:rPr>
        <w:t>年出生，中国国籍，无境外永久居留权，高中学历。梁先生</w:t>
      </w:r>
      <w:r>
        <w:rPr>
          <w:rFonts w:ascii="Times New Roman" w:hAnsi="Times New Roman" w:cs="Times New Roman" w:eastAsia="Times New Roman" w:hint="default"/>
          <w:spacing w:val="-2"/>
        </w:rPr>
        <w:t>2001</w:t>
      </w:r>
      <w:r>
        <w:rPr>
          <w:spacing w:val="-2"/>
        </w:rPr>
        <w:t>年至今历任金科科技</w:t>
      </w:r>
      <w:r>
        <w:rPr/>
        <w:t> 部长，时代金科副总经理，金科股份副总经理。</w:t>
      </w:r>
    </w:p>
    <w:p>
      <w:pPr>
        <w:pStyle w:val="BodyText"/>
        <w:spacing w:line="309" w:lineRule="auto" w:before="31"/>
        <w:ind w:right="1129" w:firstLine="360"/>
        <w:jc w:val="both"/>
      </w:pPr>
      <w:r>
        <w:rPr/>
        <w:t>秦海娟女士：</w:t>
      </w:r>
      <w:r>
        <w:rPr>
          <w:rFonts w:ascii="Times New Roman" w:hAnsi="Times New Roman" w:cs="Times New Roman" w:eastAsia="Times New Roman" w:hint="default"/>
        </w:rPr>
        <w:t>1978 </w:t>
      </w:r>
      <w:r>
        <w:rPr/>
        <w:t>年出生，中国国籍，无境外永久居留权，大专学历，会 计师职称。秦女士自 </w:t>
      </w:r>
      <w:r>
        <w:rPr>
          <w:rFonts w:ascii="Times New Roman" w:hAnsi="Times New Roman" w:cs="Times New Roman" w:eastAsia="Times New Roman" w:hint="default"/>
        </w:rPr>
        <w:t>2001 </w:t>
      </w:r>
      <w:r>
        <w:rPr/>
        <w:t>年至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年期 间，历任金科控股集团有限公司总裁办</w:t>
      </w:r>
      <w:r>
        <w:rPr>
          <w:spacing w:val="-42"/>
        </w:rPr>
        <w:t> </w:t>
      </w:r>
      <w:r>
        <w:rPr/>
        <w:t>副主任，浙江金科科技有限公司主办会计、财务部部长，金科控股集团有限公司</w:t>
      </w:r>
      <w:r>
        <w:rPr>
          <w:spacing w:val="-40"/>
        </w:rPr>
        <w:t> </w:t>
      </w:r>
      <w:r>
        <w:rPr/>
        <w:t>财</w:t>
      </w:r>
      <w:r>
        <w:rPr/>
        <w:t> 务部部长，湖州吉昌化学有限公司董事长。浙江金科财务总监。</w:t>
      </w:r>
    </w:p>
    <w:p>
      <w:pPr>
        <w:spacing w:line="240" w:lineRule="auto" w:before="0"/>
        <w:rPr>
          <w:rFonts w:ascii="宋体" w:hAnsi="宋体" w:cs="宋体" w:eastAsia="宋体" w:hint="default"/>
          <w:sz w:val="18"/>
          <w:szCs w:val="18"/>
        </w:rPr>
      </w:pPr>
    </w:p>
    <w:p>
      <w:pPr>
        <w:pStyle w:val="BodyText"/>
        <w:spacing w:line="240" w:lineRule="auto" w:before="141"/>
        <w:ind w:left="1134" w:right="0"/>
        <w:jc w:val="left"/>
      </w:pPr>
      <w:r>
        <w:rPr/>
        <w:t>在股东单位任职情况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金科控股集团有限公司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葛敏海</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金科控股集团有限公司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吴剑波</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浙江卧龙创业投资有限公司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134" w:right="0"/>
        <w:jc w:val="left"/>
      </w:pPr>
      <w:r>
        <w:rPr/>
        <w:t>在其他单位任职情况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浙江金科双氧水有限公司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上虞雷迪森万锦大酒店有限公司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上虞市金泰泳池设备有限公司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上虞财富置业有限公司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浙江金海岸体育发展有限公司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绍兴上虞时代广场商贸有限公司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浙江诺亚氟化工有限公司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章伟新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浙江润科新材料科技有限公司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章伟新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浙江诺亚氟化工有限公司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魏洪涛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浙江金科双氧水有限公司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魏洪涛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浙江金科日化原料有限公司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章金龙</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浙江金科双氧水有限公司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总经理、董事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马贵翔</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浙江健盛集团股份有限公司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竺素娥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杭萧钢构股份有限公司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竺素娥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浙江龙生汽车部件股份有限公司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竺素娥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浙江健盛集团股份有限公司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秦海娟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上虞雷迪森万锦大酒店有限公司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秦海娟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湖州吉昌化学有限公司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0"/>
      <w:bookmarkEnd w:id="120"/>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493" w:right="0" w:hanging="360"/>
        <w:jc w:val="left"/>
      </w:pPr>
      <w:r>
        <w:rPr/>
        <w:t>董事、监事、高级管理人员报酬的决策程序、确定依据、实际支付情况 </w:t>
      </w:r>
      <w:r>
        <w:rPr>
          <w:spacing w:val="-2"/>
        </w:rPr>
        <w:t>根据《公司章程》、《高级管理人员薪酬管理制度》以及《薪酬与考核委员会工作规则》的规定，公司董事、监事、高</w:t>
      </w:r>
    </w:p>
    <w:p>
      <w:pPr>
        <w:pStyle w:val="BodyText"/>
        <w:spacing w:line="237" w:lineRule="exact"/>
        <w:ind w:right="0"/>
        <w:jc w:val="left"/>
      </w:pPr>
      <w:r>
        <w:rPr/>
        <w:t>级管理人员的薪酬需经公司董事会薪酬与考核委员会审议通过。</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日第二届薪酬与考核委员会第一次会议审议通</w:t>
      </w:r>
    </w:p>
    <w:p>
      <w:pPr>
        <w:pStyle w:val="BodyText"/>
        <w:spacing w:line="319" w:lineRule="auto" w:before="63"/>
        <w:ind w:right="0"/>
        <w:jc w:val="left"/>
      </w:pPr>
      <w:r>
        <w:rPr>
          <w:spacing w:val="-2"/>
        </w:rPr>
        <w:t>过了《关于核定浙江金科过氧化物股份有限公司董事、监事、高管</w:t>
      </w:r>
      <w:r>
        <w:rPr>
          <w:rFonts w:ascii="Times New Roman" w:hAnsi="Times New Roman" w:cs="Times New Roman" w:eastAsia="Times New Roman" w:hint="default"/>
          <w:spacing w:val="-2"/>
        </w:rPr>
        <w:t>2015</w:t>
      </w:r>
      <w:r>
        <w:rPr>
          <w:spacing w:val="-2"/>
        </w:rPr>
        <w:t>年度薪酬方案的议案》。公司董事、监事、高级管理</w:t>
      </w:r>
      <w:r>
        <w:rPr>
          <w:spacing w:val="-68"/>
        </w:rPr>
        <w:t> </w:t>
      </w:r>
      <w:r>
        <w:rPr>
          <w:spacing w:val="-68"/>
        </w:rPr>
      </w:r>
      <w:r>
        <w:rPr/>
        <w:t>人员的薪酬采用年薪制，公司独立董事薪酬为履职津贴。截止本报告期末，公司共支付董监高报酬合计</w:t>
      </w:r>
      <w:r>
        <w:rPr>
          <w:spacing w:val="-17"/>
        </w:rPr>
        <w:t> </w:t>
      </w:r>
      <w:r>
        <w:rPr>
          <w:rFonts w:ascii="Times New Roman" w:hAnsi="Times New Roman" w:cs="Times New Roman" w:eastAsia="Times New Roman" w:hint="default"/>
        </w:rPr>
        <w:t>178.45</w:t>
      </w:r>
      <w:r>
        <w:rPr/>
        <w:t>万元。 公司报告期内董事、监事和高级管理人员报酬情况</w:t>
      </w:r>
    </w:p>
    <w:p>
      <w:pPr>
        <w:pStyle w:val="BodyText"/>
        <w:spacing w:line="240" w:lineRule="auto" w:before="58"/>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朱志刚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葛敏海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章伟新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董事、高管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章金龙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董事、高管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魏洪涛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董事、高管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吴剑波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竺素娥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马贵翔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陈智敏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杜志平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毛军勇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梁百其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秦海娟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项丰标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178.45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公司董事、监事、高级管理人员报告期内被授予的股权激励情况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1"/>
      <w:bookmarkEnd w:id="121"/>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2"/>
      <w:bookmarkEnd w:id="122"/>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一线</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薪酬政策" w:id="123"/>
      <w:bookmarkEnd w:id="12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0" w:firstLine="360"/>
        <w:jc w:val="both"/>
      </w:pPr>
      <w:r>
        <w:rPr>
          <w:spacing w:val="-2"/>
        </w:rPr>
        <w:t>公司拥有一套完整的员工考核制度，通过对员工的绩效、工作表现情况以及岗位任职能力的考核，有激励性的对员工发</w:t>
      </w:r>
      <w:r>
        <w:rPr/>
        <w:t> </w:t>
      </w:r>
      <w:r>
        <w:rPr>
          <w:spacing w:val="-2"/>
        </w:rPr>
        <w:t>放薪酬。合规方面，公司按照《中华人民共和国劳动合同法》和国家及地方其他有关劳动法律、法规的规定，与员工签订劳</w:t>
      </w:r>
      <w:r>
        <w:rPr>
          <w:spacing w:val="-68"/>
        </w:rPr>
        <w:t> </w:t>
      </w:r>
      <w:r>
        <w:rPr>
          <w:spacing w:val="-68"/>
        </w:rPr>
      </w:r>
      <w:r>
        <w:rPr>
          <w:spacing w:val="-2"/>
        </w:rPr>
        <w:t>动合同，并严格执行国家用工制度、劳动保护制度、社会保障制度和医疗保障制度，按照国家规定为员工缴纳社会保险、医</w:t>
      </w:r>
      <w:r>
        <w:rPr>
          <w:spacing w:val="-66"/>
        </w:rPr>
        <w:t> </w:t>
      </w:r>
      <w:r>
        <w:rPr>
          <w:spacing w:val="-66"/>
        </w:rPr>
      </w:r>
      <w:r>
        <w:rPr>
          <w:spacing w:val="-2"/>
        </w:rPr>
        <w:t>疗保险等。此外，公司依据国家、地方政策及社会大背景的变动下，及时地更新完善《公司薪酬管理制度》，保障公司员工</w:t>
      </w:r>
      <w:r>
        <w:rPr>
          <w:spacing w:val="-72"/>
        </w:rPr>
        <w:t> </w:t>
      </w:r>
      <w:r>
        <w:rPr>
          <w:spacing w:val="-72"/>
        </w:rPr>
      </w:r>
      <w:r>
        <w:rPr/>
        <w:t>薪酬及福利。</w:t>
      </w:r>
    </w:p>
    <w:p>
      <w:pPr>
        <w:spacing w:line="240" w:lineRule="auto" w:before="7"/>
        <w:rPr>
          <w:rFonts w:ascii="宋体" w:hAnsi="宋体" w:cs="宋体" w:eastAsia="宋体" w:hint="default"/>
          <w:sz w:val="22"/>
          <w:szCs w:val="22"/>
        </w:rPr>
      </w:pPr>
    </w:p>
    <w:p>
      <w:pPr>
        <w:pStyle w:val="Heading4"/>
        <w:spacing w:line="240" w:lineRule="auto"/>
        <w:ind w:left="1134" w:right="0"/>
        <w:jc w:val="left"/>
        <w:rPr>
          <w:b w:val="0"/>
          <w:bCs w:val="0"/>
        </w:rPr>
      </w:pPr>
      <w:bookmarkStart w:name="3、培训计划" w:id="124"/>
      <w:bookmarkEnd w:id="124"/>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31" w:firstLine="360"/>
        <w:jc w:val="both"/>
      </w:pPr>
      <w:r>
        <w:rPr>
          <w:spacing w:val="-2"/>
        </w:rPr>
        <w:t>公司有着完善的年度培训计划，主要通过加强员工的日常安全教育培训，努力提高全员的安全意识和职业技能。教育和</w:t>
      </w:r>
      <w:r>
        <w:rPr/>
        <w:t> </w:t>
      </w:r>
      <w:r>
        <w:rPr>
          <w:spacing w:val="-2"/>
        </w:rPr>
        <w:t>培训包括对新员工的三级安全教育培训、重点岗位安全培训、关键岗位职业化培训及外培。此外，公司定期开展事故的应急</w:t>
      </w:r>
      <w:r>
        <w:rPr>
          <w:spacing w:val="-66"/>
        </w:rPr>
        <w:t> </w:t>
      </w:r>
      <w:r>
        <w:rPr>
          <w:spacing w:val="-66"/>
        </w:rPr>
      </w:r>
      <w:r>
        <w:rPr/>
        <w:t>演练，通过事故的演练切实提高员工处置突发问题的能力。</w:t>
      </w:r>
    </w:p>
    <w:p>
      <w:pPr>
        <w:spacing w:line="240" w:lineRule="auto" w:before="5"/>
        <w:rPr>
          <w:rFonts w:ascii="宋体" w:hAnsi="宋体" w:cs="宋体" w:eastAsia="宋体" w:hint="default"/>
          <w:sz w:val="22"/>
          <w:szCs w:val="22"/>
        </w:rPr>
      </w:pPr>
    </w:p>
    <w:p>
      <w:pPr>
        <w:pStyle w:val="Heading4"/>
        <w:spacing w:line="240" w:lineRule="auto"/>
        <w:ind w:left="1134" w:right="0"/>
        <w:jc w:val="left"/>
        <w:rPr>
          <w:b w:val="0"/>
          <w:bCs w:val="0"/>
        </w:rPr>
      </w:pPr>
      <w:bookmarkStart w:name="4、劳务外包情况" w:id="125"/>
      <w:bookmarkEnd w:id="125"/>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2" w:id="126"/>
      <w:bookmarkStart w:name="第九节 公司治理" w:id="127"/>
      <w:r>
        <w:rPr>
          <w:b w:val="0"/>
          <w:bCs w:val="0"/>
        </w:rPr>
      </w:r>
      <w:r>
        <w:rPr/>
        <w:t>第九节</w:t>
      </w:r>
      <w:r>
        <w:rPr>
          <w:spacing w:val="-5"/>
        </w:rPr>
        <w:t> </w:t>
      </w:r>
      <w:r>
        <w:rPr/>
        <w:t>公司治理</w:t>
      </w:r>
      <w:bookmarkEnd w:id="12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28"/>
      <w:bookmarkEnd w:id="128"/>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93" w:right="0"/>
        <w:jc w:val="left"/>
      </w:pPr>
      <w:r>
        <w:rPr>
          <w:spacing w:val="-4"/>
        </w:rPr>
        <w:t>报告期内，公司严格按照《公司法》、《证券法》、《上市公司治理准则》、《深圳证券交易所创业板股票上市规则》、</w:t>
      </w:r>
    </w:p>
    <w:p>
      <w:pPr>
        <w:pStyle w:val="BodyText"/>
        <w:spacing w:line="316" w:lineRule="auto" w:before="76"/>
        <w:ind w:right="1131"/>
        <w:jc w:val="both"/>
      </w:pPr>
      <w:r>
        <w:rPr>
          <w:spacing w:val="-2"/>
        </w:rPr>
        <w:t>《深圳证券交易所创业板上市公司规范运作指引》等法律法规的要求，不断完善公司治理结构，进一步规范公司运作，提高</w:t>
      </w:r>
      <w:r>
        <w:rPr>
          <w:spacing w:val="-66"/>
        </w:rPr>
        <w:t> </w:t>
      </w:r>
      <w:r>
        <w:rPr>
          <w:spacing w:val="-66"/>
        </w:rPr>
      </w:r>
      <w:r>
        <w:rPr>
          <w:spacing w:val="-2"/>
        </w:rPr>
        <w:t>公司治理水平。截至报告期末，公司治理的实际状况符合《上市公司治理准则》和《深圳证券交易所创业板上市公司规范运</w:t>
      </w:r>
      <w:r>
        <w:rPr>
          <w:spacing w:val="-66"/>
        </w:rPr>
        <w:t> </w:t>
      </w:r>
      <w:r>
        <w:rPr>
          <w:spacing w:val="-66"/>
        </w:rPr>
      </w:r>
      <w:r>
        <w:rPr/>
        <w:t>作指引》的要求。</w:t>
      </w:r>
    </w:p>
    <w:p>
      <w:pPr>
        <w:pStyle w:val="BodyText"/>
        <w:spacing w:line="300" w:lineRule="auto" w:before="19"/>
        <w:ind w:left="1494" w:right="1032"/>
        <w:jc w:val="left"/>
      </w:pPr>
      <w:r>
        <w:rPr>
          <w:rFonts w:ascii="Times New Roman" w:hAnsi="Times New Roman" w:cs="Times New Roman" w:eastAsia="Times New Roman" w:hint="default"/>
        </w:rPr>
        <w:t>1</w:t>
      </w:r>
      <w:r>
        <w:rPr/>
        <w:t>、关于股东与股东大会 公司严格按照《公司法》、《深圳证券交易所创业板上市公司规范运作指引》、《公司章程》、《股东大会议事规则》</w:t>
      </w:r>
    </w:p>
    <w:p>
      <w:pPr>
        <w:pStyle w:val="BodyText"/>
        <w:spacing w:line="309" w:lineRule="auto" w:before="31"/>
        <w:ind w:right="0"/>
        <w:jc w:val="left"/>
      </w:pPr>
      <w:r>
        <w:rPr>
          <w:spacing w:val="-2"/>
        </w:rPr>
        <w:t>等规定要求，召集、召开股东大会，确保所有股东享有平等地位，保护全体股东的利益。</w:t>
      </w:r>
      <w:r>
        <w:rPr>
          <w:rFonts w:ascii="Times New Roman" w:hAnsi="Times New Roman" w:cs="Times New Roman" w:eastAsia="Times New Roman" w:hint="default"/>
          <w:spacing w:val="-2"/>
        </w:rPr>
        <w:t>2015</w:t>
      </w:r>
      <w:r>
        <w:rPr>
          <w:spacing w:val="-2"/>
        </w:rPr>
        <w:t>年度公司共召开</w:t>
      </w:r>
      <w:r>
        <w:rPr>
          <w:rFonts w:ascii="Times New Roman" w:hAnsi="Times New Roman" w:cs="Times New Roman" w:eastAsia="Times New Roman" w:hint="default"/>
          <w:spacing w:val="-2"/>
        </w:rPr>
        <w:t>3</w:t>
      </w:r>
      <w:r>
        <w:rPr>
          <w:spacing w:val="-2"/>
        </w:rPr>
        <w:t>次股东大会，</w:t>
      </w:r>
      <w:r>
        <w:rPr>
          <w:spacing w:val="-60"/>
        </w:rPr>
        <w:t> </w:t>
      </w:r>
      <w:r>
        <w:rPr>
          <w:spacing w:val="-60"/>
        </w:rPr>
      </w:r>
      <w:r>
        <w:rPr>
          <w:spacing w:val="-2"/>
        </w:rPr>
        <w:t>均使用网络投票表决和现场投票表决相结合的形式召开，让中小投资者充分行使自己的权利。同时，公司聘请律师出席见证</w:t>
      </w:r>
      <w:r>
        <w:rPr>
          <w:spacing w:val="-65"/>
        </w:rPr>
        <w:t> </w:t>
      </w:r>
      <w:r>
        <w:rPr>
          <w:spacing w:val="-65"/>
        </w:rPr>
      </w:r>
      <w:r>
        <w:rPr/>
        <w:t>了股东大会会议的召集、召开和表决程序的合法性，维护股东的合法权益。</w:t>
      </w:r>
    </w:p>
    <w:p>
      <w:pPr>
        <w:pStyle w:val="BodyText"/>
        <w:spacing w:line="300" w:lineRule="auto" w:before="24"/>
        <w:ind w:left="1494" w:right="1032"/>
        <w:jc w:val="left"/>
      </w:pPr>
      <w:r>
        <w:rPr>
          <w:rFonts w:ascii="Times New Roman" w:hAnsi="Times New Roman" w:cs="Times New Roman" w:eastAsia="Times New Roman" w:hint="default"/>
        </w:rPr>
        <w:t>2</w:t>
      </w:r>
      <w:r>
        <w:rPr/>
        <w:t>、关于公司与控股股东 公司拥有独立完整的业务和自主经营能力，在业务、人员、资产、机构、财务等方面均独立于控股股东，公司董事会、</w:t>
      </w:r>
    </w:p>
    <w:p>
      <w:pPr>
        <w:pStyle w:val="BodyText"/>
        <w:spacing w:line="316" w:lineRule="auto" w:before="31"/>
        <w:ind w:left="1134" w:right="1032"/>
        <w:jc w:val="left"/>
      </w:pPr>
      <w:r>
        <w:rPr/>
        <w:t>监事会和内部机构独立运作。公司控股股东依法行使其权利并承担义务，没有超越股东大会直接或间接干预公司经营活动， </w:t>
      </w:r>
      <w:r>
        <w:rPr>
          <w:spacing w:val="-2"/>
        </w:rPr>
        <w:t>不存在控股股东、实际控制人利用其控制地位侵害其他股东利益的行为；报告期内公司没有为控股股东及其关联企业提供担</w:t>
      </w:r>
      <w:r>
        <w:rPr>
          <w:spacing w:val="-64"/>
        </w:rPr>
        <w:t> </w:t>
      </w:r>
      <w:r>
        <w:rPr>
          <w:spacing w:val="-64"/>
        </w:rPr>
      </w:r>
      <w:r>
        <w:rPr/>
        <w:t>保，亦不存在控股股东非经营性占用公司资金的行为；公司与控股股东及其关联单位不存在有关联交易或同业竞争的情况。</w:t>
      </w:r>
    </w:p>
    <w:p>
      <w:pPr>
        <w:pStyle w:val="BodyText"/>
        <w:spacing w:line="300" w:lineRule="auto" w:before="19"/>
        <w:ind w:left="1494" w:right="0"/>
        <w:jc w:val="left"/>
      </w:pPr>
      <w:r>
        <w:rPr>
          <w:rFonts w:ascii="Times New Roman" w:hAnsi="Times New Roman" w:cs="Times New Roman" w:eastAsia="Times New Roman" w:hint="default"/>
        </w:rPr>
        <w:t>3</w:t>
      </w:r>
      <w:r>
        <w:rPr/>
        <w:t>、关于董事和董事会 </w:t>
      </w:r>
      <w:r>
        <w:rPr>
          <w:spacing w:val="-2"/>
        </w:rPr>
        <w:t>公司董事会设董事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名，董事会的人数及人员构成符合法律、法规和《公司章程》的要求。公司董事</w:t>
      </w:r>
    </w:p>
    <w:p>
      <w:pPr>
        <w:pStyle w:val="BodyText"/>
        <w:spacing w:line="314" w:lineRule="auto" w:before="13"/>
        <w:ind w:right="1033"/>
        <w:jc w:val="left"/>
      </w:pPr>
      <w:r>
        <w:rPr>
          <w:spacing w:val="-2"/>
        </w:rPr>
        <w:t>依据《深圳证券交易所创业板上市公司规范运作指引》、《公司章程》、《董事会议事规则》、《独立董事工作细则》等开</w:t>
      </w:r>
      <w:r>
        <w:rPr>
          <w:spacing w:val="-69"/>
        </w:rPr>
        <w:t> </w:t>
      </w:r>
      <w:r>
        <w:rPr>
          <w:spacing w:val="-69"/>
        </w:rPr>
      </w:r>
      <w:r>
        <w:rPr/>
        <w:t>展工作，出席董事会和股东大会，依法行使职权，勤勉尽责地履行职责和义务。报告期内，公司董事会共召开了</w:t>
      </w:r>
      <w:r>
        <w:rPr>
          <w:rFonts w:ascii="Times New Roman" w:hAnsi="Times New Roman" w:cs="Times New Roman" w:eastAsia="Times New Roman" w:hint="default"/>
        </w:rPr>
        <w:t>12</w:t>
      </w:r>
      <w:r>
        <w:rPr/>
        <w:t>次会议， </w:t>
      </w:r>
      <w:r>
        <w:rPr>
          <w:spacing w:val="-4"/>
        </w:rPr>
        <w:t>会议的召集召开程序符合法律法规、《公司章程》及《公司董事会议事规则》的相关规定。公司董事会下设战略决策委员会、</w:t>
      </w:r>
      <w:r>
        <w:rPr>
          <w:spacing w:val="-44"/>
        </w:rPr>
        <w:t> </w:t>
      </w:r>
      <w:r>
        <w:rPr>
          <w:spacing w:val="-44"/>
        </w:rPr>
      </w:r>
      <w:r>
        <w:rPr>
          <w:spacing w:val="-2"/>
        </w:rPr>
        <w:t>提名委员会、审计委员会、薪酬与考核委员会四个专门委员会。各委员会依据《公司章程》和各委员会议事规则的规定履行</w:t>
      </w:r>
      <w:r>
        <w:rPr>
          <w:spacing w:val="-66"/>
        </w:rPr>
        <w:t> </w:t>
      </w:r>
      <w:r>
        <w:rPr>
          <w:spacing w:val="-66"/>
        </w:rPr>
      </w:r>
      <w:r>
        <w:rPr/>
        <w:t>职权。</w:t>
      </w:r>
    </w:p>
    <w:p>
      <w:pPr>
        <w:pStyle w:val="BodyText"/>
        <w:spacing w:line="300" w:lineRule="auto" w:before="20"/>
        <w:ind w:left="1494" w:right="0"/>
        <w:jc w:val="left"/>
      </w:pPr>
      <w:r>
        <w:rPr>
          <w:rFonts w:ascii="Times New Roman" w:hAnsi="Times New Roman" w:cs="Times New Roman" w:eastAsia="Times New Roman" w:hint="default"/>
        </w:rPr>
        <w:t>4</w:t>
      </w:r>
      <w:r>
        <w:rPr/>
        <w:t>、关于监事和监事会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名，监事会的人数和构成符合法律、法规的要求。公司监事能够按照《监事会议</w:t>
      </w:r>
    </w:p>
    <w:p>
      <w:pPr>
        <w:pStyle w:val="BodyText"/>
        <w:spacing w:line="309" w:lineRule="auto" w:before="13"/>
        <w:ind w:right="1033"/>
        <w:jc w:val="left"/>
      </w:pPr>
      <w:r>
        <w:rPr/>
        <w:t>事规则》的要求，认真履行自己的职责，对公司重大事项、财务状况以及董事、高管人员履行职责的合法合规性进行监督。 报告期内，公司监事会共召开了</w:t>
      </w:r>
      <w:r>
        <w:rPr>
          <w:rFonts w:ascii="Times New Roman" w:hAnsi="Times New Roman" w:cs="Times New Roman" w:eastAsia="Times New Roman" w:hint="default"/>
        </w:rPr>
        <w:t>6</w:t>
      </w:r>
      <w:r>
        <w:rPr/>
        <w:t>次会议，会议的召集、召开程序符合法律法规、《公司章程》及《公司监事会议事规则》 的相关规定。</w:t>
      </w:r>
    </w:p>
    <w:p>
      <w:pPr>
        <w:pStyle w:val="BodyText"/>
        <w:spacing w:line="300" w:lineRule="auto" w:before="24"/>
        <w:ind w:left="1493" w:right="0"/>
        <w:jc w:val="left"/>
      </w:pPr>
      <w:r>
        <w:rPr>
          <w:rFonts w:ascii="Times New Roman" w:hAnsi="Times New Roman" w:cs="Times New Roman" w:eastAsia="Times New Roman" w:hint="default"/>
        </w:rPr>
        <w:t>5</w:t>
      </w:r>
      <w:r>
        <w:rPr/>
        <w:t>、关于绩效评价与激励约束机制 </w:t>
      </w:r>
      <w:r>
        <w:rPr>
          <w:spacing w:val="-2"/>
        </w:rPr>
        <w:t>公司已建立绩效评价与激励约束机制。为调动公司员工工作的积极性，公司针对不同岗位制定不同的绩效考核标准。公</w:t>
      </w:r>
    </w:p>
    <w:p>
      <w:pPr>
        <w:pStyle w:val="BodyText"/>
        <w:spacing w:line="316" w:lineRule="auto" w:before="31"/>
        <w:ind w:right="1132"/>
        <w:jc w:val="both"/>
      </w:pPr>
      <w:r>
        <w:rPr>
          <w:spacing w:val="-2"/>
        </w:rPr>
        <w:t>司董事会下设的薪酬与考核委员会负责对公司董事及高管进行绩效考核，且已逐步完善和建立公正、透明的绩效评价标准和</w:t>
      </w:r>
      <w:r>
        <w:rPr>
          <w:spacing w:val="-64"/>
        </w:rPr>
        <w:t> </w:t>
      </w:r>
      <w:r>
        <w:rPr>
          <w:spacing w:val="-64"/>
        </w:rPr>
      </w:r>
      <w:r>
        <w:rPr>
          <w:spacing w:val="-2"/>
        </w:rPr>
        <w:t>激励约束机制。《公司章程》明确规定了高级管理人员的履职行为、权限和职责，高级管理人员的聘任公开、透明，符合法</w:t>
      </w:r>
      <w:r>
        <w:rPr>
          <w:spacing w:val="-69"/>
        </w:rPr>
        <w:t> </w:t>
      </w:r>
      <w:r>
        <w:rPr>
          <w:spacing w:val="-69"/>
        </w:rPr>
      </w:r>
      <w:r>
        <w:rPr/>
        <w:t>律、法规的规定，现有的考核及激励约束机制符合公司的发展现状。</w:t>
      </w:r>
    </w:p>
    <w:p>
      <w:pPr>
        <w:pStyle w:val="BodyText"/>
        <w:spacing w:line="340" w:lineRule="auto" w:before="19"/>
        <w:ind w:left="1494" w:right="0"/>
        <w:jc w:val="left"/>
      </w:pPr>
      <w:r>
        <w:rPr>
          <w:rFonts w:ascii="Times New Roman" w:hAnsi="Times New Roman" w:cs="Times New Roman" w:eastAsia="Times New Roman" w:hint="default"/>
        </w:rPr>
        <w:t>6</w:t>
      </w:r>
      <w:r>
        <w:rPr/>
        <w:t>、关于信息披露与透明度 </w:t>
      </w:r>
      <w:r>
        <w:rPr>
          <w:spacing w:val="-4"/>
        </w:rPr>
        <w:t>公司严格按照有关法律法规以及《信息披露管理制度》、《投资者关系管理制度》等的要求，真实、准确、及时、公平、</w:t>
      </w:r>
    </w:p>
    <w:p>
      <w:pPr>
        <w:pStyle w:val="BodyText"/>
        <w:spacing w:line="309" w:lineRule="auto"/>
        <w:ind w:right="0"/>
        <w:jc w:val="left"/>
      </w:pPr>
      <w:r>
        <w:rPr>
          <w:spacing w:val="-2"/>
        </w:rPr>
        <w:t>完整地披露有关信息；并指定公司董事会秘书负责信息披露工作，协调公司与投资者的关系，接待股东来访，回答投资者咨</w:t>
      </w:r>
      <w:r>
        <w:rPr>
          <w:spacing w:val="-65"/>
        </w:rPr>
        <w:t> </w:t>
      </w:r>
      <w:r>
        <w:rPr>
          <w:spacing w:val="-65"/>
        </w:rPr>
      </w:r>
      <w:r>
        <w:rPr/>
        <w:t>询。公司指定《证券时报》为信息披露报纸，巨潮资讯网（</w:t>
      </w:r>
      <w:hyperlink r:id="rId13">
        <w:r>
          <w:rPr>
            <w:rFonts w:ascii="Times New Roman" w:hAnsi="Times New Roman" w:cs="Times New Roman" w:eastAsia="Times New Roman" w:hint="default"/>
          </w:rPr>
          <w:t>www.cninfo.com.cn</w:t>
        </w:r>
      </w:hyperlink>
      <w:r>
        <w:rPr/>
        <w:t>）为信息披露网站，确保公司所有股东能够</w:t>
      </w:r>
      <w:r>
        <w:rPr>
          <w:w w:val="99"/>
        </w:rPr>
        <w:t> </w:t>
      </w:r>
      <w:r>
        <w:rPr/>
        <w:t>以平等的机会获得信息。</w:t>
      </w:r>
    </w:p>
    <w:p>
      <w:pPr>
        <w:pStyle w:val="BodyText"/>
        <w:spacing w:line="240" w:lineRule="auto" w:before="65"/>
        <w:ind w:right="0"/>
        <w:jc w:val="left"/>
      </w:pPr>
      <w:r>
        <w:rPr/>
        <w:t>公司治理的实际状况与中国证监会发布的有关上市公司治理的规范性文件是否存在重大差异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公司治理的实际状况与中国证监会发布的有关上市公司治理的规范性文件不存在重大差异。</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二、公司相对于控股股东在业务、人员、资产、机构、财务等方面的独立情况" w:id="129"/>
      <w:bookmarkEnd w:id="129"/>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033" w:firstLine="290"/>
        <w:jc w:val="left"/>
      </w:pPr>
      <w:r>
        <w:rPr/>
        <w:t>公司拥有独立完整的业务和自主经营能力，在业务、人员、资产、机构、财务等方面均独立于控股股东，公司董事会、 监事会和内部机构独立运作。公司控股股东依法行使其权利并承担义务，没有超越股东大会直接或间接干预公司经营活动， </w:t>
      </w:r>
      <w:r>
        <w:rPr>
          <w:spacing w:val="-2"/>
        </w:rPr>
        <w:t>不存在控股股东、实际控制人利用其控制地位侵害其他股东利益的行为；报告期内公司没有为控股股东及其关联企业提供担</w:t>
      </w:r>
      <w:r>
        <w:rPr>
          <w:spacing w:val="-64"/>
        </w:rPr>
        <w:t> </w:t>
      </w:r>
      <w:r>
        <w:rPr>
          <w:spacing w:val="-64"/>
        </w:rPr>
      </w:r>
      <w:r>
        <w:rPr/>
        <w:t>保，亦不存在控股股东非经营性占用公司资金的行为；公司与控股股东及其关联单位不存在有关联交易或同业竞争的情况。</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0"/>
      <w:bookmarkEnd w:id="130"/>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1"/>
      <w:bookmarkEnd w:id="131"/>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32"/>
      <w:bookmarkEnd w:id="132"/>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6">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m.cn/</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6">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m.cn/</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6">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m.cn/</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表决权恢复的优先股股东请求召开临时股东大会" w:id="133"/>
      <w:bookmarkEnd w:id="133"/>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4"/>
      <w:bookmarkEnd w:id="134"/>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35"/>
      <w:bookmarkEnd w:id="13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马贵翔</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竺素娥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陈智敏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杜志平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left="1134"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2、独立董事对公司有关事项提出异议的情况" w:id="136"/>
      <w:bookmarkEnd w:id="136"/>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独立董事履行职责的其他说明" w:id="137"/>
      <w:bookmarkEnd w:id="137"/>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240" w:lineRule="auto" w:before="41"/>
        <w:ind w:right="0"/>
        <w:jc w:val="left"/>
      </w:pPr>
      <w:r>
        <w:rPr/>
        <w:t>报告期内，独立董事对公司提出的相关合理意见与建议均被采纳。</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六、董事会下设专门委员会在报告期内履行职责情况" w:id="138"/>
      <w:bookmarkEnd w:id="138"/>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4"/>
        </w:rPr>
        <w:t>公司董事会下设有审计委员会、提名委员会、薪酬与考核委员会和战略委员会四个专门委员会，分别对公司的薪酬管理、</w:t>
      </w:r>
      <w:r>
        <w:rPr/>
        <w:t> </w:t>
      </w:r>
      <w:r>
        <w:rPr>
          <w:spacing w:val="-2"/>
        </w:rPr>
        <w:t>人员激励、内部审计以及发展决策等方面发表意见和建议。专门委员会成员全部由董事组成，各专门委员会均由独立董事担</w:t>
      </w:r>
      <w:r>
        <w:rPr>
          <w:spacing w:val="-66"/>
        </w:rPr>
        <w:t> </w:t>
      </w:r>
      <w:r>
        <w:rPr>
          <w:spacing w:val="-66"/>
        </w:rPr>
      </w:r>
      <w:r>
        <w:rPr>
          <w:spacing w:val="-2"/>
        </w:rPr>
        <w:t>任主任委员，且独立董事人数占其他专门委员会委员的比例均达到三分之二。报告期内，公司董事会各专门委员会充分发挥</w:t>
      </w:r>
      <w:r>
        <w:rPr>
          <w:spacing w:val="-66"/>
        </w:rPr>
        <w:t> </w:t>
      </w:r>
      <w:r>
        <w:rPr>
          <w:spacing w:val="-66"/>
        </w:rPr>
      </w:r>
      <w:r>
        <w:rPr>
          <w:spacing w:val="-2"/>
        </w:rPr>
        <w:t>专业性作用，科学决策，审慎监管，切实履行工作职责，为公司发展、组织建设和团队管理做了大量的工作，有效提升了公</w:t>
      </w:r>
      <w:r>
        <w:rPr>
          <w:spacing w:val="-68"/>
        </w:rPr>
        <w:t> </w:t>
      </w:r>
      <w:r>
        <w:rPr>
          <w:spacing w:val="-68"/>
        </w:rPr>
      </w:r>
      <w:r>
        <w:rPr>
          <w:spacing w:val="-2"/>
        </w:rPr>
        <w:t>司管理水平。各委员会依据《公司章程》和各专门委员会工作细则及其他相关法规的规定履行职权，根据相关要求，审计委</w:t>
      </w:r>
      <w:r>
        <w:rPr>
          <w:spacing w:val="-66"/>
        </w:rPr>
        <w:t> </w:t>
      </w:r>
      <w:r>
        <w:rPr>
          <w:spacing w:val="-66"/>
        </w:rPr>
      </w:r>
      <w:r>
        <w:rPr>
          <w:spacing w:val="-2"/>
        </w:rPr>
        <w:t>员会对公司年度报告的审计工作进行了全程参与和监督，与年审注册会计师进行了审计事前、事中、事后沟通，督促年审会</w:t>
      </w:r>
      <w:r>
        <w:rPr>
          <w:spacing w:val="-66"/>
        </w:rPr>
        <w:t> </w:t>
      </w:r>
      <w:r>
        <w:rPr>
          <w:spacing w:val="-66"/>
        </w:rPr>
      </w:r>
      <w:r>
        <w:rPr/>
        <w:t>计师按时完成审计工作，保证了年报审计工作的顺利进行。</w:t>
      </w:r>
    </w:p>
    <w:p>
      <w:pPr>
        <w:spacing w:line="240" w:lineRule="auto" w:before="10"/>
        <w:rPr>
          <w:rFonts w:ascii="宋体" w:hAnsi="宋体" w:cs="宋体" w:eastAsia="宋体" w:hint="default"/>
          <w:sz w:val="20"/>
          <w:szCs w:val="20"/>
        </w:rPr>
      </w:pPr>
    </w:p>
    <w:p>
      <w:pPr>
        <w:pStyle w:val="Heading2"/>
        <w:spacing w:line="240" w:lineRule="auto"/>
        <w:ind w:left="1134" w:right="0"/>
        <w:jc w:val="left"/>
        <w:rPr>
          <w:b w:val="0"/>
          <w:bCs w:val="0"/>
        </w:rPr>
      </w:pPr>
      <w:bookmarkStart w:name="七、监事会工作情况" w:id="139"/>
      <w:bookmarkEnd w:id="139"/>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监事会在报告期内的监督活动是否发现公司存在风险</w:t>
      </w:r>
    </w:p>
    <w:p>
      <w:pPr>
        <w:pStyle w:val="BodyText"/>
        <w:spacing w:line="338"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0"/>
      <w:bookmarkEnd w:id="140"/>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033" w:firstLine="360"/>
        <w:jc w:val="left"/>
      </w:pPr>
      <w:r>
        <w:rPr>
          <w:spacing w:val="-2"/>
        </w:rPr>
        <w:t>公司高级管理人员的薪资由基本薪酬和绩效奖金构成，基本薪酬参考市场同类薪酬标准，结合考虑职位、责任、能力等</w:t>
      </w:r>
      <w:r>
        <w:rPr/>
        <w:t> 因素确定，基本薪酬按月平均发放。绩效奖金根据《公司</w:t>
      </w:r>
      <w:r>
        <w:rPr>
          <w:rFonts w:ascii="Times New Roman" w:hAnsi="Times New Roman" w:cs="Times New Roman" w:eastAsia="Times New Roman" w:hint="default"/>
        </w:rPr>
        <w:t>2015</w:t>
      </w:r>
      <w:r>
        <w:rPr/>
        <w:t>年度经营业绩考核责任书》，结合年度绩效考核结果等确定。 薪资水平与其承担责任、风险和经营业绩挂钩。</w:t>
      </w:r>
    </w:p>
    <w:p>
      <w:pPr>
        <w:spacing w:after="0" w:line="309"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r>
        <w:rPr/>
        <w:pict>
          <v:group style="position:absolute;margin-left:383.980011pt;margin-top:649.839966pt;width:149.8pt;height:15.6pt;mso-position-horizontal-relative:page;mso-position-vertical-relative:page;z-index:-1065208" coordorigin="7680,12997" coordsize="2996,312">
            <v:shape style="position:absolute;left:7680;top:12997;width:2996;height:312" coordorigin="7680,12997" coordsize="2996,312" path="m7680,13309l10675,13309,10675,12997,7680,12997,7680,13309xe" filled="true" fillcolor="#ffffff" stroked="false">
              <v:path arrowok="t"/>
              <v:fill type="solid"/>
            </v:shape>
            <w10:wrap type="none"/>
          </v:group>
        </w:pict>
      </w:r>
      <w:r>
        <w:rPr/>
        <w:pict>
          <v:group style="position:absolute;margin-left:383.980011pt;margin-top:681.039978pt;width:149.8pt;height:15.6pt;mso-position-horizontal-relative:page;mso-position-vertical-relative:page;z-index:-1065184" coordorigin="7680,13621" coordsize="2996,312">
            <v:shape style="position:absolute;left:7680;top:13621;width:2996;height:312" coordorigin="7680,13621" coordsize="2996,312" path="m7680,13933l10675,13933,10675,13621,7680,13621,7680,13933xe" filled="true" fillcolor="#ffffff" stroked="false">
              <v:path arrowok="t"/>
              <v:fill type="solid"/>
            </v:shape>
            <w10:wrap type="none"/>
          </v:group>
        </w:pict>
      </w:r>
      <w:r>
        <w:rPr/>
        <w:pict>
          <v:group style="position:absolute;margin-left:383.980011pt;margin-top:727.859985pt;width:149.8pt;height:15.6pt;mso-position-horizontal-relative:page;mso-position-vertical-relative:page;z-index:-1065160" coordorigin="7680,14557" coordsize="2996,312">
            <v:shape style="position:absolute;left:7680;top:14557;width:2996;height:312" coordorigin="7680,14557" coordsize="2996,312" path="m7680,14869l10675,14869,10675,14557,7680,14557,7680,14869xe" filled="true" fillcolor="#ffffff" stroked="false">
              <v:path arrowok="t"/>
              <v:fill type="solid"/>
            </v:shape>
            <w10:wrap type="none"/>
          </v:group>
        </w:pict>
      </w:r>
    </w:p>
    <w:p>
      <w:pPr>
        <w:pStyle w:val="Heading2"/>
        <w:spacing w:line="240" w:lineRule="auto" w:before="26"/>
        <w:ind w:right="0"/>
        <w:jc w:val="left"/>
        <w:rPr>
          <w:b w:val="0"/>
          <w:bCs w:val="0"/>
        </w:rPr>
      </w:pPr>
      <w:bookmarkStart w:name="九、内部控制评价报告" w:id="141"/>
      <w:bookmarkEnd w:id="141"/>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2"/>
      <w:bookmarkEnd w:id="142"/>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43"/>
      <w:bookmarkEnd w:id="143"/>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02"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0" w:lineRule="auto" w:before="52"/>
              <w:ind w:left="22" w:right="48"/>
              <w:jc w:val="both"/>
              <w:rPr>
                <w:rFonts w:ascii="宋体" w:hAnsi="宋体" w:cs="宋体" w:eastAsia="宋体" w:hint="default"/>
                <w:sz w:val="18"/>
                <w:szCs w:val="18"/>
              </w:rPr>
            </w:pPr>
            <w:r>
              <w:rPr>
                <w:rFonts w:ascii="宋体" w:hAnsi="宋体" w:cs="宋体" w:eastAsia="宋体" w:hint="default"/>
                <w:spacing w:val="-5"/>
                <w:sz w:val="18"/>
                <w:szCs w:val="18"/>
              </w:rPr>
              <w:t>财务报告重大缺陷的迹象包括：（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w:t>
            </w:r>
            <w:r>
              <w:rPr>
                <w:rFonts w:ascii="宋体" w:hAnsi="宋体" w:cs="宋体" w:eastAsia="宋体" w:hint="default"/>
                <w:spacing w:val="-85"/>
                <w:sz w:val="18"/>
                <w:szCs w:val="18"/>
              </w:rPr>
              <w:t> </w:t>
            </w:r>
            <w:r>
              <w:rPr>
                <w:rFonts w:ascii="宋体" w:hAnsi="宋体" w:cs="宋体" w:eastAsia="宋体" w:hint="default"/>
                <w:sz w:val="18"/>
                <w:szCs w:val="18"/>
              </w:rPr>
              <w:t>董事、监事和高级管理人员的舞弊行为；</w:t>
            </w:r>
          </w:p>
          <w:p>
            <w:pPr>
              <w:pStyle w:val="TableParagraph"/>
              <w:spacing w:line="309" w:lineRule="auto" w:before="31"/>
              <w:ind w:left="22" w:right="42"/>
              <w:jc w:val="both"/>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）公司更正已公布的财务报告；（</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）注</w:t>
            </w:r>
            <w:r>
              <w:rPr>
                <w:rFonts w:ascii="宋体" w:hAnsi="宋体" w:cs="宋体" w:eastAsia="宋体" w:hint="default"/>
                <w:spacing w:val="-86"/>
                <w:sz w:val="18"/>
                <w:szCs w:val="18"/>
              </w:rPr>
              <w:t> </w:t>
            </w:r>
            <w:r>
              <w:rPr>
                <w:rFonts w:ascii="宋体" w:hAnsi="宋体" w:cs="宋体" w:eastAsia="宋体" w:hint="default"/>
                <w:sz w:val="18"/>
                <w:szCs w:val="18"/>
              </w:rPr>
              <w:t>册会计师发现的却未被公司内部控制识别</w:t>
            </w:r>
            <w:r>
              <w:rPr>
                <w:rFonts w:ascii="宋体" w:hAnsi="宋体" w:cs="宋体" w:eastAsia="宋体" w:hint="default"/>
                <w:sz w:val="18"/>
                <w:szCs w:val="18"/>
              </w:rPr>
              <w:t> </w:t>
            </w:r>
            <w:r>
              <w:rPr>
                <w:rFonts w:ascii="宋体" w:hAnsi="宋体" w:cs="宋体" w:eastAsia="宋体" w:hint="default"/>
                <w:spacing w:val="-5"/>
                <w:sz w:val="18"/>
                <w:szCs w:val="18"/>
              </w:rPr>
              <w:t>的当期财务报告中的重大错报；（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）审计</w:t>
            </w:r>
            <w:r>
              <w:rPr>
                <w:rFonts w:ascii="宋体" w:hAnsi="宋体" w:cs="宋体" w:eastAsia="宋体" w:hint="default"/>
                <w:spacing w:val="-85"/>
                <w:sz w:val="18"/>
                <w:szCs w:val="18"/>
              </w:rPr>
              <w:t> </w:t>
            </w:r>
            <w:r>
              <w:rPr>
                <w:rFonts w:ascii="宋体" w:hAnsi="宋体" w:cs="宋体" w:eastAsia="宋体" w:hint="default"/>
                <w:sz w:val="18"/>
                <w:szCs w:val="18"/>
              </w:rPr>
              <w:t>委员会和审计部门对公司的对外财务报告 和财务报告内部控制监督无效。财务报告 </w:t>
            </w:r>
            <w:r>
              <w:rPr>
                <w:rFonts w:ascii="宋体" w:hAnsi="宋体" w:cs="宋体" w:eastAsia="宋体" w:hint="default"/>
                <w:spacing w:val="-5"/>
                <w:sz w:val="18"/>
                <w:szCs w:val="18"/>
              </w:rPr>
              <w:t>重要缺陷的迹象包括：（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w:t>
            </w:r>
            <w:r>
              <w:rPr>
                <w:rFonts w:ascii="宋体" w:hAnsi="宋体" w:cs="宋体" w:eastAsia="宋体" w:hint="default"/>
                <w:spacing w:val="-85"/>
                <w:sz w:val="18"/>
                <w:szCs w:val="18"/>
              </w:rPr>
              <w:t> </w:t>
            </w:r>
            <w:r>
              <w:rPr>
                <w:rFonts w:ascii="宋体" w:hAnsi="宋体" w:cs="宋体" w:eastAsia="宋体" w:hint="default"/>
                <w:spacing w:val="-5"/>
                <w:sz w:val="18"/>
                <w:szCs w:val="18"/>
              </w:rPr>
              <w:t>计准则选择和应用会计政策；（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w:t>
            </w:r>
            <w:r>
              <w:rPr>
                <w:rFonts w:ascii="宋体" w:hAnsi="宋体" w:cs="宋体" w:eastAsia="宋体" w:hint="default"/>
                <w:spacing w:val="-85"/>
                <w:sz w:val="18"/>
                <w:szCs w:val="18"/>
              </w:rPr>
              <w:t> </w:t>
            </w:r>
            <w:r>
              <w:rPr>
                <w:rFonts w:ascii="宋体" w:hAnsi="宋体" w:cs="宋体" w:eastAsia="宋体" w:hint="default"/>
                <w:spacing w:val="-5"/>
                <w:sz w:val="18"/>
                <w:szCs w:val="18"/>
              </w:rPr>
              <w:t>反舞弊程序和控制措施；（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w:t>
            </w:r>
            <w:r>
              <w:rPr>
                <w:rFonts w:ascii="宋体" w:hAnsi="宋体" w:cs="宋体" w:eastAsia="宋体" w:hint="default"/>
                <w:spacing w:val="-85"/>
                <w:sz w:val="18"/>
                <w:szCs w:val="18"/>
              </w:rPr>
              <w:t> </w:t>
            </w:r>
            <w:r>
              <w:rPr>
                <w:rFonts w:ascii="宋体" w:hAnsi="宋体" w:cs="宋体" w:eastAsia="宋体" w:hint="default"/>
                <w:sz w:val="18"/>
                <w:szCs w:val="18"/>
              </w:rPr>
              <w:t>或特殊交易的账务处理没有建立相应的控 制机制或没有实施且没有相应的补偿性控 </w:t>
            </w:r>
            <w:r>
              <w:rPr>
                <w:rFonts w:ascii="宋体" w:hAnsi="宋体" w:cs="宋体" w:eastAsia="宋体" w:hint="default"/>
                <w:spacing w:val="-5"/>
                <w:sz w:val="18"/>
                <w:szCs w:val="18"/>
              </w:rPr>
              <w:t>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）对于期末财务报告过程的控制存</w:t>
            </w:r>
            <w:r>
              <w:rPr>
                <w:rFonts w:ascii="宋体" w:hAnsi="宋体" w:cs="宋体" w:eastAsia="宋体" w:hint="default"/>
                <w:spacing w:val="-85"/>
                <w:sz w:val="18"/>
                <w:szCs w:val="18"/>
              </w:rPr>
              <w:t> </w:t>
            </w:r>
            <w:r>
              <w:rPr>
                <w:rFonts w:ascii="宋体" w:hAnsi="宋体" w:cs="宋体" w:eastAsia="宋体" w:hint="default"/>
                <w:sz w:val="18"/>
                <w:szCs w:val="18"/>
              </w:rPr>
              <w:t>在一项或多项缺陷且不能合理保证编制的 财务报表达到真实、完整的目标。一般缺 陷是指除上述重大缺陷、重要缺陷之外的 其他控制缺陷。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2" w:right="21"/>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的可能性高，会严重降低工作效率或效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之严重偏离预期目标为重大缺陷。</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501"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234"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9" w:space="0" w:color="FFFFFF"/>
            </w:tcBorders>
          </w:tcPr>
          <w:p>
            <w:pPr>
              <w:pStyle w:val="TableParagraph"/>
              <w:spacing w:line="312" w:lineRule="auto" w:before="52"/>
              <w:ind w:left="22" w:right="-39"/>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指标。内部控制缺陷可能导致或导致的损 </w:t>
            </w:r>
            <w:r>
              <w:rPr>
                <w:rFonts w:ascii="宋体" w:hAnsi="宋体" w:cs="宋体" w:eastAsia="宋体" w:hint="default"/>
                <w:spacing w:val="-6"/>
                <w:sz w:val="18"/>
                <w:szCs w:val="18"/>
              </w:rPr>
              <w:t>失与利润表相关的，以营业收入指标衡量。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如果该缺陷单独或连同其他缺陷可能导致</w:t>
            </w:r>
            <w:r>
              <w:rPr>
                <w:rFonts w:ascii="宋体" w:hAnsi="宋体" w:cs="宋体" w:eastAsia="宋体" w:hint="default"/>
                <w:sz w:val="18"/>
                <w:szCs w:val="18"/>
              </w:rPr>
              <w:t> 的财务报告错报金额小于营业收入的</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w:t>
            </w:r>
            <w:r>
              <w:rPr>
                <w:rFonts w:ascii="宋体" w:hAnsi="宋体" w:cs="宋体" w:eastAsia="宋体" w:hint="default"/>
                <w:spacing w:val="-22"/>
                <w:sz w:val="18"/>
                <w:szCs w:val="18"/>
              </w:rPr>
              <w:t> </w:t>
            </w:r>
            <w:r>
              <w:rPr>
                <w:rFonts w:ascii="宋体" w:hAnsi="宋体" w:cs="宋体" w:eastAsia="宋体" w:hint="default"/>
                <w:sz w:val="18"/>
                <w:szCs w:val="18"/>
              </w:rPr>
              <w:t>则认定为一般缺陷；如果超过营业收入的</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，则认定为重要缺陷；如果 超过营业收入的</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w:t>
            </w:r>
            <w:r>
              <w:rPr>
                <w:rFonts w:ascii="宋体" w:hAnsi="宋体" w:cs="宋体" w:eastAsia="宋体" w:hint="default"/>
                <w:spacing w:val="-22"/>
                <w:sz w:val="18"/>
                <w:szCs w:val="18"/>
              </w:rPr>
              <w:t> </w:t>
            </w:r>
            <w:r>
              <w:rPr>
                <w:rFonts w:ascii="宋体" w:hAnsi="宋体" w:cs="宋体" w:eastAsia="宋体" w:hint="default"/>
                <w:sz w:val="18"/>
                <w:szCs w:val="18"/>
              </w:rPr>
              <w:t>内部控制缺陷可能导致或导致的损失与资</w:t>
            </w:r>
          </w:p>
        </w:tc>
        <w:tc>
          <w:tcPr>
            <w:tcW w:w="3051" w:type="dxa"/>
            <w:vMerge w:val="restart"/>
            <w:tcBorders>
              <w:top w:val="single" w:sz="4" w:space="0" w:color="000000"/>
              <w:left w:val="single" w:sz="9" w:space="0" w:color="FFFFFF"/>
              <w:right w:val="single" w:sz="4" w:space="0" w:color="000000"/>
            </w:tcBorders>
          </w:tcPr>
          <w:p>
            <w:pPr>
              <w:pStyle w:val="TableParagraph"/>
              <w:spacing w:line="312" w:lineRule="auto" w:before="52"/>
              <w:ind w:left="16" w:right="21"/>
              <w:jc w:val="left"/>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量指标。内部控制缺陷可能导致或导致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的损失与利润报表相关的，以营业收入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指标衡量。如果该缺陷单独或连同其他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缺陷可能导致的损失金额小于营业收 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，则认定为一般缺陷；如果超 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 重要缺陷；如果超过营业收入的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宋体" w:hAnsi="宋体" w:cs="宋体" w:eastAsia="宋体" w:hint="default"/>
                <w:spacing w:val="-4"/>
                <w:sz w:val="18"/>
                <w:szCs w:val="18"/>
              </w:rPr>
              <w:t>则认定为重大缺陷。内部控制缺陷可能</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1234"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194"/>
        <w:gridCol w:w="3324"/>
        <w:gridCol w:w="3051"/>
      </w:tblGrid>
      <w:tr>
        <w:trPr>
          <w:trHeight w:val="223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23" w:right="21"/>
              <w:jc w:val="both"/>
              <w:rPr>
                <w:rFonts w:ascii="宋体" w:hAnsi="宋体" w:cs="宋体" w:eastAsia="宋体" w:hint="default"/>
                <w:sz w:val="18"/>
                <w:szCs w:val="18"/>
              </w:rPr>
            </w:pPr>
            <w:r>
              <w:rPr>
                <w:rFonts w:ascii="宋体" w:hAnsi="宋体" w:cs="宋体" w:eastAsia="宋体" w:hint="default"/>
                <w:sz w:val="18"/>
                <w:szCs w:val="18"/>
              </w:rPr>
              <w:t>产管理相关的，以资产总额指标衡量。如 果该缺陷单独或连同其他缺陷可能导致的 财务报告错报金额小于资产总额的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39"/>
                <w:sz w:val="18"/>
                <w:szCs w:val="18"/>
              </w:rPr>
              <w:t>1%</w:t>
            </w:r>
            <w:r>
              <w:rPr>
                <w:rFonts w:ascii="宋体" w:hAnsi="宋体" w:cs="宋体" w:eastAsia="宋体" w:hint="default"/>
                <w:spacing w:val="-39"/>
                <w:sz w:val="18"/>
                <w:szCs w:val="18"/>
              </w:rPr>
              <w:t>，则</w:t>
            </w:r>
            <w:r>
              <w:rPr>
                <w:rFonts w:ascii="宋体" w:hAnsi="宋体" w:cs="宋体" w:eastAsia="宋体" w:hint="default"/>
                <w:spacing w:val="-78"/>
                <w:sz w:val="18"/>
                <w:szCs w:val="18"/>
              </w:rPr>
              <w:t> </w:t>
            </w:r>
            <w:r>
              <w:rPr>
                <w:rFonts w:ascii="宋体" w:hAnsi="宋体" w:cs="宋体" w:eastAsia="宋体" w:hint="default"/>
                <w:spacing w:val="-5"/>
                <w:sz w:val="18"/>
                <w:szCs w:val="18"/>
              </w:rPr>
              <w:t>认定为一般缺陷；如果超过资产总额的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但小于</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则认定为重要缺陷；如果超过资</w:t>
            </w:r>
            <w:r>
              <w:rPr>
                <w:rFonts w:ascii="宋体" w:hAnsi="宋体" w:cs="宋体" w:eastAsia="宋体" w:hint="default"/>
                <w:sz w:val="18"/>
                <w:szCs w:val="18"/>
              </w:rPr>
              <w:t> 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42"/>
              <w:jc w:val="left"/>
              <w:rPr>
                <w:rFonts w:ascii="宋体" w:hAnsi="宋体" w:cs="宋体" w:eastAsia="宋体" w:hint="default"/>
                <w:sz w:val="18"/>
                <w:szCs w:val="18"/>
              </w:rPr>
            </w:pPr>
            <w:r>
              <w:rPr>
                <w:rFonts w:ascii="宋体" w:hAnsi="宋体" w:cs="宋体" w:eastAsia="宋体" w:hint="default"/>
                <w:sz w:val="18"/>
                <w:szCs w:val="18"/>
              </w:rPr>
              <w:t>导致或导致的损失与资产管理相关的， </w:t>
            </w:r>
            <w:r>
              <w:rPr>
                <w:rFonts w:ascii="宋体" w:hAnsi="宋体" w:cs="宋体" w:eastAsia="宋体" w:hint="default"/>
                <w:spacing w:val="-4"/>
                <w:sz w:val="18"/>
                <w:szCs w:val="18"/>
              </w:rPr>
              <w:t>以资产总额指标衡量。如果该缺陷单独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或连同其他缺陷可能导致的损失小于 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，则认定为一般缺陷； 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 认定为重要缺陷；如果超过资产总额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十、内部控制审计报告或鉴证报告" w:id="144"/>
      <w:bookmarkEnd w:id="144"/>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我们认为，浙江金科公司按照《企业内部控制基本规范》及相关规定于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日在所有重大方面保持了有效的 内部控制。本结论是在受到鉴证报告中指出的固有限制的条件下形成的。</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会计师事务所是否出具非标准意见的内部控制鉴证报告</w:t>
      </w:r>
    </w:p>
    <w:p>
      <w:pPr>
        <w:pStyle w:val="BodyText"/>
        <w:spacing w:line="340" w:lineRule="auto" w:before="116"/>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_TOC_250001" w:id="145"/>
      <w:bookmarkStart w:name="第十节 财务报告" w:id="146"/>
      <w:r>
        <w:rPr>
          <w:b w:val="0"/>
          <w:bCs w:val="0"/>
        </w:rPr>
      </w:r>
      <w:r>
        <w:rPr/>
        <w:t>第十节</w:t>
      </w:r>
      <w:r>
        <w:rPr>
          <w:spacing w:val="-5"/>
        </w:rPr>
        <w:t> </w:t>
      </w:r>
      <w:r>
        <w:rPr/>
        <w:t>财务报告</w:t>
      </w:r>
      <w:bookmarkEnd w:id="14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7"/>
      <w:bookmarkEnd w:id="14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3958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程志刚、吕安吉</w:t>
            </w:r>
          </w:p>
        </w:tc>
      </w:tr>
    </w:tbl>
    <w:p>
      <w:pPr>
        <w:pStyle w:val="BodyText"/>
        <w:spacing w:line="240" w:lineRule="auto" w:before="51"/>
        <w:ind w:left="3403" w:right="3402"/>
        <w:jc w:val="center"/>
      </w:pPr>
      <w:r>
        <w:rPr/>
        <w:t>审计报告正文</w:t>
      </w:r>
    </w:p>
    <w:p>
      <w:pPr>
        <w:spacing w:line="312" w:lineRule="exact" w:before="96"/>
        <w:ind w:left="1613" w:right="0" w:hanging="480"/>
        <w:jc w:val="left"/>
        <w:rPr>
          <w:rFonts w:ascii="宋体" w:hAnsi="宋体" w:cs="宋体" w:eastAsia="宋体" w:hint="default"/>
          <w:sz w:val="24"/>
          <w:szCs w:val="24"/>
        </w:rPr>
      </w:pPr>
      <w:r>
        <w:rPr>
          <w:rFonts w:ascii="宋体" w:hAnsi="宋体" w:cs="宋体" w:eastAsia="宋体" w:hint="default"/>
          <w:b/>
          <w:bCs/>
          <w:sz w:val="24"/>
          <w:szCs w:val="24"/>
        </w:rPr>
        <w:t>浙江金科过氧化物股份有限公司全体股东：</w:t>
      </w:r>
      <w:r>
        <w:rPr>
          <w:rFonts w:ascii="宋体" w:hAnsi="宋体" w:cs="宋体" w:eastAsia="宋体" w:hint="default"/>
          <w:b/>
          <w:bCs/>
          <w:w w:val="99"/>
          <w:sz w:val="24"/>
          <w:szCs w:val="24"/>
        </w:rPr>
        <w:t> </w:t>
      </w:r>
      <w:r>
        <w:rPr>
          <w:rFonts w:ascii="宋体" w:hAnsi="宋体" w:cs="宋体" w:eastAsia="宋体" w:hint="default"/>
          <w:spacing w:val="-3"/>
          <w:sz w:val="24"/>
          <w:szCs w:val="24"/>
        </w:rPr>
        <w:t>我们审计了后附的浙江金科过氧化物股份有限公司（以下简称浙江金科公司）财务报表，</w:t>
      </w:r>
    </w:p>
    <w:p>
      <w:pPr>
        <w:pStyle w:val="Heading3"/>
        <w:spacing w:line="312" w:lineRule="exact"/>
        <w:ind w:right="0"/>
        <w:jc w:val="left"/>
      </w:pPr>
      <w:r>
        <w:rPr/>
        <w:t>包括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2015</w:t>
      </w:r>
      <w:r>
        <w:rPr/>
        <w:t>年度的合并及母公司利润表、合并及</w:t>
      </w:r>
      <w:r>
        <w:rPr>
          <w:spacing w:val="-106"/>
        </w:rPr>
        <w:t> </w:t>
      </w:r>
      <w:r>
        <w:rPr>
          <w:spacing w:val="-106"/>
        </w:rPr>
      </w:r>
      <w:r>
        <w:rPr/>
        <w:t>母公司现金流量表、合并及母公司股东权益变动表，以及财务报表附注。</w:t>
      </w:r>
    </w:p>
    <w:p>
      <w:pPr>
        <w:spacing w:line="240" w:lineRule="auto" w:before="11"/>
        <w:rPr>
          <w:rFonts w:ascii="宋体" w:hAnsi="宋体" w:cs="宋体" w:eastAsia="宋体" w:hint="default"/>
          <w:sz w:val="23"/>
          <w:szCs w:val="23"/>
        </w:rPr>
      </w:pPr>
    </w:p>
    <w:p>
      <w:pPr>
        <w:spacing w:line="312" w:lineRule="exact" w:before="0"/>
        <w:ind w:left="1613" w:right="0"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3"/>
          <w:sz w:val="24"/>
          <w:szCs w:val="24"/>
        </w:rPr>
        <w:t>编制和公允列报财务报表是浙江金科公司管理层的责任，这种责任包括：（</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）按照企业</w:t>
      </w:r>
    </w:p>
    <w:p>
      <w:pPr>
        <w:pStyle w:val="Heading3"/>
        <w:spacing w:line="225" w:lineRule="auto"/>
        <w:ind w:right="1115"/>
        <w:jc w:val="left"/>
      </w:pPr>
      <w:r>
        <w:rPr>
          <w:spacing w:val="-2"/>
        </w:rPr>
        <w:t>会计准则的规定编制财务报表，并使其实现公允反映；（</w:t>
      </w:r>
      <w:r>
        <w:rPr>
          <w:rFonts w:ascii="Times New Roman" w:hAnsi="Times New Roman" w:cs="Times New Roman" w:eastAsia="Times New Roman" w:hint="default"/>
          <w:spacing w:val="-2"/>
        </w:rPr>
        <w:t>2</w:t>
      </w:r>
      <w:r>
        <w:rPr>
          <w:spacing w:val="-2"/>
        </w:rPr>
        <w:t>）设计、执行和维护必要的内部控</w:t>
      </w:r>
      <w:r>
        <w:rPr/>
        <w:t> 制，以使财务报表不存在由于舞弊或错误导致的重大错报。</w:t>
      </w:r>
    </w:p>
    <w:p>
      <w:pPr>
        <w:spacing w:line="240" w:lineRule="auto" w:before="2"/>
        <w:rPr>
          <w:rFonts w:ascii="宋体" w:hAnsi="宋体" w:cs="宋体" w:eastAsia="宋体" w:hint="default"/>
          <w:sz w:val="26"/>
          <w:szCs w:val="26"/>
        </w:rPr>
      </w:pPr>
    </w:p>
    <w:p>
      <w:pPr>
        <w:spacing w:line="312" w:lineRule="exact" w:before="0"/>
        <w:ind w:left="1613" w:right="0"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Heading3"/>
        <w:spacing w:line="312" w:lineRule="exact"/>
        <w:ind w:right="0"/>
        <w:jc w:val="left"/>
      </w:pPr>
      <w:r>
        <w:rPr/>
        <w:t>计师审计准则的规定执行了审计工作。中国注册会计师审计准则要求我们遵守中国注册会计 师职业道德守则，计划和执行审计工作以对财务报表是否不存在重大错报获取合理保证。</w:t>
      </w:r>
    </w:p>
    <w:p>
      <w:pPr>
        <w:pStyle w:val="Heading3"/>
        <w:spacing w:line="312" w:lineRule="exact"/>
        <w:ind w:right="995"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Heading3"/>
        <w:spacing w:line="283" w:lineRule="exact"/>
        <w:ind w:left="1613" w:right="0"/>
        <w:jc w:val="left"/>
      </w:pPr>
      <w:r>
        <w:rPr/>
        <w:t>我们相信，我们获取的审计证据是充分、适当的，为发表审计意见提供了基础。</w:t>
      </w:r>
    </w:p>
    <w:p>
      <w:pPr>
        <w:spacing w:line="240" w:lineRule="auto" w:before="0"/>
        <w:rPr>
          <w:rFonts w:ascii="宋体" w:hAnsi="宋体" w:cs="宋体" w:eastAsia="宋体" w:hint="default"/>
          <w:sz w:val="26"/>
          <w:szCs w:val="26"/>
        </w:rPr>
      </w:pPr>
    </w:p>
    <w:p>
      <w:pPr>
        <w:pStyle w:val="Heading3"/>
        <w:spacing w:line="312" w:lineRule="exact"/>
        <w:ind w:left="1613" w:right="0" w:firstLine="2"/>
        <w:jc w:val="left"/>
      </w:pPr>
      <w:r>
        <w:rPr>
          <w:rFonts w:ascii="宋体" w:hAnsi="宋体" w:cs="宋体" w:eastAsia="宋体" w:hint="default"/>
          <w:b/>
          <w:bCs/>
        </w:rPr>
        <w:t>三、审计意见</w:t>
      </w:r>
      <w:r>
        <w:rPr>
          <w:rFonts w:ascii="宋体" w:hAnsi="宋体" w:cs="宋体" w:eastAsia="宋体" w:hint="default"/>
          <w:b/>
          <w:bCs/>
          <w:w w:val="99"/>
        </w:rPr>
        <w:t> </w:t>
      </w:r>
      <w:r>
        <w:rPr/>
        <w:t>我们认为，浙江金科公司财务报表在所有重大方面按照企业会计准则的规定编制，公允</w:t>
      </w:r>
    </w:p>
    <w:p>
      <w:pPr>
        <w:pStyle w:val="Heading3"/>
        <w:spacing w:line="312" w:lineRule="exact"/>
        <w:ind w:right="0"/>
        <w:jc w:val="left"/>
      </w:pPr>
      <w:r>
        <w:rPr/>
        <w:t>反映了浙江金科公司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2015</w:t>
      </w:r>
      <w:r>
        <w:rPr/>
        <w:t>年度的合并及母公</w:t>
      </w:r>
      <w:r>
        <w:rPr>
          <w:spacing w:val="-107"/>
        </w:rPr>
        <w:t> </w:t>
      </w:r>
      <w:r>
        <w:rPr>
          <w:spacing w:val="-107"/>
        </w:rPr>
      </w:r>
      <w:r>
        <w:rPr/>
        <w:t>司经营成果和现金流量。</w:t>
      </w:r>
    </w:p>
    <w:p>
      <w:pPr>
        <w:spacing w:after="0" w:line="312" w:lineRule="exact"/>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tabs>
          <w:tab w:pos="4002" w:val="left" w:leader="none"/>
          <w:tab w:pos="5334" w:val="left" w:leader="none"/>
        </w:tabs>
        <w:spacing w:line="477" w:lineRule="auto" w:before="26"/>
        <w:ind w:left="1554" w:right="3929" w:hanging="420"/>
        <w:jc w:val="left"/>
      </w:pPr>
      <w:r>
        <w:rPr/>
        <w:t>天健会计师事务所（特殊普通合伙）</w:t>
        <w:tab/>
        <w:t>中国注册会计师：程志刚 中国</w:t>
      </w:r>
      <w:r>
        <w:rPr>
          <w:rFonts w:ascii="Times New Roman" w:hAnsi="Times New Roman" w:cs="Times New Roman" w:eastAsia="Times New Roman" w:hint="default"/>
        </w:rPr>
        <w:t>·</w:t>
      </w:r>
      <w:r>
        <w:rPr/>
        <w:t>杭州</w:t>
        <w:tab/>
        <w:t>中国注册会计师：吕安吉</w:t>
      </w:r>
    </w:p>
    <w:p>
      <w:pPr>
        <w:pStyle w:val="Heading3"/>
        <w:spacing w:line="240" w:lineRule="auto" w:before="29"/>
        <w:ind w:left="4160" w:right="0"/>
        <w:jc w:val="left"/>
      </w:pPr>
      <w:r>
        <w:rPr/>
        <w:t>二〇一六年四月二十四日</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bookmarkStart w:name="二、财务报表" w:id="148"/>
      <w:bookmarkEnd w:id="14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49"/>
      <w:bookmarkEnd w:id="14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t>编制单位：浙江金科过氧化物股份有限公司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617" w:right="-17"/>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3" w:equalWidth="0">
            <w:col w:w="4555" w:space="40"/>
            <w:col w:w="210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192,572,980.73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171,433,288.98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7,851,150.00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14,472,203.80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94,698,625.54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77,529,457.75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4,692,097.06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4,972,739.08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1,241,792.31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764,757.98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5,513,887.71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60,940,284.57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59,590,059.32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7,846,378.76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2,925,805.75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369,366,274.64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337,679,234.70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29,466,701.32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1,695,270.10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238,038,710.11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238,168,271.50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42,771,914.81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6,634,273.44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63,761,391.00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51,245,466.67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116,100,234.32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16,399,444.92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20,882,170.99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809,792.50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1,233,986.34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507,348,188.98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319,859,439.04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876,714,463.62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657,538,673.74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768,281.68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32,328,272.40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32,087,445.60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28,690,381.50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25,400,537.94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5,800,165.64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1,905,636.36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4,989,568.94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2,814,730.19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9,024,990.98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2,164,515.16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13,291.67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272,901.11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5,348,409.90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123,287,179.21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1,837,783.63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219,482,260.24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241,251,831.67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4,287,961.96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4,334,375.00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4,287,961.96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4,334,375.00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223,770,222.20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245,586,206.67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162,268,822.72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172,254,469.69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2,735,088.02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1,106,649.95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16,468,072.57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13,692,406.96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180,500,980.97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145,398,940.47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626,972,964.28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411,952,467.07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25,971,277.14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652,944,241.42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411,952,467.07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876,714,463.62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657,538,673.74</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法定代表人：朱志刚</w:t>
        <w:tab/>
        <w:t>主管会计工作负责人：秦海娟</w:t>
        <w:tab/>
        <w:t>会计机构负责人：邝雅婷</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50"/>
      <w:bookmarkEnd w:id="15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130,531,069.66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145,999,351.80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431,900.00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59,235,260.55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61,970,699.00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534,795.03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33,234,691.50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1,241,792.31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5,386,329.96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16,942,578.94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24,487,283.15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3,307,048.44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1,488,463.35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211,070,252.62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283,838,611.07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376,227,383.76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142,517,383.76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101,277,426.62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101,099,261.32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34,175,697.72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5,978,414.44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23,141,186.75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23,736,632.63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81,161.88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471,876.66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588,578.21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535,296,045.92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274,001,432.24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746,366,298.54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557,840,043.31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645,683.68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28,034,000.00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29,555,000.00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12,246,399.54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15,709,247.00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1,977,139.73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1,702,613.77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2,344,667.29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1,889,438.62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2,738,316.59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1,426,702.77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13,291.67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193,734.44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120,406,601.37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1,248,268.90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177,760,416.19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182,370,689.18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179,335,416.19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184,470,689.18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162,362,826.73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172,348,473.70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1,487,330.04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496,810.92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16,468,072.57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13,692,406.96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121,712,653.01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107,331,662.55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567,030,882.35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373,369,354.13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746,366,298.54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557,840,043.31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3、合并利润表" w:id="151"/>
      <w:bookmarkEnd w:id="15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506,442,538.26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476,902,016.82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506,442,538.26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476,902,016.82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521.320007pt;width:157.7pt;height:19.650pt;mso-position-horizontal-relative:page;mso-position-vertical-relative:page;z-index:-1065136" coordorigin="4242,10426" coordsize="3154,393">
            <v:shape style="position:absolute;left:4242;top:10426;width:3154;height:393" coordorigin="4242,10426" coordsize="3154,393" path="m4242,10819l7396,10819,7396,10426,4242,10426,4242,10819xe" filled="true" fillcolor="#ffffff" stroked="false">
              <v:path arrowok="t"/>
              <v:fill type="solid"/>
            </v:shape>
            <w10:wrap type="none"/>
          </v:group>
        </w:pict>
      </w:r>
      <w:r>
        <w:rPr/>
        <w:pict>
          <v:group style="position:absolute;margin-left:212.119995pt;margin-top:641.919983pt;width:157.7pt;height:19.650pt;mso-position-horizontal-relative:page;mso-position-vertical-relative:page;z-index:-1065112" coordorigin="4242,12838" coordsize="3154,393">
            <v:shape style="position:absolute;left:4242;top:12838;width:3154;height:393" coordorigin="4242,12838" coordsize="3154,393" path="m4242,13231l7396,13231,7396,12838,4242,12838,4242,1323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442,738,359.79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437,125,443.21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380,061,849.22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376,951,718.41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2,948,827.83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1,959,397.83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23,091,686.94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16,637,561.91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40,038,212.82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27,602,538.40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-2,725,489.00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13,838,715.01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-676,728.02</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135,511.65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768,281.68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-768,281.68</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-608,741.84</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-246,203.72</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-633,695.26</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-246,203.72</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63,863,718.31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38,762,088.21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2,807,618.20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3,818,991.97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831,251.34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1,987,930.97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1,205,799.02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977,470.16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590,228.92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328,544.44</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65,465,537.49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41,603,610.02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10,059,764.52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5,424,340.75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55,405,772.97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36,179,269.27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48,477,706.11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36,179,269.27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6,928,066.86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55,405,772.97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36,179,269.27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48,477,706.11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36,179,269.27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6,928,066.86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r>
    </w:tbl>
    <w:p>
      <w:pPr>
        <w:pStyle w:val="BodyText"/>
        <w:tabs>
          <w:tab w:pos="4554" w:val="left" w:leader="none"/>
          <w:tab w:pos="8695" w:val="left" w:leader="none"/>
        </w:tabs>
        <w:spacing w:line="624" w:lineRule="auto" w:before="51"/>
        <w:ind w:right="1229"/>
        <w:jc w:val="left"/>
      </w:pPr>
      <w:r>
        <w:rPr/>
        <w:t>本期发生同一控制下企业合并的，被合并方在合并前实现的净利润为：元，上期被合并方实现的净利润为：元。 法定代表人：朱志刚</w:t>
        <w:tab/>
        <w:t>主管会计工作负责人：秦海娟</w:t>
        <w:tab/>
        <w:t>会计机构负责人：邝雅婷</w:t>
      </w:r>
    </w:p>
    <w:p>
      <w:pPr>
        <w:pStyle w:val="Heading4"/>
        <w:spacing w:line="240" w:lineRule="auto" w:before="63"/>
        <w:ind w:right="0"/>
        <w:jc w:val="left"/>
        <w:rPr>
          <w:b w:val="0"/>
          <w:bCs w:val="0"/>
        </w:rPr>
      </w:pPr>
      <w:bookmarkStart w:name="4、母公司利润表" w:id="152"/>
      <w:bookmarkEnd w:id="15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355,355,586.72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361,395,010.18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286,317,487.62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272,455,109.44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1,252,004.35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1,367,898.87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18,791,725.38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14,755,777.27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23,561,499.38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20,251,856.07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-3,732,875.77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10,081,793.78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-690,496.98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-1,502,235.29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645,683.68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-645,683.68</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298,926.56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7,543,630.77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30,800,852.98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50,882,757.13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1,150,695.08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1,151,441.19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355,581.43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403,193.81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13,289.05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31,595,966.63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51,631,004.51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3,839,310.56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5,527,382.72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27,756,656.07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46,103,621.79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27,756,656.07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46,103,621.79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5、合并现金流量表" w:id="153"/>
      <w:bookmarkEnd w:id="15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549,241,812.95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486,213,484.25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23,204,349.04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19,055,011.24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34,313,595.40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27,726,008.06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606,759,757.39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532,994,503.55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364,055,045.73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332,723,502.05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43,053,517.62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36,760,376.73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22,167,694.87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14,311,723.13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49,290,090.40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46,067,623.44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478,566,348.62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429,863,225.35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128,193,408.77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103,131,278.20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1,754,767.28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8,808,882.92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3,534,953.42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1,426,068.56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5,289,720.70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10,234,951.48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60,959,261.10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23,916,642.67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66,998,363.52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162,957,624.62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25,916,642.67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-157,667,903.92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-15,681,691.19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191,737,766.50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443,366.50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306,687,766.50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14,738,652.41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9,259,025.81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10,367,990.37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1,018,867.92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259,106,642.78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153,277,893.73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47,581,123.72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21,722,106.27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5,639,236.38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-5,685,497.29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23,745,864.95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103,486,195.99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144,449,843.38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40,963,647.39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168,195,708.33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144,449,843.38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6、母公司现金流量表" w:id="154"/>
      <w:bookmarkEnd w:id="15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380,208,041.38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361,011,011.02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19,448,419.84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18,216,350.47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25,942,058.35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20,326,281.00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425,598,519.57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399,553,642.49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267,256,275.58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280,063,419.89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21,243,748.72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19,800,057.10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5,861,359.72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7,541,555.00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38,469,810.63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38,488,860.40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332,831,194.65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345,893,892.39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92,767,324.92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53,659,750.10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298,926.56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7,543,630.77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8,547.01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3,107.69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55,721,895.54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82,223,990.92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56,029,369.11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89,770,729.38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41,968,615.21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7,903,277.34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89,710,000.00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72,100,000.00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55,721,895.54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40,740,502.51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259,500,510.75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48,643,779.85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-203,471,141.64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41,126,949.53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191,294,400.00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167,546,027.51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408,840,427.51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13,385,855.94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6,602,344.45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132,964,017.88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1,018,867.92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316,349,873.82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96,621,212.37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92,490,553.69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4,378,787.63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5,232,980.89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-4,712,994.14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-12,980,282.14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94,452,493.12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124,477,351.80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30,024,858.68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111,497,069.66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124,477,351.80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7、合并所有者权益变动表" w:id="155"/>
      <w:bookmarkEnd w:id="15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1592"/>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9"/>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16"/>
              <w:ind w:left="53" w:right="53"/>
              <w:jc w:val="left"/>
              <w:rPr>
                <w:rFonts w:ascii="宋体" w:hAnsi="宋体" w:cs="宋体" w:eastAsia="宋体" w:hint="default"/>
                <w:sz w:val="18"/>
                <w:szCs w:val="18"/>
              </w:rPr>
            </w:pPr>
            <w:r>
              <w:rPr>
                <w:rFonts w:ascii="宋体" w:hAnsi="宋体" w:cs="宋体" w:eastAsia="宋体" w:hint="default"/>
                <w:sz w:val="18"/>
                <w:szCs w:val="18"/>
              </w:rPr>
              <w:t>所有者 权益合</w:t>
            </w:r>
          </w:p>
        </w:tc>
      </w:tr>
      <w:tr>
        <w:trPr>
          <w:trHeight w:val="40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资本公</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减：库</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其他综</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专项储</w:t>
            </w:r>
          </w:p>
        </w:tc>
        <w:tc>
          <w:tcPr>
            <w:tcW w:w="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7" w:right="0"/>
              <w:jc w:val="left"/>
              <w:rPr>
                <w:rFonts w:ascii="宋体" w:hAnsi="宋体" w:cs="宋体" w:eastAsia="宋体" w:hint="default"/>
                <w:sz w:val="18"/>
                <w:szCs w:val="18"/>
              </w:rPr>
            </w:pPr>
            <w:r>
              <w:rPr>
                <w:rFonts w:ascii="宋体" w:hAnsi="宋体" w:cs="宋体" w:eastAsia="宋体" w:hint="default"/>
                <w:sz w:val="18"/>
                <w:szCs w:val="18"/>
              </w:rPr>
              <w:t>一般风</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56"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161"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146"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56"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积</w:t>
            </w:r>
          </w:p>
        </w:tc>
        <w:tc>
          <w:tcPr>
            <w:tcW w:w="666" w:type="dxa"/>
            <w:vMerge w:val="restart"/>
            <w:tcBorders>
              <w:top w:val="single" w:sz="4" w:space="0" w:color="000000"/>
              <w:left w:val="single" w:sz="9" w:space="0" w:color="D2D2D2"/>
              <w:right w:val="single" w:sz="4" w:space="0" w:color="000000"/>
            </w:tcBorders>
          </w:tcPr>
          <w:p>
            <w:pPr>
              <w:pStyle w:val="TableParagraph"/>
              <w:spacing w:line="240" w:lineRule="auto" w:before="11"/>
              <w:ind w:left="51"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1"/>
              <w:ind w:left="146"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97"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9"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tcPr>
          <w:p>
            <w:pPr/>
          </w:p>
        </w:tc>
      </w:tr>
      <w:tr>
        <w:trPr>
          <w:trHeight w:val="196"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4" w:type="dxa"/>
            <w:vMerge w:val="restart"/>
            <w:tcBorders>
              <w:top w:val="nil" w:sz="6" w:space="0" w:color="auto"/>
              <w:left w:val="single" w:sz="4" w:space="0" w:color="000000"/>
              <w:right w:val="single" w:sz="4" w:space="0" w:color="000000"/>
            </w:tcBorders>
            <w:shd w:val="clear" w:color="auto" w:fill="D2D2D2"/>
          </w:tcPr>
          <w:p>
            <w:pPr/>
          </w:p>
        </w:tc>
        <w:tc>
          <w:tcPr>
            <w:tcW w:w="666" w:type="dxa"/>
            <w:vMerge/>
            <w:tcBorders>
              <w:left w:val="single" w:sz="9"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tcPr>
          <w:p>
            <w:pPr/>
          </w:p>
        </w:tc>
      </w:tr>
      <w:tr>
        <w:trPr>
          <w:trHeight w:val="161"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6" w:type="dxa"/>
            <w:vMerge/>
            <w:tcBorders>
              <w:left w:val="single" w:sz="9"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172,254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,469.69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1,106,6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49.95</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13,692,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406.96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145,398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,940.47</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411,952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,467.07</w:t>
            </w:r>
          </w:p>
        </w:tc>
      </w:tr>
      <w:tr>
        <w:trPr>
          <w:trHeight w:val="39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172,254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,469.69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1,106,6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49.95</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13,692,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406.96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145,398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,940.47</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411,952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,467.07</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185,50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-9,985,6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46.97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1,628,4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38.07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2,775,6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65.61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35,102,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040.50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25,971,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277.14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240,991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,774.35</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48,477,</w:t>
            </w:r>
          </w:p>
          <w:p>
            <w:pPr>
              <w:pStyle w:val="TableParagraph"/>
              <w:spacing w:line="240" w:lineRule="auto" w:before="106"/>
              <w:ind w:left="142" w:right="0"/>
              <w:jc w:val="left"/>
              <w:rPr>
                <w:rFonts w:ascii="Times New Roman" w:hAnsi="Times New Roman" w:cs="Times New Roman" w:eastAsia="Times New Roman" w:hint="default"/>
                <w:sz w:val="18"/>
                <w:szCs w:val="18"/>
              </w:rPr>
            </w:pPr>
            <w:r>
              <w:rPr>
                <w:rFonts w:ascii="Times New Roman"/>
                <w:sz w:val="18"/>
              </w:rPr>
              <w:t>706.11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6,928,0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66.86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55,405,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772.97</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149,014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,353.03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443,366</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.50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175,957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,719.53</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149,014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,353.03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443,366</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.50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175,957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,719.53</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2,775,6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65.61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-13,375,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665.61</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-10,600,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2,775,6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65.61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-2,775,6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65.61</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-10,600,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5" w:right="0"/>
              <w:jc w:val="left"/>
              <w:rPr>
                <w:rFonts w:ascii="Times New Roman" w:hAnsi="Times New Roman" w:cs="Times New Roman" w:eastAsia="Times New Roman" w:hint="default"/>
                <w:sz w:val="18"/>
                <w:szCs w:val="18"/>
              </w:rPr>
            </w:pPr>
            <w:r>
              <w:rPr>
                <w:rFonts w:ascii="Times New Roman"/>
                <w:sz w:val="18"/>
              </w:rPr>
              <w:t>-10,600,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159,00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159,00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-159,00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867,988</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.38</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867,988</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.38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5,386,1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29.68</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5,386,1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29.68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4,518,1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41.30</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4,518,1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41.30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760,449</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.69</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18,599,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843.78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19,360,</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293.47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265,00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162,268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,822.72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2,735,0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88.02</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16,468,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072.57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180,500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,980.97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25,971,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277.14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652,944</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,241.42</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172,254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,469.69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822,086</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9,082,0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44.78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113,830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,033.38</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375,488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,633.90</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172,254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,469.69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822,086</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9,082,0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44.78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113,830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,033.38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375,488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,633.90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284,563</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.90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4,610,3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62.18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31,568,</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907.09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36,463,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833.17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36,179,</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269.27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36,179,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269.27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4,610,3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62.18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-4,610,3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62.18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4,610,3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62.18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-4,610,3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62.18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284,563</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284,563</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.90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5,501,8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05.24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5,501,8</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05.24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5,217,2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41.34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5,217,2</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41.34</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172,254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,469.69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1,106,6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49.95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13,692,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406.96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145,398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,940.47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411,952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,467.07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8、母公司所有者权益变动表" w:id="156"/>
      <w:bookmarkEnd w:id="15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0"/>
        <w:gridCol w:w="703"/>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79,500,0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172,348,4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73.70</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496,810.9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13,692,40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6.96</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4"/>
              <w:ind w:left="58" w:right="0"/>
              <w:jc w:val="left"/>
              <w:rPr>
                <w:rFonts w:ascii="Times New Roman" w:hAnsi="Times New Roman" w:cs="Times New Roman" w:eastAsia="Times New Roman" w:hint="default"/>
                <w:sz w:val="18"/>
                <w:szCs w:val="18"/>
              </w:rPr>
            </w:pPr>
            <w:r>
              <w:rPr>
                <w:rFonts w:ascii="Times New Roman"/>
                <w:sz w:val="18"/>
              </w:rPr>
              <w:t>107,331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,662.55</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4"/>
              <w:ind w:left="27" w:right="0"/>
              <w:jc w:val="left"/>
              <w:rPr>
                <w:rFonts w:ascii="Times New Roman" w:hAnsi="Times New Roman" w:cs="Times New Roman" w:eastAsia="Times New Roman" w:hint="default"/>
                <w:sz w:val="18"/>
                <w:szCs w:val="18"/>
              </w:rPr>
            </w:pPr>
            <w:r>
              <w:rPr>
                <w:rFonts w:ascii="Times New Roman"/>
                <w:sz w:val="18"/>
              </w:rPr>
              <w:t>373,369,3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54.13</w:t>
            </w:r>
          </w:p>
        </w:tc>
      </w:tr>
      <w:tr>
        <w:trPr>
          <w:trHeight w:val="393"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79,500,0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172,348,4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73.70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496,810.9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13,692,40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6.96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107,331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,662.55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373,369,3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54.13</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185,500,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-9,985,64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990,519.1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2,775,665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14,380,</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990.46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193,661,5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28.22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27,756,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656.07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27,756,65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6.07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26,500,0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149,014,3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53.03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175,514,3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53.03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26,500,0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149,014,3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53.03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175,514,3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53.03</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2,775,665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-13,375,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665.61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-10,600,0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2,775,665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-2,775,6</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65.61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-10,600,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-10,600,0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159,000,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-159,000,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159,000,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-159,000,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990,519.1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990,519.1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3,179,447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3,179,447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2,188,928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2,188,928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265,000,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162,362,8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26.73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1,487,330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16,468,07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2.57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121,712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,653.01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567,030,8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82.35</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79,500,0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172,348,4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73.70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30,240.36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9,082,044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103" w:right="0"/>
              <w:jc w:val="left"/>
              <w:rPr>
                <w:rFonts w:ascii="Times New Roman" w:hAnsi="Times New Roman" w:cs="Times New Roman" w:eastAsia="Times New Roman" w:hint="default"/>
                <w:sz w:val="18"/>
                <w:szCs w:val="18"/>
              </w:rPr>
            </w:pPr>
            <w:r>
              <w:rPr>
                <w:rFonts w:ascii="Times New Roman"/>
                <w:sz w:val="18"/>
              </w:rPr>
              <w:t>65,838,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402.94</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326,799,1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61.78</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79,500,0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172,348,4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73.70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30,240.36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9,082,044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65,838,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402.94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326,799,1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61.78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466,570.5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4,610,362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41,493,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259.61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46,570,19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2.35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46,103,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621.79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46,103,62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1.79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4,610,362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-4,610,3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62.18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4,610,362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-4,610,3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62.18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466,570.5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466,570.5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3,226,925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3,226,925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2,760,355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.08</w:t>
            </w: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2,760,355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79,500,0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172,348,4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73.70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496,810.9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13,692,40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6.96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107,331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,662.55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373,369,3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54.13</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134" w:right="0"/>
        <w:jc w:val="left"/>
        <w:rPr>
          <w:b w:val="0"/>
          <w:bCs w:val="0"/>
        </w:rPr>
      </w:pPr>
      <w:bookmarkStart w:name="三、公司基本情况" w:id="157"/>
      <w:bookmarkEnd w:id="157"/>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9" w:firstLine="360"/>
        <w:jc w:val="both"/>
      </w:pPr>
      <w:r>
        <w:rPr/>
        <w:t>浙江金科过氧化物股份有限公司（以下简称公司或本公司）前身为浙江时代金科过氧化物有限公司，于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 在上虞市工商行政管理局登记注册，取得注册号为</w:t>
      </w:r>
      <w:r>
        <w:rPr>
          <w:rFonts w:ascii="Times New Roman" w:hAnsi="Times New Roman" w:cs="Times New Roman" w:eastAsia="Times New Roman" w:hint="default"/>
        </w:rPr>
        <w:t>330682000008543</w:t>
      </w:r>
      <w:r>
        <w:rPr/>
        <w:t>的企业法人营业执照。浙江时代金科过氧化物有限公司</w:t>
      </w:r>
      <w:r>
        <w:rPr>
          <w:spacing w:val="-83"/>
        </w:rPr>
        <w:t> </w:t>
      </w:r>
      <w:r>
        <w:rPr>
          <w:spacing w:val="-83"/>
        </w:rPr>
      </w:r>
      <w:r>
        <w:rPr>
          <w:spacing w:val="-2"/>
        </w:rPr>
        <w:t>以</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日为基准日整体变更为本公司，本公司于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18</w:t>
      </w:r>
      <w:r>
        <w:rPr>
          <w:spacing w:val="-2"/>
        </w:rPr>
        <w:t>日在绍兴市工商行政管理局登记注册。公司总部位于浙</w:t>
      </w:r>
      <w:r>
        <w:rPr>
          <w:spacing w:val="-50"/>
        </w:rPr>
        <w:t> </w:t>
      </w:r>
      <w:r>
        <w:rPr>
          <w:spacing w:val="-50"/>
        </w:rPr>
      </w:r>
      <w:r>
        <w:rPr>
          <w:spacing w:val="5"/>
        </w:rPr>
        <w:t>江省上虞市。公司现持有统一社会信用代码为</w:t>
      </w:r>
      <w:r>
        <w:rPr>
          <w:rFonts w:ascii="Times New Roman" w:hAnsi="Times New Roman" w:cs="Times New Roman" w:eastAsia="Times New Roman" w:hint="default"/>
          <w:spacing w:val="5"/>
        </w:rPr>
        <w:t>913300006628918505</w:t>
      </w:r>
      <w:r>
        <w:rPr>
          <w:spacing w:val="5"/>
        </w:rPr>
        <w:t>的营业执照，注册资本</w:t>
      </w:r>
      <w:r>
        <w:rPr>
          <w:rFonts w:ascii="Times New Roman" w:hAnsi="Times New Roman" w:cs="Times New Roman" w:eastAsia="Times New Roman" w:hint="default"/>
          <w:spacing w:val="5"/>
        </w:rPr>
        <w:t>265,000,000.00</w:t>
      </w:r>
      <w:r>
        <w:rPr>
          <w:spacing w:val="5"/>
        </w:rPr>
        <w:t>元，股份总数</w:t>
      </w:r>
      <w:r>
        <w:rPr>
          <w:spacing w:val="-43"/>
        </w:rPr>
        <w:t> </w:t>
      </w:r>
      <w:r>
        <w:rPr>
          <w:spacing w:val="-43"/>
        </w:rPr>
      </w:r>
      <w:r>
        <w:rPr>
          <w:rFonts w:ascii="Times New Roman" w:hAnsi="Times New Roman" w:cs="Times New Roman" w:eastAsia="Times New Roman" w:hint="default"/>
        </w:rPr>
        <w:t>265,000,000</w:t>
      </w:r>
      <w:r>
        <w:rPr/>
        <w:t>股（每股面值</w:t>
      </w:r>
      <w:r>
        <w:rPr>
          <w:rFonts w:ascii="Times New Roman" w:hAnsi="Times New Roman" w:cs="Times New Roman" w:eastAsia="Times New Roman" w:hint="default"/>
        </w:rPr>
        <w:t>1</w:t>
      </w:r>
      <w:r>
        <w:rPr/>
        <w:t>元）。其中，有限售条件的流通股份：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198,750,000</w:t>
      </w:r>
      <w:r>
        <w:rPr/>
        <w:t>股；无限售条件的流通股份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66,250,000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股。公司股票已于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日在深圳证券交易所挂牌交易。</w:t>
      </w:r>
    </w:p>
    <w:p>
      <w:pPr>
        <w:pStyle w:val="BodyText"/>
        <w:spacing w:line="240" w:lineRule="auto" w:before="13"/>
        <w:ind w:left="1494" w:right="0"/>
        <w:jc w:val="left"/>
      </w:pPr>
      <w:r>
        <w:rPr/>
        <w:t>本公司属化学原料及化学制品制造业。主要经营活动为氧系漂白助剂</w:t>
      </w:r>
      <w:r>
        <w:rPr>
          <w:rFonts w:ascii="Times New Roman" w:hAnsi="Times New Roman" w:cs="Times New Roman" w:eastAsia="Times New Roman" w:hint="default"/>
        </w:rPr>
        <w:t>SPC</w:t>
      </w:r>
      <w:r>
        <w:rPr/>
        <w:t>的研发、生产和销售。主要产品：</w:t>
      </w:r>
      <w:r>
        <w:rPr>
          <w:rFonts w:ascii="Times New Roman" w:hAnsi="Times New Roman" w:cs="Times New Roman" w:eastAsia="Times New Roman" w:hint="default"/>
        </w:rPr>
        <w:t>SPC</w:t>
      </w:r>
      <w:r>
        <w:rPr/>
        <w:t>系列、</w:t>
      </w:r>
    </w:p>
    <w:p>
      <w:pPr>
        <w:pStyle w:val="BodyText"/>
        <w:spacing w:line="300" w:lineRule="auto" w:before="63"/>
        <w:ind w:left="1493" w:right="4903" w:hanging="360"/>
        <w:jc w:val="left"/>
      </w:pPr>
      <w:r>
        <w:rPr>
          <w:rFonts w:ascii="Times New Roman" w:hAnsi="Times New Roman" w:cs="Times New Roman" w:eastAsia="Times New Roman" w:hint="default"/>
        </w:rPr>
        <w:t>TAED</w:t>
      </w:r>
      <w:r>
        <w:rPr/>
        <w:t>系列等。 本财务报表业经公司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日二届十七次董事会批准对外报出。</w:t>
      </w:r>
    </w:p>
    <w:p>
      <w:pPr>
        <w:pStyle w:val="BodyText"/>
        <w:spacing w:line="309" w:lineRule="auto" w:before="13"/>
        <w:ind w:right="0" w:firstLine="360"/>
        <w:jc w:val="left"/>
      </w:pPr>
      <w:r>
        <w:rPr>
          <w:spacing w:val="-4"/>
        </w:rPr>
        <w:t>公司将浙江金科双氧水有限公司（以下简称金科双氧水公司）、浙江金科日化原料有限公司（以下简称金科日化公司）、</w:t>
      </w:r>
      <w:r>
        <w:rPr/>
        <w:t> 浙江诺亚氟化工有限公司（以下简称诺亚氟化工公司）和湖州吉昌化学有限公司（以下简称湖州吉昌公司）等</w:t>
      </w:r>
      <w:r>
        <w:rPr>
          <w:rFonts w:ascii="Times New Roman" w:hAnsi="Times New Roman" w:cs="Times New Roman" w:eastAsia="Times New Roman" w:hint="default"/>
        </w:rPr>
        <w:t>4</w:t>
      </w:r>
      <w:r>
        <w:rPr/>
        <w:t>家子公司纳</w:t>
      </w:r>
      <w:r>
        <w:rPr>
          <w:spacing w:val="-81"/>
        </w:rPr>
        <w:t> </w:t>
      </w:r>
      <w:r>
        <w:rPr/>
        <w:t>入报告期合并财务报表范围。</w:t>
      </w:r>
    </w:p>
    <w:p>
      <w:pPr>
        <w:pStyle w:val="BodyText"/>
        <w:spacing w:line="300" w:lineRule="auto" w:before="24"/>
        <w:ind w:right="1063"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日，公司与自然人施卫东签订《湖州吉昌化学有限公司股权转让总协议》，公司以自有资金人民币</w:t>
      </w:r>
      <w:r>
        <w:rPr>
          <w:rFonts w:ascii="Times New Roman" w:hAnsi="Times New Roman" w:cs="Times New Roman" w:eastAsia="Times New Roman" w:hint="default"/>
        </w:rPr>
        <w:t>1.44</w:t>
      </w:r>
      <w:r>
        <w:rPr/>
        <w:t>亿 元收购施卫东先生持有的湖州吉昌化学有限公司</w:t>
      </w:r>
      <w:r>
        <w:rPr>
          <w:rFonts w:ascii="Times New Roman" w:hAnsi="Times New Roman" w:cs="Times New Roman" w:eastAsia="Times New Roman" w:hint="default"/>
        </w:rPr>
        <w:t>60%</w:t>
      </w:r>
      <w:r>
        <w:rPr/>
        <w:t>股权，湖州吉昌成为公司控股子公司，并纳入公司合并财务报表范围。</w:t>
      </w:r>
    </w:p>
    <w:p>
      <w:pPr>
        <w:pStyle w:val="BodyText"/>
        <w:spacing w:line="240" w:lineRule="auto" w:before="13"/>
        <w:ind w:left="1493" w:right="0"/>
        <w:jc w:val="left"/>
      </w:pPr>
      <w:r>
        <w:rPr/>
        <w:t>具体情况详见本财务报表附注合并范围的变更和在其他主体中的权益之说明。</w:t>
      </w:r>
    </w:p>
    <w:p>
      <w:pPr>
        <w:spacing w:line="240" w:lineRule="auto" w:before="2"/>
        <w:rPr>
          <w:rFonts w:ascii="宋体" w:hAnsi="宋体" w:cs="宋体" w:eastAsia="宋体" w:hint="default"/>
          <w:sz w:val="25"/>
          <w:szCs w:val="25"/>
        </w:rPr>
      </w:pPr>
    </w:p>
    <w:p>
      <w:pPr>
        <w:spacing w:line="506" w:lineRule="auto" w:before="0"/>
        <w:ind w:left="1133" w:right="7513" w:firstLine="0"/>
        <w:jc w:val="left"/>
        <w:rPr>
          <w:rFonts w:ascii="宋体" w:hAnsi="宋体" w:cs="宋体" w:eastAsia="宋体" w:hint="default"/>
          <w:sz w:val="18"/>
          <w:szCs w:val="18"/>
        </w:rPr>
      </w:pPr>
      <w:bookmarkStart w:name="四、财务报表的编制基础" w:id="158"/>
      <w:bookmarkEnd w:id="158"/>
      <w:r>
        <w:rPr/>
      </w:r>
      <w:r>
        <w:rPr>
          <w:rFonts w:ascii="宋体" w:hAnsi="宋体" w:cs="宋体" w:eastAsia="宋体" w:hint="default"/>
          <w:b/>
          <w:bCs/>
          <w:sz w:val="24"/>
          <w:szCs w:val="24"/>
        </w:rPr>
        <w:t>四、财务报表的编制基础</w:t>
      </w:r>
      <w:r>
        <w:rPr>
          <w:rFonts w:ascii="宋体" w:hAnsi="宋体" w:cs="宋体" w:eastAsia="宋体" w:hint="default"/>
          <w:b/>
          <w:bCs/>
          <w:w w:val="99"/>
          <w:sz w:val="24"/>
          <w:szCs w:val="24"/>
        </w:rPr>
        <w:t> </w:t>
      </w:r>
      <w:bookmarkStart w:name="1、编制基础" w:id="159"/>
      <w:bookmarkEnd w:id="15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b/>
          <w:bCs/>
          <w:w w:val="99"/>
          <w:sz w:val="21"/>
          <w:szCs w:val="21"/>
        </w:rPr>
        <w:t> </w:t>
      </w:r>
      <w:r>
        <w:rPr>
          <w:rFonts w:ascii="宋体" w:hAnsi="宋体" w:cs="宋体" w:eastAsia="宋体" w:hint="default"/>
          <w:sz w:val="18"/>
          <w:szCs w:val="18"/>
        </w:rPr>
        <w:t>本公司财务报表以持续经营为编制基础。</w:t>
      </w:r>
    </w:p>
    <w:p>
      <w:pPr>
        <w:pStyle w:val="Heading4"/>
        <w:spacing w:line="240" w:lineRule="auto" w:before="152"/>
        <w:ind w:right="0"/>
        <w:jc w:val="left"/>
        <w:rPr>
          <w:b w:val="0"/>
          <w:bCs w:val="0"/>
        </w:rPr>
      </w:pPr>
      <w:bookmarkStart w:name="2、持续经营" w:id="160"/>
      <w:bookmarkEnd w:id="16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61"/>
      <w:bookmarkEnd w:id="161"/>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0"/>
        <w:jc w:val="left"/>
      </w:pPr>
      <w:r>
        <w:rPr/>
        <w:t>具体会计政策和会计估计提示： </w:t>
      </w:r>
      <w:r>
        <w:rPr>
          <w:spacing w:val="-4"/>
        </w:rPr>
        <w:t>本公司所编制的财务报表符合企业会计准则的要求，真实、完整地反映了公司的财务状况、经营成果和现金流量等有关信息。</w:t>
      </w:r>
    </w:p>
    <w:p>
      <w:pPr>
        <w:spacing w:after="0" w:line="357"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遵循企业会计准则的声明" w:id="162"/>
      <w:bookmarkEnd w:id="16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spacing w:val="-4"/>
        </w:rPr>
        <w:t>本公司所编制的财务报表符合企业会计准则的要求，真实、完整地反映了公司的财务状况、经营成果和现金流量等有关信息。</w:t>
      </w:r>
    </w:p>
    <w:p>
      <w:pPr>
        <w:spacing w:line="240" w:lineRule="auto" w:before="12"/>
        <w:rPr>
          <w:rFonts w:ascii="宋体" w:hAnsi="宋体" w:cs="宋体" w:eastAsia="宋体" w:hint="default"/>
          <w:sz w:val="26"/>
          <w:szCs w:val="26"/>
        </w:rPr>
      </w:pPr>
    </w:p>
    <w:p>
      <w:pPr>
        <w:spacing w:line="547" w:lineRule="auto" w:before="0"/>
        <w:ind w:left="1133" w:right="7513" w:firstLine="0"/>
        <w:jc w:val="left"/>
        <w:rPr>
          <w:rFonts w:ascii="宋体" w:hAnsi="宋体" w:cs="宋体" w:eastAsia="宋体" w:hint="default"/>
          <w:sz w:val="21"/>
          <w:szCs w:val="21"/>
        </w:rPr>
      </w:pPr>
      <w:bookmarkStart w:name="2、会计期间" w:id="163"/>
      <w:bookmarkEnd w:id="16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会计年度自公历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bookmarkStart w:name="3、营业周期" w:id="164"/>
      <w:bookmarkEnd w:id="164"/>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49"/>
        <w:ind w:right="0"/>
        <w:jc w:val="left"/>
      </w:pPr>
      <w:r>
        <w:rPr/>
        <w:t>公司经营业务的营业周期较短，以</w:t>
      </w:r>
      <w:r>
        <w:rPr>
          <w:rFonts w:ascii="Times New Roman" w:hAnsi="Times New Roman" w:cs="Times New Roman" w:eastAsia="Times New Roman" w:hint="default"/>
        </w:rPr>
        <w:t>12</w:t>
      </w:r>
      <w:r>
        <w:rPr/>
        <w:t>个月作为资产和负债的流动性划分标准。</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4、记账本位币" w:id="165"/>
      <w:bookmarkEnd w:id="16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采用人民币为记账本位币。</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同一控制下和非同一控制下企业合并的会计处理方法" w:id="166"/>
      <w:bookmarkEnd w:id="16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93" w:right="0" w:hanging="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同一控制下企业合并的会计处理方法 </w:t>
      </w:r>
      <w:r>
        <w:rPr>
          <w:spacing w:val="-2"/>
        </w:rPr>
        <w:t>公司在企业合并中取得的资产和负债，按照合并日被合并方在最终控制方合并财务报表中的账面价值计量。公司按照被</w:t>
      </w:r>
    </w:p>
    <w:p>
      <w:pPr>
        <w:pStyle w:val="BodyText"/>
        <w:spacing w:line="316" w:lineRule="auto" w:before="31"/>
        <w:ind w:right="0"/>
        <w:jc w:val="left"/>
      </w:pPr>
      <w:r>
        <w:rPr>
          <w:spacing w:val="-2"/>
        </w:rPr>
        <w:t>合并方所有者权益在最终控制方合并财务报表中的账面价值份额与支付的合并对价账面价值或发行股份面值总额的差额，调</w:t>
      </w:r>
      <w:r>
        <w:rPr>
          <w:spacing w:val="-64"/>
        </w:rPr>
        <w:t> </w:t>
      </w:r>
      <w:r>
        <w:rPr>
          <w:spacing w:val="-64"/>
        </w:rPr>
      </w:r>
      <w:r>
        <w:rPr/>
        <w:t>整资本公积；资本公积不足冲减的，调整留存收益。</w:t>
      </w:r>
    </w:p>
    <w:p>
      <w:pPr>
        <w:pStyle w:val="BodyText"/>
        <w:spacing w:line="300" w:lineRule="auto" w:before="19"/>
        <w:ind w:left="1493" w:right="0" w:hanging="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非同一控制下企业合并的会计处理方法 </w:t>
      </w:r>
      <w:r>
        <w:rPr>
          <w:spacing w:val="-2"/>
        </w:rPr>
        <w:t>公司在购买日对合并成本大于合并中取得的被购买方可辨认净资产公允价值份额的差额，确认为商誉；如果合并成本小</w:t>
      </w:r>
    </w:p>
    <w:p>
      <w:pPr>
        <w:pStyle w:val="BodyText"/>
        <w:spacing w:line="316" w:lineRule="auto" w:before="31"/>
        <w:ind w:right="1132"/>
        <w:jc w:val="both"/>
      </w:pPr>
      <w:r>
        <w:rPr>
          <w:spacing w:val="-2"/>
        </w:rPr>
        <w:t>于合并中取得的被购买方可辨认净资产公允价值份额，首先对取得的被购买方各项可辨认资产、负债及或有负债的公允价值</w:t>
      </w:r>
      <w:r>
        <w:rPr>
          <w:spacing w:val="-64"/>
        </w:rPr>
        <w:t> </w:t>
      </w:r>
      <w:r>
        <w:rPr>
          <w:spacing w:val="-64"/>
        </w:rPr>
      </w:r>
      <w:r>
        <w:rPr>
          <w:spacing w:val="-2"/>
        </w:rPr>
        <w:t>以及合并成本的计量进行复核，经复核后合并成本仍小于合并中取得的被购买方可辨认净资产公允价值份额的，其差额计入</w:t>
      </w:r>
      <w:r>
        <w:rPr>
          <w:spacing w:val="-64"/>
        </w:rPr>
        <w:t> </w:t>
      </w:r>
      <w:r>
        <w:rPr>
          <w:spacing w:val="-64"/>
        </w:rPr>
      </w:r>
      <w:r>
        <w:rPr/>
        <w:t>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6、合并财务报表的编制方法" w:id="167"/>
      <w:bookmarkEnd w:id="16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母公司将其控制的所有子公司纳入合并财务报表的合并范围。合并财务报表以母公司及其子公司的财务报表为基础，根据其</w:t>
      </w:r>
      <w:r>
        <w:rPr>
          <w:spacing w:val="-63"/>
        </w:rPr>
        <w:t> </w:t>
      </w:r>
      <w:r>
        <w:rPr>
          <w:spacing w:val="-63"/>
        </w:rPr>
      </w:r>
      <w:r>
        <w:rPr/>
        <w:t>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合营安排分类及共同经营会计处理方法" w:id="168"/>
      <w:bookmarkEnd w:id="16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合营安排分为共同经营和合营企业。</w:t>
      </w:r>
    </w:p>
    <w:p>
      <w:pPr>
        <w:pStyle w:val="BodyText"/>
        <w:spacing w:line="240" w:lineRule="auto" w:before="63"/>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当公司为共同经营的合营方时，确认与共同经营中利益份额相关的下列项目：</w:t>
      </w:r>
    </w:p>
    <w:p>
      <w:pPr>
        <w:pStyle w:val="BodyText"/>
        <w:spacing w:line="240" w:lineRule="auto" w:before="63"/>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确认单独所持有的资产，以及按持有份额确认共同持有的资产；</w:t>
      </w:r>
    </w:p>
    <w:p>
      <w:pPr>
        <w:pStyle w:val="BodyText"/>
        <w:spacing w:line="240" w:lineRule="auto" w:before="63"/>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确认单独所承担的负债，以及按持有份额确认共同承担的负债；</w:t>
      </w:r>
    </w:p>
    <w:p>
      <w:pPr>
        <w:pStyle w:val="BodyText"/>
        <w:spacing w:line="240" w:lineRule="auto" w:before="63"/>
        <w:ind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确认出售公司享有的共同经营产出份额所产生的收入；</w:t>
      </w:r>
    </w:p>
    <w:p>
      <w:pPr>
        <w:pStyle w:val="BodyText"/>
        <w:spacing w:line="240" w:lineRule="auto" w:before="63"/>
        <w:ind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t>按公司持有份额确认共同经营因出售资产所产生的收入；</w:t>
      </w:r>
    </w:p>
    <w:p>
      <w:pPr>
        <w:pStyle w:val="BodyText"/>
        <w:spacing w:line="240" w:lineRule="auto" w:before="63"/>
        <w:ind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确认单独所发生的费用，以及按公司持有份额确认共同经营发生的费用。</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8、现金及现金等价物的确定标准" w:id="169"/>
      <w:bookmarkEnd w:id="169"/>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3" w:firstLine="360"/>
        <w:jc w:val="both"/>
      </w:pPr>
      <w:r>
        <w:rPr>
          <w:spacing w:val="-4"/>
        </w:rPr>
        <w:t>列示于现金流量表中的现金是指库存现金以及可以随时用于支付的存款。现金等价物是指企业持有的期限短、流动性强、</w:t>
      </w:r>
      <w:r>
        <w:rPr/>
        <w:t> 易于转换为已知金额现金、价值变动风险很小的投资。</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9、外币业务和外币报表折算" w:id="170"/>
      <w:bookmarkEnd w:id="17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外币交易在初始确认时，采用交易发生日的即期汇率折算为人民币金额。资产负债表日，外币货币性项目采用资产负债</w:t>
      </w:r>
      <w:r>
        <w:rPr/>
        <w:t> </w:t>
      </w:r>
      <w:r>
        <w:rPr>
          <w:spacing w:val="-2"/>
        </w:rPr>
        <w:t>表日即期汇率折算，因汇率不同而产生的汇兑差额，除与购建符合资本化条件资产有关的外币专门借款本金及利息的汇兑差</w:t>
      </w:r>
      <w:r>
        <w:rPr>
          <w:spacing w:val="-64"/>
        </w:rPr>
        <w:t> </w:t>
      </w:r>
      <w:r>
        <w:rPr>
          <w:spacing w:val="-64"/>
        </w:rPr>
      </w:r>
      <w:r>
        <w:rPr>
          <w:spacing w:val="-2"/>
        </w:rPr>
        <w:t>额外，计入当期损益；以历史成本计量的外币非货币性项目仍采用交易发生日的即期汇率折算，不改变其人民币金额；以公</w:t>
      </w:r>
      <w:r>
        <w:rPr>
          <w:spacing w:val="-66"/>
        </w:rPr>
        <w:t> </w:t>
      </w:r>
      <w:r>
        <w:rPr>
          <w:spacing w:val="-66"/>
        </w:rPr>
      </w:r>
      <w:r>
        <w:rPr/>
        <w:t>允价值计量的外币非货币性项目，采用公允价值确定日的即期汇率折算，差额计入当期损益或其他综合收益。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0、金融工具" w:id="171"/>
      <w:bookmarkEnd w:id="17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9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金融资产和金融负债的分类 </w:t>
      </w:r>
      <w:r>
        <w:rPr>
          <w:spacing w:val="-2"/>
        </w:rPr>
        <w:t>金融资产在初始确认时划分为以下四类：以公允价值计量且其变动计入当期损益的金融资产（包括交易性金融资产和在</w:t>
      </w:r>
    </w:p>
    <w:p>
      <w:pPr>
        <w:pStyle w:val="BodyText"/>
        <w:spacing w:line="316" w:lineRule="auto" w:before="31"/>
        <w:ind w:left="1134" w:right="1116"/>
        <w:jc w:val="left"/>
      </w:pPr>
      <w:r>
        <w:rPr>
          <w:spacing w:val="-2"/>
        </w:rPr>
        <w:t>初始确认时指定为以公允价值计量且其变动计入当期损益的金融资产）、持有至到期投资、贷款和应收款项、可供出售金融</w:t>
      </w:r>
      <w:r>
        <w:rPr>
          <w:spacing w:val="-66"/>
        </w:rPr>
        <w:t> </w:t>
      </w:r>
      <w:r>
        <w:rPr>
          <w:spacing w:val="-66"/>
        </w:rPr>
      </w:r>
      <w:r>
        <w:rPr/>
        <w:t>资产。</w:t>
      </w:r>
    </w:p>
    <w:p>
      <w:pPr>
        <w:pStyle w:val="BodyText"/>
        <w:spacing w:line="316" w:lineRule="auto" w:before="19"/>
        <w:ind w:left="1134" w:right="1131" w:firstLine="360"/>
        <w:jc w:val="both"/>
      </w:pPr>
      <w:r>
        <w:rPr>
          <w:spacing w:val="-2"/>
        </w:rPr>
        <w:t>金融负债在初始确认时划分为以下两类：以公允价值计量且其变动计入当期损益的金融负债（包括交易性金融负债和在</w:t>
      </w:r>
      <w:r>
        <w:rPr/>
        <w:t> 初始确认时指定为以公允价值计量且其变动计入当期损益的金融负债）、其他金融负债。</w:t>
      </w:r>
    </w:p>
    <w:p>
      <w:pPr>
        <w:pStyle w:val="BodyText"/>
        <w:spacing w:line="300" w:lineRule="auto" w:before="19"/>
        <w:ind w:left="149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金融资产和金融负债的确认依据、计量方法和终止确认条件 </w:t>
      </w:r>
      <w:r>
        <w:rPr>
          <w:spacing w:val="-4"/>
        </w:rPr>
        <w:t>公司成为金融工具合同的一方时，确认一项金融资产或金融负债。初始确认金融资产或金融负债时，按照公允价值计量；</w:t>
      </w:r>
    </w:p>
    <w:p>
      <w:pPr>
        <w:pStyle w:val="BodyText"/>
        <w:spacing w:line="316" w:lineRule="auto" w:before="32"/>
        <w:ind w:left="1134" w:right="0"/>
        <w:jc w:val="left"/>
      </w:pPr>
      <w:r>
        <w:rPr>
          <w:spacing w:val="-2"/>
        </w:rPr>
        <w:t>对于以公允价值计量且其变动计入当期损益的金融资产和金融负债，相关交易费用直接计入当期损益；对于其他类别的金融</w:t>
      </w:r>
      <w:r>
        <w:rPr>
          <w:spacing w:val="-64"/>
        </w:rPr>
        <w:t> </w:t>
      </w:r>
      <w:r>
        <w:rPr>
          <w:spacing w:val="-64"/>
        </w:rPr>
      </w:r>
      <w:r>
        <w:rPr/>
        <w:t>资产或金融负债，相关交易费用计入初始确认金额。</w:t>
      </w:r>
    </w:p>
    <w:p>
      <w:pPr>
        <w:pStyle w:val="BodyText"/>
        <w:spacing w:line="309" w:lineRule="auto" w:before="19"/>
        <w:ind w:left="1134" w:right="1032" w:firstLine="360"/>
        <w:jc w:val="left"/>
      </w:pPr>
      <w:r>
        <w:rPr/>
        <w:t>公司按照公允价值对金融资产进行后续计量，且不扣除将来处置该金融资产时可能发生的交易费用，但下列情况除外： </w:t>
      </w:r>
      <w:r>
        <w:rPr>
          <w:rFonts w:ascii="Times New Roman" w:hAnsi="Times New Roman" w:cs="Times New Roman" w:eastAsia="Times New Roman" w:hint="default"/>
        </w:rPr>
        <w:t>(1) </w:t>
      </w:r>
      <w:r>
        <w:rPr/>
        <w:t>持有至到期投资以及贷款和应收款项采用实际利率法，按摊余成本计量；</w:t>
      </w:r>
      <w:r>
        <w:rPr>
          <w:rFonts w:ascii="Times New Roman" w:hAnsi="Times New Roman" w:cs="Times New Roman" w:eastAsia="Times New Roman" w:hint="default"/>
        </w:rPr>
        <w:t>(2) </w:t>
      </w:r>
      <w:r>
        <w:rPr/>
        <w:t>在活跃市场中没有报价且其公允价值不能</w:t>
      </w:r>
      <w:r>
        <w:rPr>
          <w:spacing w:val="-66"/>
        </w:rPr>
        <w:t> </w:t>
      </w:r>
      <w:r>
        <w:rPr>
          <w:spacing w:val="-66"/>
        </w:rPr>
      </w:r>
      <w:r>
        <w:rPr/>
        <w:t>可靠计量的权益工具投资，以及与该权益工具挂钩并须通过交付该权益工具结算的衍生金融资产，按照成本计量。</w:t>
      </w:r>
    </w:p>
    <w:p>
      <w:pPr>
        <w:pStyle w:val="BodyText"/>
        <w:spacing w:line="302" w:lineRule="auto" w:before="24"/>
        <w:ind w:left="1134" w:right="1127" w:firstLine="360"/>
        <w:jc w:val="both"/>
      </w:pP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以公允价值计量且其变动计入当期 损益的金融负债，按照公允价值计量，且不扣除将来结清金融负债时可能发生的交易费用；</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与在活跃市场中没有报价、 公允价值不能可靠计量的权益工具挂钩并须通过交付该权益工具结算的衍生金融负债，按照成本计量；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不属于指定为以 </w:t>
      </w:r>
      <w:r>
        <w:rPr>
          <w:spacing w:val="-2"/>
        </w:rPr>
        <w:t>公允价值计量且其变动计入当期损益的金融负债的财务担保合同，或没有指定为以公允价值计量且其变动计入当期损益并将</w:t>
      </w:r>
      <w:r>
        <w:rPr>
          <w:spacing w:val="-64"/>
        </w:rPr>
        <w:t> </w:t>
      </w:r>
      <w:r>
        <w:rPr>
          <w:spacing w:val="-64"/>
        </w:rPr>
      </w:r>
      <w:r>
        <w:rPr/>
        <w:t>以低于市场利率贷款的贷款承诺，在初始确认后按照下列两项金额之中的较高者进行后续计量：</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按照《企业会计准则第</w:t>
      </w:r>
      <w:r>
        <w:rPr>
          <w:spacing w:val="-81"/>
        </w:rPr>
        <w:t> </w:t>
      </w:r>
      <w:r>
        <w:rPr>
          <w:spacing w:val="-81"/>
        </w:rPr>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w:t>
      </w:r>
      <w:r>
        <w:rPr>
          <w:rFonts w:ascii="Times New Roman" w:hAnsi="Times New Roman" w:cs="Times New Roman" w:eastAsia="Times New Roman" w:hint="default"/>
        </w:rPr>
        <w:t>2)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收入》的原则确定的累积摊销额后</w:t>
      </w:r>
      <w:r>
        <w:rPr>
          <w:spacing w:val="-61"/>
        </w:rPr>
        <w:t> </w:t>
      </w:r>
      <w:r>
        <w:rPr>
          <w:spacing w:val="-61"/>
        </w:rPr>
      </w:r>
      <w:r>
        <w:rPr/>
        <w:t>的余额。</w:t>
      </w:r>
    </w:p>
    <w:p>
      <w:pPr>
        <w:pStyle w:val="BodyText"/>
        <w:spacing w:line="312" w:lineRule="auto" w:before="29"/>
        <w:ind w:left="1134" w:right="1130" w:firstLine="360"/>
        <w:jc w:val="both"/>
      </w:pPr>
      <w:r>
        <w:rPr/>
        <w:t>金融资产或金融负债公允价值变动形成的利得或损失，除与套期保值有关外，按照如下方法处理：</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以公允价值计量 </w:t>
      </w:r>
      <w:r>
        <w:rPr>
          <w:spacing w:val="-2"/>
        </w:rPr>
        <w:t>且其变动计入当期损益的金融资产或金融负债公允价值变动形成的利得或损失，计入公允价值变动收益；在资产持有期间所</w:t>
      </w:r>
      <w:r>
        <w:rPr>
          <w:spacing w:val="-64"/>
        </w:rPr>
        <w:t> </w:t>
      </w:r>
      <w:r>
        <w:rPr>
          <w:spacing w:val="-64"/>
        </w:rPr>
      </w:r>
      <w:r>
        <w:rPr>
          <w:spacing w:val="-2"/>
        </w:rPr>
        <w:t>取得的利息或现金股利，确认为投资收益；处置时，将实际收到的金额与初始入账金额之间的差额确认为投资收益，同时调</w:t>
      </w:r>
      <w:r>
        <w:rPr>
          <w:spacing w:val="-66"/>
        </w:rPr>
        <w:t> </w:t>
      </w:r>
      <w:r>
        <w:rPr>
          <w:spacing w:val="-66"/>
        </w:rPr>
      </w:r>
      <w:r>
        <w:rPr/>
        <w:t>整公允价值变动收益。</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可供出售金融资产的公允价值变动计入其他综合收益；持有期间按实际利率法计算的利息，计入 </w:t>
      </w:r>
      <w:r>
        <w:rPr>
          <w:spacing w:val="-2"/>
        </w:rPr>
        <w:t>投资收益；可供出售权益工具投资的现金股利，于被投资单位宣告发放股利时计入投资收益；处置时，将实际收到的金额与</w:t>
      </w:r>
      <w:r>
        <w:rPr>
          <w:spacing w:val="-66"/>
        </w:rPr>
        <w:t> </w:t>
      </w:r>
      <w:r>
        <w:rPr>
          <w:spacing w:val="-66"/>
        </w:rPr>
      </w:r>
      <w:r>
        <w:rPr/>
        <w:t>账面价值扣除原直接计入其他综合收益的公允价值变动累计额之后的差额确认为投资收益。</w:t>
      </w:r>
    </w:p>
    <w:p>
      <w:pPr>
        <w:pStyle w:val="BodyText"/>
        <w:spacing w:line="316" w:lineRule="auto" w:before="23"/>
        <w:ind w:left="1134" w:right="1131" w:firstLine="360"/>
        <w:jc w:val="both"/>
      </w:pPr>
      <w:r>
        <w:rPr>
          <w:spacing w:val="-2"/>
        </w:rPr>
        <w:t>当收取某项金融资产现金流量的合同权利已终止或该金融资产所有权上几乎所有的风险和报酬已转移时，终止确认该金</w:t>
      </w:r>
      <w:r>
        <w:rPr/>
        <w:t> 融资产；当金融负债的现时义务全部或部分解除时，相应终止确认该金融负债或其一部分。</w:t>
      </w:r>
    </w:p>
    <w:p>
      <w:pPr>
        <w:pStyle w:val="BodyText"/>
        <w:spacing w:line="300" w:lineRule="auto" w:before="19"/>
        <w:ind w:left="149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金融资产转移的确认依据和计量方法 </w:t>
      </w:r>
      <w:r>
        <w:rPr>
          <w:spacing w:val="-2"/>
        </w:rPr>
        <w:t>公司已将金融资产所有权上几乎所有的风险和报酬转移给了转入方的，终止确认该金融资产；保留了金融资产所有权上</w:t>
      </w:r>
    </w:p>
    <w:p>
      <w:pPr>
        <w:pStyle w:val="BodyText"/>
        <w:spacing w:line="240" w:lineRule="auto" w:before="31"/>
        <w:ind w:left="1134" w:right="0"/>
        <w:jc w:val="left"/>
      </w:pPr>
      <w:r>
        <w:rPr/>
        <w:t>几乎所有的风险和报酬的，继续确认所转移的金融资产，并将收到的对价确认为一项金融负债。公司既没有转移也没有保留</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金融资产所有权上几乎所有的风险和报酬的，分别下列情况处理：</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放弃了对该金融资产控制的，终止确认该金融资产；</w:t>
      </w:r>
    </w:p>
    <w:p>
      <w:pPr>
        <w:pStyle w:val="BodyText"/>
        <w:spacing w:line="300" w:lineRule="auto" w:before="63"/>
        <w:ind w:left="1493" w:right="1118" w:hanging="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未放弃对该金融资产控制的，按照继续涉入所转移金融资产的程度确认有关金融资产，并相应确认有关负债。</w:t>
      </w:r>
      <w:r>
        <w:rPr>
          <w:w w:val="99"/>
        </w:rPr>
        <w:t> </w:t>
      </w:r>
      <w:r>
        <w:rPr/>
        <w:t>金融资产整体转移满足终止确认条件的，将下列两项金额的差额计入当期损益：</w:t>
      </w:r>
      <w:r>
        <w:rPr>
          <w:rFonts w:ascii="Times New Roman" w:hAnsi="Times New Roman" w:cs="Times New Roman" w:eastAsia="Times New Roman" w:hint="default"/>
        </w:rPr>
        <w:t>(1) </w:t>
      </w:r>
      <w:r>
        <w:rPr>
          <w:spacing w:val="-3"/>
        </w:rPr>
        <w:t>所转移金融资产的账面价值；</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7"/>
        </w:rPr>
        <w:t> </w:t>
      </w:r>
      <w:r>
        <w:rPr/>
        <w:t>因</w:t>
      </w:r>
    </w:p>
    <w:p>
      <w:pPr>
        <w:pStyle w:val="BodyText"/>
        <w:spacing w:line="312" w:lineRule="auto" w:before="13"/>
        <w:ind w:left="1134" w:right="1133"/>
        <w:jc w:val="both"/>
      </w:pPr>
      <w:r>
        <w:rPr>
          <w:spacing w:val="-2"/>
        </w:rPr>
        <w:t>转移而收到的对价，与原直接计入所有者权益的公允价值变动累计额之和。金融资产部分转移满足终止确认条件的，将所转</w:t>
      </w:r>
      <w:r>
        <w:rPr>
          <w:spacing w:val="-66"/>
        </w:rPr>
        <w:t> </w:t>
      </w:r>
      <w:r>
        <w:rPr>
          <w:spacing w:val="-66"/>
        </w:rPr>
      </w:r>
      <w:r>
        <w:rPr>
          <w:spacing w:val="-2"/>
        </w:rPr>
        <w:t>移金融资产整体的账面价值，在终止确认部分和未终止确认部分之间，按照各自的相对公允价值进行分摊，并将下列两项金</w:t>
      </w:r>
      <w:r>
        <w:rPr>
          <w:spacing w:val="-66"/>
        </w:rPr>
        <w:t> </w:t>
      </w:r>
      <w:r>
        <w:rPr>
          <w:spacing w:val="-66"/>
        </w:rPr>
      </w:r>
      <w:r>
        <w:rPr/>
        <w:t>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终止确认部分的对价，与原直接计入所有者权益的公允价值变</w:t>
      </w:r>
      <w:r>
        <w:rPr>
          <w:spacing w:val="-84"/>
        </w:rPr>
        <w:t> </w:t>
      </w:r>
      <w:r>
        <w:rPr>
          <w:spacing w:val="-84"/>
        </w:rPr>
      </w:r>
      <w:r>
        <w:rPr/>
        <w:t>动累计额中对应终止确认部分的金额之和。</w:t>
      </w:r>
    </w:p>
    <w:p>
      <w:pPr>
        <w:pStyle w:val="BodyText"/>
        <w:spacing w:line="300" w:lineRule="auto" w:before="22"/>
        <w:ind w:left="1494"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金融资产和金融负债的公允价值确定方法 公司采用在当前情况下适用并且有足够可利用数据和其他信息支持的估值技术确定相关金融资产和金融负债的公允价</w:t>
      </w:r>
    </w:p>
    <w:p>
      <w:pPr>
        <w:pStyle w:val="BodyText"/>
        <w:spacing w:line="240" w:lineRule="auto" w:before="31"/>
        <w:ind w:left="1134" w:right="0"/>
        <w:jc w:val="both"/>
      </w:pPr>
      <w:r>
        <w:rPr/>
        <w:t>值。公司将估值技术使用的输入值分以下层级，并依次使用：</w:t>
      </w:r>
    </w:p>
    <w:p>
      <w:pPr>
        <w:pStyle w:val="BodyText"/>
        <w:spacing w:line="240" w:lineRule="auto" w:before="76"/>
        <w:ind w:left="149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第一层次输入值是在计量日能够取得的相同资产或负债在活跃市场上未经调整的报价；</w:t>
      </w:r>
    </w:p>
    <w:p>
      <w:pPr>
        <w:pStyle w:val="BodyText"/>
        <w:spacing w:line="309" w:lineRule="auto" w:before="63"/>
        <w:ind w:right="1130"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第二层次输入值是除第一层次输入值外相关资产或负债直接或间接可观察的输入值，包括：活跃市场中类似资产或</w:t>
      </w:r>
      <w:r>
        <w:rPr>
          <w:w w:val="99"/>
        </w:rPr>
        <w:t> </w:t>
      </w:r>
      <w:r>
        <w:rPr>
          <w:spacing w:val="-2"/>
        </w:rPr>
        <w:t>负债的报价；非活跃市场中相同或类似资产或负债的报价；除报价以外的其他可观察输入值，如在正常报价间隔期间可观察</w:t>
      </w:r>
      <w:r>
        <w:rPr>
          <w:spacing w:val="-67"/>
        </w:rPr>
        <w:t> </w:t>
      </w:r>
      <w:r>
        <w:rPr>
          <w:spacing w:val="-67"/>
        </w:rPr>
      </w:r>
      <w:r>
        <w:rPr/>
        <w:t>的利率和收益率曲线等；市场验证的输入值等；</w:t>
      </w:r>
    </w:p>
    <w:p>
      <w:pPr>
        <w:pStyle w:val="BodyText"/>
        <w:spacing w:line="300" w:lineRule="auto" w:before="24"/>
        <w:ind w:right="1118" w:firstLine="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第三层次输入值是相关资产或负债的不可观察输入值，包括不能直接观察或无法由可观察市场数据验证的利率、股</w:t>
      </w:r>
      <w:r>
        <w:rPr>
          <w:w w:val="99"/>
        </w:rPr>
        <w:t> </w:t>
      </w:r>
      <w:r>
        <w:rPr/>
        <w:t>票波动率、企业合并中承担的弃置义务的未来现金流量、使用自身数据作出的财务预测等。</w:t>
      </w:r>
    </w:p>
    <w:p>
      <w:pPr>
        <w:pStyle w:val="BodyText"/>
        <w:spacing w:line="240" w:lineRule="auto" w:before="31"/>
        <w:ind w:left="149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金融资产的减值测试和减值准备计提方法</w:t>
      </w:r>
    </w:p>
    <w:p>
      <w:pPr>
        <w:pStyle w:val="BodyText"/>
        <w:spacing w:line="300" w:lineRule="auto" w:before="63"/>
        <w:ind w:left="1134" w:right="1115"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资产负债表日对以公允价值计量且其变动计入当期损益的金融资产以外的金融资产的账面价值进行检查，如有客观</w:t>
      </w:r>
      <w:r>
        <w:rPr>
          <w:w w:val="99"/>
        </w:rPr>
        <w:t> </w:t>
      </w:r>
      <w:r>
        <w:rPr/>
        <w:t>证据表明该金融资产发生减值的，计提减值准备。</w:t>
      </w:r>
    </w:p>
    <w:p>
      <w:pPr>
        <w:pStyle w:val="BodyText"/>
        <w:spacing w:line="312" w:lineRule="auto" w:before="31"/>
        <w:ind w:left="1134" w:right="1133" w:firstLine="36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对于持有至到期投资、贷款和应收款，先将单项金额重大的金融资产区分开来，单独进行减值测试；对单项金额不</w:t>
      </w:r>
      <w:r>
        <w:rPr>
          <w:w w:val="99"/>
        </w:rPr>
        <w:t> </w:t>
      </w:r>
      <w:r>
        <w:rPr>
          <w:spacing w:val="-2"/>
        </w:rPr>
        <w:t>重大的金融资产，可以单独进行减值测试，或包括在具有类似信用风险特征的金融资产组合中进行减值测试；单独测试未发</w:t>
      </w:r>
      <w:r>
        <w:rPr>
          <w:spacing w:val="-67"/>
        </w:rPr>
        <w:t> </w:t>
      </w:r>
      <w:r>
        <w:rPr>
          <w:spacing w:val="-67"/>
        </w:rPr>
      </w:r>
      <w:r>
        <w:rPr>
          <w:spacing w:val="-2"/>
        </w:rPr>
        <w:t>生减值的金融资产（包括单项金额重大和不重大的金融资产），包括在具有类似信用风险特征的金融资产组合中再进行减值</w:t>
      </w:r>
      <w:r>
        <w:rPr>
          <w:spacing w:val="-67"/>
        </w:rPr>
        <w:t> </w:t>
      </w:r>
      <w:r>
        <w:rPr>
          <w:spacing w:val="-67"/>
        </w:rPr>
      </w:r>
      <w:r>
        <w:rPr/>
        <w:t>测试。测试结果表明其发生了减值的，根据其账面价值高于预计未来现金流量现值的差额确认减值损失。</w:t>
      </w:r>
    </w:p>
    <w:p>
      <w:pPr>
        <w:pStyle w:val="BodyText"/>
        <w:spacing w:line="240" w:lineRule="auto" w:before="22"/>
        <w:ind w:left="149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可供出售金融资产</w:t>
      </w:r>
    </w:p>
    <w:p>
      <w:pPr>
        <w:pStyle w:val="BodyText"/>
        <w:spacing w:line="240" w:lineRule="auto" w:before="63"/>
        <w:ind w:left="149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表明可供出售债务工具投资发生减值的客观证据包括：</w:t>
      </w:r>
    </w:p>
    <w:p>
      <w:pPr>
        <w:pStyle w:val="BodyText"/>
        <w:spacing w:line="240" w:lineRule="auto" w:before="63"/>
        <w:ind w:left="1494" w:right="0"/>
        <w:jc w:val="left"/>
      </w:pPr>
      <w:r>
        <w:rPr/>
        <w:t>①</w:t>
      </w:r>
      <w:r>
        <w:rPr>
          <w:spacing w:val="-19"/>
        </w:rPr>
        <w:t> </w:t>
      </w:r>
      <w:r>
        <w:rPr/>
        <w:t>债务人发生严重财务困难；</w:t>
      </w:r>
    </w:p>
    <w:p>
      <w:pPr>
        <w:pStyle w:val="BodyText"/>
        <w:spacing w:line="240" w:lineRule="auto" w:before="76"/>
        <w:ind w:left="1494" w:right="0"/>
        <w:jc w:val="left"/>
      </w:pPr>
      <w:r>
        <w:rPr/>
        <w:t>②</w:t>
      </w:r>
      <w:r>
        <w:rPr>
          <w:spacing w:val="-19"/>
        </w:rPr>
        <w:t> </w:t>
      </w:r>
      <w:r>
        <w:rPr/>
        <w:t>债务人违反了合同条款，如偿付利息或本金发生违约或逾期；</w:t>
      </w:r>
    </w:p>
    <w:p>
      <w:pPr>
        <w:pStyle w:val="BodyText"/>
        <w:spacing w:line="240" w:lineRule="auto" w:before="76"/>
        <w:ind w:left="1494" w:right="0"/>
        <w:jc w:val="left"/>
      </w:pPr>
      <w:r>
        <w:rPr/>
        <w:t>③</w:t>
      </w:r>
      <w:r>
        <w:rPr>
          <w:spacing w:val="-19"/>
        </w:rPr>
        <w:t> </w:t>
      </w:r>
      <w:r>
        <w:rPr/>
        <w:t>公司出于经济或法律等方面因素的考虑，对发生财务困难的债务人作出让步；</w:t>
      </w:r>
    </w:p>
    <w:p>
      <w:pPr>
        <w:pStyle w:val="BodyText"/>
        <w:spacing w:line="240" w:lineRule="auto" w:before="76"/>
        <w:ind w:left="1494" w:right="0"/>
        <w:jc w:val="left"/>
      </w:pPr>
      <w:r>
        <w:rPr/>
        <w:t>④</w:t>
      </w:r>
      <w:r>
        <w:rPr>
          <w:spacing w:val="-19"/>
        </w:rPr>
        <w:t> </w:t>
      </w:r>
      <w:r>
        <w:rPr/>
        <w:t>债务人很可能倒闭或进行其他财务重组；</w:t>
      </w:r>
    </w:p>
    <w:p>
      <w:pPr>
        <w:pStyle w:val="BodyText"/>
        <w:spacing w:line="240" w:lineRule="auto" w:before="76"/>
        <w:ind w:left="1494" w:right="0"/>
        <w:jc w:val="left"/>
      </w:pPr>
      <w:r>
        <w:rPr/>
        <w:t>⑤</w:t>
      </w:r>
      <w:r>
        <w:rPr>
          <w:spacing w:val="-19"/>
        </w:rPr>
        <w:t> </w:t>
      </w:r>
      <w:r>
        <w:rPr/>
        <w:t>因债务人发生重大财务困难，该债务工具无法在活跃市场继续交易；</w:t>
      </w:r>
    </w:p>
    <w:p>
      <w:pPr>
        <w:pStyle w:val="BodyText"/>
        <w:spacing w:line="240" w:lineRule="auto" w:before="76"/>
        <w:ind w:left="1494" w:right="0"/>
        <w:jc w:val="left"/>
      </w:pPr>
      <w:r>
        <w:rPr/>
        <w:t>⑥</w:t>
      </w:r>
      <w:r>
        <w:rPr>
          <w:spacing w:val="-19"/>
        </w:rPr>
        <w:t> </w:t>
      </w:r>
      <w:r>
        <w:rPr/>
        <w:t>其他表明可供出售债务工具已经发生减值的情况。</w:t>
      </w:r>
    </w:p>
    <w:p>
      <w:pPr>
        <w:pStyle w:val="BodyText"/>
        <w:spacing w:line="300" w:lineRule="auto" w:before="76"/>
        <w:ind w:left="1134" w:right="0"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表明可供出售权益工具投资发生减值的客观证据包括权益工具投资的公允价值发生严重或非暂时性下跌，以及被投</w:t>
      </w:r>
      <w:r>
        <w:rPr>
          <w:w w:val="99"/>
        </w:rPr>
        <w:t> </w:t>
      </w:r>
      <w:r>
        <w:rPr/>
        <w:t>资单位经营所处的技术、市场、经济或法律环境等发生重大不利变化使公司可能无法收回投资成本。</w:t>
      </w:r>
    </w:p>
    <w:p>
      <w:pPr>
        <w:pStyle w:val="BodyText"/>
        <w:spacing w:line="307" w:lineRule="auto" w:before="31"/>
        <w:ind w:right="1031" w:firstLine="360"/>
        <w:jc w:val="left"/>
      </w:pPr>
      <w:r>
        <w:rPr>
          <w:spacing w:val="-2"/>
        </w:rPr>
        <w:t>本公司于资产负债表日对各项可供出售权益工具投资单独进行检查。对于以公允价值计量的权益工具投资，若其于资产</w:t>
      </w:r>
      <w:r>
        <w:rPr/>
        <w:t> </w:t>
      </w:r>
      <w:r>
        <w:rPr>
          <w:spacing w:val="-2"/>
        </w:rPr>
        <w:t>负债表日的公允价值低于其成本超过</w:t>
      </w:r>
      <w:r>
        <w:rPr>
          <w:rFonts w:ascii="Times New Roman" w:hAnsi="Times New Roman" w:cs="Times New Roman" w:eastAsia="Times New Roman" w:hint="default"/>
          <w:spacing w:val="-2"/>
        </w:rPr>
        <w:t>50%</w:t>
      </w:r>
      <w:r>
        <w:rPr>
          <w:spacing w:val="-2"/>
        </w:rPr>
        <w:t>（含</w:t>
      </w:r>
      <w:r>
        <w:rPr>
          <w:rFonts w:ascii="Times New Roman" w:hAnsi="Times New Roman" w:cs="Times New Roman" w:eastAsia="Times New Roman" w:hint="default"/>
          <w:spacing w:val="-2"/>
        </w:rPr>
        <w:t>50%</w:t>
      </w:r>
      <w:r>
        <w:rPr>
          <w:spacing w:val="-2"/>
        </w:rPr>
        <w:t>）或低于其成本持续时间超过</w:t>
      </w:r>
      <w:r>
        <w:rPr>
          <w:rFonts w:ascii="Times New Roman" w:hAnsi="Times New Roman" w:cs="Times New Roman" w:eastAsia="Times New Roman" w:hint="default"/>
          <w:spacing w:val="-2"/>
        </w:rPr>
        <w:t>12</w:t>
      </w:r>
      <w:r>
        <w:rPr>
          <w:spacing w:val="-2"/>
        </w:rPr>
        <w:t>个月（含</w:t>
      </w:r>
      <w:r>
        <w:rPr>
          <w:rFonts w:ascii="Times New Roman" w:hAnsi="Times New Roman" w:cs="Times New Roman" w:eastAsia="Times New Roman" w:hint="default"/>
          <w:spacing w:val="-2"/>
        </w:rPr>
        <w:t>12</w:t>
      </w:r>
      <w:r>
        <w:rPr>
          <w:spacing w:val="-2"/>
        </w:rPr>
        <w:t>个月）的，则表明其发生减值；</w:t>
      </w:r>
      <w:r>
        <w:rPr>
          <w:spacing w:val="-86"/>
        </w:rPr>
        <w:t> </w:t>
      </w:r>
      <w:r>
        <w:rPr>
          <w:spacing w:val="-86"/>
        </w:rPr>
      </w:r>
      <w:r>
        <w:rPr/>
        <w:t>若其于资产负债表日的公允价值低于其成本超过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的，或低于其成本持续时间超过</w:t>
      </w:r>
      <w:r>
        <w:rPr>
          <w:rFonts w:ascii="Times New Roman" w:hAnsi="Times New Roman" w:cs="Times New Roman" w:eastAsia="Times New Roman" w:hint="default"/>
        </w:rPr>
        <w:t>6</w:t>
      </w:r>
      <w:r>
        <w:rPr/>
        <w:t>个月（含</w:t>
      </w:r>
      <w:r>
        <w:rPr>
          <w:rFonts w:ascii="Times New Roman" w:hAnsi="Times New Roman" w:cs="Times New Roman" w:eastAsia="Times New Roman" w:hint="default"/>
        </w:rPr>
        <w:t>6</w:t>
      </w:r>
      <w:r>
        <w:rPr>
          <w:rFonts w:ascii="Times New Roman" w:hAnsi="Times New Roman" w:cs="Times New Roman" w:eastAsia="Times New Roman" w:hint="default"/>
          <w:spacing w:val="-39"/>
        </w:rPr>
        <w:t> </w:t>
      </w:r>
      <w:r>
        <w:rPr>
          <w:spacing w:val="-2"/>
        </w:rPr>
        <w:t>个月）但未超过</w:t>
      </w:r>
      <w:r>
        <w:rPr>
          <w:rFonts w:ascii="Times New Roman" w:hAnsi="Times New Roman" w:cs="Times New Roman" w:eastAsia="Times New Roman" w:hint="default"/>
          <w:spacing w:val="-2"/>
        </w:rPr>
        <w:t>12</w:t>
      </w:r>
      <w:r>
        <w:rPr>
          <w:spacing w:val="-2"/>
        </w:rPr>
        <w:t>个月的，本公司会综合考虑其他相关因素，诸如价格波动率等，判断该权益工具投资是否发生减值。对于</w:t>
      </w:r>
      <w:r>
        <w:rPr>
          <w:spacing w:val="-64"/>
        </w:rPr>
        <w:t> </w:t>
      </w:r>
      <w:r>
        <w:rPr>
          <w:spacing w:val="-64"/>
        </w:rPr>
      </w:r>
      <w:r>
        <w:rPr/>
        <w:t>以成本计量的权益工具投资，公司综合考虑被投资单位经营所处的技术、市场、经济或法律环境等是否发生重大不利变化， 判断该权益工具是否发生减值。</w:t>
      </w:r>
    </w:p>
    <w:p>
      <w:pPr>
        <w:pStyle w:val="BodyText"/>
        <w:spacing w:line="319" w:lineRule="auto" w:before="26"/>
        <w:ind w:right="1131" w:firstLine="360"/>
        <w:jc w:val="both"/>
      </w:pPr>
      <w:r>
        <w:rPr>
          <w:spacing w:val="-2"/>
        </w:rPr>
        <w:t>以公允价值计量的可供出售金融资产发生减值时，原直接计入其他综合收益的因公允价值下降形成的累计损失予以转出</w:t>
      </w:r>
      <w:r>
        <w:rPr/>
        <w:t> </w:t>
      </w:r>
      <w:r>
        <w:rPr>
          <w:spacing w:val="-2"/>
        </w:rPr>
        <w:t>并计入减值损失。对已确认减值损失的可供出售债务工具投资，在期后公允价值回升且客观上与确认原减值损失后发生的事</w:t>
      </w:r>
      <w:r>
        <w:rPr>
          <w:spacing w:val="-64"/>
        </w:rPr>
        <w:t> </w:t>
      </w:r>
      <w:r>
        <w:rPr>
          <w:spacing w:val="-64"/>
        </w:rPr>
      </w:r>
      <w:r>
        <w:rPr>
          <w:spacing w:val="-2"/>
        </w:rPr>
        <w:t>项有关的，原确认的减值损失予以转回并计入当期损益。对已确认减值损失的可供出售权益工具投资，期后公允价值回升直</w:t>
      </w:r>
      <w:r>
        <w:rPr>
          <w:spacing w:val="-66"/>
        </w:rPr>
        <w:t> </w:t>
      </w:r>
      <w:r>
        <w:rPr>
          <w:spacing w:val="-66"/>
        </w:rPr>
      </w:r>
      <w:r>
        <w:rPr/>
        <w:t>接计入其他综合收益。</w:t>
      </w:r>
    </w:p>
    <w:p>
      <w:pPr>
        <w:pStyle w:val="BodyText"/>
        <w:spacing w:line="240" w:lineRule="auto" w:before="17"/>
        <w:ind w:left="1493" w:right="0"/>
        <w:jc w:val="left"/>
      </w:pPr>
      <w:r>
        <w:rPr/>
        <w:t>以成本计量的可供出售权益工具发生减值时，将该权益工具投资的账面价值，与按照类似金融资产当时市场收益率对未</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来现金流量折现确定的现值之间的差额，确认为减值损失，计入当期损益，发生的减值损失一经确认，不予转回。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11、应收款项" w:id="172"/>
      <w:bookmarkEnd w:id="172"/>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单项金额重大并单独计提坏账准备的应收款项" w:id="173"/>
      <w:bookmarkEnd w:id="17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万元以上（含）且占应收款项账面余额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 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按信用风险特征组合计提坏账准备的应收款项" w:id="174"/>
      <w:bookmarkEnd w:id="174"/>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134" w:right="0"/>
        <w:jc w:val="left"/>
      </w:pPr>
      <w:r>
        <w:rPr/>
        <w:t>组合中，采用账龄分析法计提坏账准备的：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单项金额不重大但单独计提坏账准备的应收款项" w:id="175"/>
      <w:bookmarkEnd w:id="17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after="0" w:line="316" w:lineRule="auto"/>
        <w:jc w:val="left"/>
        <w:rPr>
          <w:rFonts w:ascii="宋体" w:hAnsi="宋体" w:cs="宋体" w:eastAsia="宋体" w:hint="default"/>
          <w:sz w:val="18"/>
          <w:szCs w:val="18"/>
        </w:rPr>
        <w:sectPr>
          <w:footerReference w:type="default" r:id="rId17"/>
          <w:pgSz w:w="11910" w:h="16840"/>
          <w:pgMar w:footer="979" w:header="747" w:top="1060" w:bottom="1160" w:left="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bookmarkStart w:name="12、存货" w:id="176"/>
      <w:bookmarkEnd w:id="176"/>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93" w:right="11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存货的分类 </w:t>
      </w:r>
      <w:r>
        <w:rPr>
          <w:spacing w:val="-2"/>
        </w:rPr>
        <w:t>存货包括在日常活动中持有以备出售的产成品或商品、处在生产过程中的在产品、在生产过程或提供劳务过程中耗用的</w:t>
      </w:r>
    </w:p>
    <w:p>
      <w:pPr>
        <w:pStyle w:val="BodyText"/>
        <w:spacing w:line="240" w:lineRule="auto" w:before="32"/>
        <w:ind w:right="0"/>
        <w:jc w:val="left"/>
      </w:pPr>
      <w:r>
        <w:rPr/>
        <w:t>材料和物料等。</w:t>
      </w:r>
    </w:p>
    <w:p>
      <w:pPr>
        <w:pStyle w:val="BodyText"/>
        <w:spacing w:line="309" w:lineRule="auto" w:before="76"/>
        <w:ind w:left="1493" w:right="751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发出存货的计价方法 发出存货采用月末一次加权平均法。 </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存货可变现净值的确定依据</w:t>
      </w:r>
    </w:p>
    <w:p>
      <w:pPr>
        <w:pStyle w:val="BodyText"/>
        <w:spacing w:line="316" w:lineRule="auto" w:before="5"/>
        <w:ind w:right="1133" w:firstLine="360"/>
        <w:jc w:val="both"/>
      </w:pPr>
      <w:r>
        <w:rPr>
          <w:spacing w:val="-2"/>
        </w:rPr>
        <w:t>资产负债表日，存货采用成本与可变现净值孰低计量，按照单个存货成本高于可变现净值的差额计提存货跌价准备。直</w:t>
      </w:r>
      <w:r>
        <w:rPr/>
        <w:t> 接用于出售的存货，在正常生产经营过程中以该存货的估计售价减去估计的销售费用和相关税费后的金额确定其可变现净</w:t>
      </w:r>
      <w:r>
        <w:rPr>
          <w:spacing w:val="-9"/>
        </w:rPr>
        <w:t> </w:t>
      </w:r>
      <w:r>
        <w:rPr>
          <w:spacing w:val="-9"/>
        </w:rPr>
      </w:r>
      <w:r>
        <w:rPr>
          <w:spacing w:val="-2"/>
        </w:rPr>
        <w:t>值；需要经过加工的存货，在正常生产经营过程中以所生产的产成品的估计售价减去至完工时估计将要发生的成本、估计的</w:t>
      </w:r>
      <w:r>
        <w:rPr>
          <w:spacing w:val="-66"/>
        </w:rPr>
        <w:t> </w:t>
      </w:r>
      <w:r>
        <w:rPr>
          <w:spacing w:val="-66"/>
        </w:rPr>
      </w:r>
      <w:r>
        <w:rPr>
          <w:spacing w:val="-2"/>
        </w:rPr>
        <w:t>销售费用和相关税费后的金额确定其可变现净值；资产负债表日，同一项存货中一部分有合同价格约定、其他部分不存在合</w:t>
      </w:r>
      <w:r>
        <w:rPr>
          <w:spacing w:val="-66"/>
        </w:rPr>
        <w:t> </w:t>
      </w:r>
      <w:r>
        <w:rPr>
          <w:spacing w:val="-66"/>
        </w:rPr>
      </w:r>
      <w:r>
        <w:rPr/>
        <w:t>同价格的，分别确定其可变现净值，并与其对应的成本进行比较，分别确定存货跌价准备的计提或转回的金额。</w:t>
      </w:r>
    </w:p>
    <w:p>
      <w:pPr>
        <w:pStyle w:val="BodyText"/>
        <w:spacing w:line="300" w:lineRule="auto" w:before="19"/>
        <w:ind w:left="1493" w:right="7873"/>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存货的盘存制度 存货的盘存制度为永续盘存制。</w:t>
      </w:r>
    </w:p>
    <w:p>
      <w:pPr>
        <w:pStyle w:val="BodyText"/>
        <w:spacing w:line="240" w:lineRule="auto" w:before="31"/>
        <w:ind w:left="149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低值易耗品和包装物的摊销方法</w:t>
      </w:r>
    </w:p>
    <w:p>
      <w:pPr>
        <w:pStyle w:val="BodyText"/>
        <w:spacing w:line="319" w:lineRule="auto" w:before="63"/>
        <w:ind w:left="1424" w:right="8132" w:firstLine="6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低值易耗品</w:t>
      </w:r>
      <w:r>
        <w:rPr>
          <w:w w:val="99"/>
        </w:rPr>
        <w:t> </w:t>
      </w:r>
      <w:r>
        <w:rPr/>
        <w:t>按照一次转销法进行摊销。</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包装物</w:t>
      </w:r>
      <w:r>
        <w:rPr>
          <w:w w:val="99"/>
        </w:rPr>
        <w:t> </w:t>
      </w:r>
      <w:r>
        <w:rPr/>
        <w:t>按照一次转销法进行摊销</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13、划分为持有待售资产" w:id="177"/>
      <w:bookmarkEnd w:id="177"/>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4、长期股权投资" w:id="178"/>
      <w:bookmarkEnd w:id="17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49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共同控制、重要影响的判断 </w:t>
      </w:r>
      <w:r>
        <w:rPr>
          <w:spacing w:val="-2"/>
        </w:rPr>
        <w:t>按照相关约定对某项安排所共有的控制，并且该安排的相关活动必须经过分享控制权的参与方一致同意后才能决策，认</w:t>
      </w:r>
    </w:p>
    <w:p>
      <w:pPr>
        <w:pStyle w:val="BodyText"/>
        <w:spacing w:line="316" w:lineRule="auto" w:before="31"/>
        <w:ind w:left="1134" w:right="0"/>
        <w:jc w:val="left"/>
      </w:pPr>
      <w:r>
        <w:rPr>
          <w:spacing w:val="-2"/>
        </w:rPr>
        <w:t>定为共同控制。对被投资单位的财务和经营政策有参与决策的权力，但并不能够控制或者与其他方一起共同控制这些政策的</w:t>
      </w:r>
      <w:r>
        <w:rPr>
          <w:spacing w:val="-63"/>
        </w:rPr>
        <w:t> </w:t>
      </w:r>
      <w:r>
        <w:rPr>
          <w:spacing w:val="-63"/>
        </w:rPr>
      </w:r>
      <w:r>
        <w:rPr/>
        <w:t>制定，认定为重大影响。</w:t>
      </w:r>
    </w:p>
    <w:p>
      <w:pPr>
        <w:pStyle w:val="BodyText"/>
        <w:spacing w:line="240" w:lineRule="auto" w:before="19"/>
        <w:ind w:left="149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投资成本的确定</w:t>
      </w:r>
    </w:p>
    <w:p>
      <w:pPr>
        <w:pStyle w:val="BodyText"/>
        <w:spacing w:line="312" w:lineRule="auto" w:before="63"/>
        <w:ind w:left="1134" w:right="1028"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spacing w:val="-2"/>
        </w:rPr>
        <w:t>同一控制下的企业合并形成的，合并方以支付现金、转让非现金资产、承担债务或发行权益性证券作为合并对价的，</w:t>
      </w:r>
      <w:r>
        <w:rPr>
          <w:w w:val="99"/>
        </w:rPr>
        <w:t> </w:t>
      </w:r>
      <w:r>
        <w:rPr>
          <w:spacing w:val="-2"/>
          <w:w w:val="99"/>
        </w:rPr>
        <w:t>在合并日按照取得被合并方所有者权益在最终控制方合并财务报表中的账面价值的份额作为其初始投资成本。长期股权投资</w:t>
      </w:r>
      <w:r>
        <w:rPr>
          <w:spacing w:val="-64"/>
          <w:w w:val="99"/>
        </w:rPr>
        <w:t> </w:t>
      </w:r>
      <w:r>
        <w:rPr>
          <w:spacing w:val="-64"/>
          <w:w w:val="99"/>
        </w:rPr>
      </w:r>
      <w:r>
        <w:rPr>
          <w:spacing w:val="-2"/>
        </w:rPr>
        <w:t>初始投资成本与支付的合并对价的账面价值或发行股份的面值总额之间的差额调整资本公积；资本公积不足冲减的，调整留</w:t>
      </w:r>
      <w:r>
        <w:rPr>
          <w:spacing w:val="-65"/>
        </w:rPr>
        <w:t> </w:t>
      </w:r>
      <w:r>
        <w:rPr>
          <w:spacing w:val="-65"/>
        </w:rPr>
      </w:r>
      <w:r>
        <w:rPr/>
        <w:t>存收益。</w:t>
      </w:r>
    </w:p>
    <w:p>
      <w:pPr>
        <w:pStyle w:val="BodyText"/>
        <w:spacing w:line="309" w:lineRule="auto" w:before="22"/>
        <w:ind w:left="1134" w:right="1130" w:firstLine="360"/>
        <w:jc w:val="both"/>
      </w:pPr>
      <w:r>
        <w:rPr>
          <w:spacing w:val="-1"/>
        </w:rPr>
        <w:t>公司通过多次交易分步实现同一控制下企业合并形成的长期股权投资，判断是否属于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rFonts w:ascii="Times New Roman" w:hAnsi="Times New Roman" w:cs="Times New Roman" w:eastAsia="Times New Roman" w:hint="default"/>
          <w:w w:val="100"/>
        </w:rPr>
        <w:t> </w:t>
      </w:r>
      <w:r>
        <w:rPr>
          <w:spacing w:val="-2"/>
        </w:rPr>
        <w:t>的，把各项交易作为一项取得控制权的交易进行会计处理。不属于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的，在合并日，根据合并后应享有被合并方</w:t>
      </w:r>
      <w:r>
        <w:rPr>
          <w:spacing w:val="-44"/>
        </w:rPr>
        <w:t> </w:t>
      </w:r>
      <w:r>
        <w:rPr>
          <w:spacing w:val="-44"/>
        </w:rPr>
      </w:r>
      <w:r>
        <w:rPr>
          <w:spacing w:val="-2"/>
        </w:rPr>
        <w:t>净资产在最终控制方合并财务报表中的账面价值的份额确定初始投资成本。合并日长期股权投资的初始投资成本，与达到合</w:t>
      </w:r>
      <w:r>
        <w:rPr>
          <w:spacing w:val="-64"/>
        </w:rPr>
        <w:t> </w:t>
      </w:r>
      <w:r>
        <w:rPr>
          <w:spacing w:val="-64"/>
        </w:rPr>
      </w:r>
      <w:r>
        <w:rPr>
          <w:spacing w:val="-2"/>
        </w:rPr>
        <w:t>并前的长期股权投资账面价值加上合并日进一步取得股份新支付对价的账面价值之和的差额，调整资本公积；资本公积不足</w:t>
      </w:r>
      <w:r>
        <w:rPr>
          <w:spacing w:val="-64"/>
        </w:rPr>
        <w:t> </w:t>
      </w:r>
      <w:r>
        <w:rPr>
          <w:spacing w:val="-64"/>
        </w:rPr>
      </w:r>
      <w:r>
        <w:rPr/>
        <w:t>冲减的，调整留存收益。</w:t>
      </w:r>
    </w:p>
    <w:p>
      <w:pPr>
        <w:pStyle w:val="BodyText"/>
        <w:spacing w:line="300" w:lineRule="auto" w:before="24"/>
        <w:ind w:left="149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非同一控制下的企业合并形成的，在购买日按照支付的合并对价的公允价值作为其初始投资成本。</w:t>
      </w:r>
      <w:r>
        <w:rPr>
          <w:w w:val="99"/>
        </w:rPr>
        <w:t> </w:t>
      </w:r>
      <w:r>
        <w:rPr>
          <w:spacing w:val="-2"/>
          <w:w w:val="99"/>
        </w:rPr>
        <w:t>公司通过多次交易分步实现非同一控制下企业合并形成的长期股权投资，区分个别财务报表和合并财务报表进行相关会</w:t>
      </w:r>
      <w:r>
        <w:rPr>
          <w:spacing w:val="-2"/>
        </w:rPr>
      </w:r>
    </w:p>
    <w:p>
      <w:pPr>
        <w:pStyle w:val="BodyText"/>
        <w:spacing w:line="240" w:lineRule="auto" w:before="31"/>
        <w:ind w:right="0"/>
        <w:jc w:val="left"/>
      </w:pPr>
      <w:r>
        <w:rPr/>
        <w:t>计处理：</w:t>
      </w:r>
    </w:p>
    <w:p>
      <w:pPr>
        <w:spacing w:after="0" w:line="240" w:lineRule="auto"/>
        <w:jc w:val="left"/>
        <w:sectPr>
          <w:footerReference w:type="default" r:id="rId18"/>
          <w:pgSz w:w="11910" w:h="16840"/>
          <w:pgMar w:footer="979" w:header="747" w:top="1060" w:bottom="1160" w:left="0" w:right="0"/>
          <w:pgNumType w:start="101"/>
        </w:sectPr>
      </w:pPr>
    </w:p>
    <w:p>
      <w:pPr>
        <w:spacing w:line="240" w:lineRule="auto" w:before="12"/>
        <w:rPr>
          <w:rFonts w:ascii="宋体" w:hAnsi="宋体" w:cs="宋体" w:eastAsia="宋体" w:hint="default"/>
          <w:sz w:val="25"/>
          <w:szCs w:val="25"/>
        </w:rPr>
      </w:pPr>
    </w:p>
    <w:p>
      <w:pPr>
        <w:pStyle w:val="BodyText"/>
        <w:spacing w:line="300" w:lineRule="auto" w:before="44"/>
        <w:ind w:right="1116" w:firstLine="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在个别财务报表中，按照原持有的股权投资的账面价值加上新增投资成本之和，作为改按成本法核算的初始投资成</w:t>
      </w:r>
      <w:r>
        <w:rPr>
          <w:w w:val="99"/>
        </w:rPr>
        <w:t> </w:t>
      </w:r>
      <w:r>
        <w:rPr/>
        <w:t>本。</w:t>
      </w:r>
    </w:p>
    <w:p>
      <w:pPr>
        <w:pStyle w:val="BodyText"/>
        <w:spacing w:line="309" w:lineRule="auto" w:before="31"/>
        <w:ind w:right="0" w:firstLine="3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的，把各项交易作为一项取得控制权的交易进行 </w:t>
      </w:r>
      <w:r>
        <w:rPr>
          <w:spacing w:val="-3"/>
        </w:rPr>
        <w:t>会计处理。不属于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的，对于购买日之前持有的被购买方的股权，按照该股权在购买日的公允价值进行重新计量，</w:t>
      </w:r>
      <w:r>
        <w:rPr>
          <w:spacing w:val="-77"/>
        </w:rPr>
        <w:t> </w:t>
      </w:r>
      <w:r>
        <w:rPr>
          <w:spacing w:val="-77"/>
        </w:rPr>
      </w:r>
      <w:r>
        <w:rPr/>
        <w:t>公允价值与其账面价值的差额计入当期投资收益；购买日之前持有的被购买方的股权涉及权益法核算下的其他综合收益等</w:t>
      </w:r>
      <w:r>
        <w:rPr>
          <w:spacing w:val="-9"/>
        </w:rPr>
        <w:t> </w:t>
      </w:r>
      <w:r>
        <w:rPr>
          <w:spacing w:val="-9"/>
        </w:rPr>
      </w:r>
      <w:r>
        <w:rPr>
          <w:spacing w:val="-2"/>
        </w:rPr>
        <w:t>的，与其相关的其他综合收益等转为购买日所属当期收益。但由于被投资方重新计量设定受益计划净负债或净资产变动而产</w:t>
      </w:r>
      <w:r>
        <w:rPr>
          <w:spacing w:val="-64"/>
        </w:rPr>
        <w:t> </w:t>
      </w:r>
      <w:r>
        <w:rPr>
          <w:spacing w:val="-64"/>
        </w:rPr>
      </w:r>
      <w:r>
        <w:rPr/>
        <w:t>生的其他综合收益除外。</w:t>
      </w:r>
    </w:p>
    <w:p>
      <w:pPr>
        <w:pStyle w:val="BodyText"/>
        <w:spacing w:line="300" w:lineRule="auto" w:before="24"/>
        <w:ind w:right="1130" w:firstLine="36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t>除企业合并形成以外的：以支付现金取得的，按照实际支付的购买价款作为其初始投资成本；以发行权益性证券取</w:t>
      </w:r>
      <w:r>
        <w:rPr>
          <w:w w:val="99"/>
        </w:rPr>
        <w:t> </w:t>
      </w:r>
      <w:r>
        <w:rPr>
          <w:spacing w:val="-2"/>
        </w:rPr>
        <w:t>得的，按照发行权益性证券的公允价值作为其初始投资成本；以债务重组方式取得的，按《企业会计准则第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w:t>
      </w:r>
      <w:r>
        <w:rPr>
          <w:spacing w:val="-65"/>
        </w:rPr>
        <w:t> </w:t>
      </w:r>
      <w:r>
        <w:rPr/>
        <w:t>组》确定其初始投资成本；以非货币性资产交换取得的，按《企业会计准则第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w:t>
      </w:r>
      <w:r>
        <w:rPr>
          <w:spacing w:val="-82"/>
        </w:rPr>
        <w:t> </w:t>
      </w:r>
      <w:r>
        <w:rPr>
          <w:spacing w:val="-82"/>
        </w:rPr>
      </w:r>
      <w:r>
        <w:rPr/>
        <w:t>成本。</w:t>
      </w:r>
    </w:p>
    <w:p>
      <w:pPr>
        <w:pStyle w:val="BodyText"/>
        <w:spacing w:line="309" w:lineRule="auto" w:before="31"/>
        <w:ind w:left="1493" w:right="121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后续计量及损益确认方法 对被投资单位实施控制的长期股权投资采用成本法核算；对联营企业和合营企业的长期股权投资，采用权益法核算。 </w:t>
      </w: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通过多次交易分步处置对子公司投资至丧失控制权的的处理方法</w:t>
      </w:r>
    </w:p>
    <w:p>
      <w:pPr>
        <w:pStyle w:val="BodyText"/>
        <w:spacing w:line="300" w:lineRule="auto" w:before="5"/>
        <w:ind w:left="149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个别财务报表</w:t>
      </w:r>
      <w:r>
        <w:rPr>
          <w:w w:val="99"/>
        </w:rPr>
        <w:t> </w:t>
      </w:r>
      <w:r>
        <w:rPr>
          <w:spacing w:val="-2"/>
        </w:rPr>
        <w:t>对处置的股权，其账面价值与实际取得价款之间的差额，计入当期损益。对于剩余股权，对被投资单位仍具有重大影响</w:t>
      </w:r>
    </w:p>
    <w:p>
      <w:pPr>
        <w:pStyle w:val="BodyText"/>
        <w:spacing w:line="316" w:lineRule="auto" w:before="31"/>
        <w:ind w:right="0"/>
        <w:jc w:val="left"/>
      </w:pPr>
      <w:r>
        <w:rPr>
          <w:spacing w:val="-2"/>
        </w:rPr>
        <w:t>或者与其他方一起实施共同控制的，转为权益法核算；不能再对被投资单位实施控制、共同控制或重大影响的，确认为金融</w:t>
      </w:r>
      <w:r>
        <w:rPr>
          <w:spacing w:val="-66"/>
        </w:rPr>
        <w:t> </w:t>
      </w:r>
      <w:r>
        <w:rPr>
          <w:spacing w:val="-66"/>
        </w:rPr>
      </w:r>
      <w:r>
        <w:rPr/>
        <w:t>资产，按照《企业会计准则第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金融工具确认和计量》的相关规定进行核算。</w:t>
      </w:r>
    </w:p>
    <w:p>
      <w:pPr>
        <w:pStyle w:val="BodyText"/>
        <w:spacing w:line="248" w:lineRule="exact"/>
        <w:ind w:left="149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合并财务报表</w:t>
      </w:r>
    </w:p>
    <w:p>
      <w:pPr>
        <w:pStyle w:val="BodyText"/>
        <w:spacing w:line="300" w:lineRule="auto" w:before="63"/>
        <w:ind w:left="149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w:t>
      </w:r>
      <w:r>
        <w:rPr>
          <w:spacing w:val="-2"/>
        </w:rPr>
        <w:t>在丧失控制权之前，处置价款与处置长期股权投资相对应享有子公司自购买日或合并日开始持续计算的净资产份额之间</w:t>
      </w:r>
    </w:p>
    <w:p>
      <w:pPr>
        <w:pStyle w:val="BodyText"/>
        <w:spacing w:line="319" w:lineRule="auto" w:before="31"/>
        <w:ind w:left="1493" w:right="0" w:hanging="360"/>
        <w:jc w:val="left"/>
      </w:pPr>
      <w:r>
        <w:rPr/>
        <w:t>的差额，调整资本公积（资本溢价），资本溢价不足冲减的，冲减留存收益。 </w:t>
      </w:r>
      <w:r>
        <w:rPr>
          <w:spacing w:val="-2"/>
        </w:rPr>
        <w:t>丧失对原子公司控制权时，对于剩余股权，按照其在丧失控制权日的公允价值进行重新计量。处置股权取得的对价与剩</w:t>
      </w:r>
    </w:p>
    <w:p>
      <w:pPr>
        <w:pStyle w:val="BodyText"/>
        <w:spacing w:line="316" w:lineRule="auto" w:before="17"/>
        <w:ind w:right="1130"/>
        <w:jc w:val="both"/>
      </w:pPr>
      <w:r>
        <w:rPr/>
        <w:t>余股权公允价值之和，减去按原持股比例计算应享有原有子公司自购买日或合并日开始持续计算的净资产的份额之间的差</w:t>
      </w:r>
      <w:r>
        <w:rPr>
          <w:spacing w:val="-9"/>
        </w:rPr>
        <w:t> </w:t>
      </w:r>
      <w:r>
        <w:rPr>
          <w:spacing w:val="-9"/>
        </w:rPr>
      </w:r>
      <w:r>
        <w:rPr>
          <w:spacing w:val="-2"/>
        </w:rPr>
        <w:t>额，计入丧失控制权当期的投资收益，同时冲减商誉。与原有子公司股权投资相关的其他综合收益等，应当在丧失控制权时</w:t>
      </w:r>
      <w:r>
        <w:rPr>
          <w:spacing w:val="-66"/>
        </w:rPr>
        <w:t> </w:t>
      </w:r>
      <w:r>
        <w:rPr>
          <w:spacing w:val="-66"/>
        </w:rPr>
      </w:r>
      <w:r>
        <w:rPr/>
        <w:t>转为当期投资收益。</w:t>
      </w:r>
    </w:p>
    <w:p>
      <w:pPr>
        <w:pStyle w:val="BodyText"/>
        <w:spacing w:line="300" w:lineRule="auto" w:before="19"/>
        <w:ind w:left="149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w:t>
      </w:r>
      <w:r>
        <w:rPr>
          <w:spacing w:val="-2"/>
        </w:rPr>
        <w:t>将各项交易作为一项处置子公司并丧失控制权的交易进行会计处理。但是，在丧失控制权之前每一次处置价款与处置投</w:t>
      </w:r>
    </w:p>
    <w:p>
      <w:pPr>
        <w:pStyle w:val="BodyText"/>
        <w:spacing w:line="316" w:lineRule="auto" w:before="31"/>
        <w:ind w:right="1116"/>
        <w:jc w:val="left"/>
      </w:pPr>
      <w:r>
        <w:rPr>
          <w:spacing w:val="-2"/>
        </w:rPr>
        <w:t>资对应的享有该子公司净资产份额的差额，在合并财务报表中确认为其他综合收益，在丧失控制权时一并转入丧失控制权当</w:t>
      </w:r>
      <w:r>
        <w:rPr>
          <w:spacing w:val="-64"/>
        </w:rPr>
        <w:t> </w:t>
      </w:r>
      <w:r>
        <w:rPr>
          <w:spacing w:val="-64"/>
        </w:rPr>
      </w:r>
      <w:r>
        <w:rPr/>
        <w:t>期的损益。</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15、投资性房地产" w:id="179"/>
      <w:bookmarkEnd w:id="17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4"/>
        <w:spacing w:line="240" w:lineRule="auto"/>
        <w:ind w:left="1134" w:right="0"/>
        <w:jc w:val="both"/>
        <w:rPr>
          <w:b w:val="0"/>
          <w:bCs w:val="0"/>
        </w:rPr>
      </w:pPr>
      <w:bookmarkStart w:name="16、固定资产" w:id="180"/>
      <w:bookmarkEnd w:id="18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both"/>
        <w:rPr>
          <w:b w:val="0"/>
          <w:bCs w:val="0"/>
        </w:rPr>
      </w:pPr>
      <w:bookmarkStart w:name="（1）确认条件" w:id="181"/>
      <w:bookmarkEnd w:id="18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0"/>
        <w:jc w:val="left"/>
      </w:pPr>
      <w:r>
        <w:rPr>
          <w:spacing w:val="-2"/>
        </w:rPr>
        <w:t>固定资产是指为生产商品、提供劳务、出租或经营管理而持有的，使用年限超过一个会计年度的有形资产。固定资产在同时</w:t>
      </w:r>
      <w:r>
        <w:rPr>
          <w:spacing w:val="-66"/>
        </w:rPr>
        <w:t> </w:t>
      </w:r>
      <w:r>
        <w:rPr>
          <w:spacing w:val="-66"/>
        </w:rPr>
      </w:r>
      <w:r>
        <w:rPr/>
        <w:t>满足经济利益很可能流入、成本能够可靠计量时予以确认。</w:t>
      </w:r>
    </w:p>
    <w:p>
      <w:pPr>
        <w:spacing w:after="0" w:line="319"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折旧方法" w:id="182"/>
      <w:bookmarkEnd w:id="18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19.00-11.875%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15.83%</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3）融资租入固定资产的认定依据、计价和折旧方法" w:id="183"/>
      <w:bookmarkEnd w:id="18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不适用</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17、在建工程" w:id="184"/>
      <w:bookmarkEnd w:id="18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134" w:right="1130" w:firstLine="360"/>
        <w:jc w:val="both"/>
      </w:pPr>
      <w:r>
        <w:rPr>
          <w:rFonts w:ascii="Times New Roman" w:hAnsi="Times New Roman" w:cs="Times New Roman" w:eastAsia="Times New Roman" w:hint="default"/>
        </w:rPr>
        <w:t>1</w:t>
      </w:r>
      <w:r>
        <w:rPr/>
        <w:t>、在建工程同时满足经济利益很可能流入、成本能够可靠计量则予以确认。在建工程按建造该项资产达到预定可使用 状态前所发生的实际成本计量。</w:t>
      </w:r>
    </w:p>
    <w:p>
      <w:pPr>
        <w:pStyle w:val="BodyText"/>
        <w:spacing w:line="300" w:lineRule="auto" w:before="31"/>
        <w:ind w:right="1131" w:firstLine="360"/>
        <w:jc w:val="both"/>
      </w:pPr>
      <w:r>
        <w:rPr>
          <w:rFonts w:ascii="Times New Roman" w:hAnsi="Times New Roman" w:cs="Times New Roman" w:eastAsia="Times New Roman" w:hint="default"/>
        </w:rPr>
        <w:t>2</w:t>
      </w:r>
      <w:r>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18、借款费用" w:id="185"/>
      <w:bookmarkEnd w:id="185"/>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9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借款费用资本化的确认原则 </w:t>
      </w:r>
      <w:r>
        <w:rPr>
          <w:spacing w:val="-2"/>
        </w:rPr>
        <w:t>公司发生的借款费用，可直接归属于符合资本化条件的资产的购建或者生产的，予以资本化，计入相关资产成本；其他</w:t>
      </w:r>
    </w:p>
    <w:p>
      <w:pPr>
        <w:pStyle w:val="BodyText"/>
        <w:spacing w:line="240" w:lineRule="auto" w:before="31"/>
        <w:ind w:left="1134" w:right="0"/>
        <w:jc w:val="left"/>
      </w:pPr>
      <w:r>
        <w:rPr/>
        <w:t>借款费用，在发生时确认为费用，计入当期损益。</w:t>
      </w:r>
    </w:p>
    <w:p>
      <w:pPr>
        <w:pStyle w:val="BodyText"/>
        <w:spacing w:line="240" w:lineRule="auto" w:before="76"/>
        <w:ind w:left="149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借款费用资本化期间</w:t>
      </w:r>
    </w:p>
    <w:p>
      <w:pPr>
        <w:pStyle w:val="BodyText"/>
        <w:spacing w:line="300" w:lineRule="auto" w:before="63"/>
        <w:ind w:right="1132" w:firstLine="360"/>
        <w:jc w:val="both"/>
      </w:pPr>
      <w:r>
        <w:rPr>
          <w:rFonts w:ascii="Times New Roman" w:hAnsi="Times New Roman" w:cs="Times New Roman" w:eastAsia="Times New Roman" w:hint="default"/>
        </w:rPr>
        <w:t>(1</w:t>
      </w: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为使资产达到预</w:t>
      </w:r>
      <w:r>
        <w:rPr>
          <w:w w:val="99"/>
        </w:rPr>
        <w:t> </w:t>
      </w:r>
      <w:r>
        <w:rPr/>
        <w:t>定可使用或可销售状态所必要的购建或者生产活动已经开始。</w:t>
      </w:r>
    </w:p>
    <w:p>
      <w:pPr>
        <w:pStyle w:val="BodyText"/>
        <w:spacing w:line="300" w:lineRule="auto" w:before="31"/>
        <w:ind w:right="1129" w:firstLine="360"/>
        <w:jc w:val="both"/>
      </w:pPr>
      <w:r>
        <w:rPr>
          <w:rFonts w:ascii="Times New Roman" w:hAnsi="Times New Roman" w:cs="Times New Roman" w:eastAsia="Times New Roman" w:hint="default"/>
        </w:rPr>
        <w:t>(2</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个月，暂停借款费用的</w:t>
      </w:r>
      <w:r>
        <w:rPr>
          <w:w w:val="99"/>
        </w:rPr>
        <w:t> </w:t>
      </w:r>
      <w:r>
        <w:rPr/>
        <w:t>资本化；中断期间发生的借款费用确认为当期费用，直至资产的购建或者生产活动重新开始。</w:t>
      </w:r>
    </w:p>
    <w:p>
      <w:pPr>
        <w:pStyle w:val="BodyText"/>
        <w:spacing w:line="300" w:lineRule="auto" w:before="31"/>
        <w:ind w:left="1493" w:right="2323"/>
        <w:jc w:val="left"/>
      </w:pPr>
      <w:r>
        <w:rPr>
          <w:rFonts w:ascii="Times New Roman" w:hAnsi="Times New Roman" w:cs="Times New Roman" w:eastAsia="Times New Roman" w:hint="default"/>
        </w:rPr>
        <w:t>(3</w:t>
      </w:r>
      <w:r>
        <w:rPr/>
        <w:t>）当所购建或者生产符合资本化条件的资产达到预定可使用或可销售状态时，借款费用停止资本化。</w:t>
      </w:r>
      <w:r>
        <w:rPr>
          <w:w w:val="99"/>
        </w:rPr>
        <w:t> </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借款费用资本化率以及资本化金额</w:t>
      </w:r>
    </w:p>
    <w:p>
      <w:pPr>
        <w:pStyle w:val="BodyText"/>
        <w:spacing w:line="316" w:lineRule="auto" w:before="13"/>
        <w:ind w:right="1131" w:firstLine="360"/>
        <w:jc w:val="both"/>
      </w:pPr>
      <w:r>
        <w:rPr>
          <w:spacing w:val="-2"/>
        </w:rPr>
        <w:t>为购建或者生产符合资本化条件的资产而借入专门借款的，以专门借款当期实际发生的利息费用（包括按照实际利率法</w:t>
      </w:r>
      <w:r>
        <w:rPr/>
        <w:t> </w:t>
      </w:r>
      <w:r>
        <w:rPr>
          <w:spacing w:val="-2"/>
        </w:rPr>
        <w:t>确定的折价或溢价的摊销），减去将尚未动用的借款资金存入银行取得的利息收入或进行暂时性投资取得的投资收益后的金</w:t>
      </w:r>
      <w:r>
        <w:rPr>
          <w:spacing w:val="-64"/>
        </w:rPr>
        <w:t> </w:t>
      </w:r>
      <w:r>
        <w:rPr>
          <w:spacing w:val="-64"/>
        </w:rPr>
      </w:r>
      <w:r>
        <w:rPr>
          <w:spacing w:val="-2"/>
        </w:rPr>
        <w:t>额，确定应予资本化的利息金额；为购建或者生产符合资本化条件的资产占用了一般借款的，根据累计资产支出超过专门借</w:t>
      </w:r>
      <w:r>
        <w:rPr>
          <w:spacing w:val="-66"/>
        </w:rPr>
        <w:t> </w:t>
      </w:r>
      <w:r>
        <w:rPr>
          <w:spacing w:val="-66"/>
        </w:rPr>
      </w:r>
      <w:r>
        <w:rPr/>
        <w:t>款的资产支出加权平均数乘以占用一般借款的资本化率，计算确定一般借款应予资本化的利息金额。</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9、生物资产" w:id="186"/>
      <w:bookmarkEnd w:id="186"/>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不适用</w:t>
      </w:r>
    </w:p>
    <w:p>
      <w:pPr>
        <w:spacing w:line="240" w:lineRule="auto" w:before="12"/>
        <w:rPr>
          <w:rFonts w:ascii="宋体" w:hAnsi="宋体" w:cs="宋体" w:eastAsia="宋体" w:hint="default"/>
          <w:sz w:val="26"/>
          <w:szCs w:val="26"/>
        </w:rPr>
      </w:pPr>
    </w:p>
    <w:p>
      <w:pPr>
        <w:pStyle w:val="Heading4"/>
        <w:spacing w:line="240" w:lineRule="auto"/>
        <w:ind w:left="1134" w:right="0"/>
        <w:jc w:val="left"/>
        <w:rPr>
          <w:b w:val="0"/>
          <w:bCs w:val="0"/>
        </w:rPr>
      </w:pPr>
      <w:bookmarkStart w:name="20、油气资产" w:id="187"/>
      <w:bookmarkEnd w:id="187"/>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不适用</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1、无形资产" w:id="188"/>
      <w:bookmarkEnd w:id="188"/>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计价方法、使用寿命、减值测试" w:id="189"/>
      <w:bookmarkEnd w:id="18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4" w:right="0"/>
        <w:jc w:val="left"/>
      </w:pPr>
      <w:r>
        <w:rPr>
          <w:rFonts w:ascii="Times New Roman" w:hAnsi="Times New Roman" w:cs="Times New Roman" w:eastAsia="Times New Roman" w:hint="default"/>
        </w:rPr>
        <w:t>1.</w:t>
      </w:r>
      <w:r>
        <w:rPr/>
        <w:t>无形资产包括土地使用权、专利权及非专利技术等，按成本进行初始计量。</w:t>
      </w:r>
    </w:p>
    <w:p>
      <w:pPr>
        <w:pStyle w:val="BodyText"/>
        <w:spacing w:line="300" w:lineRule="auto" w:before="63"/>
        <w:ind w:right="0" w:firstLine="360"/>
        <w:jc w:val="left"/>
      </w:pPr>
      <w:r>
        <w:rPr>
          <w:rFonts w:ascii="Times New Roman" w:hAnsi="Times New Roman" w:cs="Times New Roman" w:eastAsia="Times New Roman" w:hint="default"/>
          <w:spacing w:val="-1"/>
        </w:rPr>
        <w:t>2.</w:t>
      </w:r>
      <w:r>
        <w:rPr>
          <w:spacing w:val="-1"/>
        </w:rPr>
        <w:t>使用寿命有限的无形资产，在使用寿命内按照与该项无形资产有关的经济利益的预期实现方式系统合理地摊销，无法</w:t>
      </w:r>
      <w:r>
        <w:rPr/>
        <w:t> 可靠确定预期实现方式的，采用直线法摊销。具体年限如下：</w:t>
      </w:r>
    </w:p>
    <w:tbl>
      <w:tblPr>
        <w:tblW w:w="0" w:type="auto"/>
        <w:jc w:val="left"/>
        <w:tblInd w:w="1486" w:type="dxa"/>
        <w:tblLayout w:type="fixed"/>
        <w:tblCellMar>
          <w:top w:w="0" w:type="dxa"/>
          <w:left w:w="0" w:type="dxa"/>
          <w:bottom w:w="0" w:type="dxa"/>
          <w:right w:w="0" w:type="dxa"/>
        </w:tblCellMar>
        <w:tblLook w:val="01E0"/>
      </w:tblPr>
      <w:tblGrid>
        <w:gridCol w:w="2160"/>
        <w:gridCol w:w="2160"/>
      </w:tblGrid>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摊销年限</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r>
      <w:tr>
        <w:trPr>
          <w:trHeight w:val="347"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w:t>
            </w:r>
          </w:p>
        </w:tc>
      </w:tr>
      <w:tr>
        <w:trPr>
          <w:trHeight w:val="348"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4"/>
        <w:spacing w:line="240" w:lineRule="auto" w:before="35"/>
        <w:ind w:left="1134" w:right="0"/>
        <w:jc w:val="left"/>
        <w:rPr>
          <w:b w:val="0"/>
          <w:bCs w:val="0"/>
        </w:rPr>
      </w:pPr>
      <w:bookmarkStart w:name="（2）内部研究开发支出会计政策" w:id="190"/>
      <w:bookmarkEnd w:id="19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043" w:firstLine="360"/>
        <w:jc w:val="both"/>
      </w:pPr>
      <w:r>
        <w:rPr>
          <w:spacing w:val="-4"/>
        </w:rPr>
        <w:t>内部研究开发项目研究阶段的支出，于发生时计入当期损益。内部研究开发项目开发阶段的支出，同时满足下列条件的，</w:t>
      </w:r>
      <w:r>
        <w:rPr/>
        <w:t> 确认为无形资产：</w:t>
      </w:r>
    </w:p>
    <w:p>
      <w:pPr>
        <w:pStyle w:val="BodyText"/>
        <w:spacing w:line="240" w:lineRule="auto" w:before="19"/>
        <w:ind w:left="1494" w:right="0"/>
        <w:jc w:val="left"/>
      </w:pP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1493" w:right="0"/>
        <w:jc w:val="left"/>
      </w:pP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left="1134" w:right="1131" w:firstLine="360"/>
        <w:jc w:val="both"/>
      </w:pP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）无形资产产生经济利益的方式，包括能够证明运用该无形资产生产的产品存在市场或无形资产自身存在市场，无形 资产将在内部使用的，能证明其有用性。</w:t>
      </w:r>
    </w:p>
    <w:p>
      <w:pPr>
        <w:pStyle w:val="BodyText"/>
        <w:spacing w:line="240" w:lineRule="auto" w:before="31"/>
        <w:ind w:left="1494" w:right="0"/>
        <w:jc w:val="left"/>
      </w:pP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240" w:lineRule="auto" w:before="63"/>
        <w:ind w:left="1493" w:right="0"/>
        <w:jc w:val="left"/>
      </w:pPr>
      <w:r>
        <w:rPr>
          <w:rFonts w:ascii="Times New Roman" w:hAnsi="Times New Roman" w:cs="Times New Roman" w:eastAsia="Times New Roman" w:hint="default"/>
        </w:rPr>
        <w:t>5</w:t>
      </w:r>
      <w:r>
        <w:rPr/>
        <w:t>）归属于该无形资产开发阶段的支出能够可靠地计量。</w:t>
      </w:r>
    </w:p>
    <w:p>
      <w:pPr>
        <w:spacing w:line="240" w:lineRule="auto" w:before="12"/>
        <w:rPr>
          <w:rFonts w:ascii="宋体" w:hAnsi="宋体" w:cs="宋体" w:eastAsia="宋体" w:hint="default"/>
          <w:sz w:val="25"/>
          <w:szCs w:val="25"/>
        </w:rPr>
      </w:pPr>
    </w:p>
    <w:p>
      <w:pPr>
        <w:pStyle w:val="Heading4"/>
        <w:spacing w:line="240" w:lineRule="auto"/>
        <w:ind w:left="1134" w:right="0"/>
        <w:jc w:val="left"/>
        <w:rPr>
          <w:b w:val="0"/>
          <w:bCs w:val="0"/>
        </w:rPr>
      </w:pPr>
      <w:bookmarkStart w:name="22、长期资产减值" w:id="191"/>
      <w:bookmarkEnd w:id="191"/>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134" w:right="1131" w:firstLine="360"/>
        <w:jc w:val="both"/>
      </w:pPr>
      <w:r>
        <w:rPr>
          <w:spacing w:val="-2"/>
        </w:rPr>
        <w:t>对长期股权投资、采用成本模式计量的投资性房地产、固定资产、在建工程、采用成本模式计量的生产性生物资产、油</w:t>
      </w:r>
      <w:r>
        <w:rPr/>
        <w:t> 气资产、使用寿命有限的无形资产等长期资产</w:t>
      </w:r>
      <w:r>
        <w:rPr>
          <w:rFonts w:ascii="Times New Roman" w:hAnsi="Times New Roman" w:cs="Times New Roman" w:eastAsia="Times New Roman" w:hint="default"/>
        </w:rPr>
        <w:t>,</w:t>
      </w:r>
      <w:r>
        <w:rPr/>
        <w:t>在资产负债表日有迹象表明发生减值的，估计其可收回金额。对因企业合并</w:t>
      </w:r>
      <w:r>
        <w:rPr>
          <w:spacing w:val="-42"/>
        </w:rPr>
        <w:t> </w:t>
      </w:r>
      <w:r>
        <w:rPr>
          <w:spacing w:val="-42"/>
        </w:rPr>
      </w:r>
      <w:r>
        <w:rPr>
          <w:spacing w:val="-2"/>
        </w:rPr>
        <w:t>所形成的商誉和使用寿命不确定的无形资产，无论是否存在减值迹象，每年都进行减值测试。商誉结合与其相关的资产组或</w:t>
      </w:r>
      <w:r>
        <w:rPr>
          <w:spacing w:val="-66"/>
        </w:rPr>
        <w:t> </w:t>
      </w:r>
      <w:r>
        <w:rPr>
          <w:spacing w:val="-66"/>
        </w:rPr>
      </w:r>
      <w:r>
        <w:rPr/>
        <w:t>者资产组组合进行减值测试。</w:t>
      </w:r>
    </w:p>
    <w:p>
      <w:pPr>
        <w:pStyle w:val="BodyText"/>
        <w:spacing w:line="240" w:lineRule="auto" w:before="22"/>
        <w:ind w:left="1494" w:right="0"/>
        <w:jc w:val="left"/>
      </w:pPr>
      <w:r>
        <w:rPr/>
        <w:t>若上述长期资产的可收回金额低于其账面价值的，按其差额确认资产减值准备并计入当期损益。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left="1134" w:right="0"/>
        <w:jc w:val="left"/>
        <w:rPr>
          <w:b w:val="0"/>
          <w:bCs w:val="0"/>
        </w:rPr>
      </w:pPr>
      <w:bookmarkStart w:name="23、长期待摊费用" w:id="192"/>
      <w:bookmarkEnd w:id="192"/>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1" w:firstLine="360"/>
        <w:jc w:val="both"/>
      </w:pPr>
      <w:r>
        <w:rPr>
          <w:spacing w:val="-2"/>
        </w:rPr>
        <w:t>长期待摊费用核算已经支出，摊销期限在</w:t>
      </w:r>
      <w:r>
        <w:rPr>
          <w:rFonts w:ascii="Times New Roman" w:hAnsi="Times New Roman" w:cs="Times New Roman" w:eastAsia="Times New Roman" w:hint="default"/>
          <w:spacing w:val="-2"/>
        </w:rPr>
        <w:t>1</w:t>
      </w:r>
      <w:r>
        <w:rPr>
          <w:spacing w:val="-2"/>
        </w:rPr>
        <w:t>年以上（不含</w:t>
      </w:r>
      <w:r>
        <w:rPr>
          <w:rFonts w:ascii="Times New Roman" w:hAnsi="Times New Roman" w:cs="Times New Roman" w:eastAsia="Times New Roman" w:hint="default"/>
          <w:spacing w:val="-2"/>
        </w:rPr>
        <w:t>1</w:t>
      </w:r>
      <w:r>
        <w:rPr>
          <w:spacing w:val="-2"/>
        </w:rPr>
        <w:t>年）的各项费用。长期待摊费用按实际发生额入账，在受益期</w:t>
      </w:r>
      <w:r>
        <w:rPr/>
        <w:t> </w:t>
      </w:r>
      <w:r>
        <w:rPr>
          <w:spacing w:val="-2"/>
        </w:rPr>
        <w:t>或规定的期限内分期平均摊销。如果长期待摊的费用项目不能使以后会计期间受益则将尚未摊销的该项目的摊余价值全部转</w:t>
      </w:r>
      <w:r>
        <w:rPr>
          <w:spacing w:val="-64"/>
        </w:rPr>
        <w:t> </w:t>
      </w:r>
      <w:r>
        <w:rPr>
          <w:spacing w:val="-64"/>
        </w:rPr>
      </w:r>
      <w:r>
        <w:rPr/>
        <w:t>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1"/>
        <w:ind w:right="0"/>
        <w:jc w:val="left"/>
        <w:rPr>
          <w:b w:val="0"/>
          <w:bCs w:val="0"/>
        </w:rPr>
      </w:pPr>
      <w:bookmarkStart w:name="24、职工薪酬" w:id="193"/>
      <w:bookmarkEnd w:id="193"/>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短期薪酬的会计处理方法" w:id="194"/>
      <w:bookmarkEnd w:id="19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在职工为公司提供服务的会计期间，将实际发生的短期薪酬确认为负债，并计入当期损益或相关资产成本。</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离职后福利的会计处理方法" w:id="195"/>
      <w:bookmarkEnd w:id="19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493" w:right="0"/>
        <w:jc w:val="left"/>
      </w:pPr>
      <w:r>
        <w:rPr/>
        <w:t>离职后福利分为设定提存计划和设定受益计划。</w:t>
      </w:r>
    </w:p>
    <w:p>
      <w:pPr>
        <w:pStyle w:val="BodyText"/>
        <w:spacing w:line="300" w:lineRule="auto" w:before="76"/>
        <w:ind w:right="1135" w:firstLine="36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在职工为公司提供服务的会计期间，根据设定提存计划计算的应缴存金额确认为负债，并计入当期损益或相关资产</w:t>
      </w:r>
      <w:r>
        <w:rPr>
          <w:w w:val="99"/>
        </w:rPr>
        <w:t> </w:t>
      </w:r>
      <w:r>
        <w:rPr/>
        <w:t>成本。</w:t>
      </w:r>
    </w:p>
    <w:p>
      <w:pPr>
        <w:pStyle w:val="BodyText"/>
        <w:spacing w:line="240" w:lineRule="auto" w:before="31"/>
        <w:ind w:left="149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对设定受益计划的会计处理通常包括下列步骤：</w:t>
      </w:r>
    </w:p>
    <w:p>
      <w:pPr>
        <w:pStyle w:val="BodyText"/>
        <w:spacing w:line="309" w:lineRule="auto" w:before="63"/>
        <w:ind w:right="1131" w:firstLine="360"/>
        <w:jc w:val="both"/>
      </w:pPr>
      <w:r>
        <w:rPr>
          <w:rFonts w:ascii="Times New Roman" w:hAnsi="Times New Roman" w:cs="Times New Roman" w:eastAsia="Times New Roman" w:hint="default"/>
          <w:spacing w:val="-1"/>
        </w:rPr>
        <w:t>1.</w:t>
      </w:r>
      <w:r>
        <w:rPr>
          <w:spacing w:val="-1"/>
        </w:rPr>
        <w:t>根据预期累计福利单位法，采用无偏且相互一致的精算假设对有关人口统计变量和财务变量等作出估计，计量设定受</w:t>
      </w:r>
      <w:r>
        <w:rPr/>
        <w:t> </w:t>
      </w:r>
      <w:r>
        <w:rPr>
          <w:spacing w:val="-2"/>
        </w:rPr>
        <w:t>益计划所产生的义务，并确定相关义务的所属期间。同时，对设定受益计划所产生的义务予以折现，以确定设定受益计划义</w:t>
      </w:r>
      <w:r>
        <w:rPr>
          <w:spacing w:val="-65"/>
        </w:rPr>
        <w:t> </w:t>
      </w:r>
      <w:r>
        <w:rPr>
          <w:spacing w:val="-65"/>
        </w:rPr>
      </w:r>
      <w:r>
        <w:rPr/>
        <w:t>务的现值和当期服务成本；</w:t>
      </w:r>
    </w:p>
    <w:p>
      <w:pPr>
        <w:pStyle w:val="BodyText"/>
        <w:spacing w:line="309" w:lineRule="auto" w:before="24"/>
        <w:ind w:right="1132" w:firstLine="360"/>
        <w:jc w:val="both"/>
      </w:pPr>
      <w:r>
        <w:rPr>
          <w:rFonts w:ascii="Times New Roman" w:hAnsi="Times New Roman" w:cs="Times New Roman" w:eastAsia="Times New Roman" w:hint="default"/>
          <w:spacing w:val="-1"/>
        </w:rPr>
        <w:t>2.</w:t>
      </w:r>
      <w:r>
        <w:rPr>
          <w:spacing w:val="-1"/>
        </w:rPr>
        <w:t>设定受益计划存在资产的，将设定受益计划义务现值减去设定受益计划资产公允价值所形成的赤字或盈余确认为一项</w:t>
      </w:r>
      <w:r>
        <w:rPr/>
        <w:t> </w:t>
      </w:r>
      <w:r>
        <w:rPr>
          <w:spacing w:val="-2"/>
        </w:rPr>
        <w:t>设定受益计划净负债或净资产。设定受益计划存在盈余的，以设定受益计划的盈余和资产上限两项的孰低者计量设定受益计</w:t>
      </w:r>
      <w:r>
        <w:rPr>
          <w:spacing w:val="-64"/>
        </w:rPr>
        <w:t> </w:t>
      </w:r>
      <w:r>
        <w:rPr>
          <w:spacing w:val="-64"/>
        </w:rPr>
      </w:r>
      <w:r>
        <w:rPr/>
        <w:t>划净资产；</w:t>
      </w:r>
    </w:p>
    <w:p>
      <w:pPr>
        <w:pStyle w:val="BodyText"/>
        <w:spacing w:line="312" w:lineRule="auto" w:before="24"/>
        <w:ind w:right="1130" w:firstLine="360"/>
        <w:jc w:val="both"/>
      </w:pPr>
      <w:r>
        <w:rPr>
          <w:rFonts w:ascii="Times New Roman" w:hAnsi="Times New Roman" w:cs="Times New Roman" w:eastAsia="Times New Roman" w:hint="default"/>
          <w:spacing w:val="-1"/>
        </w:rPr>
        <w:t>3.</w:t>
      </w:r>
      <w:r>
        <w:rPr>
          <w:spacing w:val="-1"/>
        </w:rPr>
        <w:t>期末，将设定受益计划产生的职工薪酬成本确认为服务成本、设定受益计划净负债或净资产的利息净额以及重新计量</w:t>
      </w:r>
      <w:r>
        <w:rPr/>
        <w:t> </w:t>
      </w:r>
      <w:r>
        <w:rPr>
          <w:spacing w:val="-2"/>
        </w:rPr>
        <w:t>设定受益计划净负债或净资产所产生的变动等三部分，其中服务成本和设定受益计划净负债或净资产的利息净额计入当期损</w:t>
      </w:r>
      <w:r>
        <w:rPr>
          <w:spacing w:val="-63"/>
        </w:rPr>
        <w:t> </w:t>
      </w:r>
      <w:r>
        <w:rPr>
          <w:spacing w:val="-63"/>
        </w:rPr>
      </w:r>
      <w:r>
        <w:rPr>
          <w:spacing w:val="-2"/>
        </w:rPr>
        <w:t>益或相关资产成本，重新计量设定受益计划净负债或净资产所产生的变动计入其他综合收益，并且在后续会计期间不允许转</w:t>
      </w:r>
      <w:r>
        <w:rPr>
          <w:spacing w:val="-64"/>
        </w:rPr>
        <w:t> </w:t>
      </w:r>
      <w:r>
        <w:rPr>
          <w:spacing w:val="-64"/>
        </w:rPr>
      </w:r>
      <w:r>
        <w:rPr/>
        <w:t>回至损益，但可以在权益范围内转移这些在其他综合收益确认的金额。</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3）辞退福利的会计处理方法" w:id="196"/>
      <w:bookmarkEnd w:id="19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firstLine="360"/>
        <w:jc w:val="both"/>
      </w:pPr>
      <w:r>
        <w:rPr/>
        <w:t>向职工提供的辞退福利，在下列两者孰早日确认辞退福利产生的职工薪酬负债，并计入当期损益：</w:t>
      </w:r>
      <w:r>
        <w:rPr>
          <w:rFonts w:ascii="Times New Roman" w:hAnsi="Times New Roman" w:cs="Times New Roman" w:eastAsia="Times New Roman" w:hint="default"/>
        </w:rPr>
        <w:t>1</w:t>
      </w:r>
      <w:r>
        <w:rPr/>
        <w:t>）公司不能单方面 撤回因解除劳动关系计划或裁减建议所提供的辞退福利时；</w:t>
      </w:r>
      <w:r>
        <w:rPr>
          <w:rFonts w:ascii="Times New Roman" w:hAnsi="Times New Roman" w:cs="Times New Roman" w:eastAsia="Times New Roman" w:hint="default"/>
        </w:rPr>
        <w:t>2</w:t>
      </w:r>
      <w:r>
        <w:rPr/>
        <w:t>）公司确认与涉及支付辞退福利的重组相关的成本或费用时。</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4）其他长期职工福利的会计处理方法" w:id="197"/>
      <w:bookmarkEnd w:id="19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firstLine="360"/>
        <w:jc w:val="left"/>
      </w:pPr>
      <w:r>
        <w:rPr>
          <w:spacing w:val="-2"/>
        </w:rPr>
        <w:t>向职工提供的其他长期福利，符合设定提存计划条件的，按照设定提存计划的有关规定进行会计处理；除此之外的其他</w:t>
      </w:r>
      <w:r>
        <w:rPr/>
        <w:t> 长期福利，按照设定受益计划的有关规定进行会计处理，为简化相关会计处理，将其产生的职工薪酬成本确认为服务成本、 其他长期职工福利净负债或净资产的利息净额以及重新计量其他长期职工福利净负债或净资产所产生的变动等组成项目的</w:t>
      </w:r>
      <w:r>
        <w:rPr>
          <w:spacing w:val="-9"/>
        </w:rPr>
        <w:t> </w:t>
      </w:r>
      <w:r>
        <w:rPr>
          <w:spacing w:val="-9"/>
        </w:rPr>
      </w:r>
      <w:r>
        <w:rPr/>
        <w:t>总净额计入当期损益或相关资产成本。</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5、预计负债" w:id="198"/>
      <w:bookmarkEnd w:id="198"/>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134" w:right="1122"/>
        <w:jc w:val="left"/>
      </w:pPr>
      <w:r>
        <w:rPr/>
        <w:t>（</w:t>
      </w:r>
      <w:r>
        <w:rPr>
          <w:rFonts w:ascii="Times New Roman" w:hAnsi="Times New Roman" w:cs="Times New Roman" w:eastAsia="Times New Roman" w:hint="default"/>
        </w:rPr>
        <w:t>1</w:t>
      </w:r>
      <w:r>
        <w:rPr/>
        <w:t>）因对外提供担保、诉讼事项、产品质量保证、亏损合同等或有事项形成的义务成为公司承担的现时义务，履行该义务</w:t>
      </w:r>
      <w:r>
        <w:rPr>
          <w:spacing w:val="-83"/>
        </w:rPr>
        <w:t> </w:t>
      </w:r>
      <w:r>
        <w:rPr>
          <w:spacing w:val="-83"/>
        </w:rPr>
      </w:r>
      <w:r>
        <w:rPr/>
        <w:t>很可能导致经济利益流出公司，且该义务的金额能够可靠的计量时，公司将该项义务确认为预计负债。</w:t>
      </w:r>
    </w:p>
    <w:p>
      <w:pPr>
        <w:pStyle w:val="BodyText"/>
        <w:spacing w:line="300" w:lineRule="auto" w:before="31"/>
        <w:ind w:left="1134" w:right="1122"/>
        <w:jc w:val="left"/>
      </w:pPr>
      <w:r>
        <w:rPr/>
        <w:t>（</w:t>
      </w:r>
      <w:r>
        <w:rPr>
          <w:rFonts w:ascii="Times New Roman" w:hAnsi="Times New Roman" w:cs="Times New Roman" w:eastAsia="Times New Roman" w:hint="default"/>
        </w:rPr>
        <w:t>2</w:t>
      </w:r>
      <w:r>
        <w:rPr/>
        <w:t>）公司按照履行相关现时义务所需支出的最佳估计数对预计负债进行初始计量，并在资产负债表日对预计负债的账面价</w:t>
      </w:r>
      <w:r>
        <w:rPr>
          <w:spacing w:val="-83"/>
        </w:rPr>
        <w:t> </w:t>
      </w:r>
      <w:r>
        <w:rPr>
          <w:spacing w:val="-83"/>
        </w:rPr>
      </w:r>
      <w:r>
        <w:rPr/>
        <w:t>值进行复核。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pStyle w:val="Heading4"/>
        <w:spacing w:line="240" w:lineRule="auto"/>
        <w:ind w:right="0"/>
        <w:jc w:val="left"/>
        <w:rPr>
          <w:b w:val="0"/>
          <w:bCs w:val="0"/>
        </w:rPr>
      </w:pPr>
      <w:bookmarkStart w:name="26、股份支付" w:id="199"/>
      <w:bookmarkEnd w:id="199"/>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494" w:right="6072"/>
        <w:jc w:val="left"/>
      </w:pPr>
      <w:r>
        <w:rPr>
          <w:rFonts w:ascii="Times New Roman" w:hAnsi="Times New Roman" w:cs="Times New Roman" w:eastAsia="Times New Roman" w:hint="default"/>
        </w:rPr>
        <w:t>1.</w:t>
      </w:r>
      <w:r>
        <w:rPr/>
        <w:t>股份支付的种类 包括以权益结算的股份支付和以现金结算的股份支付。 </w:t>
      </w:r>
      <w:r>
        <w:rPr>
          <w:rFonts w:ascii="Times New Roman" w:hAnsi="Times New Roman" w:cs="Times New Roman" w:eastAsia="Times New Roman" w:hint="default"/>
        </w:rPr>
        <w:t>2.</w:t>
      </w:r>
      <w:r>
        <w:rPr/>
        <w:t>实施、修改、终止股份支付计划的相关会计处理</w:t>
      </w:r>
    </w:p>
    <w:p>
      <w:pPr>
        <w:pStyle w:val="BodyText"/>
        <w:spacing w:line="240" w:lineRule="auto" w:before="5"/>
        <w:ind w:left="149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以权益结算的股份支付</w:t>
      </w:r>
    </w:p>
    <w:p>
      <w:pPr>
        <w:spacing w:after="0" w:line="240" w:lineRule="auto"/>
        <w:jc w:val="left"/>
        <w:sectPr>
          <w:footerReference w:type="default" r:id="rId19"/>
          <w:pgSz w:w="11910" w:h="16840"/>
          <w:pgMar w:footer="1505" w:header="747" w:top="1060" w:bottom="1700" w:left="0" w:right="0"/>
          <w:pgNumType w:start="105"/>
        </w:sectPr>
      </w:pPr>
    </w:p>
    <w:p>
      <w:pPr>
        <w:spacing w:line="240" w:lineRule="auto" w:before="12"/>
        <w:rPr>
          <w:rFonts w:ascii="宋体" w:hAnsi="宋体" w:cs="宋体" w:eastAsia="宋体" w:hint="default"/>
          <w:sz w:val="25"/>
          <w:szCs w:val="25"/>
        </w:rPr>
      </w:pPr>
    </w:p>
    <w:p>
      <w:pPr>
        <w:pStyle w:val="BodyText"/>
        <w:spacing w:line="316" w:lineRule="auto" w:before="44"/>
        <w:ind w:right="1130"/>
        <w:jc w:val="both"/>
      </w:pPr>
      <w:r>
        <w:rPr>
          <w:spacing w:val="-2"/>
        </w:rPr>
        <w:t>相应调整资本公积。完成等待期内的服务或达到规定业绩条件才可行权的换取职工服务的以权益结算的股份支付，在等待期</w:t>
      </w:r>
      <w:r>
        <w:rPr>
          <w:spacing w:val="-63"/>
        </w:rPr>
        <w:t> </w:t>
      </w:r>
      <w:r>
        <w:rPr>
          <w:spacing w:val="-63"/>
        </w:rPr>
      </w:r>
      <w:r>
        <w:rPr>
          <w:spacing w:val="-2"/>
        </w:rPr>
        <w:t>内的每个资产负债表日，以对可行权权益工具数量的最佳估计为基础，按权益工具授予日的公允价值，将当期取得的服务计</w:t>
      </w:r>
      <w:r>
        <w:rPr>
          <w:spacing w:val="-66"/>
        </w:rPr>
        <w:t> </w:t>
      </w:r>
      <w:r>
        <w:rPr>
          <w:spacing w:val="-66"/>
        </w:rPr>
      </w:r>
      <w:r>
        <w:rPr/>
        <w:t>入相关成本或费用，相应调整资本公积。</w:t>
      </w:r>
    </w:p>
    <w:p>
      <w:pPr>
        <w:pStyle w:val="BodyText"/>
        <w:spacing w:line="319" w:lineRule="auto" w:before="19"/>
        <w:ind w:right="1132" w:firstLine="360"/>
        <w:jc w:val="both"/>
      </w:pPr>
      <w:r>
        <w:rPr>
          <w:spacing w:val="-2"/>
        </w:rPr>
        <w:t>换取其他方服务的权益结算的股份支付，如果其他方服务的公允价值能够可靠计量的，按照其他方服务在取得日的公允</w:t>
      </w:r>
      <w:r>
        <w:rPr/>
        <w:t> </w:t>
      </w:r>
      <w:r>
        <w:rPr>
          <w:spacing w:val="-2"/>
        </w:rPr>
        <w:t>价值计量；如果其他方服务的公允价值不能可靠计量，但权益工具的公允价值能够可靠计量的，按照权益工具在服务取得日</w:t>
      </w:r>
      <w:r>
        <w:rPr>
          <w:spacing w:val="-66"/>
        </w:rPr>
        <w:t> </w:t>
      </w:r>
      <w:r>
        <w:rPr>
          <w:spacing w:val="-66"/>
        </w:rPr>
      </w:r>
      <w:r>
        <w:rPr/>
        <w:t>的公允价值计量，计入相关成本或费用，相应增加所有者权益。</w:t>
      </w:r>
    </w:p>
    <w:p>
      <w:pPr>
        <w:pStyle w:val="BodyText"/>
        <w:spacing w:line="300" w:lineRule="auto" w:before="17"/>
        <w:ind w:left="149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以现金结算的股份支付</w:t>
      </w:r>
      <w:r>
        <w:rPr>
          <w:w w:val="99"/>
        </w:rPr>
        <w:t> </w:t>
      </w:r>
      <w:r>
        <w:rPr/>
        <w:t>授予后立即可行权的换取职工服务的以现金结算的股份支付，在授予日按公司承担负债的公允价值计入相关成本或费</w:t>
      </w:r>
    </w:p>
    <w:p>
      <w:pPr>
        <w:pStyle w:val="BodyText"/>
        <w:spacing w:line="316" w:lineRule="auto" w:before="31"/>
        <w:ind w:right="1133"/>
        <w:jc w:val="both"/>
      </w:pPr>
      <w:r>
        <w:rPr>
          <w:spacing w:val="-2"/>
        </w:rPr>
        <w:t>用，相应增加负债。完成等待期内的服务或达到规定业绩条件才可行权的换取职工服务的以现金结算的股份支付，在等待期</w:t>
      </w:r>
      <w:r>
        <w:rPr>
          <w:spacing w:val="-66"/>
        </w:rPr>
        <w:t> </w:t>
      </w:r>
      <w:r>
        <w:rPr>
          <w:spacing w:val="-66"/>
        </w:rPr>
      </w:r>
      <w:r>
        <w:rPr>
          <w:spacing w:val="-2"/>
        </w:rPr>
        <w:t>内的每个资产负债表日，以对可行权情况的最佳估计为基础，按公司承担负债的公允价值，将当期取得的服务计入相关成本</w:t>
      </w:r>
      <w:r>
        <w:rPr>
          <w:spacing w:val="-66"/>
        </w:rPr>
        <w:t> </w:t>
      </w:r>
      <w:r>
        <w:rPr>
          <w:spacing w:val="-66"/>
        </w:rPr>
      </w:r>
      <w:r>
        <w:rPr/>
        <w:t>或费用和相应的负债。</w:t>
      </w:r>
    </w:p>
    <w:p>
      <w:pPr>
        <w:pStyle w:val="BodyText"/>
        <w:spacing w:line="300" w:lineRule="auto" w:before="19"/>
        <w:ind w:left="149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修改、终止股份支付计划</w:t>
      </w:r>
      <w:r>
        <w:rPr>
          <w:w w:val="99"/>
        </w:rPr>
        <w:t> </w:t>
      </w:r>
      <w:r>
        <w:rPr>
          <w:spacing w:val="-2"/>
        </w:rPr>
        <w:t>如果修改增加了所授予的权益工具的公允价值，公司按照权益工具公允价值的增加相应地确认取得服务的增加；如果修</w:t>
      </w:r>
    </w:p>
    <w:p>
      <w:pPr>
        <w:pStyle w:val="BodyText"/>
        <w:spacing w:line="316" w:lineRule="auto" w:before="31"/>
        <w:ind w:right="1130"/>
        <w:jc w:val="both"/>
      </w:pPr>
      <w:r>
        <w:rPr>
          <w:spacing w:val="-2"/>
        </w:rPr>
        <w:t>改增加了所授予的权益工具的数量，公司将增加的权益工具的公允价值相应地确认为取得服务的增加；如果公司按照有利于</w:t>
      </w:r>
      <w:r>
        <w:rPr>
          <w:spacing w:val="-63"/>
        </w:rPr>
        <w:t> </w:t>
      </w:r>
      <w:r>
        <w:rPr>
          <w:spacing w:val="-63"/>
        </w:rPr>
      </w:r>
      <w:r>
        <w:rPr/>
        <w:t>职工的方式修改可行权条件，公司在处理可行权条件时，考虑修改后的可行权条件。</w:t>
      </w:r>
    </w:p>
    <w:p>
      <w:pPr>
        <w:pStyle w:val="BodyText"/>
        <w:spacing w:line="316" w:lineRule="auto" w:before="19"/>
        <w:ind w:right="1033" w:firstLine="360"/>
        <w:jc w:val="left"/>
      </w:pPr>
      <w:r>
        <w:rPr/>
        <w:t>如果修改减少了授予的权益工具的公允价值，公司继续以权益工具在授予日的公允价值为基础，确认取得服务的金额， </w:t>
      </w:r>
      <w:r>
        <w:rPr>
          <w:spacing w:val="-2"/>
        </w:rPr>
        <w:t>而不考虑权益工具公允价值的减少；如果修改减少了授予的权益工具的数量，公司将减少部分作为已授予的权益工具的取消</w:t>
      </w:r>
      <w:r>
        <w:rPr>
          <w:spacing w:val="-64"/>
        </w:rPr>
        <w:t> </w:t>
      </w:r>
      <w:r>
        <w:rPr>
          <w:spacing w:val="-64"/>
        </w:rPr>
      </w:r>
      <w:r>
        <w:rPr/>
        <w:t>来进行处理；如果以不利于职工的方式修改了可行权条件，在处理可行权条件时，不考虑修改后的可行权条件。</w:t>
      </w:r>
    </w:p>
    <w:p>
      <w:pPr>
        <w:pStyle w:val="BodyText"/>
        <w:spacing w:line="316" w:lineRule="auto" w:before="19"/>
        <w:ind w:right="1133" w:firstLine="360"/>
        <w:jc w:val="both"/>
      </w:pPr>
      <w:r>
        <w:rPr>
          <w:spacing w:val="-2"/>
        </w:rPr>
        <w:t>如果公司在等待期内取消了所授予的权益工具或结算了所授予的权益工具（因未满足可行权条件而被取消的除外），则</w:t>
      </w:r>
      <w:r>
        <w:rPr/>
        <w:t> 将取消或结算作为加速可行权处理，立即确认原本在剩余等待期内确认的金额。</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27、优先股、永续债等其他金融工具" w:id="200"/>
      <w:bookmarkEnd w:id="200"/>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bookmarkStart w:name="28、收入" w:id="201"/>
      <w:bookmarkEnd w:id="201"/>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493" w:right="607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股份支付的种类 包括以权益结算的股份支付和以现金结算的股份支付。 </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实施、修改、终止股份支付计划的相关会计处理</w:t>
      </w:r>
    </w:p>
    <w:p>
      <w:pPr>
        <w:pStyle w:val="BodyText"/>
        <w:spacing w:line="300" w:lineRule="auto" w:before="5"/>
        <w:ind w:left="1494" w:right="103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以权益结算的股份支付</w:t>
      </w:r>
      <w:r>
        <w:rPr>
          <w:w w:val="99"/>
        </w:rPr>
        <w:t> </w:t>
      </w:r>
      <w:r>
        <w:rPr/>
        <w:t>授予后立即可行权的换取职工服务的以权益结算的股份支付，在授予日按照权益工具的公允价值计入相关成本或费用，</w:t>
      </w:r>
    </w:p>
    <w:p>
      <w:pPr>
        <w:pStyle w:val="BodyText"/>
        <w:spacing w:line="316" w:lineRule="auto" w:before="31"/>
        <w:ind w:left="1134" w:right="1132"/>
        <w:jc w:val="both"/>
      </w:pPr>
      <w:r>
        <w:rPr>
          <w:spacing w:val="-2"/>
        </w:rPr>
        <w:t>相应调整资本公积。完成等待期内的服务或达到规定业绩条件才可行权的换取职工服务的以权益结算的股份支付，在等待期</w:t>
      </w:r>
      <w:r>
        <w:rPr>
          <w:spacing w:val="-64"/>
        </w:rPr>
        <w:t> </w:t>
      </w:r>
      <w:r>
        <w:rPr>
          <w:spacing w:val="-64"/>
        </w:rPr>
      </w:r>
      <w:r>
        <w:rPr>
          <w:spacing w:val="-2"/>
        </w:rPr>
        <w:t>内的每个资产负债表日，以对可行权权益工具数量的最佳估计为基础，按权益工具授予日的公允价值，将当期取得的服务计</w:t>
      </w:r>
      <w:r>
        <w:rPr>
          <w:spacing w:val="-66"/>
        </w:rPr>
        <w:t> </w:t>
      </w:r>
      <w:r>
        <w:rPr>
          <w:spacing w:val="-66"/>
        </w:rPr>
      </w:r>
      <w:r>
        <w:rPr/>
        <w:t>入相关成本或费用，相应调整资本公积。</w:t>
      </w:r>
    </w:p>
    <w:p>
      <w:pPr>
        <w:pStyle w:val="BodyText"/>
        <w:spacing w:line="316" w:lineRule="auto" w:before="19"/>
        <w:ind w:left="1134" w:right="1132" w:firstLine="360"/>
        <w:jc w:val="both"/>
      </w:pPr>
      <w:r>
        <w:rPr>
          <w:spacing w:val="-2"/>
        </w:rPr>
        <w:t>换取其他方服务的权益结算的股份支付，如果其他方服务的公允价值能够可靠计量的，按照其他方服务在取得日的公允</w:t>
      </w:r>
      <w:r>
        <w:rPr/>
        <w:t> </w:t>
      </w:r>
      <w:r>
        <w:rPr>
          <w:spacing w:val="-2"/>
        </w:rPr>
        <w:t>价值计量；如果其他方服务的公允价值不能可靠计量，但权益工具的公允价值能够可靠计量的，按照权益工具在服务取得日</w:t>
      </w:r>
      <w:r>
        <w:rPr>
          <w:spacing w:val="-66"/>
        </w:rPr>
        <w:t> </w:t>
      </w:r>
      <w:r>
        <w:rPr>
          <w:spacing w:val="-66"/>
        </w:rPr>
      </w:r>
      <w:r>
        <w:rPr/>
        <w:t>的公允价值计量，计入相关成本或费用，相应增加所有者权益。</w:t>
      </w:r>
    </w:p>
    <w:p>
      <w:pPr>
        <w:pStyle w:val="BodyText"/>
        <w:spacing w:line="300" w:lineRule="auto" w:before="19"/>
        <w:ind w:left="149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以现金结算的股份支付</w:t>
      </w:r>
      <w:r>
        <w:rPr>
          <w:w w:val="99"/>
        </w:rPr>
        <w:t> </w:t>
      </w:r>
      <w:r>
        <w:rPr/>
        <w:t>授予后立即可行权的换取职工服务的以现金结算的股份支付，在授予日按公司承担负债的公允价值计入相关成本或费</w:t>
      </w:r>
    </w:p>
    <w:p>
      <w:pPr>
        <w:pStyle w:val="BodyText"/>
        <w:spacing w:line="316" w:lineRule="auto" w:before="32"/>
        <w:ind w:left="1134" w:right="1133"/>
        <w:jc w:val="both"/>
      </w:pPr>
      <w:r>
        <w:rPr>
          <w:spacing w:val="-2"/>
        </w:rPr>
        <w:t>用，相应增加负债。完成等待期内的服务或达到规定业绩条件才可行权的换取职工服务的以现金结算的股份支付，在等待期</w:t>
      </w:r>
      <w:r>
        <w:rPr>
          <w:spacing w:val="-66"/>
        </w:rPr>
        <w:t> </w:t>
      </w:r>
      <w:r>
        <w:rPr>
          <w:spacing w:val="-66"/>
        </w:rPr>
      </w:r>
      <w:r>
        <w:rPr>
          <w:spacing w:val="-2"/>
        </w:rPr>
        <w:t>内的每个资产负债表日，以对可行权情况的最佳估计为基础，按公司承担负债的公允价值，将当期取得的服务计入相关成本</w:t>
      </w:r>
      <w:r>
        <w:rPr>
          <w:spacing w:val="-66"/>
        </w:rPr>
        <w:t> </w:t>
      </w:r>
      <w:r>
        <w:rPr>
          <w:spacing w:val="-66"/>
        </w:rPr>
      </w:r>
      <w:r>
        <w:rPr/>
        <w:t>或费用和相应的负债。</w:t>
      </w:r>
    </w:p>
    <w:p>
      <w:pPr>
        <w:pStyle w:val="BodyText"/>
        <w:spacing w:line="300" w:lineRule="auto" w:before="19"/>
        <w:ind w:left="149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修改、终止股份支付计划</w:t>
      </w:r>
      <w:r>
        <w:rPr>
          <w:w w:val="99"/>
        </w:rPr>
        <w:t> </w:t>
      </w:r>
      <w:r>
        <w:rPr>
          <w:spacing w:val="-2"/>
        </w:rPr>
        <w:t>如果修改增加了所授予的权益工具的公允价值，公司按照权益工具公允价值的增加相应地确认取得服务的增加；如果修</w:t>
      </w:r>
    </w:p>
    <w:p>
      <w:pPr>
        <w:spacing w:after="0" w:line="300" w:lineRule="auto"/>
        <w:jc w:val="left"/>
        <w:sectPr>
          <w:footerReference w:type="default" r:id="rId20"/>
          <w:pgSz w:w="11910" w:h="16840"/>
          <w:pgMar w:footer="979" w:header="747" w:top="1060" w:bottom="1160" w:left="0" w:right="0"/>
          <w:pgNumType w:start="106"/>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改增加了所授予的权益工具的数量，公司将增加的权益工具的公允价值相应地确认为取得服务的增加；如果公司按照有利于</w:t>
      </w:r>
      <w:r>
        <w:rPr>
          <w:spacing w:val="-64"/>
        </w:rPr>
        <w:t> </w:t>
      </w:r>
      <w:r>
        <w:rPr>
          <w:spacing w:val="-64"/>
        </w:rPr>
      </w:r>
      <w:r>
        <w:rPr/>
        <w:t>职工的方式修改可行权条件，公司在处理可行权条件时，考虑修改后的可行权条件。</w:t>
      </w:r>
    </w:p>
    <w:p>
      <w:pPr>
        <w:pStyle w:val="BodyText"/>
        <w:spacing w:line="319" w:lineRule="auto" w:before="19"/>
        <w:ind w:right="1033" w:firstLine="360"/>
        <w:jc w:val="left"/>
      </w:pPr>
      <w:r>
        <w:rPr/>
        <w:t>如果修改减少了授予的权益工具的公允价值，公司继续以权益工具在授予日的公允价值为基础，确认取得服务的金额， </w:t>
      </w:r>
      <w:r>
        <w:rPr>
          <w:spacing w:val="-2"/>
        </w:rPr>
        <w:t>而不考虑权益工具公允价值的减少；如果修改减少了授予的权益工具的数量，公司将减少部分作为已授予的权益工具的取消</w:t>
      </w:r>
      <w:r>
        <w:rPr>
          <w:spacing w:val="-64"/>
        </w:rPr>
        <w:t> </w:t>
      </w:r>
      <w:r>
        <w:rPr>
          <w:spacing w:val="-64"/>
        </w:rPr>
      </w:r>
      <w:r>
        <w:rPr/>
        <w:t>来进行处理；如果以不利于职工的方式修改了可行权条件，在处理可行权条件时，不考虑修改后的可行权条件。</w:t>
      </w:r>
    </w:p>
    <w:p>
      <w:pPr>
        <w:pStyle w:val="BodyText"/>
        <w:spacing w:line="316" w:lineRule="auto" w:before="17"/>
        <w:ind w:right="0" w:firstLine="360"/>
        <w:jc w:val="left"/>
      </w:pPr>
      <w:r>
        <w:rPr>
          <w:spacing w:val="-2"/>
        </w:rPr>
        <w:t>如果公司在等待期内取消了所授予的权益工具或结算了所授予的权益工具（因未满足可行权条件而被取消的除外），则</w:t>
      </w:r>
      <w:r>
        <w:rPr/>
        <w:t> 将取消或结算作为加速可行权处理，立即确认原本在剩余等待期内确认的金额。</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9、政府补助" w:id="202"/>
      <w:bookmarkEnd w:id="202"/>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与资产相关的政府补助判断依据及会计处理方法" w:id="203"/>
      <w:bookmarkEnd w:id="203"/>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032" w:firstLine="360"/>
        <w:jc w:val="left"/>
      </w:pPr>
      <w:r>
        <w:rPr/>
        <w:t>公司取得的、用于购建或以其他方式形成长期资产的政府补助划分为与资产相关的政府补助。与资产相关的政府补助， </w:t>
      </w:r>
      <w:r>
        <w:rPr>
          <w:spacing w:val="-2"/>
        </w:rPr>
        <w:t>确认为递延收益，并在相关资产使用寿命内平均分配，计入当期损益。但是，按照名义金额计量的政府补助，直接计入当期</w:t>
      </w:r>
      <w:r>
        <w:rPr>
          <w:spacing w:val="-66"/>
        </w:rPr>
        <w:t> </w:t>
      </w:r>
      <w:r>
        <w:rPr>
          <w:spacing w:val="-66"/>
        </w:rPr>
      </w:r>
      <w:r>
        <w:rPr/>
        <w:t>损益。</w:t>
      </w:r>
    </w:p>
    <w:p>
      <w:pPr>
        <w:spacing w:line="240" w:lineRule="auto" w:before="7"/>
        <w:rPr>
          <w:rFonts w:ascii="宋体" w:hAnsi="宋体" w:cs="宋体" w:eastAsia="宋体" w:hint="default"/>
          <w:sz w:val="22"/>
          <w:szCs w:val="22"/>
        </w:rPr>
      </w:pPr>
    </w:p>
    <w:p>
      <w:pPr>
        <w:pStyle w:val="Heading4"/>
        <w:spacing w:line="240" w:lineRule="auto"/>
        <w:ind w:left="1134" w:right="0"/>
        <w:jc w:val="left"/>
        <w:rPr>
          <w:b w:val="0"/>
          <w:bCs w:val="0"/>
        </w:rPr>
      </w:pPr>
      <w:bookmarkStart w:name="（2）与收益相关的政府补助判断依据及会计处理方法" w:id="204"/>
      <w:bookmarkEnd w:id="204"/>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32" w:firstLine="360"/>
        <w:jc w:val="both"/>
      </w:pPr>
      <w:r>
        <w:rPr>
          <w:spacing w:val="-2"/>
        </w:rPr>
        <w:t>除与资产相关的政府补助之外的政府补助划分为与收益相关的政府补助。与收益相关的政府补助，用于补偿以后期间的</w:t>
      </w:r>
      <w:r>
        <w:rPr/>
        <w:t> </w:t>
      </w:r>
      <w:r>
        <w:rPr>
          <w:spacing w:val="-2"/>
        </w:rPr>
        <w:t>相关费用或损失的，确认为递延收益，在确认相关费用的期间，计入当期损益；用于补偿已发生的相关费用或损失的，直接</w:t>
      </w:r>
      <w:r>
        <w:rPr>
          <w:spacing w:val="-66"/>
        </w:rPr>
        <w:t> </w:t>
      </w:r>
      <w:r>
        <w:rPr>
          <w:spacing w:val="-66"/>
        </w:rPr>
      </w:r>
      <w:r>
        <w:rPr/>
        <w:t>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left="1134" w:right="0"/>
        <w:jc w:val="left"/>
        <w:rPr>
          <w:b w:val="0"/>
          <w:bCs w:val="0"/>
        </w:rPr>
      </w:pPr>
      <w:bookmarkStart w:name="30、递延所得税资产/递延所得税负债" w:id="205"/>
      <w:bookmarkEnd w:id="205"/>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1" w:firstLine="360"/>
        <w:jc w:val="both"/>
      </w:pPr>
      <w:r>
        <w:rPr>
          <w:rFonts w:ascii="Times New Roman" w:hAnsi="Times New Roman" w:cs="Times New Roman" w:eastAsia="Times New Roman" w:hint="default"/>
          <w:spacing w:val="-1"/>
        </w:rPr>
        <w:t>1.</w:t>
      </w:r>
      <w:r>
        <w:rPr>
          <w:spacing w:val="-1"/>
        </w:rPr>
        <w:t>根据资产、负债的账面价值与其计税基础之间的差额（未作为资产和负债确认的项目按照税法规定可以确定其计税基</w:t>
      </w:r>
      <w:r>
        <w:rPr/>
        <w:t> </w:t>
      </w:r>
      <w:r>
        <w:rPr>
          <w:spacing w:val="-2"/>
        </w:rPr>
        <w:t>础的，该计税基础与其账面数之间的差额），按照预期收回该资产或清偿该负债期间的适用税率计算确认递延所得税资产或</w:t>
      </w:r>
      <w:r>
        <w:rPr>
          <w:spacing w:val="-66"/>
        </w:rPr>
        <w:t> </w:t>
      </w:r>
      <w:r>
        <w:rPr>
          <w:spacing w:val="-66"/>
        </w:rPr>
      </w:r>
      <w:r>
        <w:rPr/>
        <w:t>递延所得税负债。</w:t>
      </w:r>
    </w:p>
    <w:p>
      <w:pPr>
        <w:pStyle w:val="BodyText"/>
        <w:spacing w:line="300" w:lineRule="auto" w:before="24"/>
        <w:ind w:right="0" w:firstLine="360"/>
        <w:jc w:val="left"/>
      </w:pPr>
      <w:r>
        <w:rPr>
          <w:rFonts w:ascii="Times New Roman" w:hAnsi="Times New Roman" w:cs="Times New Roman" w:eastAsia="Times New Roman" w:hint="default"/>
          <w:spacing w:val="-1"/>
        </w:rPr>
        <w:t>2.</w:t>
      </w:r>
      <w:r>
        <w:rPr>
          <w:spacing w:val="-1"/>
        </w:rPr>
        <w:t>确认递延所得税资产以很可能取得用来抵扣可抵扣暂时性差异的应纳税所得额为限。资产负债表日，有确凿证据表明</w:t>
      </w:r>
      <w:r>
        <w:rPr/>
        <w:t> 未来期间很可能获得足够的应纳税所得额用来抵扣可抵扣暂时性差异的，确认以前会计期间未确认的递延所得税资产。</w:t>
      </w:r>
    </w:p>
    <w:p>
      <w:pPr>
        <w:pStyle w:val="BodyText"/>
        <w:spacing w:line="300" w:lineRule="auto" w:before="31"/>
        <w:ind w:right="0" w:firstLine="360"/>
        <w:jc w:val="left"/>
      </w:pPr>
      <w:r>
        <w:rPr>
          <w:rFonts w:ascii="Times New Roman" w:hAnsi="Times New Roman" w:cs="Times New Roman" w:eastAsia="Times New Roman" w:hint="default"/>
          <w:spacing w:val="-1"/>
        </w:rPr>
        <w:t>3.</w:t>
      </w:r>
      <w:r>
        <w:rPr>
          <w:spacing w:val="-1"/>
        </w:rPr>
        <w:t>资产负债表日，对递延所得税资产的账面价值进行复核，如果未来期间很可能无法获得足够的应纳税所得额用以抵扣</w:t>
      </w:r>
      <w:r>
        <w:rPr/>
        <w:t> 递延所得税资产的利益，则减记递延所得税资产的账面价值。在很可能获得足够的应纳税所得额时，转回减记的金额。</w:t>
      </w:r>
    </w:p>
    <w:p>
      <w:pPr>
        <w:pStyle w:val="BodyText"/>
        <w:spacing w:line="300" w:lineRule="auto" w:before="31"/>
        <w:ind w:left="1134" w:right="1047" w:firstLine="360"/>
        <w:jc w:val="left"/>
      </w:pPr>
      <w:r>
        <w:rPr>
          <w:rFonts w:ascii="Times New Roman" w:hAnsi="Times New Roman" w:cs="Times New Roman" w:eastAsia="Times New Roman" w:hint="default"/>
        </w:rPr>
        <w:t>4.</w:t>
      </w:r>
      <w:r>
        <w:rPr/>
        <w:t>公司当期所得税和递延所得税作为所得税费用或收益计入当期损益，但不包括下列情况产生的所得税：</w:t>
      </w:r>
      <w:r>
        <w:rPr>
          <w:rFonts w:ascii="Times New Roman" w:hAnsi="Times New Roman" w:cs="Times New Roman" w:eastAsia="Times New Roman" w:hint="default"/>
        </w:rPr>
        <w:t>(1)</w:t>
      </w:r>
      <w:r>
        <w:rPr/>
        <w:t>企业合并； </w:t>
      </w:r>
      <w:r>
        <w:rPr>
          <w:rFonts w:ascii="Times New Roman" w:hAnsi="Times New Roman" w:cs="Times New Roman" w:eastAsia="Times New Roman" w:hint="default"/>
        </w:rPr>
        <w:t>(2)</w:t>
      </w:r>
      <w:r>
        <w:rPr/>
        <w:t>直接在所有者权益中确认的交易或者事项。</w:t>
      </w:r>
    </w:p>
    <w:p>
      <w:pPr>
        <w:spacing w:line="240" w:lineRule="auto" w:before="1"/>
        <w:rPr>
          <w:rFonts w:ascii="宋体" w:hAnsi="宋体" w:cs="宋体" w:eastAsia="宋体" w:hint="default"/>
          <w:sz w:val="22"/>
          <w:szCs w:val="22"/>
        </w:rPr>
      </w:pPr>
    </w:p>
    <w:p>
      <w:pPr>
        <w:pStyle w:val="Heading4"/>
        <w:spacing w:line="240" w:lineRule="auto"/>
        <w:ind w:left="1134" w:right="0"/>
        <w:jc w:val="left"/>
        <w:rPr>
          <w:b w:val="0"/>
          <w:bCs w:val="0"/>
        </w:rPr>
      </w:pPr>
      <w:bookmarkStart w:name="31、租赁" w:id="206"/>
      <w:bookmarkEnd w:id="206"/>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经营租赁的会计处理方法" w:id="207"/>
      <w:bookmarkEnd w:id="20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032" w:firstLine="360"/>
        <w:jc w:val="left"/>
      </w:pPr>
      <w:r>
        <w:rPr/>
        <w:t>公司为承租人时，在租赁期内各个期间按照直线法将租金计入相关资产成本或确认为当期损益，发生的初始直接费用， 直接计入当期损益。或有租金在实际发生时计入当期损益。</w:t>
      </w:r>
    </w:p>
    <w:p>
      <w:pPr>
        <w:pStyle w:val="BodyText"/>
        <w:spacing w:line="316" w:lineRule="auto" w:before="17"/>
        <w:ind w:left="1134" w:right="0" w:firstLine="360"/>
        <w:jc w:val="left"/>
      </w:pPr>
      <w:r>
        <w:rPr>
          <w:spacing w:val="-2"/>
        </w:rPr>
        <w:t>公司为出租人时，在租赁期内各个期间按照直线法将租金确认为当期损益，发生的初始直接费用，除金额较大的予以资</w:t>
      </w:r>
      <w:r>
        <w:rPr/>
        <w:t> 本化并分期计入损益外，均直接计入当期损益。或有租金在实际发生时计入当期损益。</w:t>
      </w:r>
    </w:p>
    <w:p>
      <w:pPr>
        <w:spacing w:after="0" w:line="316"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融资租赁的会计处理方法" w:id="208"/>
      <w:bookmarkEnd w:id="20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firstLine="360"/>
        <w:jc w:val="both"/>
      </w:pPr>
      <w:r>
        <w:rPr>
          <w:spacing w:val="-2"/>
        </w:rPr>
        <w:t>公司为承租人时，在租赁期开始日，公司以租赁开始日租赁资产公允价值与最低租赁付款额现值中两者较低者作为租入</w:t>
      </w:r>
      <w:r>
        <w:rPr/>
        <w:t> </w:t>
      </w:r>
      <w:r>
        <w:rPr>
          <w:spacing w:val="-2"/>
        </w:rPr>
        <w:t>资产的入账价值，将最低租赁付款额作为长期应付款的入账价值，其差额为未确认融资费用，发生的初始直接费用，计入租</w:t>
      </w:r>
      <w:r>
        <w:rPr>
          <w:spacing w:val="-65"/>
        </w:rPr>
        <w:t> </w:t>
      </w:r>
      <w:r>
        <w:rPr>
          <w:spacing w:val="-65"/>
        </w:rPr>
      </w:r>
      <w:r>
        <w:rPr/>
        <w:t>赁资产价值。在租赁期各个期间，采用实际利率法计算确认当期的融资费用。</w:t>
      </w:r>
    </w:p>
    <w:p>
      <w:pPr>
        <w:pStyle w:val="BodyText"/>
        <w:spacing w:line="316" w:lineRule="auto" w:before="17"/>
        <w:ind w:right="1132" w:firstLine="360"/>
        <w:jc w:val="both"/>
      </w:pPr>
      <w:r>
        <w:rPr>
          <w:spacing w:val="-2"/>
        </w:rPr>
        <w:t>公司为出租人时，在租赁期开始日，公司以租赁开始日最低租赁收款额与初始直接费用之和作为应收融资租赁款的入账</w:t>
      </w:r>
      <w:r>
        <w:rPr/>
        <w:t> </w:t>
      </w:r>
      <w:r>
        <w:rPr>
          <w:spacing w:val="-2"/>
        </w:rPr>
        <w:t>价值，同时记录未担保余值；将最低租赁收款额、初始直接费用及未担保余值之和与其现值之和的差额确认为未实现融资收</w:t>
      </w:r>
      <w:r>
        <w:rPr>
          <w:spacing w:val="-66"/>
        </w:rPr>
        <w:t> </w:t>
      </w:r>
      <w:r>
        <w:rPr>
          <w:spacing w:val="-66"/>
        </w:rPr>
      </w:r>
      <w:r>
        <w:rPr/>
        <w:t>益。在租赁期各个期间，采用实际利率法计算确认当期的融资收入。</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32、其他重要的会计政策和会计估计" w:id="209"/>
      <w:bookmarkEnd w:id="209"/>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3、重要会计政策和会计估计变更" w:id="210"/>
      <w:bookmarkEnd w:id="210"/>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11"/>
      <w:bookmarkEnd w:id="21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重要会计估计变更" w:id="212"/>
      <w:bookmarkEnd w:id="21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spacing w:line="487" w:lineRule="auto" w:before="0"/>
        <w:ind w:left="1134" w:right="8966" w:firstLine="0"/>
        <w:jc w:val="left"/>
        <w:rPr>
          <w:rFonts w:ascii="宋体" w:hAnsi="宋体" w:cs="宋体" w:eastAsia="宋体" w:hint="default"/>
          <w:sz w:val="21"/>
          <w:szCs w:val="21"/>
        </w:rPr>
      </w:pPr>
      <w:bookmarkStart w:name="34、其他" w:id="213"/>
      <w:bookmarkEnd w:id="213"/>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4"/>
      <w:bookmarkEnd w:id="214"/>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5"/>
      <w:bookmarkEnd w:id="215"/>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3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，出口货物实行</w:t>
            </w:r>
            <w:r>
              <w:rPr>
                <w:rFonts w:ascii="Times New Roman" w:hAnsi="Times New Roman" w:cs="Times New Roman" w:eastAsia="Times New Roman" w:hint="default"/>
                <w:sz w:val="18"/>
                <w:szCs w:val="18"/>
              </w:rPr>
              <w:t>“</w:t>
            </w:r>
            <w:r>
              <w:rPr>
                <w:rFonts w:ascii="宋体" w:hAnsi="宋体" w:cs="宋体" w:eastAsia="宋体" w:hint="default"/>
                <w:sz w:val="18"/>
                <w:szCs w:val="18"/>
              </w:rPr>
              <w:t>免、抵、退</w:t>
            </w:r>
            <w:r>
              <w:rPr>
                <w:rFonts w:ascii="Times New Roman" w:hAnsi="Times New Roman" w:cs="Times New Roman" w:eastAsia="Times New Roman" w:hint="default"/>
                <w:sz w:val="18"/>
                <w:szCs w:val="18"/>
              </w:rPr>
              <w:t>”</w:t>
            </w:r>
            <w:r>
              <w:rPr>
                <w:rFonts w:ascii="宋体" w:hAnsi="宋体" w:cs="宋体" w:eastAsia="宋体" w:hint="default"/>
                <w:sz w:val="18"/>
                <w:szCs w:val="18"/>
              </w:rPr>
              <w:t>政策， 退税率为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13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本公司、湖州吉昌公司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税收优惠" w:id="216"/>
      <w:bookmarkEnd w:id="21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134" w:right="1122"/>
        <w:jc w:val="left"/>
      </w:pPr>
      <w:r>
        <w:rPr/>
        <w:t>（</w:t>
      </w:r>
      <w:r>
        <w:rPr>
          <w:rFonts w:ascii="Times New Roman" w:hAnsi="Times New Roman" w:cs="Times New Roman" w:eastAsia="Times New Roman" w:hint="default"/>
        </w:rPr>
        <w:t>1</w:t>
      </w:r>
      <w:r>
        <w:rPr/>
        <w:t>）根据浙江省高新技术企业认定管理工作领导小组浙高企认﹝</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05</w:t>
      </w:r>
      <w:r>
        <w:rPr/>
        <w:t>号文，本公司被认定为高新技术企业，认定有效</w:t>
      </w:r>
      <w:r>
        <w:rPr>
          <w:spacing w:val="-82"/>
        </w:rPr>
        <w:t> </w:t>
      </w:r>
      <w:r>
        <w:rPr>
          <w:spacing w:val="-82"/>
        </w:rPr>
      </w:r>
      <w:r>
        <w:rPr/>
        <w:t>期三年，自</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年。本期按</w:t>
      </w:r>
      <w:r>
        <w:rPr>
          <w:rFonts w:ascii="Times New Roman" w:hAnsi="Times New Roman" w:cs="Times New Roman" w:eastAsia="Times New Roman" w:hint="default"/>
        </w:rPr>
        <w:t>15%</w:t>
      </w:r>
      <w:r>
        <w:rPr/>
        <w:t>的税率计缴企业所得税。</w:t>
      </w:r>
    </w:p>
    <w:p>
      <w:pPr>
        <w:pStyle w:val="BodyText"/>
        <w:spacing w:line="300" w:lineRule="auto" w:before="13"/>
        <w:ind w:left="1134" w:right="1122"/>
        <w:jc w:val="left"/>
      </w:pPr>
      <w:r>
        <w:rPr/>
        <w:t>（</w:t>
      </w:r>
      <w:r>
        <w:rPr>
          <w:rFonts w:ascii="Times New Roman" w:hAnsi="Times New Roman" w:cs="Times New Roman" w:eastAsia="Times New Roman" w:hint="default"/>
        </w:rPr>
        <w:t>2</w:t>
      </w:r>
      <w:r>
        <w:rPr/>
        <w:t>）根据浙江省高新技术企业认定管理工作领导小组浙高企认﹝</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02</w:t>
      </w:r>
      <w:r>
        <w:rPr/>
        <w:t>号文，湖州吉昌公司通过高新技术企业复审，认</w:t>
      </w:r>
      <w:r>
        <w:rPr>
          <w:spacing w:val="-82"/>
        </w:rPr>
        <w:t> </w:t>
      </w:r>
      <w:r>
        <w:rPr>
          <w:spacing w:val="-82"/>
        </w:rPr>
      </w:r>
      <w:r>
        <w:rPr/>
        <w:t>定有效期三年，自</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年。本期按</w:t>
      </w:r>
      <w:r>
        <w:rPr>
          <w:rFonts w:ascii="Times New Roman" w:hAnsi="Times New Roman" w:cs="Times New Roman" w:eastAsia="Times New Roman" w:hint="default"/>
        </w:rPr>
        <w:t>15%</w:t>
      </w:r>
      <w:r>
        <w:rPr/>
        <w:t>的税率计缴企业所得税。</w:t>
      </w:r>
    </w:p>
    <w:p>
      <w:pPr>
        <w:spacing w:line="240" w:lineRule="auto" w:before="1"/>
        <w:rPr>
          <w:rFonts w:ascii="宋体" w:hAnsi="宋体" w:cs="宋体" w:eastAsia="宋体" w:hint="default"/>
          <w:sz w:val="22"/>
          <w:szCs w:val="22"/>
        </w:rPr>
      </w:pPr>
    </w:p>
    <w:p>
      <w:pPr>
        <w:spacing w:line="487" w:lineRule="auto" w:before="0"/>
        <w:ind w:left="1133" w:right="7862" w:firstLine="0"/>
        <w:jc w:val="left"/>
        <w:rPr>
          <w:rFonts w:ascii="宋体" w:hAnsi="宋体" w:cs="宋体" w:eastAsia="宋体" w:hint="default"/>
          <w:sz w:val="21"/>
          <w:szCs w:val="21"/>
        </w:rPr>
      </w:pPr>
      <w:bookmarkStart w:name="3、其他" w:id="217"/>
      <w:bookmarkEnd w:id="21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18"/>
      <w:bookmarkEnd w:id="218"/>
      <w:r>
        <w:rPr>
          <w:rFonts w:ascii="宋体" w:hAnsi="宋体" w:cs="宋体" w:eastAsia="宋体" w:hint="default"/>
          <w:b/>
          <w:bCs/>
          <w:spacing w:val="1"/>
          <w:w w:val="99"/>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spacing w:val="1"/>
          <w:w w:val="99"/>
          <w:sz w:val="24"/>
          <w:szCs w:val="24"/>
        </w:rPr>
        <w:t> </w:t>
      </w:r>
      <w:bookmarkStart w:name="1、货币资金" w:id="219"/>
      <w:bookmarkEnd w:id="219"/>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30,168.30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73,806.38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186,199,540.03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148,468,482.60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6,343,272.40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22,891,000.00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192,572,980.73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171,433,288.98</w:t>
            </w:r>
          </w:p>
        </w:tc>
      </w:tr>
    </w:tbl>
    <w:p>
      <w:pPr>
        <w:pStyle w:val="BodyText"/>
        <w:spacing w:line="240" w:lineRule="auto" w:before="51"/>
        <w:ind w:left="1134" w:right="0"/>
        <w:jc w:val="left"/>
      </w:pPr>
      <w:r>
        <w:rPr/>
        <w:t>其他说明</w:t>
      </w:r>
    </w:p>
    <w:p>
      <w:pPr>
        <w:pStyle w:val="BodyText"/>
        <w:spacing w:line="300" w:lineRule="auto" w:before="116"/>
        <w:ind w:right="0"/>
        <w:jc w:val="left"/>
      </w:pPr>
      <w:r>
        <w:rPr>
          <w:spacing w:val="-2"/>
        </w:rPr>
        <w:t>期末银行存款中有</w:t>
      </w:r>
      <w:r>
        <w:rPr>
          <w:rFonts w:ascii="Times New Roman" w:hAnsi="Times New Roman" w:cs="Times New Roman" w:eastAsia="Times New Roman" w:hint="default"/>
          <w:spacing w:val="-2"/>
        </w:rPr>
        <w:t>18,034,000.00</w:t>
      </w:r>
      <w:r>
        <w:rPr>
          <w:spacing w:val="-2"/>
        </w:rPr>
        <w:t>元定期存单质押用于开具银行承兑汇票；其他货币资金中有</w:t>
      </w:r>
      <w:r>
        <w:rPr>
          <w:rFonts w:ascii="Times New Roman" w:hAnsi="Times New Roman" w:cs="Times New Roman" w:eastAsia="Times New Roman" w:hint="default"/>
          <w:spacing w:val="-2"/>
        </w:rPr>
        <w:t>5,793,272.40</w:t>
      </w:r>
      <w:r>
        <w:rPr>
          <w:spacing w:val="-2"/>
        </w:rPr>
        <w:t>元为银行承兑汇票保</w:t>
      </w:r>
      <w:r>
        <w:rPr>
          <w:spacing w:val="-43"/>
        </w:rPr>
        <w:t> </w:t>
      </w:r>
      <w:r>
        <w:rPr/>
        <w:t>证金存款，有</w:t>
      </w:r>
      <w:r>
        <w:rPr>
          <w:rFonts w:ascii="Times New Roman" w:hAnsi="Times New Roman" w:cs="Times New Roman" w:eastAsia="Times New Roman" w:hint="default"/>
        </w:rPr>
        <w:t>550,000.00</w:t>
      </w:r>
      <w:r>
        <w:rPr/>
        <w:t>元为信用证保证金存款。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9"/>
        <w:ind w:left="1134" w:right="0"/>
        <w:jc w:val="left"/>
        <w:rPr>
          <w:b w:val="0"/>
          <w:bCs w:val="0"/>
        </w:rPr>
      </w:pPr>
      <w:bookmarkStart w:name="2、以公允价值计量且其变动计入当期损益的金融资产" w:id="220"/>
      <w:bookmarkEnd w:id="220"/>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衍生金融资产" w:id="221"/>
      <w:bookmarkEnd w:id="221"/>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应收票据" w:id="222"/>
      <w:bookmarkEnd w:id="222"/>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分类列示" w:id="223"/>
      <w:bookmarkEnd w:id="223"/>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7,851,150.00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14,472,203.80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7,851,150.00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14,472,203.80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期末公司已质押的应收票据" w:id="224"/>
      <w:bookmarkEnd w:id="224"/>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期末公司已背书或贴现且在资产负债表日尚未到期的应收票据" w:id="225"/>
      <w:bookmarkEnd w:id="225"/>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41,376,918.56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41,376,918.56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期末公司因出票人未履约而将其转应收账款的票据" w:id="226"/>
      <w:bookmarkEnd w:id="226"/>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应收账款" w:id="227"/>
      <w:bookmarkEnd w:id="227"/>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收账款分类披露" w:id="228"/>
      <w:bookmarkEnd w:id="22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99,714,4</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21.11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5,015,79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94,698,62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5.54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81,651,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543.82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4,122,086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77,529,457.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99,714,4</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21.11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5,015,79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5.57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5.03%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94,698,62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5.54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81,651,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543.82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4,122,086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5.05%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77,529,457.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99,396,511.02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4,969,825.55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247,015.07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24,701.51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70,895.02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21,268.51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99,714,421.11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5,015,795.57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w:t>
            </w: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本期计提、收回或转回的坏账准备情况" w:id="229"/>
      <w:bookmarkEnd w:id="22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left="1134" w:right="-15"/>
        <w:jc w:val="left"/>
      </w:pPr>
      <w:r>
        <w:rPr/>
        <w:t>本期计提坏账准备金额</w:t>
      </w:r>
      <w:r>
        <w:rPr>
          <w:spacing w:val="-48"/>
        </w:rPr>
        <w:t> </w:t>
      </w:r>
      <w:r>
        <w:rPr>
          <w:rFonts w:ascii="Times New Roman" w:hAnsi="Times New Roman" w:cs="Times New Roman" w:eastAsia="Times New Roman" w:hint="default"/>
        </w:rPr>
        <w:t>117,649.92</w:t>
      </w:r>
      <w:r>
        <w:rPr>
          <w:rFonts w:ascii="Times New Roman" w:hAnsi="Times New Roman" w:cs="Times New Roman" w:eastAsia="Times New Roman" w:hint="default"/>
          <w:spacing w:val="-3"/>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293" w:space="1537"/>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实际核销的应收账款情况" w:id="230"/>
      <w:bookmarkEnd w:id="23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13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应收账款核销说明：</w:t>
      </w:r>
    </w:p>
    <w:p>
      <w:pPr>
        <w:pStyle w:val="Heading5"/>
        <w:spacing w:line="240" w:lineRule="auto" w:before="90"/>
        <w:ind w:left="1134" w:right="0"/>
        <w:jc w:val="left"/>
      </w:pPr>
      <w:r>
        <w:rPr/>
        <w:t>本期实际核销应收账款金额</w:t>
      </w:r>
      <w:r>
        <w:rPr>
          <w:rFonts w:ascii="Times New Roman" w:hAnsi="Times New Roman" w:cs="Times New Roman" w:eastAsia="Times New Roman" w:hint="default"/>
        </w:rPr>
        <w:t>11,400.00</w:t>
      </w:r>
      <w:r>
        <w:rPr/>
        <w:t>元。</w:t>
      </w:r>
    </w:p>
    <w:p>
      <w:pPr>
        <w:spacing w:line="240" w:lineRule="auto" w:before="8"/>
        <w:rPr>
          <w:rFonts w:ascii="宋体" w:hAnsi="宋体" w:cs="宋体" w:eastAsia="宋体" w:hint="default"/>
          <w:sz w:val="24"/>
          <w:szCs w:val="24"/>
        </w:rPr>
      </w:pPr>
    </w:p>
    <w:p>
      <w:pPr>
        <w:pStyle w:val="Heading4"/>
        <w:spacing w:line="240" w:lineRule="auto"/>
        <w:ind w:left="1134" w:right="0"/>
        <w:jc w:val="left"/>
        <w:rPr>
          <w:b w:val="0"/>
          <w:bCs w:val="0"/>
        </w:rPr>
      </w:pPr>
      <w:bookmarkStart w:name="（4）按欠款方归集的期末余额前五名的应收账款情况" w:id="231"/>
      <w:bookmarkEnd w:id="23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3347"/>
        <w:gridCol w:w="1726"/>
        <w:gridCol w:w="1724"/>
        <w:gridCol w:w="1726"/>
      </w:tblGrid>
      <w:tr>
        <w:trPr>
          <w:trHeight w:val="65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3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82" w:right="119" w:hanging="263"/>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占应收账款余额 的比例</w:t>
            </w:r>
            <w:r>
              <w:rPr>
                <w:rFonts w:ascii="Times New Roman" w:hAnsi="Times New Roman" w:cs="Times New Roman" w:eastAsia="Times New Roman" w:hint="default"/>
                <w:sz w:val="21"/>
                <w:szCs w:val="21"/>
              </w:rPr>
              <w:t>(%)</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3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CNS CO.</w:t>
            </w:r>
            <w:r>
              <w:rPr>
                <w:rFonts w:ascii="Times New Roman"/>
                <w:spacing w:val="-1"/>
                <w:sz w:val="21"/>
              </w:rPr>
              <w:t> </w:t>
            </w:r>
            <w:r>
              <w:rPr>
                <w:rFonts w:ascii="Times New Roman"/>
                <w:sz w:val="21"/>
              </w:rPr>
              <w:t>LTD.</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13,682,372.35</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13.72</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684,118.62</w:t>
            </w:r>
          </w:p>
        </w:tc>
      </w:tr>
      <w:tr>
        <w:trPr>
          <w:trHeight w:val="34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HENKEL</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SYRIA[</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9,204,281.86</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9.23</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460,214.09</w:t>
            </w:r>
          </w:p>
        </w:tc>
      </w:tr>
      <w:tr>
        <w:trPr>
          <w:trHeight w:val="34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RECKITT</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BENCKISER[</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7,424,120.10</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7.45</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371,206.01</w:t>
            </w:r>
          </w:p>
        </w:tc>
      </w:tr>
      <w:tr>
        <w:trPr>
          <w:trHeight w:val="659"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44"/>
              <w:ind w:left="2" w:right="156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METALL-CHEMIE</w:t>
            </w:r>
            <w:r>
              <w:rPr>
                <w:rFonts w:ascii="Times New Roman" w:hAnsi="Times New Roman" w:cs="Times New Roman" w:eastAsia="Times New Roman" w:hint="default"/>
                <w:w w:val="99"/>
                <w:sz w:val="21"/>
                <w:szCs w:val="21"/>
              </w:rPr>
              <w:t> </w:t>
            </w:r>
            <w:r>
              <w:rPr>
                <w:rFonts w:ascii="Times New Roman" w:hAnsi="Times New Roman" w:cs="Times New Roman" w:eastAsia="Times New Roman" w:hint="default"/>
                <w:sz w:val="21"/>
                <w:szCs w:val="21"/>
              </w:rPr>
              <w:t>CMBH&amp;CO.KC[</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6,764,187.95</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6.78</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338,209.40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6" w:type="dxa"/>
        <w:tblLayout w:type="fixed"/>
        <w:tblCellMar>
          <w:top w:w="0" w:type="dxa"/>
          <w:left w:w="0" w:type="dxa"/>
          <w:bottom w:w="0" w:type="dxa"/>
          <w:right w:w="0" w:type="dxa"/>
        </w:tblCellMar>
        <w:tblLook w:val="01E0"/>
      </w:tblPr>
      <w:tblGrid>
        <w:gridCol w:w="3347"/>
        <w:gridCol w:w="1726"/>
        <w:gridCol w:w="1724"/>
        <w:gridCol w:w="1726"/>
      </w:tblGrid>
      <w:tr>
        <w:trPr>
          <w:trHeight w:val="34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NOURCHEM</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2,852,735.88</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2.86</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142,636.80</w:t>
            </w:r>
          </w:p>
        </w:tc>
      </w:tr>
      <w:tr>
        <w:trPr>
          <w:trHeight w:val="34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39,927,698.14</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40.04</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1,996,384.92</w:t>
            </w:r>
          </w:p>
        </w:tc>
      </w:tr>
    </w:tbl>
    <w:p>
      <w:pPr>
        <w:spacing w:line="240" w:lineRule="auto" w:before="3"/>
        <w:rPr>
          <w:rFonts w:ascii="宋体" w:hAnsi="宋体" w:cs="宋体" w:eastAsia="宋体" w:hint="default"/>
          <w:b/>
          <w:bCs/>
          <w:sz w:val="21"/>
          <w:szCs w:val="21"/>
        </w:rPr>
      </w:pPr>
    </w:p>
    <w:p>
      <w:pPr>
        <w:pStyle w:val="BodyText"/>
        <w:spacing w:line="240" w:lineRule="auto" w:before="44"/>
        <w:ind w:left="1134" w:right="0"/>
        <w:jc w:val="both"/>
        <w:rPr>
          <w:rFonts w:ascii="Times New Roman" w:hAnsi="Times New Roman" w:cs="Times New Roman" w:eastAsia="Times New Roman" w:hint="default"/>
        </w:rPr>
      </w:pPr>
      <w:r>
        <w:rPr>
          <w:rFonts w:ascii="Times New Roman" w:hAnsi="Times New Roman" w:cs="Times New Roman" w:eastAsia="Times New Roman" w:hint="default"/>
          <w:spacing w:val="-3"/>
        </w:rPr>
        <w:t>[</w:t>
      </w:r>
      <w:r>
        <w:rPr>
          <w:spacing w:val="-3"/>
        </w:rPr>
        <w:t>注</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HENKEL</w:t>
      </w:r>
      <w:r>
        <w:rPr>
          <w:rFonts w:ascii="Times New Roman" w:hAnsi="Times New Roman" w:cs="Times New Roman" w:eastAsia="Times New Roman" w:hint="default"/>
          <w:spacing w:val="-9"/>
        </w:rPr>
        <w:t> </w:t>
      </w:r>
      <w:r>
        <w:rPr>
          <w:rFonts w:ascii="Times New Roman" w:hAnsi="Times New Roman" w:cs="Times New Roman" w:eastAsia="Times New Roman" w:hint="default"/>
        </w:rPr>
        <w:t>LEBANON</w:t>
      </w:r>
      <w:r>
        <w:rPr>
          <w:rFonts w:ascii="Times New Roman" w:hAnsi="Times New Roman" w:cs="Times New Roman" w:eastAsia="Times New Roman" w:hint="default"/>
          <w:spacing w:val="-11"/>
        </w:rPr>
        <w:t> </w:t>
      </w:r>
      <w:r>
        <w:rPr>
          <w:rFonts w:ascii="Times New Roman" w:hAnsi="Times New Roman" w:cs="Times New Roman" w:eastAsia="Times New Roman" w:hint="default"/>
        </w:rPr>
        <w:t>S.A.L</w:t>
      </w:r>
      <w:r>
        <w:rPr/>
        <w:t>、</w:t>
      </w:r>
      <w:r>
        <w:rPr>
          <w:rFonts w:ascii="Times New Roman" w:hAnsi="Times New Roman" w:cs="Times New Roman" w:eastAsia="Times New Roman" w:hint="default"/>
        </w:rPr>
        <w:t>HENKEL</w:t>
      </w:r>
      <w:r>
        <w:rPr>
          <w:rFonts w:ascii="Times New Roman" w:hAnsi="Times New Roman" w:cs="Times New Roman" w:eastAsia="Times New Roman" w:hint="default"/>
          <w:spacing w:val="-11"/>
        </w:rPr>
        <w:t> </w:t>
      </w:r>
      <w:r>
        <w:rPr>
          <w:rFonts w:ascii="Times New Roman" w:hAnsi="Times New Roman" w:cs="Times New Roman" w:eastAsia="Times New Roman" w:hint="default"/>
        </w:rPr>
        <w:t>EGYPT</w:t>
      </w:r>
      <w:r>
        <w:rPr>
          <w:rFonts w:ascii="Times New Roman" w:hAnsi="Times New Roman" w:cs="Times New Roman" w:eastAsia="Times New Roman" w:hint="default"/>
          <w:spacing w:val="-10"/>
        </w:rPr>
        <w:t> </w:t>
      </w:r>
      <w:r>
        <w:rPr>
          <w:rFonts w:ascii="Times New Roman" w:hAnsi="Times New Roman" w:cs="Times New Roman" w:eastAsia="Times New Roman" w:hint="default"/>
        </w:rPr>
        <w:t>FOR</w:t>
      </w:r>
      <w:r>
        <w:rPr>
          <w:rFonts w:ascii="Times New Roman" w:hAnsi="Times New Roman" w:cs="Times New Roman" w:eastAsia="Times New Roman" w:hint="default"/>
          <w:spacing w:val="-10"/>
        </w:rPr>
        <w:t> </w:t>
      </w:r>
      <w:r>
        <w:rPr>
          <w:rFonts w:ascii="Times New Roman" w:hAnsi="Times New Roman" w:cs="Times New Roman" w:eastAsia="Times New Roman" w:hint="default"/>
        </w:rPr>
        <w:t>INDUSTRY</w:t>
      </w:r>
      <w:r>
        <w:rPr>
          <w:rFonts w:ascii="Times New Roman" w:hAnsi="Times New Roman" w:cs="Times New Roman" w:eastAsia="Times New Roman" w:hint="default"/>
          <w:spacing w:val="-10"/>
        </w:rPr>
        <w:t> </w:t>
      </w:r>
      <w:r>
        <w:rPr>
          <w:rFonts w:ascii="Times New Roman" w:hAnsi="Times New Roman" w:cs="Times New Roman" w:eastAsia="Times New Roman" w:hint="default"/>
        </w:rPr>
        <w:t>AND</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3"/>
        </w:rPr>
        <w:t>TRADE</w:t>
      </w:r>
      <w:r>
        <w:rPr>
          <w:spacing w:val="-3"/>
        </w:rPr>
        <w:t>，</w:t>
      </w:r>
      <w:r>
        <w:rPr>
          <w:rFonts w:ascii="Times New Roman" w:hAnsi="Times New Roman" w:cs="Times New Roman" w:eastAsia="Times New Roman" w:hint="default"/>
          <w:spacing w:val="-3"/>
        </w:rPr>
        <w:t>S.A.E</w:t>
      </w:r>
      <w:r>
        <w:rPr>
          <w:spacing w:val="-3"/>
        </w:rPr>
        <w:t>、</w:t>
      </w:r>
      <w:r>
        <w:rPr>
          <w:rFonts w:ascii="Times New Roman" w:hAnsi="Times New Roman" w:cs="Times New Roman" w:eastAsia="Times New Roman" w:hint="default"/>
          <w:spacing w:val="-3"/>
        </w:rPr>
        <w:t>HENKEL</w:t>
      </w:r>
      <w:r>
        <w:rPr>
          <w:rFonts w:ascii="Times New Roman" w:hAnsi="Times New Roman" w:cs="Times New Roman" w:eastAsia="Times New Roman" w:hint="default"/>
          <w:spacing w:val="-11"/>
        </w:rPr>
        <w:t> </w:t>
      </w:r>
      <w:r>
        <w:rPr>
          <w:rFonts w:ascii="Times New Roman" w:hAnsi="Times New Roman" w:cs="Times New Roman" w:eastAsia="Times New Roman" w:hint="default"/>
        </w:rPr>
        <w:t>TUNISIE</w:t>
      </w:r>
      <w:r>
        <w:rPr>
          <w:rFonts w:ascii="Times New Roman" w:hAnsi="Times New Roman" w:cs="Times New Roman" w:eastAsia="Times New Roman" w:hint="default"/>
          <w:spacing w:val="-10"/>
        </w:rPr>
        <w:t> </w:t>
      </w:r>
      <w:r>
        <w:rPr>
          <w:rFonts w:ascii="Times New Roman" w:hAnsi="Times New Roman" w:cs="Times New Roman" w:eastAsia="Times New Roman" w:hint="default"/>
        </w:rPr>
        <w:t>SOTE</w:t>
      </w:r>
      <w:r>
        <w:rPr>
          <w:rFonts w:ascii="Times New Roman" w:hAnsi="Times New Roman" w:cs="Times New Roman" w:eastAsia="Times New Roman" w:hint="default"/>
          <w:spacing w:val="-11"/>
        </w:rPr>
        <w:t> </w:t>
      </w:r>
      <w:r>
        <w:rPr>
          <w:rFonts w:ascii="Times New Roman" w:hAnsi="Times New Roman" w:cs="Times New Roman" w:eastAsia="Times New Roman" w:hint="default"/>
        </w:rPr>
        <w:t>PROD</w:t>
      </w:r>
    </w:p>
    <w:p>
      <w:pPr>
        <w:pStyle w:val="BodyText"/>
        <w:spacing w:line="300" w:lineRule="auto" w:before="63"/>
        <w:ind w:left="1134" w:right="1117"/>
        <w:jc w:val="left"/>
        <w:rPr>
          <w:rFonts w:ascii="Times New Roman" w:hAnsi="Times New Roman" w:cs="Times New Roman" w:eastAsia="Times New Roman" w:hint="default"/>
        </w:rPr>
      </w:pPr>
      <w:r>
        <w:rPr>
          <w:rFonts w:ascii="Times New Roman" w:hAnsi="Times New Roman" w:cs="Times New Roman" w:eastAsia="Times New Roman" w:hint="default"/>
          <w:spacing w:val="6"/>
        </w:rPr>
        <w:t>DETERGENT</w:t>
      </w:r>
      <w:r>
        <w:rPr>
          <w:spacing w:val="6"/>
        </w:rPr>
        <w:t>等公司同受</w:t>
      </w:r>
      <w:r>
        <w:rPr>
          <w:rFonts w:ascii="Times New Roman" w:hAnsi="Times New Roman" w:cs="Times New Roman" w:eastAsia="Times New Roman" w:hint="default"/>
          <w:spacing w:val="6"/>
        </w:rPr>
        <w:t>HENKEL </w:t>
      </w:r>
      <w:r>
        <w:rPr>
          <w:rFonts w:ascii="Times New Roman" w:hAnsi="Times New Roman" w:cs="Times New Roman" w:eastAsia="Times New Roman" w:hint="default"/>
          <w:spacing w:val="7"/>
        </w:rPr>
        <w:t>SYRIA</w:t>
      </w:r>
      <w:r>
        <w:rPr>
          <w:spacing w:val="7"/>
        </w:rPr>
        <w:t>控制，</w:t>
      </w:r>
      <w:r>
        <w:rPr>
          <w:spacing w:val="-68"/>
        </w:rPr>
        <w:t> </w:t>
      </w:r>
      <w:r>
        <w:rPr>
          <w:spacing w:val="10"/>
        </w:rPr>
        <w:t>此处</w:t>
      </w:r>
      <w:r>
        <w:rPr>
          <w:spacing w:val="-67"/>
        </w:rPr>
        <w:t> </w:t>
      </w:r>
      <w:r>
        <w:rPr>
          <w:spacing w:val="14"/>
        </w:rPr>
        <w:t>将同受</w:t>
      </w:r>
      <w:r>
        <w:rPr>
          <w:spacing w:val="-66"/>
        </w:rPr>
        <w:t> </w:t>
      </w:r>
      <w:r>
        <w:rPr>
          <w:rFonts w:ascii="Times New Roman" w:hAnsi="Times New Roman" w:cs="Times New Roman" w:eastAsia="Times New Roman" w:hint="default"/>
        </w:rPr>
        <w:t>HENKEL</w:t>
      </w:r>
      <w:r>
        <w:rPr>
          <w:rFonts w:ascii="Times New Roman" w:hAnsi="Times New Roman" w:cs="Times New Roman" w:eastAsia="Times New Roman" w:hint="default"/>
          <w:spacing w:val="12"/>
        </w:rPr>
        <w:t> SYRIA</w:t>
      </w:r>
      <w:r>
        <w:rPr>
          <w:spacing w:val="12"/>
        </w:rPr>
        <w:t>控制的公司进行汇</w:t>
      </w:r>
      <w:r>
        <w:rPr>
          <w:spacing w:val="-67"/>
        </w:rPr>
        <w:t> </w:t>
      </w:r>
      <w:r>
        <w:rPr>
          <w:spacing w:val="15"/>
        </w:rPr>
        <w:t>总披露；</w:t>
      </w:r>
      <w:r>
        <w:rPr>
          <w:spacing w:val="-67"/>
        </w:rPr>
        <w:t> </w:t>
      </w:r>
      <w:r>
        <w:rPr>
          <w:rFonts w:ascii="Times New Roman" w:hAnsi="Times New Roman" w:cs="Times New Roman" w:eastAsia="Times New Roman" w:hint="default"/>
        </w:rPr>
        <w:t>RECKITT</w:t>
      </w:r>
      <w:r>
        <w:rPr>
          <w:rFonts w:ascii="Times New Roman" w:hAnsi="Times New Roman" w:cs="Times New Roman" w:eastAsia="Times New Roman" w:hint="default"/>
          <w:spacing w:val="-43"/>
        </w:rPr>
        <w:t> </w:t>
      </w:r>
      <w:r>
        <w:rPr>
          <w:rFonts w:ascii="Times New Roman" w:hAnsi="Times New Roman" w:cs="Times New Roman" w:eastAsia="Times New Roman" w:hint="default"/>
        </w:rPr>
        <w:t>BENCKISER MEXICO</w:t>
      </w:r>
      <w:r>
        <w:rPr/>
        <w:t>、</w:t>
      </w:r>
      <w:r>
        <w:rPr>
          <w:rFonts w:ascii="Times New Roman" w:hAnsi="Times New Roman" w:cs="Times New Roman" w:eastAsia="Times New Roman" w:hint="default"/>
        </w:rPr>
        <w:t>RECKITT BENCKISER COLOMBIA</w:t>
      </w:r>
      <w:r>
        <w:rPr/>
        <w:t>等公司同受</w:t>
      </w:r>
      <w:r>
        <w:rPr>
          <w:rFonts w:ascii="Times New Roman" w:hAnsi="Times New Roman" w:cs="Times New Roman" w:eastAsia="Times New Roman" w:hint="default"/>
        </w:rPr>
        <w:t>RECKITT</w:t>
      </w:r>
      <w:r>
        <w:rPr>
          <w:rFonts w:ascii="Times New Roman" w:hAnsi="Times New Roman" w:cs="Times New Roman" w:eastAsia="Times New Roman" w:hint="default"/>
          <w:spacing w:val="-15"/>
        </w:rPr>
        <w:t> </w:t>
      </w:r>
      <w:r>
        <w:rPr>
          <w:rFonts w:ascii="Times New Roman" w:hAnsi="Times New Roman" w:cs="Times New Roman" w:eastAsia="Times New Roman" w:hint="default"/>
        </w:rPr>
        <w:t>BENCKISER</w:t>
      </w:r>
      <w:r>
        <w:rPr/>
        <w:t>控制，此处将同受</w:t>
      </w:r>
      <w:r>
        <w:rPr>
          <w:rFonts w:ascii="Times New Roman" w:hAnsi="Times New Roman" w:cs="Times New Roman" w:eastAsia="Times New Roman" w:hint="default"/>
        </w:rPr>
        <w:t>RECKITT</w:t>
      </w:r>
    </w:p>
    <w:p>
      <w:pPr>
        <w:pStyle w:val="BodyText"/>
        <w:spacing w:line="300" w:lineRule="auto" w:before="13"/>
        <w:ind w:right="1132"/>
        <w:jc w:val="both"/>
      </w:pPr>
      <w:r>
        <w:rPr>
          <w:rFonts w:ascii="Times New Roman" w:hAnsi="Times New Roman" w:cs="Times New Roman" w:eastAsia="Times New Roman" w:hint="default"/>
        </w:rPr>
        <w:t>BENCKISER</w:t>
      </w:r>
      <w:r>
        <w:rPr>
          <w:rFonts w:ascii="Times New Roman" w:hAnsi="Times New Roman" w:cs="Times New Roman" w:eastAsia="Times New Roman" w:hint="default"/>
          <w:spacing w:val="-10"/>
        </w:rPr>
        <w:t> </w:t>
      </w:r>
      <w:r>
        <w:rPr>
          <w:spacing w:val="31"/>
        </w:rPr>
        <w:t>控制的公司进行汇总披露；</w:t>
      </w:r>
      <w:r>
        <w:rPr>
          <w:spacing w:val="-56"/>
        </w:rPr>
        <w:t> </w:t>
      </w:r>
      <w:r>
        <w:rPr>
          <w:rFonts w:ascii="Times New Roman" w:hAnsi="Times New Roman" w:cs="Times New Roman" w:eastAsia="Times New Roman" w:hint="default"/>
        </w:rPr>
        <w:t>METALL-CHEMIE</w:t>
      </w:r>
      <w:r>
        <w:rPr>
          <w:rFonts w:ascii="Times New Roman" w:hAnsi="Times New Roman" w:cs="Times New Roman" w:eastAsia="Times New Roman" w:hint="default"/>
          <w:spacing w:val="19"/>
        </w:rPr>
        <w:t> </w:t>
      </w:r>
      <w:r>
        <w:rPr>
          <w:rFonts w:ascii="Times New Roman" w:hAnsi="Times New Roman" w:cs="Times New Roman" w:eastAsia="Times New Roman" w:hint="default"/>
        </w:rPr>
        <w:t>CMBH&amp;CO.KC</w:t>
      </w:r>
      <w:r>
        <w:rPr>
          <w:rFonts w:ascii="Times New Roman" w:hAnsi="Times New Roman" w:cs="Times New Roman" w:eastAsia="Times New Roman" w:hint="default"/>
          <w:spacing w:val="-11"/>
        </w:rPr>
        <w:t> </w:t>
      </w:r>
      <w:r>
        <w:rPr>
          <w:spacing w:val="31"/>
        </w:rPr>
        <w:t>、米拓贸易（上海）有限公司同</w:t>
      </w:r>
      <w:r>
        <w:rPr>
          <w:spacing w:val="-55"/>
        </w:rPr>
        <w:t> </w:t>
      </w:r>
      <w:r>
        <w:rPr/>
        <w:t>受</w:t>
      </w:r>
      <w:r>
        <w:rPr/>
        <w:t> </w:t>
      </w:r>
      <w:r>
        <w:rPr>
          <w:rFonts w:ascii="Times New Roman" w:hAnsi="Times New Roman" w:cs="Times New Roman" w:eastAsia="Times New Roman" w:hint="default"/>
        </w:rPr>
        <w:t>METALL-CHEMIE CMBH&amp;CO.KC</w:t>
      </w:r>
      <w:r>
        <w:rPr/>
        <w:t>控制，此处将同受</w:t>
      </w:r>
      <w:r>
        <w:rPr>
          <w:rFonts w:ascii="Times New Roman" w:hAnsi="Times New Roman" w:cs="Times New Roman" w:eastAsia="Times New Roman" w:hint="default"/>
        </w:rPr>
        <w:t>METALL-CHEMIE</w:t>
      </w:r>
      <w:r>
        <w:rPr>
          <w:rFonts w:ascii="Times New Roman" w:hAnsi="Times New Roman" w:cs="Times New Roman" w:eastAsia="Times New Roman" w:hint="default"/>
          <w:spacing w:val="14"/>
        </w:rPr>
        <w:t> </w:t>
      </w:r>
      <w:r>
        <w:rPr>
          <w:rFonts w:ascii="Times New Roman" w:hAnsi="Times New Roman" w:cs="Times New Roman" w:eastAsia="Times New Roman" w:hint="default"/>
        </w:rPr>
        <w:t>CMBH&amp;CO.KC</w:t>
      </w:r>
      <w:r>
        <w:rPr/>
        <w:t>控制的公司进行汇总披露。母公司 应收账款同。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8"/>
        <w:ind w:left="1134" w:right="0"/>
        <w:jc w:val="both"/>
        <w:rPr>
          <w:b w:val="0"/>
          <w:bCs w:val="0"/>
        </w:rPr>
      </w:pPr>
      <w:bookmarkStart w:name="（5）因金融资产转移而终止确认的应收账款" w:id="232"/>
      <w:bookmarkEnd w:id="232"/>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both"/>
        <w:rPr>
          <w:b w:val="0"/>
          <w:bCs w:val="0"/>
        </w:rPr>
      </w:pPr>
      <w:bookmarkStart w:name="（6）转移应收账款且继续涉入形成的资产、负债金额" w:id="233"/>
      <w:bookmarkEnd w:id="233"/>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both"/>
      </w:pPr>
      <w:r>
        <w:rPr/>
        <w:t>其他说明：</w:t>
      </w:r>
    </w:p>
    <w:p>
      <w:pPr>
        <w:spacing w:line="240" w:lineRule="auto" w:before="10"/>
        <w:rPr>
          <w:rFonts w:ascii="宋体" w:hAnsi="宋体" w:cs="宋体" w:eastAsia="宋体" w:hint="default"/>
          <w:sz w:val="26"/>
          <w:szCs w:val="26"/>
        </w:rPr>
      </w:pPr>
    </w:p>
    <w:p>
      <w:pPr>
        <w:pStyle w:val="Heading4"/>
        <w:spacing w:line="240" w:lineRule="auto"/>
        <w:ind w:left="1134" w:right="0"/>
        <w:jc w:val="both"/>
        <w:rPr>
          <w:b w:val="0"/>
          <w:bCs w:val="0"/>
        </w:rPr>
      </w:pPr>
      <w:bookmarkStart w:name="6、预付款项" w:id="234"/>
      <w:bookmarkEnd w:id="234"/>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both"/>
        <w:rPr>
          <w:b w:val="0"/>
          <w:bCs w:val="0"/>
        </w:rPr>
      </w:pPr>
      <w:bookmarkStart w:name="（1）预付款项按账龄列示" w:id="235"/>
      <w:bookmarkEnd w:id="23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7"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4,488,994.66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4,754,664.10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83,887.40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168,173.35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46,270.00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36,313.13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72,945.00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13,588.50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4,692,097.06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4,972,739.08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4"/>
        <w:spacing w:line="240" w:lineRule="auto"/>
        <w:ind w:left="1134" w:right="0"/>
        <w:jc w:val="left"/>
        <w:rPr>
          <w:b w:val="0"/>
          <w:bCs w:val="0"/>
        </w:rPr>
      </w:pPr>
      <w:bookmarkStart w:name="（2）按预付对象归集的期末余额前五名的预付款情况" w:id="236"/>
      <w:bookmarkEnd w:id="23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4070"/>
        <w:gridCol w:w="2519"/>
        <w:gridCol w:w="1935"/>
      </w:tblGrid>
      <w:tr>
        <w:trPr>
          <w:trHeight w:val="659"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8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87" w:right="225" w:hanging="264"/>
              <w:jc w:val="left"/>
              <w:rPr>
                <w:rFonts w:ascii="Times New Roman" w:hAnsi="Times New Roman" w:cs="Times New Roman" w:eastAsia="Times New Roman" w:hint="default"/>
                <w:sz w:val="21"/>
                <w:szCs w:val="21"/>
              </w:rPr>
            </w:pPr>
            <w:r>
              <w:rPr>
                <w:rFonts w:ascii="宋体" w:hAnsi="宋体" w:cs="宋体" w:eastAsia="宋体" w:hint="default"/>
                <w:sz w:val="21"/>
                <w:szCs w:val="21"/>
              </w:rPr>
              <w:t>占预付款项余额 的比例</w:t>
            </w:r>
            <w:r>
              <w:rPr>
                <w:rFonts w:ascii="Times New Roman" w:hAnsi="Times New Roman" w:cs="Times New Roman" w:eastAsia="Times New Roman" w:hint="default"/>
                <w:sz w:val="21"/>
                <w:szCs w:val="21"/>
              </w:rPr>
              <w:t>(%)</w:t>
            </w:r>
          </w:p>
        </w:tc>
      </w:tr>
      <w:tr>
        <w:trPr>
          <w:trHeight w:val="348"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EASTMAN CHEMICAL</w:t>
            </w:r>
            <w:r>
              <w:rPr>
                <w:rFonts w:ascii="Times New Roman"/>
                <w:spacing w:val="-3"/>
                <w:sz w:val="21"/>
              </w:rPr>
              <w:t> </w:t>
            </w:r>
            <w:r>
              <w:rPr>
                <w:rFonts w:ascii="Times New Roman"/>
                <w:sz w:val="21"/>
              </w:rPr>
              <w:t>LTD.</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1,278,271.65</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27.24</w:t>
            </w:r>
          </w:p>
        </w:tc>
      </w:tr>
      <w:tr>
        <w:trPr>
          <w:trHeight w:val="347"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陶氏化学太平洋有限公司</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1,006,829.63</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21.46</w:t>
            </w:r>
          </w:p>
        </w:tc>
      </w:tr>
      <w:tr>
        <w:trPr>
          <w:trHeight w:val="347"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浙江天诺医药科技有限公司</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1,000,000.00</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21.31</w:t>
            </w:r>
          </w:p>
        </w:tc>
      </w:tr>
      <w:tr>
        <w:trPr>
          <w:trHeight w:val="347"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上虞振兴固废处理有限公司</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213,955.52</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4.56</w:t>
            </w:r>
          </w:p>
        </w:tc>
      </w:tr>
      <w:tr>
        <w:trPr>
          <w:trHeight w:val="347"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上海志添得物资有限公司</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123,549.87</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2.63</w:t>
            </w:r>
          </w:p>
        </w:tc>
      </w:tr>
      <w:tr>
        <w:trPr>
          <w:trHeight w:val="348"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3,622,606.67</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77.20</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应收利息" w:id="237"/>
      <w:bookmarkEnd w:id="237"/>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应收利息分类" w:id="238"/>
      <w:bookmarkEnd w:id="238"/>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1,241,792.31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1,241,792.31</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重要逾期利息" w:id="239"/>
      <w:bookmarkEnd w:id="239"/>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8、应收股利" w:id="240"/>
      <w:bookmarkEnd w:id="240"/>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收股利" w:id="241"/>
      <w:bookmarkEnd w:id="241"/>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重要的账龄超过1年的应收股利" w:id="242"/>
      <w:bookmarkEnd w:id="242"/>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9、其他应收款" w:id="243"/>
      <w:bookmarkEnd w:id="243"/>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244"/>
      <w:bookmarkEnd w:id="24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967,298.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202,540.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764,757.9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313,407</w:t>
            </w:r>
          </w:p>
          <w:p>
            <w:pPr>
              <w:pStyle w:val="TableParagraph"/>
              <w:spacing w:line="240" w:lineRule="auto" w:before="106"/>
              <w:ind w:left="395" w:right="0"/>
              <w:jc w:val="left"/>
              <w:rPr>
                <w:rFonts w:ascii="Times New Roman" w:hAnsi="Times New Roman" w:cs="Times New Roman" w:eastAsia="Times New Roman" w:hint="default"/>
                <w:sz w:val="18"/>
                <w:szCs w:val="18"/>
              </w:rPr>
            </w:pPr>
            <w:r>
              <w:rPr>
                <w:rFonts w:ascii="Times New Roman"/>
                <w:sz w:val="18"/>
              </w:rPr>
              <w:t>.13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30,370.36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283,036.77</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5,812,0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56.60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94.88%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581,205.6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5,230,850.9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967,298.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202,540.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764,757.9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6,125,4</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63.73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611,576.0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5,513,887.7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736,170.40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36,808.52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58,429.00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5,842.90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154,398.85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154,398.85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967,298.25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202,540.27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20.94%</w:t>
            </w:r>
          </w:p>
        </w:tc>
      </w:tr>
    </w:tbl>
    <w:p>
      <w:pPr>
        <w:pStyle w:val="BodyText"/>
        <w:spacing w:line="357" w:lineRule="auto" w:before="51"/>
        <w:ind w:left="1134" w:right="6252"/>
        <w:jc w:val="left"/>
      </w:pPr>
      <w:r>
        <w:rPr/>
        <w:t>确定该组合依据的说明： 组合中，采用余额百分比法计提坏账准备的其他应收款：</w:t>
      </w:r>
    </w:p>
    <w:p>
      <w:pPr>
        <w:pStyle w:val="BodyText"/>
        <w:spacing w:line="338" w:lineRule="auto" w:before="2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本期计提、收回或转回的坏账准备情况" w:id="245"/>
      <w:bookmarkEnd w:id="24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40" w:lineRule="auto" w:before="44"/>
        <w:ind w:right="-15"/>
        <w:jc w:val="left"/>
      </w:pPr>
      <w:r>
        <w:rPr/>
        <w:t>本期计提坏账准备金额</w:t>
      </w:r>
      <w:r>
        <w:rPr>
          <w:rFonts w:ascii="Times New Roman" w:hAnsi="Times New Roman" w:cs="Times New Roman" w:eastAsia="Times New Roman" w:hint="default"/>
        </w:rPr>
        <w:t>-814,204.46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314" w:space="1515"/>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实际核销的其他应收款情况" w:id="246"/>
      <w:bookmarkEnd w:id="24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其中重要的其他应收款核销情况：</w:t>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1134" w:right="0"/>
        <w:jc w:val="left"/>
      </w:pPr>
      <w:r>
        <w:rPr/>
        <w:t>其他应收款核销说明：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4）其他应收款按款项性质分类情况" w:id="247"/>
      <w:bookmarkEnd w:id="24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上市中介费</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5,812,056.60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151,000.00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106,169.30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524,601.53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256,696.72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207,237.83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967,298.25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6,125,463.73</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按欠款方归集的期末余额前五名的其他应收款情况" w:id="248"/>
      <w:bookmarkEnd w:id="24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闵建忠</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194,083.35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9,704.17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蒋兴权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中国石化集团资产 经营管理有限公司 巴陵石化分公司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吴忠坤</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66,911.85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64,751.85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吴兴方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51,340.00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587,335.20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138,796.02</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6）涉及政府补助的应收款项" w:id="249"/>
      <w:bookmarkEnd w:id="249"/>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7）因金融资产转移而终止确认的其他应收款" w:id="250"/>
      <w:bookmarkEnd w:id="250"/>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转移其他应收款且继续涉入形成的资产、负债金额" w:id="251"/>
      <w:bookmarkEnd w:id="251"/>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0、存货" w:id="252"/>
      <w:bookmarkEnd w:id="252"/>
      <w:r>
        <w:rPr>
          <w:b w:val="0"/>
          <w:bCs w:val="0"/>
        </w:rPr>
      </w: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存货分类" w:id="253"/>
      <w:bookmarkEnd w:id="25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26,260,055.55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26,260,055.55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26,563,395.20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26,563,395.20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14,927,427.89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14,927,427.89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15,143,817.94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15,143,817.94</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19,772,627.65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19,826.52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19,752,801.13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17,897,264.66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14,418.48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17,882,846.18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60,960,111.09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19,826.52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60,940,284.57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59,604,477.80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14,418.48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59,590,059.32</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存货跌价准备" w:id="254"/>
      <w:bookmarkEnd w:id="25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14,418.48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19,826.52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14,418.48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19,826.52</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14,418.48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19,826.52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14,418.48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19,826.52</w:t>
            </w:r>
          </w:p>
        </w:tc>
      </w:tr>
    </w:tbl>
    <w:p>
      <w:pPr>
        <w:pStyle w:val="BodyText"/>
        <w:spacing w:line="316" w:lineRule="auto" w:before="10"/>
        <w:ind w:left="1134" w:right="1032"/>
        <w:jc w:val="left"/>
      </w:pPr>
      <w:r>
        <w:rPr/>
        <w:t>存货跌价准备系根据成本高于库存商品预计售价减去预计的销售费用和相关税费后的金额所确定的可变现净值的差额计提。 本期有</w:t>
      </w:r>
      <w:r>
        <w:rPr>
          <w:rFonts w:ascii="Times New Roman" w:hAnsi="Times New Roman" w:cs="Times New Roman" w:eastAsia="Times New Roman" w:hint="default"/>
        </w:rPr>
        <w:t>14,418.48</w:t>
      </w:r>
      <w:r>
        <w:rPr/>
        <w:t>元的存货跌价准备由于销售而转销。</w:t>
      </w:r>
    </w:p>
    <w:p>
      <w:pPr>
        <w:spacing w:line="240" w:lineRule="auto" w:before="13"/>
        <w:rPr>
          <w:rFonts w:ascii="宋体" w:hAnsi="宋体" w:cs="宋体" w:eastAsia="宋体" w:hint="default"/>
          <w:sz w:val="20"/>
          <w:szCs w:val="20"/>
        </w:rPr>
      </w:pPr>
    </w:p>
    <w:p>
      <w:pPr>
        <w:pStyle w:val="Heading4"/>
        <w:spacing w:line="240" w:lineRule="auto"/>
        <w:ind w:left="1134" w:right="0"/>
        <w:jc w:val="left"/>
        <w:rPr>
          <w:b w:val="0"/>
          <w:bCs w:val="0"/>
        </w:rPr>
      </w:pPr>
      <w:bookmarkStart w:name="（3）存货期末余额含有借款费用资本化金额的说明" w:id="255"/>
      <w:bookmarkEnd w:id="255"/>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4）期末建造合同形成的已完工未结算资产情况" w:id="256"/>
      <w:bookmarkEnd w:id="256"/>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1、划分为持有待售的资产" w:id="257"/>
      <w:bookmarkEnd w:id="257"/>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2、一年内到期的非流动资产" w:id="258"/>
      <w:bookmarkEnd w:id="258"/>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3、其他流动资产" w:id="259"/>
      <w:bookmarkEnd w:id="259"/>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3,404,879.37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1,875,634.82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441,499.39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1,050,170.93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7,846,378.76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2,925,805.75</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4、可供出售金融资产" w:id="260"/>
      <w:bookmarkEnd w:id="260"/>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61"/>
      <w:bookmarkEnd w:id="261"/>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4"/>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期末按公允价值计量的可供出售金融资产" w:id="262"/>
      <w:bookmarkEnd w:id="262"/>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期末按成本计量的可供出售金融资产" w:id="263"/>
      <w:bookmarkEnd w:id="263"/>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报告期内可供出售金融资产减值的变动情况" w:id="264"/>
      <w:bookmarkEnd w:id="264"/>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可供出售权益工具期末公允价值严重下跌或非暂时性下跌但未计提减值准备的相关说" w:id="265"/>
      <w:bookmarkEnd w:id="265"/>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5、持有至到期投资" w:id="266"/>
      <w:bookmarkEnd w:id="266"/>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持有至到期投资情况" w:id="267"/>
      <w:bookmarkEnd w:id="267"/>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期末重要的持有至到期投资" w:id="268"/>
      <w:bookmarkEnd w:id="268"/>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重分类的持有至到期投资" w:id="269"/>
      <w:bookmarkEnd w:id="269"/>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16、长期应收款" w:id="270"/>
      <w:bookmarkEnd w:id="270"/>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长期应收款情况" w:id="271"/>
      <w:bookmarkEnd w:id="271"/>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因金融资产转移而终止确认的长期应收款" w:id="272"/>
      <w:bookmarkEnd w:id="272"/>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3）转移长期应收款且继续涉入形成的资产、负债金额" w:id="273"/>
      <w:bookmarkEnd w:id="273"/>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7、长期股权投资" w:id="274"/>
      <w:bookmarkEnd w:id="274"/>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浙江润科 新材料科 技有限公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1,695,270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-1,228,56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29,466,70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1.32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1,695,270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29,000,00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-1,228,56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29,466,70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1.32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1,695,270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29,000,00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-1,228,56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29,466,70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1.32</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pStyle w:val="BodyText"/>
        <w:spacing w:line="240" w:lineRule="auto" w:before="115"/>
        <w:ind w:right="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：浙江润科新材料科技有限公司以下简称润科新材料公司。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4"/>
        <w:spacing w:line="240" w:lineRule="auto"/>
        <w:ind w:left="1134" w:right="0"/>
        <w:jc w:val="left"/>
        <w:rPr>
          <w:b w:val="0"/>
          <w:bCs w:val="0"/>
        </w:rPr>
      </w:pPr>
      <w:bookmarkStart w:name="18、投资性房地产" w:id="275"/>
      <w:bookmarkEnd w:id="275"/>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采用成本计量模式的投资性房地产" w:id="276"/>
      <w:bookmarkEnd w:id="27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采用公允价值计量模式的投资性房地产" w:id="277"/>
      <w:bookmarkEnd w:id="27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未办妥产权证书的投资性房地产情况" w:id="278"/>
      <w:bookmarkEnd w:id="278"/>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9、固定资产" w:id="279"/>
      <w:bookmarkEnd w:id="279"/>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固定资产情况" w:id="280"/>
      <w:bookmarkEnd w:id="28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1"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128,396,170.64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2,125,348.02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244,669,571.15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1,809,702.57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377,000,792.38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20,733,186.36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1,101,232.53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19,173,921.71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2,470,536.25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43,478,876.85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11,067,313.70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307,537.23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3,755,654.23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171,972.52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15,302,477.68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5,060,214.79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5,060,214.79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9,665,872.66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793,695.30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10,358,052.69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2,298,563.73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23,116,184.38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6,293,547.48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94,664.00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6,388,211.48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6,293,547.48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94,664.00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6,388,211.48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149,129,357.00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3,226,580.55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257,549,945.38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4,185,574.82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414,091,457.75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23,554,786.92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1,112,510.95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113,367,885.54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797,337.47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138,832,520.88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10,655,241.75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794,058.12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28,911,517.49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2,224,891.16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42,585,708.52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6,748,387.05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393,542.66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25,702,427.57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292,331.16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33,136,688.44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3,906,854.70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400,515.46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3,209,089.92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1,932,560.00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9,449,020.08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5,275,550.96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89,930.80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5,365,481.76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5,275,550.96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89,930.80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5,365,481.76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34,210,028.67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1,906,569.07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137,003,852.07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2,932,297.83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176,052,747.64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114,919,328.33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1,320,011.48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120,546,093.31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1,253,276.99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238,038,710.11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104,841,383.72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1,012,837.07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131,301,685.61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1,012,365.10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238,168,271.50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暂时闲置的固定资产情况" w:id="281"/>
      <w:bookmarkEnd w:id="281"/>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通过融资租赁租入的固定资产情况" w:id="282"/>
      <w:bookmarkEnd w:id="282"/>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4）通过经营租赁租出的固定资产" w:id="283"/>
      <w:bookmarkEnd w:id="283"/>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4,955,101.46</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4,955,101.46</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未办妥产权证书的固定资产情况" w:id="284"/>
      <w:bookmarkEnd w:id="284"/>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19,857,862.49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19,857,862.49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0、在建工程" w:id="285"/>
      <w:bookmarkEnd w:id="285"/>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在建工程情况" w:id="286"/>
      <w:bookmarkEnd w:id="28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4102"/>
        <w:gridCol w:w="4102"/>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万吨包裹 型无磷过碳酸钠 技改项目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27,803,092.92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27,803,092.92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2,172,414.00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2,172,414.00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研发中心建设项 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5,845,410.66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5,845,410.66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万吨混合型</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技改项目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3,238,806.30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3,238,806.30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硝化车间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2,396,339.41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2,396,339.41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2000t/</w:t>
            </w:r>
            <w:r>
              <w:rPr>
                <w:rFonts w:ascii="宋体" w:hAnsi="宋体" w:cs="宋体" w:eastAsia="宋体" w:hint="default"/>
                <w:sz w:val="18"/>
                <w:szCs w:val="18"/>
              </w:rPr>
              <w:t>年全氟己 酮项目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3,111,380.63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3,111,380.63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3,615,691.19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3,615,691.19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1,183,053.14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1,183,053.14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42,771,914.81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42,771,914.81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6,634,273.44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6,634,273.44</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重要在建工程项目本期变动情况" w:id="287"/>
      <w:bookmarkEnd w:id="287"/>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13"/>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万吨包 裹型无 磷过碳 酸钠技 改项目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147,800,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2,172,41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25,630,6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78.92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27,803,0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92.92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18.81%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研发中 心建设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26,070,0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5,805,41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0.66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5,845,41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22.42%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万吨混 合型 </w:t>
            </w:r>
            <w:r>
              <w:rPr>
                <w:rFonts w:ascii="Times New Roman" w:hAnsi="Times New Roman" w:cs="Times New Roman" w:eastAsia="Times New Roman" w:hint="default"/>
                <w:sz w:val="18"/>
                <w:szCs w:val="18"/>
              </w:rPr>
              <w:t>SPC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技</w:t>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改项目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3,238,80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6.30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141,763.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3,380,57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37.56%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硝化车 间</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2,396,33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9.41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2,396,33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79.88%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2000t/</w:t>
            </w:r>
            <w:r>
              <w:rPr>
                <w:rFonts w:ascii="宋体" w:hAnsi="宋体" w:cs="宋体" w:eastAsia="宋体" w:hint="default"/>
                <w:sz w:val="18"/>
                <w:szCs w:val="18"/>
              </w:rPr>
              <w:t>年 全氟己 酮项目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18,000,0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3,111,38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0.63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3,111,38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17.29%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零星工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1,183,05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4,112,28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1,679,64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3,615,69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6"/>
        <w:gridCol w:w="737"/>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9" w:right="0"/>
              <w:jc w:val="left"/>
              <w:rPr>
                <w:rFonts w:ascii="Times New Roman" w:hAnsi="Times New Roman" w:cs="Times New Roman" w:eastAsia="Times New Roman" w:hint="default"/>
                <w:sz w:val="18"/>
                <w:szCs w:val="18"/>
              </w:rPr>
            </w:pPr>
            <w:r>
              <w:rPr>
                <w:rFonts w:ascii="Times New Roman"/>
                <w:sz w:val="18"/>
              </w:rPr>
              <w:t>3.14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2.77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4.72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1.19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203,870,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6,634,27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41,197,8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56.16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5,060,21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4.79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42,771,9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14.81</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计提在建工程减值准备情况" w:id="288"/>
      <w:bookmarkEnd w:id="288"/>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1、工程物资" w:id="289"/>
      <w:bookmarkEnd w:id="289"/>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2、固定资产清理" w:id="290"/>
      <w:bookmarkEnd w:id="290"/>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3、生产性生物资产" w:id="291"/>
      <w:bookmarkEnd w:id="291"/>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生产性生物资产" w:id="292"/>
      <w:bookmarkEnd w:id="292"/>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采用公允价值计量模式的生产性生物资产" w:id="293"/>
      <w:bookmarkEnd w:id="293"/>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4、油气资产" w:id="294"/>
      <w:bookmarkEnd w:id="294"/>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5、无形资产" w:id="295"/>
      <w:bookmarkEnd w:id="295"/>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无形资产情况" w:id="296"/>
      <w:bookmarkEnd w:id="29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4"/>
        <w:gridCol w:w="1594"/>
        <w:gridCol w:w="1594"/>
        <w:gridCol w:w="1605"/>
        <w:gridCol w:w="1571"/>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605" w:type="dxa"/>
            <w:tcBorders>
              <w:top w:val="single" w:sz="4" w:space="0" w:color="000000"/>
              <w:left w:val="single" w:sz="4" w:space="0" w:color="000000"/>
              <w:bottom w:val="single" w:sz="4" w:space="0" w:color="000000"/>
              <w:right w:val="single" w:sz="9" w:space="0" w:color="D2D2D2"/>
            </w:tcBorders>
            <w:shd w:val="clear" w:color="auto" w:fill="E0FFFF"/>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57,819,736.75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57,819,736.75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8,086,465.80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9,140,000.00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17,226,465.80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8,086,465.80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9,140,000.00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17,226,465.80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65,906,202.55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75,046,202.55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6,574,270.08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6,574,270.08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3,948,874.82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761,666.65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4,710,541.47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1,504,005.32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761,666.65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2,265,671.97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2,444,869.50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2,444,869.50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10,523,144.90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761,666.65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11,284,811.55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55,383,057.65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8,378,333.35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63,761,391.00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51,245,466.67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51,245,466.67</w:t>
            </w:r>
          </w:p>
        </w:tc>
      </w:tr>
    </w:tbl>
    <w:p>
      <w:pPr>
        <w:pStyle w:val="BodyText"/>
        <w:spacing w:line="240" w:lineRule="auto" w:before="51"/>
        <w:ind w:left="1134"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未办妥产权证书的土地使用权情况" w:id="297"/>
      <w:bookmarkEnd w:id="297"/>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6、开发支出" w:id="298"/>
      <w:bookmarkEnd w:id="298"/>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7、商誉" w:id="299"/>
      <w:bookmarkEnd w:id="299"/>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商誉账面原值" w:id="300"/>
      <w:bookmarkEnd w:id="300"/>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湖州吉昌公司</w:t>
            </w: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116,100,234.32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116,100,234.32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116,100,234.32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116,100,234.32</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商誉减值准备" w:id="301"/>
      <w:bookmarkEnd w:id="30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1"/>
        <w:ind w:left="1494" w:right="0" w:hanging="360"/>
        <w:jc w:val="left"/>
      </w:pPr>
      <w:r>
        <w:rPr/>
        <w:t>说明商誉减值测试过程、参数及商誉减值损失的确认方法： </w:t>
      </w:r>
      <w:r>
        <w:rPr>
          <w:spacing w:val="-2"/>
        </w:rPr>
        <w:t>商誉的可收回金额按照预计未来现金流量的现值计算，其预计现金流量根据公司批准的现金流量预测为基础，现金流量</w:t>
      </w:r>
    </w:p>
    <w:p>
      <w:pPr>
        <w:pStyle w:val="BodyText"/>
        <w:spacing w:line="224" w:lineRule="exact"/>
        <w:ind w:left="1134" w:right="0"/>
        <w:jc w:val="left"/>
      </w:pPr>
      <w:r>
        <w:rPr/>
        <w:t>预测使用折现率进行折现，预测期以后的现金流量根据增长率推断得出，该增长率和行业总体长期平均增长率相当。</w:t>
      </w:r>
    </w:p>
    <w:p>
      <w:pPr>
        <w:pStyle w:val="BodyText"/>
        <w:spacing w:line="316" w:lineRule="auto" w:before="76"/>
        <w:ind w:left="1493" w:right="0"/>
        <w:jc w:val="left"/>
      </w:pPr>
      <w:r>
        <w:rPr/>
        <w:t>减值测试中采用的其他关键数据包括：产品预计售价、销量、生产成本及其他相关费用。 </w:t>
      </w:r>
      <w:r>
        <w:rPr>
          <w:spacing w:val="-2"/>
        </w:rPr>
        <w:t>公司根据历史经验及对市场发展的预测确定上述关键数据。公司采用的折现率是反映当前市场货币时间价值和相关资产</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493" w:right="6073" w:hanging="360"/>
        <w:jc w:val="left"/>
      </w:pPr>
      <w:r>
        <w:rPr/>
        <w:t>组特定风险的税前利率。 上述对可收回金额的预计表明商誉并未出现减值损失。</w:t>
      </w:r>
    </w:p>
    <w:p>
      <w:pPr>
        <w:pStyle w:val="BodyText"/>
        <w:spacing w:line="240" w:lineRule="auto" w:before="59"/>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8、长期待摊费用" w:id="302"/>
      <w:bookmarkEnd w:id="302"/>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工作液及催化剂</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20,409,402.49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4,341,880.33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8,354,312.31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16,396,970.51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欧盟注册费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472,768.50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475,294.09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2,474.41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20,882,170.99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4,346,880.33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8,829,606.40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16,399,444.92</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9、递延所得税资产/递延所得税负债" w:id="303"/>
      <w:bookmarkEnd w:id="303"/>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304"/>
      <w:bookmarkEnd w:id="304"/>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5,035,622.09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809,792.50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4,136,504.55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706,309.03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1,600,701.02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400,175.26</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交易性金融工具、衍生 金融工具的公允价值变 动</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768,281.68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127,502.05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5,035,622.09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809,792.50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6,505,487.25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1,233,986.34</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未经抵销的递延所得税负债" w:id="305"/>
      <w:bookmarkEnd w:id="30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以抵销后净额列示的递延所得税资产或负债" w:id="306"/>
      <w:bookmarkEnd w:id="306"/>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0" w:right="0"/>
              <w:jc w:val="left"/>
              <w:rPr>
                <w:rFonts w:ascii="Times New Roman" w:hAnsi="Times New Roman" w:cs="Times New Roman" w:eastAsia="Times New Roman" w:hint="default"/>
                <w:sz w:val="18"/>
                <w:szCs w:val="18"/>
              </w:rPr>
            </w:pPr>
            <w:r>
              <w:rPr>
                <w:rFonts w:ascii="Times New Roman"/>
                <w:sz w:val="18"/>
              </w:rPr>
              <w:t>809,792.50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1,233,986.34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未确认递延所得税资产明细" w:id="307"/>
      <w:bookmarkEnd w:id="307"/>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184,511.25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1,600,701.02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202,540.27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611,576.02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387,051.52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2,212,277.04</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未确认递延所得税资产的可抵扣亏损将于以下年度到期" w:id="308"/>
      <w:bookmarkEnd w:id="308"/>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1,600,701.02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184,511.25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184,511.25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1,600,701.02</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0、其他非流动资产" w:id="309"/>
      <w:bookmarkEnd w:id="309"/>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1、短期借款" w:id="310"/>
      <w:bookmarkEnd w:id="310"/>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短期借款分类" w:id="311"/>
      <w:bookmarkEnd w:id="311"/>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抵押保证借款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104,000,000.00</w:t>
            </w:r>
          </w:p>
        </w:tc>
      </w:tr>
    </w:tbl>
    <w:p>
      <w:pPr>
        <w:pStyle w:val="BodyText"/>
        <w:spacing w:line="240" w:lineRule="auto" w:before="51"/>
        <w:ind w:left="1134" w:right="0"/>
        <w:jc w:val="left"/>
      </w:pPr>
      <w:r>
        <w:rPr/>
        <w:t>短期借款分类的说明：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2）已逾期未偿还的短期借款情况" w:id="312"/>
      <w:bookmarkEnd w:id="312"/>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2、以公允价值计量且其变动计入当期损益的金融负债" w:id="313"/>
      <w:bookmarkEnd w:id="313"/>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 期损益的金融负债</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768,281.68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768,281.68</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3、衍生金融负债" w:id="314"/>
      <w:bookmarkEnd w:id="314"/>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4、应付票据" w:id="315"/>
      <w:bookmarkEnd w:id="315"/>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32,328,272.40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32,087,445.60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32,328,272.40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32,087,445.60</w:t>
            </w:r>
          </w:p>
        </w:tc>
      </w:tr>
    </w:tbl>
    <w:p>
      <w:pPr>
        <w:pStyle w:val="BodyText"/>
        <w:spacing w:line="240" w:lineRule="auto" w:before="51"/>
        <w:ind w:left="1134" w:right="0"/>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35、应付账款" w:id="316"/>
      <w:bookmarkEnd w:id="316"/>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付账款列示" w:id="317"/>
      <w:bookmarkEnd w:id="317"/>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24,729,486.20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21,703,280.49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应付设备工程款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3,038,404.79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2,652,447.79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应付运费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665,918.51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726,936.26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256,572.00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317,873.40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28,690,381.50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25,400,537.94</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账龄超过1年的重要应付账款" w:id="318"/>
      <w:bookmarkEnd w:id="31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spacing w:val="-3"/>
        </w:rPr>
        <w:t>1</w:t>
      </w:r>
      <w:r>
        <w:rPr>
          <w:spacing w:val="-3"/>
        </w:rPr>
        <w:t>）应付股权转让款</w:t>
      </w:r>
      <w:r>
        <w:rPr>
          <w:rFonts w:ascii="Times New Roman" w:hAnsi="Times New Roman" w:cs="Times New Roman" w:eastAsia="Times New Roman" w:hint="default"/>
          <w:spacing w:val="-3"/>
        </w:rPr>
        <w:t>7,190</w:t>
      </w:r>
      <w:r>
        <w:rPr>
          <w:spacing w:val="-3"/>
        </w:rPr>
        <w:t>万元，系本期本公司收购湖州吉昌公司</w:t>
      </w:r>
      <w:r>
        <w:rPr>
          <w:rFonts w:ascii="Times New Roman" w:hAnsi="Times New Roman" w:cs="Times New Roman" w:eastAsia="Times New Roman" w:hint="default"/>
          <w:spacing w:val="-3"/>
        </w:rPr>
        <w:t>60%</w:t>
      </w:r>
      <w:r>
        <w:rPr>
          <w:spacing w:val="-3"/>
        </w:rPr>
        <w:t>股权</w:t>
      </w:r>
      <w:r>
        <w:rPr>
          <w:rFonts w:ascii="Times New Roman" w:hAnsi="Times New Roman" w:cs="Times New Roman" w:eastAsia="Times New Roman" w:hint="default"/>
          <w:spacing w:val="-3"/>
        </w:rPr>
        <w:t>,</w:t>
      </w:r>
      <w:r>
        <w:rPr>
          <w:spacing w:val="-3"/>
        </w:rPr>
        <w:t>按约定尚需支付湖州吉昌公司原股东的股权转让款。</w:t>
      </w:r>
    </w:p>
    <w:p>
      <w:pPr>
        <w:pStyle w:val="BodyText"/>
        <w:spacing w:line="240" w:lineRule="auto" w:before="63"/>
        <w:ind w:left="1134" w:right="0"/>
        <w:jc w:val="left"/>
      </w:pPr>
      <w:r>
        <w:rPr>
          <w:rFonts w:ascii="Times New Roman" w:hAnsi="Times New Roman" w:cs="Times New Roman" w:eastAsia="Times New Roman" w:hint="default"/>
        </w:rPr>
        <w:t>2</w:t>
      </w:r>
      <w:r>
        <w:rPr/>
        <w:t>）应付保证金中包含本公司收到的定向增发保证金</w:t>
      </w:r>
      <w:r>
        <w:rPr>
          <w:rFonts w:ascii="Times New Roman" w:hAnsi="Times New Roman" w:cs="Times New Roman" w:eastAsia="Times New Roman" w:hint="default"/>
        </w:rPr>
        <w:t>4,495</w:t>
      </w:r>
      <w:r>
        <w:rPr/>
        <w:t>万元。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36、预收款项" w:id="319"/>
      <w:bookmarkEnd w:id="319"/>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预收款项列示" w:id="320"/>
      <w:bookmarkEnd w:id="32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5,800,165.64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1,905,636.36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5,800,165.64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1,905,636.36</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账龄超过1年的重要预收款项" w:id="321"/>
      <w:bookmarkEnd w:id="32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期末建造合同形成的已结算未完工项目情况" w:id="322"/>
      <w:bookmarkEnd w:id="322"/>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7、应付职工薪酬" w:id="323"/>
      <w:bookmarkEnd w:id="323"/>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付职工薪酬列示" w:id="324"/>
      <w:bookmarkEnd w:id="32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2,689,706.37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42,289,792.66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40,143,305.89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4,836,193.14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125,023.82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2,915,213.69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2,886,861.71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153,375.80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2,814,730.19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45,205,006.35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43,030,167.60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4,989,568.94</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短期薪酬列示" w:id="325"/>
      <w:bookmarkEnd w:id="32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3" w:right="0"/>
              <w:jc w:val="left"/>
              <w:rPr>
                <w:rFonts w:ascii="Times New Roman" w:hAnsi="Times New Roman" w:cs="Times New Roman" w:eastAsia="Times New Roman" w:hint="default"/>
                <w:sz w:val="18"/>
                <w:szCs w:val="18"/>
              </w:rPr>
            </w:pPr>
            <w:r>
              <w:rPr>
                <w:rFonts w:ascii="Times New Roman"/>
                <w:sz w:val="18"/>
              </w:rPr>
              <w:t>423,000.00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35,869,596.07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34,686,229.07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1,606,367.00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1,527,883.12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1,527,883.12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94,932.69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2,020,324.81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2,001,573.66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113,683.84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58,086.34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1,459,080.83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1,424,202.21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92,964.96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24,432.14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437,180.89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445,351.99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16,261.04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12,414.21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124,063.09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132,019.46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4,457.84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19,407.40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1,046,486.60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1,065,894.00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2,152,366.28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1,793,635.06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829,859.04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3,116,142.30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31,867.00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31,867.00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2,689,706.37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42,289,792.66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40,143,305.89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4,836,193.14</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设定提存计划列示" w:id="326"/>
      <w:bookmarkEnd w:id="32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121,595.44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2,711,442.83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2,686,269.58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146,768.69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3,428.38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203,770.86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200,592.13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6,607.11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125,023.82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2,915,213.69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2,886,861.71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153,375.80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8、应交税费" w:id="327"/>
      <w:bookmarkEnd w:id="327"/>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929,338.63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4,905,922.36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616,888.76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696,053.88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36,636.04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227,056.10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76,368.08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966,696.51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568,590.71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994,663.30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724,244.40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136,233.65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45,820.85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90,822.43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30,547.23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56,766.97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47,064.09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21,437.15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18,355.00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9,024,990.98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2,164,515.16</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9、应付利息" w:id="328"/>
      <w:bookmarkEnd w:id="328"/>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83,416.67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13,291.67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189,484.44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13,291.67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272,901.11</w:t>
            </w:r>
          </w:p>
        </w:tc>
      </w:tr>
    </w:tbl>
    <w:p>
      <w:pPr>
        <w:pStyle w:val="BodyText"/>
        <w:spacing w:line="240" w:lineRule="auto" w:before="51"/>
        <w:ind w:left="1134" w:right="0"/>
        <w:jc w:val="left"/>
      </w:pPr>
      <w:r>
        <w:rPr/>
        <w:t>重要的已逾期未支付的利息情况：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0、应付股利" w:id="329"/>
      <w:bookmarkEnd w:id="329"/>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湖州吉昌公司少数股东股利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5,348,409.90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5,348,409.90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41、其他应付款" w:id="330"/>
      <w:bookmarkEnd w:id="330"/>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按款项性质列示其他应付款" w:id="331"/>
      <w:bookmarkEnd w:id="331"/>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45,065,328.60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应付中介费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2,634,009.60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应付海运费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1,386,217.86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945,517.37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2,301,623.15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892,266.26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123,287,179.21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1,837,783.63</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账龄超过1年的重要其他应付款" w:id="332"/>
      <w:bookmarkEnd w:id="33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spacing w:val="-3"/>
        </w:rPr>
        <w:t>1</w:t>
      </w:r>
      <w:r>
        <w:rPr>
          <w:spacing w:val="-3"/>
        </w:rPr>
        <w:t>、应付股权转让款</w:t>
      </w:r>
      <w:r>
        <w:rPr>
          <w:rFonts w:ascii="Times New Roman" w:hAnsi="Times New Roman" w:cs="Times New Roman" w:eastAsia="Times New Roman" w:hint="default"/>
          <w:spacing w:val="-3"/>
        </w:rPr>
        <w:t>7,190</w:t>
      </w:r>
      <w:r>
        <w:rPr>
          <w:spacing w:val="-3"/>
        </w:rPr>
        <w:t>万元，系本期本公司收购湖州吉昌公司</w:t>
      </w:r>
      <w:r>
        <w:rPr>
          <w:rFonts w:ascii="Times New Roman" w:hAnsi="Times New Roman" w:cs="Times New Roman" w:eastAsia="Times New Roman" w:hint="default"/>
          <w:spacing w:val="-3"/>
        </w:rPr>
        <w:t>60%</w:t>
      </w:r>
      <w:r>
        <w:rPr>
          <w:spacing w:val="-3"/>
        </w:rPr>
        <w:t>股权</w:t>
      </w:r>
      <w:r>
        <w:rPr>
          <w:rFonts w:ascii="Times New Roman" w:hAnsi="Times New Roman" w:cs="Times New Roman" w:eastAsia="Times New Roman" w:hint="default"/>
          <w:spacing w:val="-3"/>
        </w:rPr>
        <w:t>,</w:t>
      </w:r>
      <w:r>
        <w:rPr>
          <w:spacing w:val="-3"/>
        </w:rPr>
        <w:t>按约定尚需支付湖州吉昌公司原股东的股权转让款。</w:t>
      </w:r>
    </w:p>
    <w:p>
      <w:pPr>
        <w:pStyle w:val="BodyText"/>
        <w:spacing w:line="240" w:lineRule="auto" w:before="63"/>
        <w:ind w:left="1134" w:right="0"/>
        <w:jc w:val="left"/>
      </w:pPr>
      <w:r>
        <w:rPr>
          <w:rFonts w:ascii="Times New Roman" w:hAnsi="Times New Roman" w:cs="Times New Roman" w:eastAsia="Times New Roman" w:hint="default"/>
        </w:rPr>
        <w:t>2</w:t>
      </w:r>
      <w:r>
        <w:rPr/>
        <w:t>、应付保证金中包含本公司收到的定向增发保证金</w:t>
      </w:r>
      <w:r>
        <w:rPr>
          <w:rFonts w:ascii="Times New Roman" w:hAnsi="Times New Roman" w:cs="Times New Roman" w:eastAsia="Times New Roman" w:hint="default"/>
        </w:rPr>
        <w:t>4,495</w:t>
      </w:r>
      <w:r>
        <w:rPr/>
        <w:t>万元。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42、划分为持有待售的负债" w:id="333"/>
      <w:bookmarkEnd w:id="333"/>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3、一年内到期的非流动负债" w:id="334"/>
      <w:bookmarkEnd w:id="334"/>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70,000,000.00</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4、其他流动负债" w:id="335"/>
      <w:bookmarkEnd w:id="335"/>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短期应付债券的增减变动：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5、长期借款" w:id="336"/>
      <w:bookmarkEnd w:id="336"/>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长期借款分类" w:id="337"/>
      <w:bookmarkEnd w:id="337"/>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left="1134" w:right="859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4"/>
        <w:spacing w:line="240" w:lineRule="auto"/>
        <w:ind w:left="1134" w:right="0"/>
        <w:jc w:val="left"/>
        <w:rPr>
          <w:b w:val="0"/>
          <w:bCs w:val="0"/>
        </w:rPr>
      </w:pPr>
      <w:bookmarkStart w:name="46、应付债券" w:id="338"/>
      <w:bookmarkEnd w:id="338"/>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付债券" w:id="339"/>
      <w:bookmarkEnd w:id="339"/>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应付债券的增减变动（不包括划分为金融负债的优先股、永续债等其他金融工具）" w:id="340"/>
      <w:bookmarkEnd w:id="340"/>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24"/>
          <w:szCs w:val="24"/>
        </w:rPr>
      </w:pPr>
    </w:p>
    <w:p>
      <w:pPr>
        <w:pStyle w:val="Heading4"/>
        <w:spacing w:line="240" w:lineRule="auto" w:before="35"/>
        <w:ind w:right="0"/>
        <w:jc w:val="left"/>
        <w:rPr>
          <w:b w:val="0"/>
          <w:bCs w:val="0"/>
        </w:rPr>
      </w:pPr>
      <w:bookmarkStart w:name="（3）可转换公司债券的转股条件、转股时间说明" w:id="341"/>
      <w:bookmarkEnd w:id="341"/>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划分为金融负债的其他金融工具说明" w:id="342"/>
      <w:bookmarkEnd w:id="342"/>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57" w:lineRule="auto" w:before="44"/>
        <w:ind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635" w:space="319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134" w:right="7512"/>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4"/>
        <w:spacing w:line="240" w:lineRule="auto"/>
        <w:ind w:left="1134" w:right="0"/>
        <w:jc w:val="left"/>
        <w:rPr>
          <w:b w:val="0"/>
          <w:bCs w:val="0"/>
        </w:rPr>
      </w:pPr>
      <w:bookmarkStart w:name="47、长期应付款" w:id="343"/>
      <w:bookmarkEnd w:id="343"/>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按款项性质列示长期应付款" w:id="344"/>
      <w:bookmarkEnd w:id="344"/>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8、长期应付职工薪酬" w:id="345"/>
      <w:bookmarkEnd w:id="345"/>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付职工薪酬表" w:id="346"/>
      <w:bookmarkEnd w:id="346"/>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设定受益计划变动情况" w:id="347"/>
      <w:bookmarkEnd w:id="347"/>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设定受益计划义务现值：</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0"/>
        <w:jc w:val="left"/>
      </w:pPr>
      <w:r>
        <w:rPr/>
        <w:t>计划资产：</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设定受益计划净负债（净资产）</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6"/>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49、专项应付款" w:id="348"/>
      <w:bookmarkEnd w:id="348"/>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0、预计负债" w:id="349"/>
      <w:bookmarkEnd w:id="349"/>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left="1134" w:right="0"/>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51、递延收益" w:id="350"/>
      <w:bookmarkEnd w:id="350"/>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4,334,375.00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1,056,413.04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4,287,961.96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4,334,375.00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1,056,413.04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4,287,961.96</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涉及政府补助的项目：</w:t>
      </w:r>
    </w:p>
    <w:p>
      <w:pPr>
        <w:pStyle w:val="BodyText"/>
        <w:spacing w:line="240" w:lineRule="auto" w:before="117"/>
        <w:ind w:left="0" w:right="1130"/>
        <w:jc w:val="right"/>
      </w:pPr>
      <w:r>
        <w:rPr/>
        <w:pict>
          <v:group style="position:absolute;margin-left:125.300003pt;margin-top:74.05172pt;width:66.850pt;height:20.8pt;mso-position-horizontal-relative:page;mso-position-vertical-relative:paragraph;z-index:-1065088" coordorigin="2506,1481" coordsize="1337,416">
            <v:group style="position:absolute;left:2517;top:1492;width:2;height:393" coordorigin="2517,1492" coordsize="2,393">
              <v:shape style="position:absolute;left:2517;top:1492;width:2;height:393" coordorigin="2517,1492" coordsize="0,393" path="m2517,1492l2517,1885e" filled="false" stroked="true" strokeweight="1.140pt" strokecolor="#ffffff">
                <v:path arrowok="t"/>
              </v:shape>
            </v:group>
            <v:group style="position:absolute;left:2529;top:1492;width:1314;height:393" coordorigin="2529,1492" coordsize="1314,393">
              <v:shape style="position:absolute;left:2529;top:1492;width:1314;height:393" coordorigin="2529,1492" coordsize="1314,393" path="m2529,1885l3843,1885,3843,1492,2529,1492,2529,1885xe" filled="true" fillcolor="#ffffff" stroked="false">
                <v:path arrowok="t"/>
                <v:fill type="solid"/>
              </v:shape>
            </v:group>
            <w10:wrap type="none"/>
          </v:group>
        </w:pict>
      </w: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229"/>
        <w:gridCol w:w="1141"/>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新型无磷过碳酸 </w:t>
            </w:r>
            <w:r>
              <w:rPr>
                <w:rFonts w:ascii="宋体" w:hAnsi="宋体" w:cs="宋体" w:eastAsia="宋体" w:hint="default"/>
                <w:spacing w:val="-9"/>
                <w:sz w:val="18"/>
                <w:szCs w:val="18"/>
              </w:rPr>
              <w:t>钠（包裹型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SPC</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节能改造项目</w:t>
            </w:r>
          </w:p>
        </w:tc>
        <w:tc>
          <w:tcPr>
            <w:tcW w:w="22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1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2,100,000.00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吨</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TAED</w:t>
            </w:r>
          </w:p>
          <w:p>
            <w:pPr>
              <w:pStyle w:val="TableParagraph"/>
              <w:spacing w:line="319" w:lineRule="auto" w:before="63"/>
              <w:ind w:left="22" w:right="72"/>
              <w:jc w:val="left"/>
              <w:rPr>
                <w:rFonts w:ascii="宋体" w:hAnsi="宋体" w:cs="宋体" w:eastAsia="宋体" w:hint="default"/>
                <w:sz w:val="18"/>
                <w:szCs w:val="18"/>
              </w:rPr>
            </w:pPr>
            <w:r>
              <w:rPr>
                <w:rFonts w:ascii="宋体" w:hAnsi="宋体" w:cs="宋体" w:eastAsia="宋体" w:hint="default"/>
                <w:sz w:val="18"/>
                <w:szCs w:val="18"/>
              </w:rPr>
              <w:t>清洁生产示范项 目</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2,234,375.00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1,746,875.00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机器换人</w:t>
            </w:r>
            <w:r>
              <w:rPr>
                <w:rFonts w:ascii="Times New Roman" w:hAnsi="Times New Roman" w:cs="Times New Roman" w:eastAsia="Times New Roman" w:hint="default"/>
                <w:sz w:val="18"/>
                <w:szCs w:val="18"/>
              </w:rPr>
              <w:t>”</w:t>
            </w:r>
            <w:r>
              <w:rPr>
                <w:rFonts w:ascii="宋体" w:hAnsi="宋体" w:cs="宋体" w:eastAsia="宋体" w:hint="default"/>
                <w:sz w:val="18"/>
                <w:szCs w:val="18"/>
              </w:rPr>
              <w:t>工业 有效投入奖励项 目</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43,913.04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966,086.96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79" w:right="0"/>
              <w:jc w:val="left"/>
              <w:rPr>
                <w:rFonts w:ascii="Times New Roman" w:hAnsi="Times New Roman" w:cs="Times New Roman" w:eastAsia="Times New Roman" w:hint="default"/>
                <w:sz w:val="18"/>
                <w:szCs w:val="18"/>
              </w:rPr>
            </w:pPr>
            <w:r>
              <w:rPr>
                <w:rFonts w:ascii="Times New Roman"/>
                <w:sz w:val="18"/>
              </w:rPr>
              <w:t>4,334,375.00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1,056,413.04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4,287,961.96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2、其他非流动负债" w:id="351"/>
      <w:bookmarkEnd w:id="351"/>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3、股本" w:id="352"/>
      <w:bookmarkEnd w:id="352"/>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22" w:right="0"/>
              <w:jc w:val="left"/>
              <w:rPr>
                <w:rFonts w:ascii="Times New Roman" w:hAnsi="Times New Roman" w:cs="Times New Roman" w:eastAsia="Times New Roman" w:hint="default"/>
                <w:sz w:val="18"/>
                <w:szCs w:val="18"/>
              </w:rPr>
            </w:pPr>
            <w:r>
              <w:rPr>
                <w:rFonts w:ascii="Times New Roman"/>
                <w:sz w:val="18"/>
              </w:rPr>
              <w:t>79,500,000.00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26,500,000.00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159,000,000.00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185,500,000.00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265,000,000.00</w:t>
            </w:r>
          </w:p>
        </w:tc>
      </w:tr>
    </w:tbl>
    <w:p>
      <w:pPr>
        <w:pStyle w:val="BodyText"/>
        <w:spacing w:line="240" w:lineRule="auto" w:before="51"/>
        <w:ind w:left="1134" w:right="0"/>
        <w:jc w:val="both"/>
      </w:pPr>
      <w:r>
        <w:rPr/>
        <w:t>其他说明：</w:t>
      </w:r>
    </w:p>
    <w:p>
      <w:pPr>
        <w:pStyle w:val="BodyText"/>
        <w:spacing w:line="300" w:lineRule="auto" w:before="115"/>
        <w:ind w:right="1129"/>
        <w:jc w:val="both"/>
      </w:pPr>
      <w:r>
        <w:rPr>
          <w:spacing w:val="-3"/>
        </w:rPr>
        <w:t>（</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23</w:t>
      </w:r>
      <w:r>
        <w:rPr>
          <w:spacing w:val="-3"/>
        </w:rPr>
        <w:t>日，经中国证券监督管理委员会《关于核准浙江金科过氧化物股份有限公司首次公开发行股票的批复》</w:t>
      </w:r>
      <w:r>
        <w:rPr>
          <w:rFonts w:ascii="Times New Roman" w:hAnsi="Times New Roman" w:cs="Times New Roman" w:eastAsia="Times New Roman" w:hint="default"/>
          <w:spacing w:val="-3"/>
        </w:rPr>
        <w:t>(</w:t>
      </w:r>
      <w:r>
        <w:rPr>
          <w:spacing w:val="-3"/>
        </w:rPr>
        <w:t>证</w:t>
      </w:r>
      <w:r>
        <w:rPr>
          <w:spacing w:val="-56"/>
        </w:rPr>
        <w:t> </w:t>
      </w:r>
      <w:r>
        <w:rPr/>
        <w:t>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703</w:t>
      </w:r>
      <w:r>
        <w:rPr/>
        <w:t>号</w:t>
      </w:r>
      <w:r>
        <w:rPr>
          <w:rFonts w:ascii="Times New Roman" w:hAnsi="Times New Roman" w:cs="Times New Roman" w:eastAsia="Times New Roman" w:hint="default"/>
        </w:rPr>
        <w:t>)</w:t>
      </w:r>
      <w:r>
        <w:rPr/>
        <w:t>核准，公司向社会公开发行人民币普通股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)26,500,000</w:t>
      </w:r>
      <w:r>
        <w:rPr/>
        <w:t>股，每股面值人民币</w:t>
      </w:r>
      <w:r>
        <w:rPr>
          <w:rFonts w:ascii="Times New Roman" w:hAnsi="Times New Roman" w:cs="Times New Roman" w:eastAsia="Times New Roman" w:hint="default"/>
        </w:rPr>
        <w:t>1</w:t>
      </w:r>
      <w:r>
        <w:rPr/>
        <w:t>元。上述公开发行新</w:t>
      </w:r>
      <w:r>
        <w:rPr>
          <w:spacing w:val="-43"/>
        </w:rPr>
        <w:t> </w:t>
      </w:r>
      <w:r>
        <w:rPr/>
        <w:t>增股本业经天健会计师事务所（特殊普通合伙）验证，并由其出具《验资报告》（天健验〔</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115</w:t>
      </w:r>
      <w:r>
        <w:rPr/>
        <w:t>号）。公司已于</w:t>
      </w:r>
      <w:r>
        <w:rPr>
          <w:rFonts w:ascii="Times New Roman" w:hAnsi="Times New Roman" w:cs="Times New Roman" w:eastAsia="Times New Roman" w:hint="default"/>
        </w:rPr>
        <w:t>2015</w:t>
      </w:r>
      <w:r>
        <w:rPr>
          <w:rFonts w:ascii="Times New Roman" w:hAnsi="Times New Roman" w:cs="Times New Roman" w:eastAsia="Times New Roman" w:hint="default"/>
          <w:spacing w:val="-37"/>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日办妥工商变更登记手续。</w:t>
      </w:r>
    </w:p>
    <w:p>
      <w:pPr>
        <w:pStyle w:val="BodyText"/>
        <w:spacing w:line="300" w:lineRule="auto" w:before="13"/>
        <w:ind w:right="113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日，公司</w:t>
      </w:r>
      <w:r>
        <w:rPr>
          <w:rFonts w:ascii="Times New Roman" w:hAnsi="Times New Roman" w:cs="Times New Roman" w:eastAsia="Times New Roman" w:hint="default"/>
        </w:rPr>
        <w:t>2015</w:t>
      </w:r>
      <w:r>
        <w:rPr/>
        <w:t>年第一次临时股东大会审议通过《</w:t>
      </w:r>
      <w:r>
        <w:rPr>
          <w:rFonts w:ascii="Times New Roman" w:hAnsi="Times New Roman" w:cs="Times New Roman" w:eastAsia="Times New Roman" w:hint="default"/>
        </w:rPr>
        <w:t>2015</w:t>
      </w:r>
      <w:r>
        <w:rPr/>
        <w:t>年半年度资本公积金转增股本方案》，以截至</w:t>
      </w:r>
      <w:r>
        <w:rPr>
          <w:rFonts w:ascii="Times New Roman" w:hAnsi="Times New Roman" w:cs="Times New Roman" w:eastAsia="Times New Roman" w:hint="default"/>
        </w:rPr>
        <w:t>2015</w:t>
      </w:r>
      <w:r>
        <w:rPr>
          <w:rFonts w:ascii="Times New Roman" w:hAnsi="Times New Roman" w:cs="Times New Roman" w:eastAsia="Times New Roman" w:hint="default"/>
          <w:spacing w:val="42"/>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日公司股份总数</w:t>
      </w:r>
      <w:r>
        <w:rPr>
          <w:rFonts w:ascii="Times New Roman" w:hAnsi="Times New Roman" w:cs="Times New Roman" w:eastAsia="Times New Roman" w:hint="default"/>
        </w:rPr>
        <w:t>106,000,000</w:t>
      </w:r>
      <w:r>
        <w:rPr/>
        <w:t>股为基数，以资本公积金向全体股东按每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15</w:t>
      </w:r>
      <w:r>
        <w:rPr/>
        <w:t>股，共计转增股本</w:t>
      </w:r>
      <w:r>
        <w:rPr>
          <w:rFonts w:ascii="Times New Roman" w:hAnsi="Times New Roman" w:cs="Times New Roman" w:eastAsia="Times New Roman" w:hint="default"/>
        </w:rPr>
        <w:t>159,000,000</w:t>
      </w:r>
      <w:r>
        <w:rPr/>
        <w:t>股。</w:t>
      </w:r>
      <w:r>
        <w:rPr>
          <w:spacing w:val="-87"/>
        </w:rPr>
        <w:t> </w:t>
      </w:r>
      <w:r>
        <w:rPr/>
        <w:t>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日办妥工商变更登记手续。</w:t>
      </w:r>
    </w:p>
    <w:p>
      <w:pPr>
        <w:spacing w:line="240" w:lineRule="auto" w:before="1"/>
        <w:rPr>
          <w:rFonts w:ascii="宋体" w:hAnsi="宋体" w:cs="宋体" w:eastAsia="宋体" w:hint="default"/>
          <w:sz w:val="22"/>
          <w:szCs w:val="22"/>
        </w:rPr>
      </w:pPr>
    </w:p>
    <w:p>
      <w:pPr>
        <w:pStyle w:val="Heading4"/>
        <w:spacing w:line="240" w:lineRule="auto"/>
        <w:ind w:left="1134" w:right="0"/>
        <w:jc w:val="both"/>
        <w:rPr>
          <w:b w:val="0"/>
          <w:bCs w:val="0"/>
        </w:rPr>
      </w:pPr>
      <w:bookmarkStart w:name="54、其他权益工具" w:id="353"/>
      <w:bookmarkEnd w:id="353"/>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both"/>
        <w:rPr>
          <w:b w:val="0"/>
          <w:bCs w:val="0"/>
        </w:rPr>
      </w:pPr>
      <w:bookmarkStart w:name="（1）期末发行在外的优先股、永续债等其他金融工具基本情况" w:id="354"/>
      <w:bookmarkEnd w:id="354"/>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both"/>
        <w:rPr>
          <w:b w:val="0"/>
          <w:bCs w:val="0"/>
        </w:rPr>
      </w:pPr>
      <w:bookmarkStart w:name="（2）期末发行在外的优先股、永续债等金融工具变动情况表" w:id="355"/>
      <w:bookmarkEnd w:id="355"/>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3"/>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55、资本公积" w:id="356"/>
      <w:bookmarkEnd w:id="356"/>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172,254,469.69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149,014,353.03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162,268,822.72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172,254,469.69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149,014,353.03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162,268,822.72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其他说明，包括本期增减变动情况、变动原因说明：</w:t>
      </w:r>
    </w:p>
    <w:p>
      <w:pPr>
        <w:pStyle w:val="BodyText"/>
        <w:spacing w:line="240" w:lineRule="auto" w:before="115"/>
        <w:ind w:right="0"/>
        <w:jc w:val="left"/>
      </w:pPr>
      <w:r>
        <w:rPr/>
        <w:t>（</w:t>
      </w:r>
      <w:r>
        <w:rPr>
          <w:rFonts w:ascii="Times New Roman" w:hAnsi="Times New Roman" w:cs="Times New Roman" w:eastAsia="Times New Roman" w:hint="default"/>
        </w:rPr>
        <w:t>1</w:t>
      </w:r>
      <w:r>
        <w:rPr/>
        <w:t>）股本溢价本期增加系公司向社会公开发行人民币普通股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)26,500,000</w:t>
      </w:r>
      <w:r>
        <w:rPr/>
        <w:t>股，实际募集资金净额超过新增注册资本部分</w:t>
      </w:r>
    </w:p>
    <w:p>
      <w:pPr>
        <w:pStyle w:val="BodyText"/>
        <w:spacing w:line="240" w:lineRule="auto" w:before="63"/>
        <w:ind w:right="0"/>
        <w:jc w:val="left"/>
      </w:pPr>
      <w:r>
        <w:rPr>
          <w:rFonts w:ascii="Times New Roman" w:hAnsi="Times New Roman" w:cs="Times New Roman" w:eastAsia="Times New Roman" w:hint="default"/>
        </w:rPr>
        <w:t>149,014,353.03</w:t>
      </w:r>
      <w:r>
        <w:rPr/>
        <w:t>元作为股本溢价计入资本公积。</w:t>
      </w:r>
    </w:p>
    <w:p>
      <w:pPr>
        <w:pStyle w:val="BodyText"/>
        <w:spacing w:line="240" w:lineRule="auto" w:before="63"/>
        <w:ind w:right="0"/>
        <w:jc w:val="left"/>
      </w:pPr>
      <w:r>
        <w:rPr/>
        <w:t>（</w:t>
      </w:r>
      <w:r>
        <w:rPr>
          <w:rFonts w:ascii="Times New Roman" w:hAnsi="Times New Roman" w:cs="Times New Roman" w:eastAsia="Times New Roman" w:hint="default"/>
        </w:rPr>
        <w:t>2</w:t>
      </w:r>
      <w:r>
        <w:rPr/>
        <w:t>）股本溢价本期减少系根据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日股东大会决议以资本公积金转增股本</w:t>
      </w:r>
      <w:r>
        <w:rPr>
          <w:rFonts w:ascii="Times New Roman" w:hAnsi="Times New Roman" w:cs="Times New Roman" w:eastAsia="Times New Roman" w:hint="default"/>
        </w:rPr>
        <w:t>159,000,000.00</w:t>
      </w:r>
      <w:r>
        <w:rPr/>
        <w:t>元。</w:t>
      </w:r>
    </w:p>
    <w:p>
      <w:pPr>
        <w:spacing w:line="240" w:lineRule="auto" w:before="12"/>
        <w:rPr>
          <w:rFonts w:ascii="宋体" w:hAnsi="宋体" w:cs="宋体" w:eastAsia="宋体" w:hint="default"/>
          <w:sz w:val="25"/>
          <w:szCs w:val="25"/>
        </w:rPr>
      </w:pPr>
    </w:p>
    <w:p>
      <w:pPr>
        <w:pStyle w:val="Heading4"/>
        <w:spacing w:line="240" w:lineRule="auto"/>
        <w:ind w:left="1134" w:right="0"/>
        <w:jc w:val="left"/>
        <w:rPr>
          <w:b w:val="0"/>
          <w:bCs w:val="0"/>
        </w:rPr>
      </w:pPr>
      <w:bookmarkStart w:name="56、库存股" w:id="357"/>
      <w:bookmarkEnd w:id="357"/>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57、其他综合收益" w:id="358"/>
      <w:bookmarkEnd w:id="358"/>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left="1134"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8、专项储备" w:id="359"/>
      <w:bookmarkEnd w:id="359"/>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1,106,649.95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6,146,579.37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4,518,141.30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2,735,088.02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1,106,649.95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6,146,579.37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4,518,141.30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2,735,088.02</w:t>
            </w:r>
          </w:p>
        </w:tc>
      </w:tr>
    </w:tbl>
    <w:p>
      <w:pPr>
        <w:pStyle w:val="BodyText"/>
        <w:spacing w:line="357" w:lineRule="auto" w:before="51"/>
        <w:ind w:left="1494" w:right="0" w:hanging="360"/>
        <w:jc w:val="left"/>
      </w:pPr>
      <w:r>
        <w:rPr/>
        <w:t>其他说明，包括本期增减变动情况、变动原因说明： </w:t>
      </w:r>
      <w:r>
        <w:rPr>
          <w:spacing w:val="-1"/>
        </w:rPr>
        <w:t>本期专项储备增加</w:t>
      </w:r>
      <w:r>
        <w:rPr>
          <w:rFonts w:ascii="Times New Roman" w:hAnsi="Times New Roman" w:cs="Times New Roman" w:eastAsia="Times New Roman" w:hint="default"/>
          <w:spacing w:val="-1"/>
        </w:rPr>
        <w:t>6,146,579.37</w:t>
      </w:r>
      <w:r>
        <w:rPr>
          <w:spacing w:val="-1"/>
        </w:rPr>
        <w:t>元，其中，收购湖州吉昌公司增加安全生产费</w:t>
      </w:r>
      <w:r>
        <w:rPr>
          <w:rFonts w:ascii="Times New Roman" w:hAnsi="Times New Roman" w:cs="Times New Roman" w:eastAsia="Times New Roman" w:hint="default"/>
          <w:spacing w:val="-1"/>
        </w:rPr>
        <w:t>760,449.69</w:t>
      </w:r>
      <w:r>
        <w:rPr>
          <w:spacing w:val="-1"/>
        </w:rPr>
        <w:t>元；根据《高危行业企业安全生</w:t>
      </w:r>
    </w:p>
    <w:p>
      <w:pPr>
        <w:pStyle w:val="BodyText"/>
        <w:spacing w:line="214" w:lineRule="exact"/>
        <w:ind w:left="1134" w:right="0"/>
        <w:jc w:val="left"/>
      </w:pPr>
      <w:r>
        <w:rPr/>
        <w:t>产费用财务管理暂行办法》的相关规定，按本公司</w:t>
      </w:r>
      <w:r>
        <w:rPr>
          <w:rFonts w:ascii="Times New Roman" w:hAnsi="Times New Roman" w:cs="Times New Roman" w:eastAsia="Times New Roman" w:hint="default"/>
        </w:rPr>
        <w:t>SPC</w:t>
      </w:r>
      <w:r>
        <w:rPr/>
        <w:t>系列、金科双氧水公司双氧水系列、湖州吉昌公司三氯化铝销售额的</w:t>
      </w:r>
    </w:p>
    <w:p>
      <w:pPr>
        <w:pStyle w:val="BodyText"/>
        <w:spacing w:line="240" w:lineRule="auto" w:before="63"/>
        <w:ind w:left="1134" w:right="0"/>
        <w:jc w:val="left"/>
      </w:pPr>
      <w:r>
        <w:rPr/>
        <w:t>一定比例提取的安全生产费</w:t>
      </w:r>
      <w:r>
        <w:rPr>
          <w:rFonts w:ascii="Times New Roman" w:hAnsi="Times New Roman" w:cs="Times New Roman" w:eastAsia="Times New Roman" w:hint="default"/>
        </w:rPr>
        <w:t>5,386,129.68</w:t>
      </w:r>
      <w:r>
        <w:rPr/>
        <w:t>元。</w:t>
      </w:r>
    </w:p>
    <w:p>
      <w:pPr>
        <w:spacing w:line="240" w:lineRule="auto" w:before="11"/>
        <w:rPr>
          <w:rFonts w:ascii="宋体" w:hAnsi="宋体" w:cs="宋体" w:eastAsia="宋体" w:hint="default"/>
          <w:sz w:val="25"/>
          <w:szCs w:val="25"/>
        </w:rPr>
      </w:pPr>
    </w:p>
    <w:p>
      <w:pPr>
        <w:pStyle w:val="Heading4"/>
        <w:spacing w:line="240" w:lineRule="auto"/>
        <w:ind w:left="1134" w:right="0"/>
        <w:jc w:val="left"/>
        <w:rPr>
          <w:b w:val="0"/>
          <w:bCs w:val="0"/>
        </w:rPr>
      </w:pPr>
      <w:bookmarkStart w:name="59、盈余公积" w:id="360"/>
      <w:bookmarkEnd w:id="360"/>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13,692,406.96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2,775,665.61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16,468,072.57</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13,692,406.96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2,775,665.61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16,468,072.57</w:t>
            </w:r>
          </w:p>
        </w:tc>
      </w:tr>
    </w:tbl>
    <w:p>
      <w:pPr>
        <w:pStyle w:val="BodyText"/>
        <w:spacing w:line="240" w:lineRule="auto" w:before="51"/>
        <w:ind w:left="1134" w:right="0"/>
        <w:jc w:val="left"/>
      </w:pPr>
      <w:r>
        <w:rPr/>
        <w:t>盈余公积说明，包括本期增减变动情况、变动原因说明：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0、未分配利润" w:id="361"/>
      <w:bookmarkEnd w:id="361"/>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145,398,940.47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113,830,033.38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145,398,940.47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113,830,033.38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48,477,706.11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36,179,269.27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2,775,665.61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4,610,362.18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180,500,980.97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145,398,940.47</w:t>
            </w:r>
          </w:p>
        </w:tc>
      </w:tr>
    </w:tbl>
    <w:p>
      <w:pPr>
        <w:pStyle w:val="BodyText"/>
        <w:spacing w:line="240" w:lineRule="auto" w:before="51"/>
        <w:ind w:left="1134" w:right="0"/>
        <w:jc w:val="left"/>
      </w:pPr>
      <w:r>
        <w:rPr/>
        <w:t>调整期初未分配利润明细：</w:t>
      </w:r>
    </w:p>
    <w:p>
      <w:pPr>
        <w:pStyle w:val="BodyText"/>
        <w:spacing w:line="240" w:lineRule="auto" w:before="116"/>
        <w:ind w:left="113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left="1134" w:right="0"/>
        <w:jc w:val="left"/>
        <w:rPr>
          <w:b w:val="0"/>
          <w:bCs w:val="0"/>
        </w:rPr>
      </w:pPr>
      <w:bookmarkStart w:name="61、营业收入和营业成本" w:id="362"/>
      <w:bookmarkEnd w:id="362"/>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501,505,964.28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376,518,248.26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459,640,158.10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363,443,487.56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4,936,573.98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3,543,600.96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17,261,858.72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13,508,230.85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506,442,538.26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380,061,849.22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476,902,016.82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376,951,718.41</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62、营业税金及附加" w:id="363"/>
      <w:bookmarkEnd w:id="363"/>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80,466.05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29,136.85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1,434,180.91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965,130.49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860,508.53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579,078.29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573,672.34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386,052.20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2,948,827.83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1,959,397.83</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3、销售费用" w:id="364"/>
      <w:bookmarkEnd w:id="364"/>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2,699,118.32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2,240,253.56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17,373,199.83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11,893,534.90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1,033,067.48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1,101,197.14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办公及保险费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247,148.64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302,539.59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差旅及业务招待费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336,392.35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232,821.40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商检报关费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486,908.59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634,135.04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25,849.16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19,240.92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890,002.57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213,839.36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23,091,686.94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16,637,561.91</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4、管理费用" w:id="365"/>
      <w:bookmarkEnd w:id="365"/>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10,454,771.86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9,212,448.80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3,856,306.96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2,965,858.66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差旅及业务招待费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990,533.15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547,267.65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1,941,678.75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1,720,106.15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2,739,715.90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413,253.77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2,434,490.43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1,438,434.43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17,285,670.64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10,996,770.73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335,045.13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308,398.21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40,038,212.82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27,602,538.40</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5、财务费用" w:id="366"/>
      <w:bookmarkEnd w:id="366"/>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4,525,810.83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9,321,918.59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2,303,992.20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2,667,860.87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-5,639,236.38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5,685,497.29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691,928.75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1,499,160.00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-2,725,489.00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13,838,715.01</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6、资产减值损失" w:id="367"/>
      <w:bookmarkEnd w:id="367"/>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-696,554.54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93,992.04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19,826.52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41,519.61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-676,728.02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135,511.65</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7、公允价值变动收益" w:id="368"/>
      <w:bookmarkEnd w:id="368"/>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768,281.68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-768,281.68</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768,281.68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-768,281.68</w:t>
            </w:r>
            <w:r>
              <w:rPr>
                <w:rFonts w:ascii="Times New Roman"/>
                <w:sz w:val="18"/>
              </w:rPr>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8、投资收益" w:id="369"/>
      <w:bookmarkEnd w:id="369"/>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-633,695.26</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-246,203.72</w:t>
            </w:r>
            <w:r>
              <w:rPr>
                <w:rFonts w:ascii="Times New Roman"/>
                <w:sz w:val="18"/>
              </w:rPr>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24,953.42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-608,741.84</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-246,203.72</w:t>
            </w:r>
            <w:r>
              <w:rPr>
                <w:rFonts w:ascii="Times New Roman"/>
                <w:sz w:val="18"/>
              </w:rPr>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9、营业外收入" w:id="370"/>
      <w:bookmarkEnd w:id="370"/>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831,251.34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1,987,930.97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831,251.34</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831,251.34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1,987,930.97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831,251.34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1,957,160.86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1,789,280.00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1,957,160.86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罚没收入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19,206.00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40,640.00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19,206.00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1,141.00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2,807,618.20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3,818,991.97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2,807,618.20</w:t>
            </w:r>
          </w:p>
        </w:tc>
      </w:tr>
    </w:tbl>
    <w:p>
      <w:pPr>
        <w:pStyle w:val="BodyText"/>
        <w:spacing w:line="240" w:lineRule="auto" w:before="51"/>
        <w:ind w:left="1134"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递延收益摊 销</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1,056,413.04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1,012,500.00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科学技术奖 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383,290.00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自主创新奖 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税款退免</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172,288.78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开放经济奖 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668,980.00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污染源监控 系统维护补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其他零星补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172,169.04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1,957,160.86</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1,789,280.00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0、营业外支出" w:id="371"/>
      <w:bookmarkEnd w:id="371"/>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590,228.92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328,544.44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590,228.92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590,228.92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328,544.44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590,228.92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613,520.10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564,571.11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84,354.61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2,050.00</w:t>
            </w:r>
          </w:p>
        </w:tc>
      </w:tr>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1,205,799.02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977,470.16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592,278.92</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71、所得税费用" w:id="372"/>
      <w:bookmarkEnd w:id="372"/>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所得税费用表" w:id="373"/>
      <w:bookmarkEnd w:id="37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9,517,451.74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5,914,368.96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542,312.78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-490,028.21</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10,059,764.52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5,424,340.75</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会计利润与所得税费用调整过程" w:id="374"/>
      <w:bookmarkEnd w:id="37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65,465,537.49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9,819,830.62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1,180,151.60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694,314.25</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46,127.82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-1,686,923.48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6,263.71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10,059,764.52</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2、其他综合收益" w:id="375"/>
      <w:bookmarkEnd w:id="375"/>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详见附注。</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73、现金流量表项目" w:id="376"/>
      <w:bookmarkEnd w:id="376"/>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377"/>
      <w:bookmarkEnd w:id="37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收回保证金存款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28,484,445.60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26,907,447.06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3,545,784.51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728,459.04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776,780.00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1,554,906.25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41,781.00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34,313,595.40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27,726,008.06</w:t>
            </w:r>
          </w:p>
        </w:tc>
      </w:tr>
    </w:tbl>
    <w:p>
      <w:pPr>
        <w:pStyle w:val="BodyText"/>
        <w:spacing w:line="240" w:lineRule="auto" w:before="51"/>
        <w:ind w:left="1134"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2）支付的其他与经营活动有关的现金" w:id="378"/>
      <w:bookmarkEnd w:id="37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23,878,272.40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26,983,445.60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差旅及业务招待费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1,326,925.50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780,089.05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1,033,067.48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1,101,197.14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16,523,199.83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10,948,017.53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办公费及保险费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2,188,827.39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2,022,645.74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105,706.30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413,253.77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商检报关费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486,908.59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634,135.04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691,928.75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1,499,160.00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1,469,154.25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546,551.73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1,586,099.91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1,139,127.84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49,290,090.40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46,067,623.44</w:t>
            </w:r>
          </w:p>
        </w:tc>
      </w:tr>
    </w:tbl>
    <w:p>
      <w:pPr>
        <w:pStyle w:val="BodyText"/>
        <w:spacing w:line="240" w:lineRule="auto" w:before="51"/>
        <w:ind w:left="113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3）收到的其他与投资活动有关的现金" w:id="379"/>
      <w:bookmarkEnd w:id="37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银行理财产品赎回及收益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2,024,953.42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1,426,068.56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3,534,953.42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1,426,068.56</w:t>
            </w:r>
          </w:p>
        </w:tc>
      </w:tr>
    </w:tbl>
    <w:p>
      <w:pPr>
        <w:pStyle w:val="BodyText"/>
        <w:spacing w:line="240" w:lineRule="auto" w:before="51"/>
        <w:ind w:left="1134"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4）支付的其他与投资活动有关的现金" w:id="380"/>
      <w:bookmarkEnd w:id="38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购买银行理财产品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3"/>
        <w:rPr>
          <w:rFonts w:ascii="宋体" w:hAnsi="宋体" w:cs="宋体" w:eastAsia="宋体" w:hint="default"/>
          <w:sz w:val="25"/>
          <w:szCs w:val="25"/>
        </w:rPr>
      </w:pPr>
      <w:r>
        <w:rPr/>
        <w:pict>
          <v:group style="position:absolute;margin-left:223.339996pt;margin-top:717.149963pt;width:151.25pt;height:20.8pt;mso-position-horizontal-relative:page;mso-position-vertical-relative:page;z-index:-1065064" coordorigin="4467,14343" coordsize="3025,416">
            <v:group style="position:absolute;left:4478;top:14354;width:2;height:393" coordorigin="4478,14354" coordsize="2,393">
              <v:shape style="position:absolute;left:4478;top:14354;width:2;height:393" coordorigin="4478,14354" coordsize="0,393" path="m4478,14354l4478,14747e" filled="false" stroked="true" strokeweight="1.140pt" strokecolor="#ffffff">
                <v:path arrowok="t"/>
              </v:shape>
            </v:group>
            <v:group style="position:absolute;left:4490;top:14354;width:3002;height:393" coordorigin="4490,14354" coordsize="3002,393">
              <v:shape style="position:absolute;left:4490;top:14354;width:3002;height:393" coordorigin="4490,14354" coordsize="3002,393" path="m4490,14747l7491,14747,7491,14354,4490,14354,4490,14747xe" filled="true" fillcolor="#ffffff" stroked="false">
                <v:path arrowok="t"/>
                <v:fill type="solid"/>
              </v:shape>
            </v:group>
            <w10:wrap type="none"/>
          </v:group>
        </w:pict>
      </w:r>
    </w:p>
    <w:p>
      <w:pPr>
        <w:pStyle w:val="BodyText"/>
        <w:spacing w:line="240" w:lineRule="auto" w:before="44"/>
        <w:ind w:right="0"/>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收到的其他与筹资活动有关的现金" w:id="381"/>
      <w:bookmarkEnd w:id="38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收到定增保证金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44,950,000.00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6）支付的其他与筹资活动有关的现金" w:id="382"/>
      <w:bookmarkEnd w:id="38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支付上市中介费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10,367,990.37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1,018,867.92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10,367,990.37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1,018,867.92</w:t>
            </w:r>
          </w:p>
        </w:tc>
      </w:tr>
    </w:tbl>
    <w:p>
      <w:pPr>
        <w:pStyle w:val="BodyText"/>
        <w:spacing w:line="240" w:lineRule="auto" w:before="51"/>
        <w:ind w:left="1134" w:right="0"/>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74、现金流量表补充资料" w:id="383"/>
      <w:bookmarkEnd w:id="383"/>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84"/>
      <w:bookmarkEnd w:id="38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55,405,772.97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36,179,269.27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-676,728.02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135,511.65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33,136,688.44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34,669,980.39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2,265,671.97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1,276,941.12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8,829,606.40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7,984,060.64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-241,022.42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-1,659,386.53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-768,281.68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768,281.68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-1,113,425.55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12,339,555.01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608,741.84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246,203.72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214"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542,312.78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-490,028.21</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6,875,937.81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19,937,667.72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12,687,014.34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-7,719,354.88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9,773,131.51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-537,423.38</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867,988.38</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128,193,408.77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103,131,278.20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168,195,708.33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144,449,843.38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144,449,843.38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40,963,647.39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23,745,864.95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103,486,195.99</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本期支付的取得子公司的现金净额" w:id="385"/>
      <w:bookmarkEnd w:id="38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湖州吉昌公司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5,101,636.48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湖州吉昌公司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5,101,636.48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66,998,363.52</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本期收到的处置子公司的现金净额" w:id="386"/>
      <w:bookmarkEnd w:id="386"/>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现金和现金等价物的构成" w:id="387"/>
      <w:bookmarkEnd w:id="38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168,195,708.33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144,449,843.38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30,168.30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73,806.38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168,165,540.03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144,376,037.00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168,195,708.33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144,449,843.38</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spacing w:line="547" w:lineRule="auto" w:before="0"/>
        <w:ind w:left="1133" w:right="5373" w:firstLine="0"/>
        <w:jc w:val="left"/>
        <w:rPr>
          <w:rFonts w:ascii="宋体" w:hAnsi="宋体" w:cs="宋体" w:eastAsia="宋体" w:hint="default"/>
          <w:sz w:val="21"/>
          <w:szCs w:val="21"/>
        </w:rPr>
      </w:pPr>
      <w:bookmarkStart w:name="75、所有者权益变动表项目注释" w:id="388"/>
      <w:bookmarkEnd w:id="388"/>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6、所有权或使用权受到限制的资产" w:id="389"/>
      <w:bookmarkEnd w:id="389"/>
      <w:r>
        <w:rPr>
          <w:rFonts w:ascii="宋体" w:hAnsi="宋体" w:cs="宋体" w:eastAsia="宋体" w:hint="default"/>
          <w:sz w:val="18"/>
          <w:szCs w:val="18"/>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24,377,802.17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应付票据、信用证及保函保证金存款</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44,005,627.81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抵押用于银行借款、开具应付票据</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42,129,676.83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抵押用于银行借款、开具应付票据</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110,513,106.81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7、外币货币性项目" w:id="390"/>
      <w:bookmarkEnd w:id="390"/>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91"/>
      <w:bookmarkEnd w:id="39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31,827,272.49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3,889,235.50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25,255,139.64</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926,278.73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6,572,132.85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101,754,378.20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13,246,558.32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86,017,851.11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2,217,911.70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15,736,527.09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2,285,101.28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351,900.53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2,285,101.28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4"/>
        <w:spacing w:line="259" w:lineRule="auto"/>
        <w:ind w:right="0"/>
        <w:jc w:val="left"/>
        <w:rPr>
          <w:b w:val="0"/>
          <w:bCs w:val="0"/>
        </w:rPr>
      </w:pPr>
      <w:bookmarkStart w:name="（2）境外经营实体说明，包括对于重要的境外经营实体，应披露其境外主要经营地、记账" w:id="392"/>
      <w:bookmarkEnd w:id="39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78、套期" w:id="393"/>
      <w:bookmarkEnd w:id="393"/>
      <w:r>
        <w:rPr>
          <w:b w:val="0"/>
          <w:bCs w:val="0"/>
        </w:rPr>
      </w:r>
      <w:r>
        <w:rPr>
          <w:rFonts w:ascii="Times New Roman" w:hAnsi="Times New Roman" w:cs="Times New Roman" w:eastAsia="Times New Roman" w:hint="default"/>
        </w:rPr>
        <w:t>78</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spacing w:line="487" w:lineRule="auto" w:before="0"/>
        <w:ind w:left="1133" w:right="8329" w:firstLine="0"/>
        <w:jc w:val="left"/>
        <w:rPr>
          <w:rFonts w:ascii="宋体" w:hAnsi="宋体" w:cs="宋体" w:eastAsia="宋体" w:hint="default"/>
          <w:sz w:val="21"/>
          <w:szCs w:val="21"/>
        </w:rPr>
      </w:pPr>
      <w:bookmarkStart w:name="79、其他" w:id="394"/>
      <w:bookmarkEnd w:id="394"/>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5"/>
      <w:bookmarkEnd w:id="395"/>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6"/>
      <w:bookmarkEnd w:id="39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right="0"/>
        <w:jc w:val="left"/>
        <w:rPr>
          <w:b w:val="0"/>
          <w:bCs w:val="0"/>
        </w:rPr>
      </w:pPr>
      <w:bookmarkStart w:name="（1）本期发生的非同一控制下企业合并" w:id="397"/>
      <w:bookmarkEnd w:id="39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9"/>
              <w:jc w:val="left"/>
              <w:rPr>
                <w:rFonts w:ascii="宋体" w:hAnsi="宋体" w:cs="宋体" w:eastAsia="宋体" w:hint="default"/>
                <w:sz w:val="18"/>
                <w:szCs w:val="18"/>
              </w:rPr>
            </w:pPr>
            <w:r>
              <w:rPr>
                <w:rFonts w:ascii="宋体" w:hAnsi="宋体" w:cs="宋体" w:eastAsia="宋体" w:hint="default"/>
                <w:sz w:val="18"/>
                <w:szCs w:val="18"/>
              </w:rPr>
              <w:t>湖州吉昌公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60.00%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支付股权转 让款并取得 控制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46,095,860.9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18,464,454.6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合并成本及商誉" w:id="398"/>
      <w:bookmarkEnd w:id="39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144,000,000.00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27,899,765.68</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116,100,234.32</w:t>
            </w:r>
          </w:p>
        </w:tc>
      </w:tr>
    </w:tbl>
    <w:p>
      <w:pPr>
        <w:pStyle w:val="BodyText"/>
        <w:spacing w:line="360" w:lineRule="auto" w:before="51"/>
        <w:ind w:left="1134" w:right="6072"/>
        <w:jc w:val="left"/>
      </w:pPr>
      <w:r>
        <w:rPr/>
        <w:t>合并成本公允价值的确定方法、或有对价及其变动的说明： 大额商誉形成的主要原因：</w:t>
      </w:r>
    </w:p>
    <w:p>
      <w:pPr>
        <w:pStyle w:val="BodyText"/>
        <w:spacing w:line="300" w:lineRule="auto" w:before="25"/>
        <w:ind w:left="1134" w:right="0"/>
        <w:jc w:val="left"/>
      </w:pPr>
      <w:r>
        <w:rPr/>
        <w:t>湖州吉昌公司商誉系本期本公司受让自然人施卫东持有的湖州吉昌公司</w:t>
      </w:r>
      <w:r>
        <w:rPr>
          <w:rFonts w:ascii="Times New Roman" w:hAnsi="Times New Roman" w:cs="Times New Roman" w:eastAsia="Times New Roman" w:hint="default"/>
        </w:rPr>
        <w:t>60%</w:t>
      </w:r>
      <w:r>
        <w:rPr/>
        <w:t>股权，合并成本</w:t>
      </w:r>
      <w:r>
        <w:rPr>
          <w:rFonts w:ascii="Times New Roman" w:hAnsi="Times New Roman" w:cs="Times New Roman" w:eastAsia="Times New Roman" w:hint="default"/>
        </w:rPr>
        <w:t>144,000,000.00</w:t>
      </w:r>
      <w:r>
        <w:rPr/>
        <w:t>元与合并取得的</w:t>
      </w:r>
      <w:r>
        <w:rPr>
          <w:spacing w:val="-18"/>
        </w:rPr>
        <w:t> </w:t>
      </w:r>
      <w:r>
        <w:rPr>
          <w:spacing w:val="-18"/>
        </w:rPr>
      </w:r>
      <w:r>
        <w:rPr/>
        <w:t>湖州吉昌公司可辨认净资产公允价值份额</w:t>
      </w:r>
      <w:r>
        <w:rPr>
          <w:rFonts w:ascii="Times New Roman" w:hAnsi="Times New Roman" w:cs="Times New Roman" w:eastAsia="Times New Roman" w:hint="default"/>
        </w:rPr>
        <w:t>27,899,765.68</w:t>
      </w:r>
      <w:r>
        <w:rPr/>
        <w:t>元的差额。</w:t>
      </w:r>
    </w:p>
    <w:p>
      <w:pPr>
        <w:pStyle w:val="BodyText"/>
        <w:spacing w:line="240" w:lineRule="auto" w:before="53"/>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被购买方于购买日可辨认资产、负债" w:id="399"/>
      <w:bookmarkEnd w:id="399"/>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right="8"/>
              <w:jc w:val="center"/>
              <w:rPr>
                <w:rFonts w:ascii="宋体" w:hAnsi="宋体" w:cs="宋体" w:eastAsia="宋体" w:hint="default"/>
                <w:sz w:val="18"/>
                <w:szCs w:val="18"/>
              </w:rPr>
            </w:pPr>
            <w:r>
              <w:rPr>
                <w:rFonts w:ascii="宋体" w:hAnsi="宋体" w:cs="宋体" w:eastAsia="宋体" w:hint="default"/>
                <w:sz w:val="18"/>
                <w:szCs w:val="18"/>
              </w:rPr>
              <w:t>湖州吉昌公司</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62,154,871.74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48,673,737.94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7,101,636.48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7,101,636.48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11,760,796.00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11,760,796.00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8,245,989.58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8,245,989.58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13,667,164.30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13,667,164.30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14,781,596.30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1,300,462.50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4,771,850.00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4,771,850.00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321,127.74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321,127.74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1,371,692.40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1,371,692.40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14,900.00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118,118.94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118,118.94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15,655,262.28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15,655,262.28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4,689,787.41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4,689,787.41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417,291.76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417,291.76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608,351.01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608,351.01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1,863,923.25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1,863,923.25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5,348,409.90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5,348,409.90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1,827,498.95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1,827,498.95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46,499,609.46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33,018,475.66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18,599,843.78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13,207,390.26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27,899,765.68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19,811,085.40</w:t>
            </w:r>
          </w:p>
        </w:tc>
      </w:tr>
    </w:tbl>
    <w:p>
      <w:pPr>
        <w:pStyle w:val="BodyText"/>
        <w:spacing w:line="360" w:lineRule="auto" w:before="51"/>
        <w:ind w:left="1134" w:right="7530"/>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4"/>
        <w:spacing w:line="240" w:lineRule="auto"/>
        <w:ind w:left="1134" w:right="0"/>
        <w:jc w:val="both"/>
        <w:rPr>
          <w:b w:val="0"/>
          <w:bCs w:val="0"/>
        </w:rPr>
      </w:pPr>
      <w:bookmarkStart w:name="（4）购买日之前持有的股权按照公允价值重新计量产生的利得或损失" w:id="400"/>
      <w:bookmarkEnd w:id="400"/>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both"/>
      </w:pPr>
      <w:r>
        <w:rPr/>
        <w:t>是否存在通过多次交易分步实现企业合并且在报告期内取得控制权的交易</w:t>
      </w:r>
    </w:p>
    <w:p>
      <w:pPr>
        <w:pStyle w:val="BodyText"/>
        <w:spacing w:line="240" w:lineRule="auto" w:before="116"/>
        <w:ind w:left="113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购买日或合并当期期末无法合理确定合并对价或被购买方可辨认资产、负债公允价值" w:id="401"/>
      <w:bookmarkEnd w:id="401"/>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其他说明" w:id="402"/>
      <w:bookmarkEnd w:id="402"/>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2、同一控制下企业合并" w:id="403"/>
      <w:bookmarkEnd w:id="403"/>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期发生的同一控制下企业合并" w:id="404"/>
      <w:bookmarkEnd w:id="404"/>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合并成本" w:id="405"/>
      <w:bookmarkEnd w:id="405"/>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134" w:right="8592"/>
        <w:jc w:val="left"/>
      </w:pPr>
      <w:r>
        <w:rPr/>
        <w:t>或有对价及其变动的说明： 其他说明：</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3）合并日被合并方资产、负债的账面价值" w:id="406"/>
      <w:bookmarkEnd w:id="406"/>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823" w:lineRule="exact"/>
        <w:ind w:left="112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right="7513"/>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3、反向购买" w:id="407"/>
      <w:bookmarkEnd w:id="407"/>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4"/>
        <w:spacing w:line="240" w:lineRule="auto"/>
        <w:ind w:left="1134" w:right="0"/>
        <w:jc w:val="left"/>
        <w:rPr>
          <w:b w:val="0"/>
          <w:bCs w:val="0"/>
        </w:rPr>
      </w:pPr>
      <w:bookmarkStart w:name="4、处置子公司" w:id="408"/>
      <w:bookmarkEnd w:id="408"/>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是否存在单次处置对子公司投资即丧失控制权的情形</w:t>
      </w:r>
    </w:p>
    <w:p>
      <w:pPr>
        <w:pStyle w:val="BodyText"/>
        <w:spacing w:line="338" w:lineRule="auto" w:before="117"/>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其他原因的合并范围变动" w:id="409"/>
      <w:bookmarkEnd w:id="409"/>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line="240" w:lineRule="auto" w:before="10"/>
        <w:rPr>
          <w:rFonts w:ascii="宋体" w:hAnsi="宋体" w:cs="宋体" w:eastAsia="宋体" w:hint="default"/>
          <w:sz w:val="26"/>
          <w:szCs w:val="26"/>
        </w:rPr>
      </w:pPr>
    </w:p>
    <w:p>
      <w:pPr>
        <w:spacing w:line="487" w:lineRule="auto" w:before="0"/>
        <w:ind w:left="1133" w:right="7693" w:firstLine="0"/>
        <w:jc w:val="left"/>
        <w:rPr>
          <w:rFonts w:ascii="宋体" w:hAnsi="宋体" w:cs="宋体" w:eastAsia="宋体" w:hint="default"/>
          <w:sz w:val="21"/>
          <w:szCs w:val="21"/>
        </w:rPr>
      </w:pPr>
      <w:bookmarkStart w:name="6、其他" w:id="410"/>
      <w:bookmarkEnd w:id="41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1"/>
      <w:bookmarkEnd w:id="411"/>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2"/>
      <w:bookmarkEnd w:id="412"/>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0"/>
        <w:jc w:val="left"/>
        <w:rPr>
          <w:b w:val="0"/>
          <w:bCs w:val="0"/>
        </w:rPr>
      </w:pPr>
      <w:bookmarkStart w:name="（1）企业集团的构成" w:id="413"/>
      <w:bookmarkEnd w:id="41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金科双氧水公司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金科日化公司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湖州吉昌公司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6"/>
        <w:ind w:left="1134" w:right="7692"/>
        <w:jc w:val="left"/>
      </w:pPr>
      <w:r>
        <w:rPr/>
        <w:t>确定公司是代理人还是委托人的依据： 其他说明：</w:t>
      </w:r>
    </w:p>
    <w:p>
      <w:pPr>
        <w:spacing w:line="240" w:lineRule="auto" w:before="1"/>
        <w:rPr>
          <w:rFonts w:ascii="宋体" w:hAnsi="宋体" w:cs="宋体" w:eastAsia="宋体" w:hint="default"/>
          <w:sz w:val="20"/>
          <w:szCs w:val="20"/>
        </w:rPr>
      </w:pPr>
    </w:p>
    <w:p>
      <w:pPr>
        <w:pStyle w:val="Heading4"/>
        <w:spacing w:line="240" w:lineRule="auto"/>
        <w:ind w:left="1134" w:right="0"/>
        <w:jc w:val="left"/>
        <w:rPr>
          <w:b w:val="0"/>
          <w:bCs w:val="0"/>
        </w:rPr>
      </w:pPr>
      <w:bookmarkStart w:name="（2）重要的非全资子公司" w:id="414"/>
      <w:bookmarkEnd w:id="41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湖州吉昌公司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42" w:right="0"/>
              <w:jc w:val="left"/>
              <w:rPr>
                <w:rFonts w:ascii="Times New Roman" w:hAnsi="Times New Roman" w:cs="Times New Roman" w:eastAsia="Times New Roman" w:hint="default"/>
                <w:sz w:val="18"/>
                <w:szCs w:val="18"/>
              </w:rPr>
            </w:pPr>
            <w:r>
              <w:rPr>
                <w:rFonts w:ascii="Times New Roman"/>
                <w:sz w:val="18"/>
              </w:rPr>
              <w:t>7,011,096.92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25,610,940.70</w:t>
            </w:r>
          </w:p>
        </w:tc>
      </w:tr>
    </w:tbl>
    <w:p>
      <w:pPr>
        <w:pStyle w:val="BodyText"/>
        <w:spacing w:line="357" w:lineRule="auto" w:before="51"/>
        <w:ind w:left="1134" w:right="6432"/>
        <w:jc w:val="left"/>
      </w:pPr>
      <w:r>
        <w:rPr/>
        <w:t>子公司少数股东的持股比例不同于表决权比例的说明： 其他说明：</w:t>
      </w:r>
    </w:p>
    <w:p>
      <w:pPr>
        <w:spacing w:line="240" w:lineRule="auto" w:before="1"/>
        <w:rPr>
          <w:rFonts w:ascii="宋体" w:hAnsi="宋体" w:cs="宋体" w:eastAsia="宋体" w:hint="default"/>
          <w:sz w:val="20"/>
          <w:szCs w:val="20"/>
        </w:rPr>
      </w:pPr>
    </w:p>
    <w:p>
      <w:pPr>
        <w:pStyle w:val="Heading4"/>
        <w:spacing w:line="240" w:lineRule="auto"/>
        <w:ind w:left="1134" w:right="0"/>
        <w:jc w:val="left"/>
        <w:rPr>
          <w:b w:val="0"/>
          <w:bCs w:val="0"/>
        </w:rPr>
      </w:pPr>
      <w:bookmarkStart w:name="（3）重要非全资子公司的主要财务信息" w:id="415"/>
      <w:bookmarkEnd w:id="41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738"/>
        <w:gridCol w:w="737"/>
        <w:gridCol w:w="736"/>
        <w:gridCol w:w="736"/>
        <w:gridCol w:w="737"/>
        <w:gridCol w:w="735"/>
        <w:gridCol w:w="736"/>
        <w:gridCol w:w="734"/>
        <w:gridCol w:w="736"/>
        <w:gridCol w:w="735"/>
        <w:gridCol w:w="737"/>
        <w:gridCol w:w="737"/>
        <w:gridCol w:w="736"/>
      </w:tblGrid>
      <w:tr>
        <w:trPr>
          <w:trHeight w:val="714" w:hRule="exact"/>
        </w:trPr>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湖州吉 昌公司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56,545,4</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29.56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27,919,4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96.73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84,464,9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26.29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19,732,3</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31.64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19,732,3</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31.64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湖州吉昌公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46,095,860.9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17,527,742.3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17,527,742.3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8,598,255.14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使用企业集团资产和清偿企业集团债务的重大限制" w:id="416"/>
      <w:bookmarkEnd w:id="416"/>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5）向纳入合并财务报表范围的结构化主体提供的财务支持或其他支持" w:id="417"/>
      <w:bookmarkEnd w:id="417"/>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在子公司的所有者权益份额发生变化且仍控制子公司的交易" w:id="418"/>
      <w:bookmarkEnd w:id="418"/>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在子公司所有者权益份额发生变化的情况说明" w:id="419"/>
      <w:bookmarkEnd w:id="419"/>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2）交易对于少数股东权益及归属于母公司所有者权益的影响" w:id="420"/>
      <w:bookmarkEnd w:id="420"/>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7"/>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在合营安排或联营企业中的权益" w:id="421"/>
      <w:bookmarkEnd w:id="421"/>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422"/>
      <w:bookmarkEnd w:id="422"/>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left="1134" w:right="0"/>
        <w:jc w:val="left"/>
      </w:pPr>
      <w:r>
        <w:rPr/>
        <w:t>在合营企业或联营企业的持股比例不同于表决权比例的说明：</w:t>
      </w:r>
    </w:p>
    <w:p>
      <w:pPr>
        <w:pStyle w:val="BodyText"/>
        <w:spacing w:line="240" w:lineRule="auto" w:before="116"/>
        <w:ind w:left="1134"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10"/>
        <w:rPr>
          <w:rFonts w:ascii="宋体" w:hAnsi="宋体" w:cs="宋体" w:eastAsia="宋体" w:hint="default"/>
          <w:sz w:val="25"/>
          <w:szCs w:val="25"/>
        </w:rPr>
      </w:pPr>
    </w:p>
    <w:p>
      <w:pPr>
        <w:pStyle w:val="Heading4"/>
        <w:spacing w:line="240" w:lineRule="auto"/>
        <w:ind w:left="1134" w:right="0"/>
        <w:jc w:val="left"/>
        <w:rPr>
          <w:b w:val="0"/>
          <w:bCs w:val="0"/>
        </w:rPr>
      </w:pPr>
      <w:bookmarkStart w:name="（2）重要合营企业的主要财务信息" w:id="423"/>
      <w:bookmarkEnd w:id="423"/>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after="0"/>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重要联营企业的主要财务信息" w:id="424"/>
      <w:bookmarkEnd w:id="424"/>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不重要的合营企业和联营企业的汇总财务信息" w:id="425"/>
      <w:bookmarkEnd w:id="425"/>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合营企业或联营企业向本公司转移资金的能力存在重大限制的说明" w:id="426"/>
      <w:bookmarkEnd w:id="426"/>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6）合营企业或联营企业发生的超额亏损" w:id="427"/>
      <w:bookmarkEnd w:id="427"/>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与合营企业投资相关的未确认承诺" w:id="428"/>
      <w:bookmarkEnd w:id="428"/>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与合营企业或联营企业投资相关的或有负债" w:id="429"/>
      <w:bookmarkEnd w:id="429"/>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重要的共同经营" w:id="430"/>
      <w:bookmarkEnd w:id="430"/>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3"/>
        <w:jc w:val="left"/>
      </w:pPr>
      <w:r>
        <w:rPr/>
        <w:t>在共同经营中的持股比例或享有的份额不同于表决权比例的说明： 共同经营为单独主体的，分类为共同经营的依据：</w:t>
      </w:r>
    </w:p>
    <w:p>
      <w:pPr>
        <w:pStyle w:val="BodyText"/>
        <w:spacing w:line="240" w:lineRule="auto" w:before="26"/>
        <w:ind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在未纳入合并财务报表范围的结构化主体中的权益" w:id="431"/>
      <w:bookmarkEnd w:id="431"/>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其他" w:id="432"/>
      <w:bookmarkEnd w:id="432"/>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433"/>
      <w:bookmarkEnd w:id="433"/>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3" w:firstLine="360"/>
        <w:jc w:val="left"/>
      </w:pPr>
      <w:r>
        <w:rPr>
          <w:spacing w:val="-2"/>
        </w:rPr>
        <w:t>本公司从事风险管理的目标是在风险和收益之间取得平衡，将风险对本公司经营业绩的负面影响降至最低水平，使股东</w:t>
      </w:r>
      <w:r>
        <w:rPr/>
        <w:t> 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BodyText"/>
        <w:spacing w:line="316" w:lineRule="auto" w:before="19"/>
        <w:ind w:right="0" w:firstLine="360"/>
        <w:jc w:val="left"/>
      </w:pPr>
      <w:r>
        <w:rPr>
          <w:spacing w:val="-2"/>
        </w:rPr>
        <w:t>本公司在日常活动中面临各种与金融工具相关的风险，主要包括信用风险、流动风险及市场风险。管理层已审议并批准</w:t>
      </w:r>
      <w:r>
        <w:rPr/>
        <w:t> 管理这些风险的政策，概括如下。</w:t>
      </w:r>
    </w:p>
    <w:p>
      <w:pPr>
        <w:pStyle w:val="BodyText"/>
        <w:spacing w:line="300" w:lineRule="auto" w:before="19"/>
        <w:ind w:left="1493" w:right="391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信用风险</w:t>
      </w:r>
      <w:r>
        <w:rPr>
          <w:w w:val="99"/>
        </w:rPr>
        <w:t> </w:t>
      </w:r>
      <w:r>
        <w:rPr/>
        <w:t>信用风险，是指金融工具的一方不能履行义务，造成另一方发生财务损失的风险。</w:t>
      </w:r>
    </w:p>
    <w:p>
      <w:pPr>
        <w:pStyle w:val="BodyText"/>
        <w:spacing w:line="240" w:lineRule="auto" w:before="31"/>
        <w:ind w:left="1493" w:right="0"/>
        <w:jc w:val="left"/>
      </w:pPr>
      <w:r>
        <w:rPr/>
        <w:t>本公司的信用风险主要来自银行存款和应收款项。为控制上述相关风险，本公司分别采取了以下措施。</w:t>
      </w:r>
    </w:p>
    <w:p>
      <w:pPr>
        <w:pStyle w:val="BodyText"/>
        <w:spacing w:line="309" w:lineRule="auto" w:before="76"/>
        <w:ind w:left="1493" w:right="4633"/>
        <w:jc w:val="left"/>
      </w:pPr>
      <w:r>
        <w:rPr>
          <w:rFonts w:ascii="Times New Roman" w:hAnsi="Times New Roman" w:cs="Times New Roman" w:eastAsia="Times New Roman" w:hint="default"/>
        </w:rPr>
        <w:t>1.</w:t>
      </w:r>
      <w:r>
        <w:rPr/>
        <w:t>银行存款 本公司将银行存款存放于信用评级较高的金融机构，故其信用风险较低。 </w:t>
      </w:r>
      <w:r>
        <w:rPr>
          <w:rFonts w:ascii="Times New Roman" w:hAnsi="Times New Roman" w:cs="Times New Roman" w:eastAsia="Times New Roman" w:hint="default"/>
        </w:rPr>
        <w:t>2.</w:t>
      </w:r>
      <w:r>
        <w:rPr/>
        <w:t>应收款项</w:t>
      </w:r>
    </w:p>
    <w:p>
      <w:pPr>
        <w:pStyle w:val="BodyText"/>
        <w:spacing w:line="300" w:lineRule="auto" w:before="5"/>
        <w:ind w:right="1131" w:firstLine="360"/>
        <w:jc w:val="both"/>
      </w:pPr>
      <w:r>
        <w:rPr>
          <w:spacing w:val="-2"/>
        </w:rPr>
        <w:t>由于本公司仅与经认可的且信用良好的第三方进行交易，所以无需担保物。信用风险集中按照客户进行管理。截至</w:t>
      </w:r>
      <w:r>
        <w:rPr>
          <w:rFonts w:ascii="Times New Roman" w:hAnsi="Times New Roman" w:cs="Times New Roman" w:eastAsia="Times New Roman" w:hint="default"/>
          <w:spacing w:val="-2"/>
        </w:rPr>
        <w:t>2015</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日，本公司具有特定信用风险集中，本公司应收账款的</w:t>
      </w:r>
      <w:r>
        <w:rPr>
          <w:rFonts w:ascii="Times New Roman" w:hAnsi="Times New Roman" w:cs="Times New Roman" w:eastAsia="Times New Roman" w:hint="default"/>
          <w:spacing w:val="-1"/>
        </w:rPr>
        <w:t>40.04%(2014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41.75%)</w:t>
      </w:r>
      <w:r>
        <w:rPr>
          <w:spacing w:val="-1"/>
        </w:rPr>
        <w:t>源于余额前五名客户。本</w:t>
      </w:r>
      <w:r>
        <w:rPr>
          <w:spacing w:val="-81"/>
        </w:rPr>
        <w:t> </w:t>
      </w:r>
      <w:r>
        <w:rPr>
          <w:spacing w:val="-81"/>
        </w:rPr>
      </w:r>
      <w:r>
        <w:rPr/>
        <w:t>公司对应收账款余额未持有任何担保物或其他信用增级。</w:t>
      </w:r>
    </w:p>
    <w:p>
      <w:pPr>
        <w:pStyle w:val="BodyText"/>
        <w:spacing w:line="240" w:lineRule="auto" w:before="32"/>
        <w:ind w:left="149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本公司的应收款项中未逾期且未减值的金额，以及虽已逾期但未减值的金额和逾期账龄分析如下：</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1330"/>
        <w:gridCol w:w="1686"/>
        <w:gridCol w:w="1578"/>
        <w:gridCol w:w="1148"/>
        <w:gridCol w:w="1057"/>
        <w:gridCol w:w="1724"/>
      </w:tblGrid>
      <w:tr>
        <w:trPr>
          <w:trHeight w:val="347" w:hRule="exact"/>
        </w:trPr>
        <w:tc>
          <w:tcPr>
            <w:tcW w:w="1330" w:type="dxa"/>
            <w:vMerge w:val="restart"/>
            <w:tcBorders>
              <w:top w:val="single" w:sz="6" w:space="0" w:color="000000"/>
              <w:left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7194"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8" w:hRule="exact"/>
        </w:trPr>
        <w:tc>
          <w:tcPr>
            <w:tcW w:w="1330" w:type="dxa"/>
            <w:vMerge/>
            <w:tcBorders>
              <w:left w:val="single" w:sz="6" w:space="0" w:color="000000"/>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78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已逾期未减值</w:t>
            </w:r>
          </w:p>
        </w:tc>
        <w:tc>
          <w:tcPr>
            <w:tcW w:w="1724" w:type="dxa"/>
            <w:vMerge w:val="restart"/>
            <w:tcBorders>
              <w:top w:val="single" w:sz="6" w:space="0" w:color="000000"/>
              <w:left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r>
      <w:tr>
        <w:trPr>
          <w:trHeight w:val="347" w:hRule="exact"/>
        </w:trPr>
        <w:tc>
          <w:tcPr>
            <w:tcW w:w="1330"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1724" w:type="dxa"/>
            <w:vMerge/>
            <w:tcBorders>
              <w:left w:val="single" w:sz="6" w:space="0" w:color="000000"/>
              <w:bottom w:val="single" w:sz="6" w:space="0" w:color="000000"/>
              <w:right w:val="single" w:sz="6" w:space="0" w:color="000000"/>
            </w:tcBorders>
          </w:tcPr>
          <w:p>
            <w:pPr/>
          </w:p>
        </w:tc>
      </w:tr>
      <w:tr>
        <w:trPr>
          <w:trHeight w:val="347"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7,851,150.00</w:t>
            </w:r>
          </w:p>
        </w:tc>
        <w:tc>
          <w:tcPr>
            <w:tcW w:w="1578" w:type="dxa"/>
            <w:tcBorders>
              <w:top w:val="single" w:sz="6" w:space="0" w:color="000000"/>
              <w:left w:val="single" w:sz="6" w:space="0" w:color="000000"/>
              <w:bottom w:val="single" w:sz="6" w:space="0" w:color="000000"/>
              <w:right w:val="single" w:sz="6" w:space="0" w:color="000000"/>
            </w:tcBorders>
          </w:tcPr>
          <w:p>
            <w:pPr/>
          </w:p>
        </w:tc>
        <w:tc>
          <w:tcPr>
            <w:tcW w:w="1148"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7,851,150.00</w:t>
            </w:r>
          </w:p>
        </w:tc>
      </w:tr>
      <w:tr>
        <w:trPr>
          <w:trHeight w:val="348"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7,851,150.00</w:t>
            </w:r>
          </w:p>
        </w:tc>
        <w:tc>
          <w:tcPr>
            <w:tcW w:w="1578" w:type="dxa"/>
            <w:tcBorders>
              <w:top w:val="single" w:sz="6" w:space="0" w:color="000000"/>
              <w:left w:val="single" w:sz="6" w:space="0" w:color="000000"/>
              <w:bottom w:val="single" w:sz="6" w:space="0" w:color="000000"/>
              <w:right w:val="single" w:sz="6" w:space="0" w:color="000000"/>
            </w:tcBorders>
          </w:tcPr>
          <w:p>
            <w:pPr/>
          </w:p>
        </w:tc>
        <w:tc>
          <w:tcPr>
            <w:tcW w:w="1148" w:type="dxa"/>
            <w:tcBorders>
              <w:top w:val="single" w:sz="6" w:space="0" w:color="000000"/>
              <w:left w:val="single" w:sz="6" w:space="0" w:color="000000"/>
              <w:bottom w:val="single" w:sz="6" w:space="0" w:color="000000"/>
              <w:right w:val="single" w:sz="6" w:space="0" w:color="000000"/>
            </w:tcBorders>
          </w:tcPr>
          <w:p>
            <w:pPr/>
          </w:p>
        </w:tc>
        <w:tc>
          <w:tcPr>
            <w:tcW w:w="1057"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7,851,150.00</w:t>
            </w:r>
          </w:p>
        </w:tc>
      </w:tr>
    </w:tbl>
    <w:p>
      <w:pPr>
        <w:pStyle w:val="BodyText"/>
        <w:spacing w:line="240" w:lineRule="auto" w:before="10"/>
        <w:ind w:left="149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4"/>
          <w:szCs w:val="4"/>
        </w:rPr>
      </w:pPr>
    </w:p>
    <w:tbl>
      <w:tblPr>
        <w:tblW w:w="0" w:type="auto"/>
        <w:jc w:val="left"/>
        <w:tblInd w:w="1126" w:type="dxa"/>
        <w:tblLayout w:type="fixed"/>
        <w:tblCellMar>
          <w:top w:w="0" w:type="dxa"/>
          <w:left w:w="0" w:type="dxa"/>
          <w:bottom w:w="0" w:type="dxa"/>
          <w:right w:w="0" w:type="dxa"/>
        </w:tblCellMar>
        <w:tblLook w:val="01E0"/>
      </w:tblPr>
      <w:tblGrid>
        <w:gridCol w:w="1304"/>
        <w:gridCol w:w="1655"/>
        <w:gridCol w:w="1582"/>
        <w:gridCol w:w="1187"/>
        <w:gridCol w:w="1075"/>
        <w:gridCol w:w="1721"/>
      </w:tblGrid>
      <w:tr>
        <w:trPr>
          <w:trHeight w:val="347" w:hRule="exact"/>
        </w:trPr>
        <w:tc>
          <w:tcPr>
            <w:tcW w:w="1304" w:type="dxa"/>
            <w:vMerge w:val="restart"/>
            <w:tcBorders>
              <w:top w:val="single" w:sz="6" w:space="0" w:color="000000"/>
              <w:left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722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7" w:hRule="exact"/>
        </w:trPr>
        <w:tc>
          <w:tcPr>
            <w:tcW w:w="1304" w:type="dxa"/>
            <w:vMerge/>
            <w:tcBorders>
              <w:left w:val="single" w:sz="6" w:space="0" w:color="000000"/>
              <w:right w:val="single" w:sz="6" w:space="0" w:color="000000"/>
            </w:tcBorders>
          </w:tcPr>
          <w:p>
            <w:pPr/>
          </w:p>
        </w:tc>
        <w:tc>
          <w:tcPr>
            <w:tcW w:w="1655" w:type="dxa"/>
            <w:vMerge w:val="restart"/>
            <w:tcBorders>
              <w:top w:val="single" w:sz="6" w:space="0" w:color="000000"/>
              <w:left w:val="single" w:sz="6" w:space="0" w:color="000000"/>
              <w:right w:val="single" w:sz="6" w:space="0" w:color="000000"/>
            </w:tcBorders>
          </w:tcPr>
          <w:p>
            <w:pPr>
              <w:pStyle w:val="TableParagraph"/>
              <w:spacing w:line="240" w:lineRule="auto" w:before="21"/>
              <w:ind w:left="459"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38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54" w:right="0"/>
              <w:jc w:val="left"/>
              <w:rPr>
                <w:rFonts w:ascii="宋体" w:hAnsi="宋体" w:cs="宋体" w:eastAsia="宋体" w:hint="default"/>
                <w:sz w:val="18"/>
                <w:szCs w:val="18"/>
              </w:rPr>
            </w:pPr>
            <w:r>
              <w:rPr>
                <w:rFonts w:ascii="宋体" w:hAnsi="宋体" w:cs="宋体" w:eastAsia="宋体" w:hint="default"/>
                <w:sz w:val="18"/>
                <w:szCs w:val="18"/>
              </w:rPr>
              <w:t>已逾期未减值</w:t>
            </w:r>
          </w:p>
        </w:tc>
        <w:tc>
          <w:tcPr>
            <w:tcW w:w="1721" w:type="dxa"/>
            <w:vMerge w:val="restart"/>
            <w:tcBorders>
              <w:top w:val="single" w:sz="6" w:space="0" w:color="000000"/>
              <w:left w:val="single" w:sz="6" w:space="0" w:color="000000"/>
              <w:right w:val="single" w:sz="6" w:space="0" w:color="000000"/>
            </w:tcBorders>
          </w:tcPr>
          <w:p>
            <w:pPr>
              <w:pStyle w:val="TableParagraph"/>
              <w:spacing w:line="240" w:lineRule="auto" w:before="21"/>
              <w:ind w:left="817"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r>
      <w:tr>
        <w:trPr>
          <w:trHeight w:val="347" w:hRule="exact"/>
        </w:trPr>
        <w:tc>
          <w:tcPr>
            <w:tcW w:w="1304" w:type="dxa"/>
            <w:vMerge/>
            <w:tcBorders>
              <w:left w:val="single" w:sz="6" w:space="0" w:color="000000"/>
              <w:bottom w:val="single" w:sz="6" w:space="0" w:color="000000"/>
              <w:right w:val="single" w:sz="6" w:space="0" w:color="000000"/>
            </w:tcBorders>
          </w:tcPr>
          <w:p>
            <w:pPr/>
          </w:p>
        </w:tc>
        <w:tc>
          <w:tcPr>
            <w:tcW w:w="1655" w:type="dxa"/>
            <w:vMerge/>
            <w:tcBorders>
              <w:left w:val="single" w:sz="6" w:space="0" w:color="000000"/>
              <w:bottom w:val="single" w:sz="6" w:space="0" w:color="000000"/>
              <w:right w:val="single" w:sz="6" w:space="0" w:color="000000"/>
            </w:tcBorders>
          </w:tcPr>
          <w:p>
            <w:pP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1721" w:type="dxa"/>
            <w:vMerge/>
            <w:tcBorders>
              <w:left w:val="single" w:sz="6" w:space="0" w:color="000000"/>
              <w:bottom w:val="single" w:sz="6" w:space="0" w:color="000000"/>
              <w:right w:val="single" w:sz="6" w:space="0" w:color="000000"/>
            </w:tcBorders>
          </w:tcPr>
          <w:p>
            <w:pPr/>
          </w:p>
        </w:tc>
      </w:tr>
      <w:tr>
        <w:trPr>
          <w:trHeight w:val="347" w:hRule="exact"/>
        </w:trPr>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14,472,203.80</w:t>
            </w:r>
          </w:p>
        </w:tc>
        <w:tc>
          <w:tcPr>
            <w:tcW w:w="158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14,472,203.80</w:t>
            </w:r>
          </w:p>
        </w:tc>
      </w:tr>
      <w:tr>
        <w:trPr>
          <w:trHeight w:val="347" w:hRule="exact"/>
        </w:trPr>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1,241,792.31</w:t>
            </w:r>
          </w:p>
        </w:tc>
        <w:tc>
          <w:tcPr>
            <w:tcW w:w="158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1,241,792.31</w:t>
            </w:r>
          </w:p>
        </w:tc>
      </w:tr>
      <w:tr>
        <w:trPr>
          <w:trHeight w:val="348" w:hRule="exact"/>
        </w:trPr>
        <w:tc>
          <w:tcPr>
            <w:tcW w:w="1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15,713,996.11</w:t>
            </w:r>
          </w:p>
        </w:tc>
        <w:tc>
          <w:tcPr>
            <w:tcW w:w="1582"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15,713,996.11</w:t>
            </w:r>
          </w:p>
        </w:tc>
      </w:tr>
    </w:tbl>
    <w:p>
      <w:pPr>
        <w:pStyle w:val="BodyText"/>
        <w:spacing w:line="240" w:lineRule="auto" w:before="10"/>
        <w:ind w:left="149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单项计提减值的应收款项情况见本财务报表附注合并财务报表项目注释之应收款项说明。</w:t>
      </w:r>
    </w:p>
    <w:p>
      <w:pPr>
        <w:pStyle w:val="BodyText"/>
        <w:spacing w:line="300" w:lineRule="auto" w:before="63"/>
        <w:ind w:left="1493" w:right="1116"/>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流动风险</w:t>
      </w:r>
      <w:r>
        <w:rPr>
          <w:w w:val="99"/>
        </w:rPr>
        <w:t> </w:t>
      </w:r>
      <w:r>
        <w:rPr>
          <w:spacing w:val="-2"/>
        </w:rPr>
        <w:t>流动风险，是指本公司在履行以交付现金或其他金融资产的方式结算的义务时发生资金短缺的风险。流动风险可能源于</w:t>
      </w:r>
    </w:p>
    <w:p>
      <w:pPr>
        <w:pStyle w:val="BodyText"/>
        <w:spacing w:line="319" w:lineRule="auto" w:before="31"/>
        <w:ind w:right="1116"/>
        <w:jc w:val="left"/>
      </w:pPr>
      <w:r>
        <w:rPr>
          <w:spacing w:val="-2"/>
        </w:rPr>
        <w:t>无法尽快以公允价值售出金融资产；或者源于对方无法偿还其合同债务；或者源于提前到期的债务；或者源于无法产生预期</w:t>
      </w:r>
      <w:r>
        <w:rPr>
          <w:spacing w:val="-66"/>
        </w:rPr>
        <w:t> </w:t>
      </w:r>
      <w:r>
        <w:rPr>
          <w:spacing w:val="-66"/>
        </w:rPr>
      </w:r>
      <w:r>
        <w:rPr/>
        <w:t>的现金流量。</w:t>
      </w:r>
    </w:p>
    <w:p>
      <w:pPr>
        <w:pStyle w:val="BodyText"/>
        <w:spacing w:line="316" w:lineRule="auto" w:before="17"/>
        <w:ind w:right="1132" w:firstLine="360"/>
        <w:jc w:val="both"/>
      </w:pPr>
      <w:r>
        <w:rPr>
          <w:spacing w:val="-2"/>
        </w:rPr>
        <w:t>为控制该项风险，本公司综合运用票据结算、银行借款等多种融资手段，并采取长、短期融资方式适当结合，优化融资</w:t>
      </w:r>
      <w:r>
        <w:rPr/>
        <w:t> </w:t>
      </w:r>
      <w:r>
        <w:rPr>
          <w:spacing w:val="-2"/>
        </w:rPr>
        <w:t>结构的方法，保持融资持续性与灵活性之间的平衡。本公司已从多家商业银行取得银行授信额度以满足营运资金需求和资本</w:t>
      </w:r>
      <w:r>
        <w:rPr>
          <w:spacing w:val="-64"/>
        </w:rPr>
        <w:t> </w:t>
      </w:r>
      <w:r>
        <w:rPr>
          <w:spacing w:val="-64"/>
        </w:rPr>
      </w:r>
      <w:r>
        <w:rPr/>
        <w:t>开支。</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left="1493" w:right="0"/>
        <w:jc w:val="left"/>
      </w:pPr>
      <w:r>
        <w:rPr/>
        <w:t>金融负债按剩余到期日分类</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1802"/>
        <w:gridCol w:w="1519"/>
        <w:gridCol w:w="1617"/>
        <w:gridCol w:w="1476"/>
        <w:gridCol w:w="1058"/>
        <w:gridCol w:w="1052"/>
      </w:tblGrid>
      <w:tr>
        <w:trPr>
          <w:trHeight w:val="347" w:hRule="exact"/>
        </w:trPr>
        <w:tc>
          <w:tcPr>
            <w:tcW w:w="1802" w:type="dxa"/>
            <w:vMerge w:val="restart"/>
            <w:tcBorders>
              <w:top w:val="single" w:sz="6" w:space="0" w:color="000000"/>
              <w:left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6722"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659" w:hRule="exact"/>
        </w:trPr>
        <w:tc>
          <w:tcPr>
            <w:tcW w:w="1802" w:type="dxa"/>
            <w:vMerge/>
            <w:tcBorders>
              <w:left w:val="single" w:sz="6" w:space="0" w:color="000000"/>
              <w:bottom w:val="single" w:sz="6" w:space="0" w:color="000000"/>
              <w:right w:val="single" w:sz="6" w:space="0" w:color="000000"/>
            </w:tcBorders>
          </w:tcPr>
          <w:p>
            <w:pP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未</w:t>
            </w:r>
            <w:r>
              <w:rPr>
                <w:rFonts w:ascii="宋体" w:hAnsi="宋体" w:cs="宋体" w:eastAsia="宋体" w:hint="default"/>
                <w:spacing w:val="-60"/>
                <w:sz w:val="18"/>
                <w:szCs w:val="18"/>
              </w:rPr>
              <w:t> </w:t>
            </w:r>
            <w:r>
              <w:rPr>
                <w:rFonts w:ascii="宋体" w:hAnsi="宋体" w:cs="宋体" w:eastAsia="宋体" w:hint="default"/>
                <w:sz w:val="18"/>
                <w:szCs w:val="18"/>
              </w:rPr>
              <w:t>折</w:t>
            </w:r>
            <w:r>
              <w:rPr>
                <w:rFonts w:ascii="宋体" w:hAnsi="宋体" w:cs="宋体" w:eastAsia="宋体" w:hint="default"/>
                <w:spacing w:val="-60"/>
                <w:sz w:val="18"/>
                <w:szCs w:val="18"/>
              </w:rPr>
              <w:t> </w:t>
            </w:r>
            <w:r>
              <w:rPr>
                <w:rFonts w:ascii="宋体" w:hAnsi="宋体" w:cs="宋体" w:eastAsia="宋体" w:hint="default"/>
                <w:sz w:val="18"/>
                <w:szCs w:val="18"/>
              </w:rPr>
              <w:t>现</w:t>
            </w:r>
            <w:r>
              <w:rPr>
                <w:rFonts w:ascii="宋体" w:hAnsi="宋体" w:cs="宋体" w:eastAsia="宋体" w:hint="default"/>
                <w:spacing w:val="-60"/>
                <w:sz w:val="18"/>
                <w:szCs w:val="18"/>
              </w:rPr>
              <w:t> </w:t>
            </w:r>
            <w:r>
              <w:rPr>
                <w:rFonts w:ascii="宋体" w:hAnsi="宋体" w:cs="宋体" w:eastAsia="宋体" w:hint="default"/>
                <w:sz w:val="18"/>
                <w:szCs w:val="18"/>
              </w:rPr>
              <w:t>合</w:t>
            </w:r>
            <w:r>
              <w:rPr>
                <w:rFonts w:ascii="宋体" w:hAnsi="宋体" w:cs="宋体" w:eastAsia="宋体" w:hint="default"/>
                <w:spacing w:val="-60"/>
                <w:sz w:val="18"/>
                <w:szCs w:val="18"/>
              </w:rPr>
              <w:t> </w:t>
            </w:r>
            <w:r>
              <w:rPr>
                <w:rFonts w:ascii="宋体" w:hAnsi="宋体" w:cs="宋体" w:eastAsia="宋体" w:hint="default"/>
                <w:sz w:val="18"/>
                <w:szCs w:val="18"/>
              </w:rPr>
              <w:t>同</w:t>
            </w:r>
            <w:r>
              <w:rPr>
                <w:rFonts w:ascii="宋体" w:hAnsi="宋体" w:cs="宋体" w:eastAsia="宋体" w:hint="default"/>
                <w:spacing w:val="-58"/>
                <w:sz w:val="18"/>
                <w:szCs w:val="18"/>
              </w:rPr>
              <w:t> </w:t>
            </w:r>
            <w:r>
              <w:rPr>
                <w:rFonts w:ascii="宋体" w:hAnsi="宋体" w:cs="宋体" w:eastAsia="宋体" w:hint="default"/>
                <w:sz w:val="18"/>
                <w:szCs w:val="18"/>
              </w:rPr>
              <w:t>金</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7"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10,396,333.33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10,396,333.33</w:t>
            </w:r>
          </w:p>
        </w:tc>
        <w:tc>
          <w:tcPr>
            <w:tcW w:w="1058"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32,328,272.40</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32,328,272.40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32,328,272.40</w:t>
            </w:r>
          </w:p>
        </w:tc>
        <w:tc>
          <w:tcPr>
            <w:tcW w:w="1058"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28,690,381.50</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28,690,381.50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28,690,381.50</w:t>
            </w:r>
          </w:p>
        </w:tc>
        <w:tc>
          <w:tcPr>
            <w:tcW w:w="1058"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13,291.67</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13,291.67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13,291.67</w:t>
            </w:r>
          </w:p>
        </w:tc>
        <w:tc>
          <w:tcPr>
            <w:tcW w:w="1058"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5,348,409.90</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5,348,409.90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5,348,409.90</w:t>
            </w:r>
          </w:p>
        </w:tc>
        <w:tc>
          <w:tcPr>
            <w:tcW w:w="1058"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123,287,179.21</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123,287,179.21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123,287,179.2</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1</w:t>
            </w:r>
          </w:p>
        </w:tc>
        <w:tc>
          <w:tcPr>
            <w:tcW w:w="1058"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199,667,534.68</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200,063,868.01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200,063,868.0</w:t>
            </w:r>
          </w:p>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z w:val="18"/>
              </w:rPr>
              <w:t>1</w:t>
            </w:r>
          </w:p>
        </w:tc>
        <w:tc>
          <w:tcPr>
            <w:tcW w:w="1058"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10"/>
        <w:ind w:left="149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4"/>
          <w:szCs w:val="4"/>
        </w:rPr>
      </w:pPr>
    </w:p>
    <w:tbl>
      <w:tblPr>
        <w:tblW w:w="0" w:type="auto"/>
        <w:jc w:val="left"/>
        <w:tblInd w:w="1126" w:type="dxa"/>
        <w:tblLayout w:type="fixed"/>
        <w:tblCellMar>
          <w:top w:w="0" w:type="dxa"/>
          <w:left w:w="0" w:type="dxa"/>
          <w:bottom w:w="0" w:type="dxa"/>
          <w:right w:w="0" w:type="dxa"/>
        </w:tblCellMar>
        <w:tblLook w:val="01E0"/>
      </w:tblPr>
      <w:tblGrid>
        <w:gridCol w:w="1865"/>
        <w:gridCol w:w="1597"/>
        <w:gridCol w:w="1598"/>
        <w:gridCol w:w="1597"/>
        <w:gridCol w:w="932"/>
        <w:gridCol w:w="935"/>
      </w:tblGrid>
      <w:tr>
        <w:trPr>
          <w:trHeight w:val="347" w:hRule="exact"/>
        </w:trPr>
        <w:tc>
          <w:tcPr>
            <w:tcW w:w="1865" w:type="dxa"/>
            <w:vMerge w:val="restart"/>
            <w:tcBorders>
              <w:top w:val="single" w:sz="6" w:space="0" w:color="000000"/>
              <w:left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6658"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7"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59" w:hRule="exact"/>
        </w:trPr>
        <w:tc>
          <w:tcPr>
            <w:tcW w:w="1865" w:type="dxa"/>
            <w:vMerge/>
            <w:tcBorders>
              <w:left w:val="single" w:sz="6" w:space="0" w:color="000000"/>
              <w:bottom w:val="single" w:sz="6" w:space="0" w:color="000000"/>
              <w:right w:val="single" w:sz="6" w:space="0" w:color="000000"/>
            </w:tcBorders>
          </w:tcPr>
          <w:p>
            <w:pP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1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01" w:right="71" w:hanging="270"/>
              <w:jc w:val="left"/>
              <w:rPr>
                <w:rFonts w:ascii="宋体" w:hAnsi="宋体" w:cs="宋体" w:eastAsia="宋体" w:hint="default"/>
                <w:sz w:val="18"/>
                <w:szCs w:val="18"/>
              </w:rPr>
            </w:pPr>
            <w:r>
              <w:rPr>
                <w:rFonts w:ascii="宋体" w:hAnsi="宋体" w:cs="宋体" w:eastAsia="宋体" w:hint="default"/>
                <w:sz w:val="18"/>
                <w:szCs w:val="18"/>
              </w:rPr>
              <w:t>未折现合同金 额</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70" w:right="53" w:firstLine="4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 上</w:t>
            </w:r>
          </w:p>
        </w:tc>
      </w:tr>
      <w:tr>
        <w:trPr>
          <w:trHeight w:val="347"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174,862,193.50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179,893,046.83</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179,893,046.83</w:t>
            </w:r>
          </w:p>
        </w:tc>
        <w:tc>
          <w:tcPr>
            <w:tcW w:w="932" w:type="dxa"/>
            <w:tcBorders>
              <w:top w:val="single" w:sz="6" w:space="0" w:color="000000"/>
              <w:left w:val="single" w:sz="6" w:space="0" w:color="000000"/>
              <w:bottom w:val="single" w:sz="6" w:space="0" w:color="000000"/>
              <w:right w:val="single" w:sz="6" w:space="0" w:color="000000"/>
            </w:tcBorders>
          </w:tcPr>
          <w:p>
            <w:pPr/>
          </w:p>
        </w:tc>
        <w:tc>
          <w:tcPr>
            <w:tcW w:w="935" w:type="dxa"/>
            <w:tcBorders>
              <w:top w:val="single" w:sz="6" w:space="0" w:color="000000"/>
              <w:left w:val="single" w:sz="6" w:space="0" w:color="000000"/>
              <w:bottom w:val="single" w:sz="6" w:space="0" w:color="000000"/>
              <w:right w:val="single" w:sz="6" w:space="0" w:color="000000"/>
            </w:tcBorders>
          </w:tcPr>
          <w:p>
            <w:pPr/>
          </w:p>
        </w:tc>
      </w:tr>
      <w:tr>
        <w:trPr>
          <w:trHeight w:val="972"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firstLine="360"/>
              <w:jc w:val="both"/>
              <w:rPr>
                <w:rFonts w:ascii="宋体" w:hAnsi="宋体" w:cs="宋体" w:eastAsia="宋体" w:hint="default"/>
                <w:sz w:val="18"/>
                <w:szCs w:val="18"/>
              </w:rPr>
            </w:pPr>
            <w:r>
              <w:rPr>
                <w:rFonts w:ascii="宋体" w:hAnsi="宋体" w:cs="宋体" w:eastAsia="宋体" w:hint="default"/>
                <w:spacing w:val="4"/>
                <w:sz w:val="18"/>
                <w:szCs w:val="18"/>
              </w:rPr>
              <w:t>以公允价值计量且</w:t>
            </w:r>
            <w:r>
              <w:rPr>
                <w:rFonts w:ascii="宋体" w:hAnsi="宋体" w:cs="宋体" w:eastAsia="宋体" w:hint="default"/>
                <w:sz w:val="18"/>
                <w:szCs w:val="18"/>
              </w:rPr>
              <w:t> </w:t>
            </w:r>
            <w:r>
              <w:rPr>
                <w:rFonts w:ascii="宋体" w:hAnsi="宋体" w:cs="宋体" w:eastAsia="宋体" w:hint="default"/>
                <w:spacing w:val="3"/>
                <w:sz w:val="18"/>
                <w:szCs w:val="18"/>
              </w:rPr>
              <w:t>其变动计入当期损益的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金融负债</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768,281.68</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768,281.68</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768,281.68</w:t>
            </w:r>
          </w:p>
        </w:tc>
        <w:tc>
          <w:tcPr>
            <w:tcW w:w="932" w:type="dxa"/>
            <w:tcBorders>
              <w:top w:val="single" w:sz="6" w:space="0" w:color="000000"/>
              <w:left w:val="single" w:sz="6" w:space="0" w:color="000000"/>
              <w:bottom w:val="single" w:sz="6" w:space="0" w:color="000000"/>
              <w:right w:val="single" w:sz="6" w:space="0" w:color="000000"/>
            </w:tcBorders>
          </w:tcPr>
          <w:p>
            <w:pPr/>
          </w:p>
        </w:tc>
        <w:tc>
          <w:tcPr>
            <w:tcW w:w="93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32,087,445.60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32,087,445.60</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32,087,445.60</w:t>
            </w:r>
          </w:p>
        </w:tc>
        <w:tc>
          <w:tcPr>
            <w:tcW w:w="932" w:type="dxa"/>
            <w:tcBorders>
              <w:top w:val="single" w:sz="6" w:space="0" w:color="000000"/>
              <w:left w:val="single" w:sz="6" w:space="0" w:color="000000"/>
              <w:bottom w:val="single" w:sz="6" w:space="0" w:color="000000"/>
              <w:right w:val="single" w:sz="6" w:space="0" w:color="000000"/>
            </w:tcBorders>
          </w:tcPr>
          <w:p>
            <w:pPr/>
          </w:p>
        </w:tc>
        <w:tc>
          <w:tcPr>
            <w:tcW w:w="93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25,400,537.94</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25,400,537.94</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25,400,537.94</w:t>
            </w:r>
          </w:p>
        </w:tc>
        <w:tc>
          <w:tcPr>
            <w:tcW w:w="932" w:type="dxa"/>
            <w:tcBorders>
              <w:top w:val="single" w:sz="6" w:space="0" w:color="000000"/>
              <w:left w:val="single" w:sz="6" w:space="0" w:color="000000"/>
              <w:bottom w:val="single" w:sz="6" w:space="0" w:color="000000"/>
              <w:right w:val="single" w:sz="6" w:space="0" w:color="000000"/>
            </w:tcBorders>
          </w:tcPr>
          <w:p>
            <w:pPr/>
          </w:p>
        </w:tc>
        <w:tc>
          <w:tcPr>
            <w:tcW w:w="93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272,901.11</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272,901.11</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272,901.11</w:t>
            </w:r>
          </w:p>
        </w:tc>
        <w:tc>
          <w:tcPr>
            <w:tcW w:w="932" w:type="dxa"/>
            <w:tcBorders>
              <w:top w:val="single" w:sz="6" w:space="0" w:color="000000"/>
              <w:left w:val="single" w:sz="6" w:space="0" w:color="000000"/>
              <w:bottom w:val="single" w:sz="6" w:space="0" w:color="000000"/>
              <w:right w:val="single" w:sz="6" w:space="0" w:color="000000"/>
            </w:tcBorders>
          </w:tcPr>
          <w:p>
            <w:pPr/>
          </w:p>
        </w:tc>
        <w:tc>
          <w:tcPr>
            <w:tcW w:w="93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1,837,783.63</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1,837,783.63</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1,837,783.63</w:t>
            </w:r>
          </w:p>
        </w:tc>
        <w:tc>
          <w:tcPr>
            <w:tcW w:w="932" w:type="dxa"/>
            <w:tcBorders>
              <w:top w:val="single" w:sz="6" w:space="0" w:color="000000"/>
              <w:left w:val="single" w:sz="6" w:space="0" w:color="000000"/>
              <w:bottom w:val="single" w:sz="6" w:space="0" w:color="000000"/>
              <w:right w:val="single" w:sz="6" w:space="0" w:color="000000"/>
            </w:tcBorders>
          </w:tcPr>
          <w:p>
            <w:pPr/>
          </w:p>
        </w:tc>
        <w:tc>
          <w:tcPr>
            <w:tcW w:w="93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6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235,229,143.46</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240,259,996.79</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240,259,996.79</w:t>
            </w:r>
          </w:p>
        </w:tc>
        <w:tc>
          <w:tcPr>
            <w:tcW w:w="932" w:type="dxa"/>
            <w:tcBorders>
              <w:top w:val="single" w:sz="6" w:space="0" w:color="000000"/>
              <w:left w:val="single" w:sz="6" w:space="0" w:color="000000"/>
              <w:bottom w:val="single" w:sz="6" w:space="0" w:color="000000"/>
              <w:right w:val="single" w:sz="6" w:space="0" w:color="000000"/>
            </w:tcBorders>
          </w:tcPr>
          <w:p>
            <w:pPr/>
          </w:p>
        </w:tc>
        <w:tc>
          <w:tcPr>
            <w:tcW w:w="93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0" w:lineRule="auto" w:before="10"/>
        <w:ind w:left="1493" w:right="1116"/>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市场风险</w:t>
      </w:r>
      <w:r>
        <w:rPr>
          <w:w w:val="99"/>
        </w:rPr>
        <w:t> </w:t>
      </w:r>
      <w:r>
        <w:rPr>
          <w:spacing w:val="-2"/>
        </w:rPr>
        <w:t>市场风险，是指金融工具的公允价值或未来现金流量因市场价格变动而发生波动的风险。市场风险主要包括利率风险和</w:t>
      </w:r>
    </w:p>
    <w:p>
      <w:pPr>
        <w:pStyle w:val="BodyText"/>
        <w:spacing w:line="240" w:lineRule="auto" w:before="31"/>
        <w:ind w:right="0"/>
        <w:jc w:val="left"/>
      </w:pPr>
      <w:r>
        <w:rPr/>
        <w:t>外汇风险。</w:t>
      </w:r>
    </w:p>
    <w:p>
      <w:pPr>
        <w:pStyle w:val="BodyText"/>
        <w:spacing w:line="300" w:lineRule="auto" w:before="76"/>
        <w:ind w:left="1493" w:right="11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利率风险 </w:t>
      </w:r>
      <w:r>
        <w:rPr>
          <w:spacing w:val="-2"/>
        </w:rPr>
        <w:t>利率风险，是指金融工具的公允价值或未来现金流量因市场利率变动而发生波动的风险。本公司面临的市场利率变动的</w:t>
      </w:r>
    </w:p>
    <w:p>
      <w:pPr>
        <w:pStyle w:val="BodyText"/>
        <w:spacing w:line="316" w:lineRule="auto" w:before="31"/>
        <w:ind w:left="1493" w:right="0" w:hanging="360"/>
        <w:jc w:val="left"/>
      </w:pPr>
      <w:r>
        <w:rPr/>
        <w:t>风险主要与本公司以浮动利率计息的借款有关。 </w:t>
      </w:r>
      <w:r>
        <w:rPr>
          <w:spacing w:val="-2"/>
        </w:rPr>
        <w:t>公司借款基本为固定利率，在其他变量不变的假设下，假定利率变动</w:t>
      </w:r>
      <w:r>
        <w:rPr>
          <w:rFonts w:ascii="Times New Roman" w:hAnsi="Times New Roman" w:cs="Times New Roman" w:eastAsia="Times New Roman" w:hint="default"/>
          <w:spacing w:val="-2"/>
        </w:rPr>
        <w:t>50</w:t>
      </w:r>
      <w:r>
        <w:rPr>
          <w:spacing w:val="-2"/>
        </w:rPr>
        <w:t>个基准点，不会对本公司的利润总额和股东权益</w:t>
      </w:r>
    </w:p>
    <w:p>
      <w:pPr>
        <w:pStyle w:val="BodyText"/>
        <w:spacing w:line="235" w:lineRule="exact"/>
        <w:ind w:left="1134" w:right="0"/>
        <w:jc w:val="left"/>
      </w:pPr>
      <w:r>
        <w:rPr/>
        <w:t>产生重大的影响。</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十一、公允价值的披露" w:id="434"/>
      <w:bookmarkEnd w:id="434"/>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以公允价值计量的资产和负债的期末公允价值" w:id="435"/>
      <w:bookmarkEnd w:id="435"/>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7565"/>
      </w:tblGrid>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持续和非持续第一层次公允价值计量项目市价的确定依据" w:id="436"/>
      <w:bookmarkEnd w:id="436"/>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3、持续和非持续第二层次公允价值计量项目，采用的估值技术和重要参数的定性及定量信" w:id="437"/>
      <w:bookmarkEnd w:id="437"/>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4、持续和非持续第三层次公允价值计量项目，采用的估值技术和重要参数的定性及定量信" w:id="438"/>
      <w:bookmarkEnd w:id="438"/>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5、持续的第三层次公允价值计量项目，期初与期末账面价值间的调节信息及不可观察参数" w:id="439"/>
      <w:bookmarkEnd w:id="439"/>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6、持续的公允价值计量项目，本期内发生各层级之间转换的，转换的原因及确定转换时点" w:id="440"/>
      <w:bookmarkEnd w:id="440"/>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7、本期内发生的估值技术变更及变更原因" w:id="441"/>
      <w:bookmarkEnd w:id="441"/>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8、不以公允价值计量的金融资产和金融负债的公允价值情况" w:id="442"/>
      <w:bookmarkEnd w:id="442"/>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134" w:right="7693" w:firstLine="0"/>
        <w:jc w:val="left"/>
        <w:rPr>
          <w:rFonts w:ascii="宋体" w:hAnsi="宋体" w:cs="宋体" w:eastAsia="宋体" w:hint="default"/>
          <w:sz w:val="21"/>
          <w:szCs w:val="21"/>
        </w:rPr>
      </w:pPr>
      <w:bookmarkStart w:name="9、其他" w:id="443"/>
      <w:bookmarkEnd w:id="443"/>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4"/>
      <w:bookmarkEnd w:id="44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5"/>
      <w:bookmarkEnd w:id="445"/>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金科控股集团有限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上虞市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24.19%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24.19%</w:t>
            </w:r>
          </w:p>
        </w:tc>
      </w:tr>
    </w:tbl>
    <w:p>
      <w:pPr>
        <w:pStyle w:val="BodyText"/>
        <w:spacing w:line="240" w:lineRule="auto" w:before="51"/>
        <w:ind w:left="1134" w:right="0"/>
        <w:jc w:val="left"/>
      </w:pPr>
      <w:r>
        <w:rPr/>
        <w:t>本企业的母公司情况的说明</w:t>
      </w:r>
    </w:p>
    <w:p>
      <w:pPr>
        <w:pStyle w:val="BodyText"/>
        <w:spacing w:line="300" w:lineRule="auto" w:before="116"/>
        <w:ind w:right="1798"/>
        <w:jc w:val="left"/>
      </w:pPr>
      <w:r>
        <w:rPr/>
        <w:t>母公司金科控股集团有限公司住所为上虞市大三角开发区，法定代表人为朱志刚，注册资本为人民币</w:t>
      </w:r>
      <w:r>
        <w:rPr>
          <w:rFonts w:ascii="Times New Roman" w:hAnsi="Times New Roman" w:cs="Times New Roman" w:eastAsia="Times New Roman" w:hint="default"/>
        </w:rPr>
        <w:t>10,000</w:t>
      </w:r>
      <w:r>
        <w:rPr/>
        <w:t>万元。 基本情况如下：</w:t>
      </w:r>
    </w:p>
    <w:tbl>
      <w:tblPr>
        <w:tblW w:w="0" w:type="auto"/>
        <w:jc w:val="left"/>
        <w:tblInd w:w="1126" w:type="dxa"/>
        <w:tblLayout w:type="fixed"/>
        <w:tblCellMar>
          <w:top w:w="0" w:type="dxa"/>
          <w:left w:w="0" w:type="dxa"/>
          <w:bottom w:w="0" w:type="dxa"/>
          <w:right w:w="0" w:type="dxa"/>
        </w:tblCellMar>
        <w:tblLook w:val="01E0"/>
      </w:tblPr>
      <w:tblGrid>
        <w:gridCol w:w="1809"/>
        <w:gridCol w:w="6715"/>
      </w:tblGrid>
      <w:tr>
        <w:trPr>
          <w:trHeight w:val="347" w:hRule="exact"/>
        </w:trPr>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6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金科控股集团有限公司</w:t>
            </w:r>
          </w:p>
        </w:tc>
      </w:tr>
      <w:tr>
        <w:trPr>
          <w:trHeight w:val="347" w:hRule="exact"/>
        </w:trPr>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住所</w:t>
            </w:r>
          </w:p>
        </w:tc>
        <w:tc>
          <w:tcPr>
            <w:tcW w:w="6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上虞市大三角开发区</w:t>
            </w:r>
          </w:p>
        </w:tc>
      </w:tr>
      <w:tr>
        <w:trPr>
          <w:trHeight w:val="348" w:hRule="exact"/>
        </w:trPr>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6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投资管理</w:t>
            </w:r>
          </w:p>
        </w:tc>
      </w:tr>
      <w:tr>
        <w:trPr>
          <w:trHeight w:val="347" w:hRule="exact"/>
        </w:trPr>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6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万元</w:t>
            </w:r>
          </w:p>
        </w:tc>
      </w:tr>
      <w:tr>
        <w:trPr>
          <w:trHeight w:val="347" w:hRule="exact"/>
        </w:trPr>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实收资本</w:t>
            </w:r>
          </w:p>
        </w:tc>
        <w:tc>
          <w:tcPr>
            <w:tcW w:w="6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万元</w:t>
            </w:r>
          </w:p>
        </w:tc>
      </w:tr>
      <w:tr>
        <w:trPr>
          <w:trHeight w:val="347" w:hRule="exact"/>
        </w:trPr>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6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r>
      <w:tr>
        <w:trPr>
          <w:trHeight w:val="348" w:hRule="exact"/>
        </w:trPr>
        <w:tc>
          <w:tcPr>
            <w:tcW w:w="1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公司状态</w:t>
            </w:r>
          </w:p>
        </w:tc>
        <w:tc>
          <w:tcPr>
            <w:tcW w:w="6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存续</w:t>
            </w:r>
          </w:p>
        </w:tc>
      </w:tr>
    </w:tbl>
    <w:p>
      <w:pPr>
        <w:spacing w:line="240" w:lineRule="auto" w:before="13"/>
        <w:rPr>
          <w:rFonts w:ascii="宋体" w:hAnsi="宋体" w:cs="宋体" w:eastAsia="宋体" w:hint="default"/>
          <w:sz w:val="25"/>
          <w:szCs w:val="25"/>
        </w:rPr>
      </w:pPr>
    </w:p>
    <w:p>
      <w:pPr>
        <w:pStyle w:val="BodyText"/>
        <w:spacing w:line="240" w:lineRule="auto" w:before="44"/>
        <w:ind w:left="1134" w:right="0"/>
        <w:jc w:val="left"/>
      </w:pPr>
      <w:r>
        <w:rPr/>
        <w:t>本企业最终控制方是朱志刚。</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0"/>
        <w:rPr>
          <w:rFonts w:ascii="宋体" w:hAnsi="宋体" w:cs="宋体" w:eastAsia="宋体" w:hint="default"/>
          <w:sz w:val="26"/>
          <w:szCs w:val="26"/>
        </w:rPr>
      </w:pPr>
    </w:p>
    <w:p>
      <w:pPr>
        <w:spacing w:line="547" w:lineRule="auto" w:before="0"/>
        <w:ind w:left="1133" w:right="6163" w:firstLine="0"/>
        <w:jc w:val="left"/>
        <w:rPr>
          <w:rFonts w:ascii="宋体" w:hAnsi="宋体" w:cs="宋体" w:eastAsia="宋体" w:hint="default"/>
          <w:sz w:val="21"/>
          <w:szCs w:val="21"/>
        </w:rPr>
      </w:pPr>
      <w:bookmarkStart w:name="2、本企业的子公司情况" w:id="446"/>
      <w:bookmarkEnd w:id="44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447"/>
      <w:bookmarkEnd w:id="447"/>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57" w:lineRule="auto" w:before="51"/>
        <w:ind w:left="1134" w:right="2292"/>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润科新材料公司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本公司持有其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w:t>
            </w:r>
          </w:p>
        </w:tc>
      </w:tr>
    </w:tbl>
    <w:p>
      <w:pPr>
        <w:pStyle w:val="BodyText"/>
        <w:spacing w:line="240" w:lineRule="auto" w:before="68"/>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448"/>
      <w:bookmarkEnd w:id="448"/>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李小燕</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朱志刚之配偶</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关联交易情况" w:id="449"/>
      <w:bookmarkEnd w:id="449"/>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购销商品、提供和接受劳务的关联交易" w:id="450"/>
      <w:bookmarkEnd w:id="45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0"/>
        <w:jc w:val="left"/>
      </w:pPr>
      <w:r>
        <w:rPr/>
        <w:t>购销商品、提供和接受劳务的关联交易说明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2）关联受托管理/承包及委托管理/出包情况" w:id="451"/>
      <w:bookmarkEnd w:id="451"/>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pStyle w:val="BodyText"/>
        <w:spacing w:line="340" w:lineRule="auto" w:before="51"/>
        <w:ind w:left="113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3525" w:space="5304"/>
            <w:col w:w="3081"/>
          </w:cols>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left="1134" w:right="0"/>
        <w:jc w:val="left"/>
      </w:pPr>
      <w:r>
        <w:rPr/>
        <w:t>关联管理</w:t>
      </w:r>
      <w:r>
        <w:rPr>
          <w:rFonts w:ascii="Times New Roman" w:hAnsi="Times New Roman" w:cs="Times New Roman" w:eastAsia="Times New Roman" w:hint="default"/>
        </w:rPr>
        <w:t>/</w:t>
      </w:r>
      <w:r>
        <w:rPr/>
        <w:t>出包情况说明</w:t>
      </w:r>
    </w:p>
    <w:p>
      <w:pPr>
        <w:spacing w:line="240" w:lineRule="auto" w:before="11"/>
        <w:rPr>
          <w:rFonts w:ascii="宋体" w:hAnsi="宋体" w:cs="宋体" w:eastAsia="宋体" w:hint="default"/>
          <w:sz w:val="25"/>
          <w:szCs w:val="25"/>
        </w:rPr>
      </w:pPr>
    </w:p>
    <w:p>
      <w:pPr>
        <w:pStyle w:val="Heading4"/>
        <w:spacing w:line="240" w:lineRule="auto"/>
        <w:ind w:left="1134" w:right="0"/>
        <w:jc w:val="left"/>
        <w:rPr>
          <w:b w:val="0"/>
          <w:bCs w:val="0"/>
        </w:rPr>
      </w:pPr>
      <w:bookmarkStart w:name="（3）关联租赁情况" w:id="452"/>
      <w:bookmarkEnd w:id="452"/>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本公司作为出租方：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润科新材料公司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0" w:right="0"/>
              <w:jc w:val="left"/>
              <w:rPr>
                <w:rFonts w:ascii="Times New Roman" w:hAnsi="Times New Roman" w:cs="Times New Roman" w:eastAsia="Times New Roman" w:hint="default"/>
                <w:sz w:val="18"/>
                <w:szCs w:val="18"/>
              </w:rPr>
            </w:pPr>
            <w:r>
              <w:rPr>
                <w:rFonts w:ascii="Times New Roman"/>
                <w:sz w:val="18"/>
              </w:rPr>
              <w:t>680,000.00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0" w:right="0"/>
              <w:jc w:val="left"/>
              <w:rPr>
                <w:rFonts w:ascii="Times New Roman" w:hAnsi="Times New Roman" w:cs="Times New Roman" w:eastAsia="Times New Roman" w:hint="default"/>
                <w:sz w:val="18"/>
                <w:szCs w:val="18"/>
              </w:rPr>
            </w:pPr>
            <w:r>
              <w:rPr>
                <w:rFonts w:ascii="Times New Roman"/>
                <w:sz w:val="18"/>
              </w:rPr>
              <w:t>340,000.00</w:t>
            </w:r>
          </w:p>
        </w:tc>
      </w:tr>
    </w:tbl>
    <w:p>
      <w:pPr>
        <w:pStyle w:val="BodyText"/>
        <w:spacing w:line="240" w:lineRule="auto" w:before="51"/>
        <w:ind w:left="1134" w:right="0"/>
        <w:jc w:val="left"/>
      </w:pPr>
      <w:r>
        <w:rPr/>
        <w:t>本公司作为承租方：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1"/>
        <w:ind w:left="1134" w:right="0"/>
        <w:jc w:val="left"/>
      </w:pPr>
      <w:r>
        <w:rPr/>
        <w:t>关联租赁情况说明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4）关联担保情况" w:id="453"/>
      <w:bookmarkEnd w:id="453"/>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本公司作为担保方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134" w:right="0"/>
        <w:jc w:val="left"/>
      </w:pPr>
      <w:r>
        <w:rPr/>
        <w:t>本公司作为被担保方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58"/>
              <w:jc w:val="left"/>
              <w:rPr>
                <w:rFonts w:ascii="宋体" w:hAnsi="宋体" w:cs="宋体" w:eastAsia="宋体" w:hint="default"/>
                <w:sz w:val="18"/>
                <w:szCs w:val="18"/>
              </w:rPr>
            </w:pPr>
            <w:r>
              <w:rPr>
                <w:rFonts w:ascii="宋体" w:hAnsi="宋体" w:cs="宋体" w:eastAsia="宋体" w:hint="default"/>
                <w:sz w:val="18"/>
                <w:szCs w:val="18"/>
              </w:rPr>
              <w:t>金科控股集团有限公 司、朱志刚、李小燕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0"/>
        <w:jc w:val="left"/>
      </w:pPr>
      <w:r>
        <w:rPr/>
        <w:t>关联担保情况说明</w:t>
      </w:r>
    </w:p>
    <w:p>
      <w:pPr>
        <w:spacing w:line="240" w:lineRule="auto" w:before="13"/>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2174"/>
        <w:gridCol w:w="1300"/>
        <w:gridCol w:w="1484"/>
        <w:gridCol w:w="1403"/>
        <w:gridCol w:w="1152"/>
        <w:gridCol w:w="1012"/>
      </w:tblGrid>
      <w:tr>
        <w:trPr>
          <w:trHeight w:val="348" w:hRule="exact"/>
        </w:trPr>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担保人</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被担保单位</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3"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担保金额（万元</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2"/>
                <w:sz w:val="18"/>
                <w:szCs w:val="18"/>
              </w:rPr>
              <w:t> </w:t>
            </w:r>
            <w:r>
              <w:rPr>
                <w:rFonts w:ascii="宋体" w:hAnsi="宋体" w:cs="宋体" w:eastAsia="宋体" w:hint="default"/>
                <w:sz w:val="18"/>
                <w:szCs w:val="18"/>
              </w:rPr>
              <w:t>债务到期日</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9"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659" w:hRule="exact"/>
        </w:trPr>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金科控股集团有限公司、朱 志刚、李小燕</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金科日化公司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553" w:right="15" w:hanging="541"/>
              <w:jc w:val="left"/>
              <w:rPr>
                <w:rFonts w:ascii="宋体" w:hAnsi="宋体" w:cs="宋体" w:eastAsia="宋体" w:hint="default"/>
                <w:sz w:val="18"/>
                <w:szCs w:val="18"/>
              </w:rPr>
            </w:pPr>
            <w:r>
              <w:rPr>
                <w:rFonts w:ascii="宋体" w:hAnsi="宋体" w:cs="宋体" w:eastAsia="宋体" w:hint="default"/>
                <w:sz w:val="18"/>
                <w:szCs w:val="18"/>
              </w:rPr>
              <w:t>中国工商银行上虞 支行</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285.00</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2016.2.15</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信用证</w:t>
            </w:r>
          </w:p>
        </w:tc>
      </w:tr>
      <w:tr>
        <w:trPr>
          <w:trHeight w:val="659" w:hRule="exact"/>
        </w:trPr>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金科控股集团有限公司、朱 志刚、李小燕</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金科日化公司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53" w:right="15" w:hanging="541"/>
              <w:jc w:val="left"/>
              <w:rPr>
                <w:rFonts w:ascii="宋体" w:hAnsi="宋体" w:cs="宋体" w:eastAsia="宋体" w:hint="default"/>
                <w:sz w:val="18"/>
                <w:szCs w:val="18"/>
              </w:rPr>
            </w:pPr>
            <w:r>
              <w:rPr>
                <w:rFonts w:ascii="宋体" w:hAnsi="宋体" w:cs="宋体" w:eastAsia="宋体" w:hint="default"/>
                <w:sz w:val="18"/>
                <w:szCs w:val="18"/>
              </w:rPr>
              <w:t>中国工商银行上虞 支行</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205.00</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2016.2.15</w:t>
            </w:r>
          </w:p>
        </w:tc>
        <w:tc>
          <w:tcPr>
            <w:tcW w:w="1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信用证</w:t>
            </w:r>
          </w:p>
        </w:tc>
      </w:tr>
      <w:tr>
        <w:trPr>
          <w:trHeight w:val="348" w:hRule="exact"/>
        </w:trPr>
        <w:tc>
          <w:tcPr>
            <w:tcW w:w="2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300"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490.00</w:t>
            </w:r>
          </w:p>
        </w:tc>
        <w:tc>
          <w:tcPr>
            <w:tcW w:w="1152" w:type="dxa"/>
            <w:tcBorders>
              <w:top w:val="single" w:sz="6" w:space="0" w:color="000000"/>
              <w:left w:val="single" w:sz="6" w:space="0" w:color="000000"/>
              <w:bottom w:val="single" w:sz="6" w:space="0" w:color="000000"/>
              <w:right w:val="single" w:sz="6" w:space="0" w:color="000000"/>
            </w:tcBorders>
          </w:tcPr>
          <w:p>
            <w:pPr/>
          </w:p>
        </w:tc>
        <w:tc>
          <w:tcPr>
            <w:tcW w:w="101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134" w:right="0"/>
        <w:jc w:val="left"/>
        <w:rPr>
          <w:b w:val="0"/>
          <w:bCs w:val="0"/>
        </w:rPr>
      </w:pPr>
      <w:bookmarkStart w:name="（5）关联方资金拆借" w:id="454"/>
      <w:bookmarkEnd w:id="454"/>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宋体" w:hAnsi="宋体" w:cs="宋体" w:eastAsia="宋体" w:hint="default"/>
          <w:sz w:val="28"/>
          <w:szCs w:val="28"/>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pt;mso-position-horizontal-relative:char;mso-position-vertical-relative:line" coordorigin="0,0" coordsize="9581,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d2d2d2">
                <v:path arrowok="t"/>
              </v:shape>
            </v:group>
            <v:group style="position:absolute;left:32;top:14;width:9516;height:393" coordorigin="32,14" coordsize="9516,393">
              <v:shape style="position:absolute;left:32;top:14;width:9516;height:393" coordorigin="32,14" coordsize="9516,393" path="m32,407l9548,407,9548,14,32,14,32,407xe" filled="true" fillcolor="#d2d2d2" stroked="false">
                <v:path arrowok="t"/>
                <v:fill type="solid"/>
              </v:shape>
            </v:group>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9562;height:2" coordorigin="10,412" coordsize="9562,2">
              <v:shape style="position:absolute;left:10;top:412;width:9562;height:2" coordorigin="10,412" coordsize="9562,0" path="m10,412l9571,412e" filled="false" stroked="true" strokeweight=".48pt" strokecolor="#000000">
                <v:path arrowok="t"/>
              </v:shape>
            </v:group>
            <v:group style="position:absolute;left:9576;top:5;width:2;height:412" coordorigin="9576,5" coordsize="2,412">
              <v:shape style="position:absolute;left:9576;top:5;width:2;height:412" coordorigin="9576,5" coordsize="0,412" path="m9576,5l9576,416e" filled="false" stroked="true" strokeweight=".48pt" strokecolor="#000000">
                <v:path arrowok="t"/>
              </v:shape>
              <v:shape style="position:absolute;left:5;top:10;width:9560;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拆出</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4"/>
        <w:spacing w:line="240" w:lineRule="auto" w:before="35"/>
        <w:ind w:left="1134" w:right="0"/>
        <w:jc w:val="left"/>
        <w:rPr>
          <w:b w:val="0"/>
          <w:bCs w:val="0"/>
        </w:rPr>
      </w:pPr>
      <w:bookmarkStart w:name="（6）关联方资产转让、债务重组情况" w:id="455"/>
      <w:bookmarkEnd w:id="455"/>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97"/>
              <w:jc w:val="left"/>
              <w:rPr>
                <w:rFonts w:ascii="宋体" w:hAnsi="宋体" w:cs="宋体" w:eastAsia="宋体" w:hint="default"/>
                <w:sz w:val="18"/>
                <w:szCs w:val="18"/>
              </w:rPr>
            </w:pPr>
            <w:r>
              <w:rPr>
                <w:rFonts w:ascii="宋体" w:hAnsi="宋体" w:cs="宋体" w:eastAsia="宋体" w:hint="default"/>
                <w:sz w:val="18"/>
                <w:szCs w:val="18"/>
              </w:rPr>
              <w:t>浙江润科新材料科技有限公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both"/>
              <w:rPr>
                <w:rFonts w:ascii="宋体" w:hAnsi="宋体" w:cs="宋体" w:eastAsia="宋体" w:hint="default"/>
                <w:sz w:val="18"/>
                <w:szCs w:val="18"/>
              </w:rPr>
            </w:pPr>
            <w:r>
              <w:rPr>
                <w:rFonts w:ascii="宋体" w:hAnsi="宋体" w:cs="宋体" w:eastAsia="宋体" w:hint="default"/>
                <w:sz w:val="18"/>
                <w:szCs w:val="18"/>
              </w:rPr>
              <w:t>公司全资子公司金科日化公 司向润科新材料公司转让一 批专用设备，取得转让收益</w:t>
            </w:r>
          </w:p>
          <w:p>
            <w:pPr>
              <w:pStyle w:val="TableParagraph"/>
              <w:spacing w:line="240" w:lineRule="auto" w:before="2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122.75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1,227,500.00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7）关键管理人员报酬" w:id="456"/>
      <w:bookmarkEnd w:id="456"/>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1,617,500.00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1,274,800.00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8）其他关联交易" w:id="457"/>
      <w:bookmarkEnd w:id="457"/>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6、关联方应收应付款项" w:id="458"/>
      <w:bookmarkEnd w:id="458"/>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收项目" w:id="459"/>
      <w:bookmarkEnd w:id="459"/>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应付项目" w:id="460"/>
      <w:bookmarkEnd w:id="460"/>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金科控股集团有限公司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10,000,000.00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7、关联方承诺" w:id="461"/>
      <w:bookmarkEnd w:id="461"/>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3" w:right="8751" w:firstLine="0"/>
        <w:jc w:val="left"/>
        <w:rPr>
          <w:rFonts w:ascii="宋体" w:hAnsi="宋体" w:cs="宋体" w:eastAsia="宋体" w:hint="default"/>
          <w:sz w:val="21"/>
          <w:szCs w:val="21"/>
        </w:rPr>
      </w:pPr>
      <w:bookmarkStart w:name="8、其他" w:id="462"/>
      <w:bookmarkEnd w:id="46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63"/>
      <w:bookmarkEnd w:id="463"/>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64"/>
      <w:bookmarkEnd w:id="46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以权益结算的股份支付情况" w:id="465"/>
      <w:bookmarkEnd w:id="465"/>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以现金结算的股份支付情况" w:id="466"/>
      <w:bookmarkEnd w:id="466"/>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股份支付的修改、终止情况" w:id="467"/>
      <w:bookmarkEnd w:id="467"/>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3" w:right="8344" w:firstLine="0"/>
        <w:jc w:val="left"/>
        <w:rPr>
          <w:rFonts w:ascii="宋体" w:hAnsi="宋体" w:cs="宋体" w:eastAsia="宋体" w:hint="default"/>
          <w:sz w:val="21"/>
          <w:szCs w:val="21"/>
        </w:rPr>
      </w:pPr>
      <w:bookmarkStart w:name="5、其他" w:id="468"/>
      <w:bookmarkEnd w:id="46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69"/>
      <w:bookmarkEnd w:id="469"/>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70"/>
      <w:bookmarkEnd w:id="47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8"/>
        <w:ind w:left="1134" w:right="6252"/>
        <w:jc w:val="left"/>
      </w:pPr>
      <w:r>
        <w:rPr/>
        <w:t>资产负债表日存在的重要承诺 截至资产负债表日，本公司无需要披露的重大承诺事项。</w:t>
      </w:r>
    </w:p>
    <w:p>
      <w:pPr>
        <w:spacing w:line="240" w:lineRule="auto" w:before="2"/>
        <w:rPr>
          <w:rFonts w:ascii="宋体" w:hAnsi="宋体" w:cs="宋体" w:eastAsia="宋体" w:hint="default"/>
          <w:sz w:val="20"/>
          <w:szCs w:val="20"/>
        </w:rPr>
      </w:pPr>
    </w:p>
    <w:p>
      <w:pPr>
        <w:pStyle w:val="Heading4"/>
        <w:spacing w:line="240" w:lineRule="auto"/>
        <w:ind w:left="1134" w:right="0"/>
        <w:jc w:val="left"/>
        <w:rPr>
          <w:b w:val="0"/>
          <w:bCs w:val="0"/>
        </w:rPr>
      </w:pPr>
      <w:bookmarkStart w:name="2、或有事项" w:id="471"/>
      <w:bookmarkEnd w:id="47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资产负债表日存在的重要或有事项" w:id="472"/>
      <w:bookmarkEnd w:id="47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为其他单位提供债务担保情况</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2836"/>
        <w:gridCol w:w="1786"/>
        <w:gridCol w:w="1296"/>
        <w:gridCol w:w="1275"/>
        <w:gridCol w:w="1331"/>
      </w:tblGrid>
      <w:tr>
        <w:trPr>
          <w:trHeight w:val="659"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15" w:right="615"/>
              <w:jc w:val="center"/>
              <w:rPr>
                <w:rFonts w:ascii="宋体" w:hAnsi="宋体" w:cs="宋体" w:eastAsia="宋体" w:hint="default"/>
                <w:sz w:val="18"/>
                <w:szCs w:val="18"/>
              </w:rPr>
            </w:pPr>
            <w:r>
              <w:rPr>
                <w:rFonts w:ascii="宋体" w:hAnsi="宋体" w:cs="宋体" w:eastAsia="宋体" w:hint="default"/>
                <w:sz w:val="18"/>
                <w:szCs w:val="18"/>
              </w:rPr>
              <w:t>贷款金 融机构</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9" w:right="101" w:firstLine="270"/>
              <w:jc w:val="left"/>
              <w:rPr>
                <w:rFonts w:ascii="宋体" w:hAnsi="宋体" w:cs="宋体" w:eastAsia="宋体" w:hint="default"/>
                <w:sz w:val="18"/>
                <w:szCs w:val="18"/>
              </w:rPr>
            </w:pPr>
            <w:r>
              <w:rPr>
                <w:rFonts w:ascii="宋体" w:hAnsi="宋体" w:cs="宋体" w:eastAsia="宋体" w:hint="default"/>
                <w:sz w:val="18"/>
                <w:szCs w:val="18"/>
              </w:rPr>
              <w:t>担保借 款金额（元）</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58" w:right="359" w:firstLine="90"/>
              <w:jc w:val="left"/>
              <w:rPr>
                <w:rFonts w:ascii="宋体" w:hAnsi="宋体" w:cs="宋体" w:eastAsia="宋体" w:hint="default"/>
                <w:sz w:val="18"/>
                <w:szCs w:val="18"/>
              </w:rPr>
            </w:pPr>
            <w:r>
              <w:rPr>
                <w:rFonts w:ascii="宋体" w:hAnsi="宋体" w:cs="宋体" w:eastAsia="宋体" w:hint="default"/>
                <w:sz w:val="18"/>
                <w:szCs w:val="18"/>
              </w:rPr>
              <w:t>借款 到期日</w:t>
            </w:r>
          </w:p>
        </w:tc>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4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湖州龙祥染整有限公司</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南浔银行和孚支行</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1,800,000.00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2016-7-11</w:t>
            </w:r>
          </w:p>
        </w:tc>
        <w:tc>
          <w:tcPr>
            <w:tcW w:w="1331"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湖州龙祥染整有限公司</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47"/>
              <w:jc w:val="left"/>
              <w:rPr>
                <w:rFonts w:ascii="宋体" w:hAnsi="宋体" w:cs="宋体" w:eastAsia="宋体" w:hint="default"/>
                <w:sz w:val="18"/>
                <w:szCs w:val="18"/>
              </w:rPr>
            </w:pPr>
            <w:r>
              <w:rPr>
                <w:rFonts w:ascii="宋体" w:hAnsi="宋体" w:cs="宋体" w:eastAsia="宋体" w:hint="default"/>
                <w:sz w:val="18"/>
                <w:szCs w:val="18"/>
              </w:rPr>
              <w:t>吴兴农村合作银行城 北支行</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2016-3-25</w:t>
            </w:r>
          </w:p>
        </w:tc>
        <w:tc>
          <w:tcPr>
            <w:tcW w:w="133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78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2,300,000.00</w:t>
            </w:r>
          </w:p>
        </w:tc>
        <w:tc>
          <w:tcPr>
            <w:tcW w:w="1275" w:type="dxa"/>
            <w:tcBorders>
              <w:top w:val="single" w:sz="6" w:space="0" w:color="000000"/>
              <w:left w:val="single" w:sz="6" w:space="0" w:color="000000"/>
              <w:bottom w:val="single" w:sz="6" w:space="0" w:color="000000"/>
              <w:right w:val="single" w:sz="6" w:space="0" w:color="000000"/>
            </w:tcBorders>
          </w:tcPr>
          <w:p>
            <w:pPr/>
          </w:p>
        </w:tc>
        <w:tc>
          <w:tcPr>
            <w:tcW w:w="133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134" w:right="0"/>
        <w:jc w:val="left"/>
        <w:rPr>
          <w:b w:val="0"/>
          <w:bCs w:val="0"/>
        </w:rPr>
      </w:pPr>
      <w:bookmarkStart w:name="（2）公司没有需要披露的重要或有事项，也应予以说明" w:id="473"/>
      <w:bookmarkEnd w:id="47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133" w:right="7333" w:firstLine="0"/>
        <w:jc w:val="left"/>
        <w:rPr>
          <w:rFonts w:ascii="宋体" w:hAnsi="宋体" w:cs="宋体" w:eastAsia="宋体" w:hint="default"/>
          <w:sz w:val="21"/>
          <w:szCs w:val="21"/>
        </w:rPr>
      </w:pPr>
      <w:bookmarkStart w:name="3、其他" w:id="474"/>
      <w:bookmarkEnd w:id="47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75"/>
      <w:bookmarkEnd w:id="47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76"/>
      <w:bookmarkEnd w:id="476"/>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3"/>
        <w:gridCol w:w="2295"/>
        <w:gridCol w:w="2391"/>
        <w:gridCol w:w="2389"/>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9" w:right="0"/>
              <w:jc w:val="left"/>
              <w:rPr>
                <w:rFonts w:ascii="宋体" w:hAnsi="宋体" w:cs="宋体" w:eastAsia="宋体" w:hint="default"/>
                <w:sz w:val="18"/>
                <w:szCs w:val="18"/>
              </w:rPr>
            </w:pPr>
            <w:r>
              <w:rPr>
                <w:rFonts w:ascii="宋体" w:hAnsi="宋体" w:cs="宋体" w:eastAsia="宋体" w:hint="default"/>
                <w:sz w:val="18"/>
                <w:szCs w:val="18"/>
              </w:rPr>
              <w:t>对财务状况和经营成果的影</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36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利润分配情况" w:id="477"/>
      <w:bookmarkEnd w:id="477"/>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24"/>
          <w:szCs w:val="24"/>
        </w:rPr>
      </w:pPr>
    </w:p>
    <w:p>
      <w:pPr>
        <w:pStyle w:val="Heading4"/>
        <w:spacing w:line="240" w:lineRule="auto" w:before="35"/>
        <w:ind w:right="0"/>
        <w:jc w:val="both"/>
        <w:rPr>
          <w:b w:val="0"/>
          <w:bCs w:val="0"/>
        </w:rPr>
      </w:pPr>
      <w:bookmarkStart w:name="3、销售退回" w:id="478"/>
      <w:bookmarkEnd w:id="478"/>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4、其他资产负债表日后事项说明" w:id="479"/>
      <w:bookmarkEnd w:id="479"/>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493"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发行股票及支付现金购买杭州哲信公司股权并募集配套资金事项</w:t>
      </w:r>
      <w:r>
        <w:rPr>
          <w:w w:val="99"/>
        </w:rPr>
        <w:t> </w:t>
      </w:r>
      <w:r>
        <w:rPr>
          <w:spacing w:val="2"/>
        </w:rPr>
        <w:t>根据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日本公司与杭州哲信信息技术有限公司</w:t>
      </w:r>
      <w:r>
        <w:rPr>
          <w:rFonts w:ascii="Times New Roman" w:hAnsi="Times New Roman" w:cs="Times New Roman" w:eastAsia="Times New Roman" w:hint="default"/>
          <w:spacing w:val="2"/>
        </w:rPr>
        <w:t>(</w:t>
      </w:r>
      <w:r>
        <w:rPr>
          <w:spacing w:val="2"/>
        </w:rPr>
        <w:t>以下简称杭州哲信公司</w:t>
      </w:r>
      <w:r>
        <w:rPr>
          <w:rFonts w:ascii="Times New Roman" w:hAnsi="Times New Roman" w:cs="Times New Roman" w:eastAsia="Times New Roman" w:hint="default"/>
          <w:spacing w:val="2"/>
        </w:rPr>
        <w:t>)</w:t>
      </w:r>
      <w:r>
        <w:rPr>
          <w:spacing w:val="2"/>
        </w:rPr>
        <w:t>全体股东分别签署了附生效条件的</w:t>
      </w:r>
    </w:p>
    <w:p>
      <w:pPr>
        <w:pStyle w:val="BodyText"/>
        <w:spacing w:line="230" w:lineRule="exact"/>
        <w:ind w:right="0"/>
        <w:jc w:val="both"/>
      </w:pPr>
      <w:r>
        <w:rPr/>
        <w:t>《发行股票及支付现金购买资产协议》以及</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日本公司与杭州哲信公司全体股东分别签署的附生效条件的《发行股</w:t>
      </w:r>
    </w:p>
    <w:p>
      <w:pPr>
        <w:pStyle w:val="BodyText"/>
        <w:spacing w:line="300" w:lineRule="auto" w:before="63"/>
        <w:ind w:right="1130"/>
        <w:jc w:val="both"/>
      </w:pPr>
      <w:r>
        <w:rPr/>
        <w:t>票及支付现金购买资产协议之补充协议》，并经公司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w:t>
      </w:r>
      <w:r>
        <w:rPr>
          <w:rFonts w:ascii="Times New Roman" w:hAnsi="Times New Roman" w:cs="Times New Roman" w:eastAsia="Times New Roman" w:hint="default"/>
        </w:rPr>
        <w:t>2016</w:t>
      </w:r>
      <w:r>
        <w:rPr/>
        <w:t>年第一次临时股东大会审议通过，公司拟向杭州哲</w:t>
      </w:r>
      <w:r>
        <w:rPr>
          <w:spacing w:val="-82"/>
        </w:rPr>
        <w:t> </w:t>
      </w:r>
      <w:r>
        <w:rPr>
          <w:spacing w:val="-82"/>
        </w:rPr>
      </w:r>
      <w:r>
        <w:rPr/>
        <w:t>信公司全体股东发行股份并支付现金，购买其持有的杭州哲信</w:t>
      </w:r>
      <w:r>
        <w:rPr>
          <w:rFonts w:ascii="Times New Roman" w:hAnsi="Times New Roman" w:cs="Times New Roman" w:eastAsia="Times New Roman" w:hint="default"/>
        </w:rPr>
        <w:t>100%</w:t>
      </w:r>
      <w:r>
        <w:rPr/>
        <w:t>股权。经交易各方协商，参考银信评估出具的银信评报</w:t>
      </w:r>
      <w:r>
        <w:rPr>
          <w:spacing w:val="-55"/>
        </w:rPr>
        <w:t> </w:t>
      </w:r>
      <w:r>
        <w:rPr>
          <w:spacing w:val="-55"/>
        </w:rPr>
      </w:r>
      <w:r>
        <w:rPr>
          <w:spacing w:val="-1"/>
        </w:rPr>
        <w:t>字〔</w:t>
      </w:r>
      <w:r>
        <w:rPr>
          <w:rFonts w:ascii="Times New Roman" w:hAnsi="Times New Roman" w:cs="Times New Roman" w:eastAsia="Times New Roman" w:hint="default"/>
          <w:spacing w:val="-1"/>
        </w:rPr>
        <w:t>2015</w:t>
      </w:r>
      <w:r>
        <w:rPr>
          <w:spacing w:val="-1"/>
        </w:rPr>
        <w:t>〕沪第</w:t>
      </w:r>
      <w:r>
        <w:rPr>
          <w:rFonts w:ascii="Times New Roman" w:hAnsi="Times New Roman" w:cs="Times New Roman" w:eastAsia="Times New Roman" w:hint="default"/>
          <w:spacing w:val="-1"/>
        </w:rPr>
        <w:t>1246</w:t>
      </w:r>
      <w:r>
        <w:rPr>
          <w:spacing w:val="-1"/>
        </w:rPr>
        <w:t>号《评估报告》的评估结果，杭州哲信公司</w:t>
      </w:r>
      <w:r>
        <w:rPr>
          <w:rFonts w:ascii="Times New Roman" w:hAnsi="Times New Roman" w:cs="Times New Roman" w:eastAsia="Times New Roman" w:hint="default"/>
          <w:spacing w:val="-1"/>
        </w:rPr>
        <w:t>100%</w:t>
      </w:r>
      <w:r>
        <w:rPr>
          <w:spacing w:val="-1"/>
        </w:rPr>
        <w:t>股权交易对价为</w:t>
      </w:r>
      <w:r>
        <w:rPr>
          <w:rFonts w:ascii="Times New Roman" w:hAnsi="Times New Roman" w:cs="Times New Roman" w:eastAsia="Times New Roman" w:hint="default"/>
          <w:spacing w:val="-1"/>
        </w:rPr>
        <w:t>290,000</w:t>
      </w:r>
      <w:r>
        <w:rPr>
          <w:spacing w:val="-1"/>
        </w:rPr>
        <w:t>万元。本次交易对价以发行上</w:t>
      </w:r>
      <w:r>
        <w:rPr>
          <w:spacing w:val="-41"/>
        </w:rPr>
        <w:t> </w:t>
      </w:r>
      <w:r>
        <w:rPr>
          <w:spacing w:val="-41"/>
        </w:rPr>
      </w:r>
      <w:r>
        <w:rPr/>
        <w:t>市公司股份的方式支付</w:t>
      </w:r>
      <w:r>
        <w:rPr>
          <w:rFonts w:ascii="Times New Roman" w:hAnsi="Times New Roman" w:cs="Times New Roman" w:eastAsia="Times New Roman" w:hint="default"/>
        </w:rPr>
        <w:t>203,000</w:t>
      </w:r>
      <w:r>
        <w:rPr/>
        <w:t>万元，以现金方式支付</w:t>
      </w:r>
      <w:r>
        <w:rPr>
          <w:rFonts w:ascii="Times New Roman" w:hAnsi="Times New Roman" w:cs="Times New Roman" w:eastAsia="Times New Roman" w:hint="default"/>
        </w:rPr>
        <w:t>87,000</w:t>
      </w:r>
      <w:r>
        <w:rPr/>
        <w:t>万元。</w:t>
      </w:r>
    </w:p>
    <w:p>
      <w:pPr>
        <w:pStyle w:val="BodyText"/>
        <w:spacing w:line="300" w:lineRule="auto" w:before="51"/>
        <w:ind w:right="1130" w:firstLine="360"/>
        <w:jc w:val="both"/>
      </w:pPr>
      <w:r>
        <w:rPr/>
        <w:t>经中国证监会上市公司并购重组审核委员会</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日召开的</w:t>
      </w:r>
      <w:r>
        <w:rPr>
          <w:rFonts w:ascii="Times New Roman" w:hAnsi="Times New Roman" w:cs="Times New Roman" w:eastAsia="Times New Roman" w:hint="default"/>
        </w:rPr>
        <w:t>2016</w:t>
      </w:r>
      <w:r>
        <w:rPr/>
        <w:t>年第</w:t>
      </w:r>
      <w:r>
        <w:rPr>
          <w:rFonts w:ascii="Times New Roman" w:hAnsi="Times New Roman" w:cs="Times New Roman" w:eastAsia="Times New Roman" w:hint="default"/>
        </w:rPr>
        <w:t>25</w:t>
      </w:r>
      <w:r>
        <w:rPr/>
        <w:t>次并购重组委员会工作会议审核，公司发 行股份及支付现金购买资产并募集配套资金暨关联交易事项获得通过。截至本财务报表报出批准日</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公司发行股份及支付现 金购买资产并募集配套资金暨关联交易事项尚未实施。</w:t>
      </w:r>
    </w:p>
    <w:p>
      <w:pPr>
        <w:pStyle w:val="BodyText"/>
        <w:spacing w:line="240" w:lineRule="auto" w:before="71"/>
        <w:ind w:left="1494"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资产负债表日后利润分配情况</w:t>
      </w:r>
    </w:p>
    <w:p>
      <w:pPr>
        <w:spacing w:line="240" w:lineRule="auto" w:before="0"/>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4262"/>
        <w:gridCol w:w="4262"/>
      </w:tblGrid>
      <w:tr>
        <w:trPr>
          <w:trHeight w:val="428"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left="202" w:right="0"/>
              <w:jc w:val="left"/>
              <w:rPr>
                <w:rFonts w:ascii="宋体" w:hAnsi="宋体" w:cs="宋体" w:eastAsia="宋体" w:hint="default"/>
                <w:sz w:val="18"/>
                <w:szCs w:val="18"/>
              </w:rPr>
            </w:pPr>
            <w:r>
              <w:rPr>
                <w:rFonts w:ascii="宋体" w:hAnsi="宋体" w:cs="宋体" w:eastAsia="宋体" w:hint="default"/>
                <w:sz w:val="18"/>
                <w:szCs w:val="18"/>
              </w:rPr>
              <w:t>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0.80</w:t>
            </w:r>
            <w:r>
              <w:rPr>
                <w:rFonts w:ascii="宋体" w:hAnsi="宋体" w:cs="宋体" w:eastAsia="宋体" w:hint="default"/>
                <w:sz w:val="18"/>
                <w:szCs w:val="18"/>
              </w:rPr>
              <w:t>元（含税）</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134" w:right="0"/>
        <w:jc w:val="left"/>
        <w:rPr>
          <w:b w:val="0"/>
          <w:bCs w:val="0"/>
        </w:rPr>
      </w:pPr>
      <w:bookmarkStart w:name="十六、其他重要事项" w:id="480"/>
      <w:bookmarkEnd w:id="480"/>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前期会计差错更正" w:id="481"/>
      <w:bookmarkEnd w:id="481"/>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追溯重述法" w:id="482"/>
      <w:bookmarkEnd w:id="482"/>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未来适用法" w:id="483"/>
      <w:bookmarkEnd w:id="483"/>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bookmarkStart w:name="2、债务重组" w:id="484"/>
      <w:bookmarkEnd w:id="484"/>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资产置换" w:id="485"/>
      <w:bookmarkEnd w:id="485"/>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非货币性资产交换" w:id="486"/>
      <w:bookmarkEnd w:id="486"/>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其他资产置换" w:id="487"/>
      <w:bookmarkEnd w:id="487"/>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年金计划" w:id="488"/>
      <w:bookmarkEnd w:id="488"/>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终止经营" w:id="489"/>
      <w:bookmarkEnd w:id="489"/>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分部信息" w:id="490"/>
      <w:bookmarkEnd w:id="490"/>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报告分部的确定依据与会计政策" w:id="491"/>
      <w:bookmarkEnd w:id="491"/>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spacing w:val="-4"/>
        </w:rPr>
        <w:t>公司以内部组织结构、管理要求、内部报告制度等为依据确定经营分部。公司的经营分部是指同时满足下列条件的组成部分：</w:t>
      </w:r>
    </w:p>
    <w:p>
      <w:pPr>
        <w:pStyle w:val="BodyText"/>
        <w:spacing w:line="240" w:lineRule="auto" w:before="76"/>
        <w:ind w:left="113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该组成部分能够在日常活动中产生收入、发生费用；</w:t>
      </w:r>
    </w:p>
    <w:p>
      <w:pPr>
        <w:pStyle w:val="BodyText"/>
        <w:spacing w:line="240" w:lineRule="auto" w:before="63"/>
        <w:ind w:left="113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管理层能够定期评价该组成部分的经营成果，以决定向其配置资源、评价其业绩；</w:t>
      </w:r>
    </w:p>
    <w:p>
      <w:pPr>
        <w:pStyle w:val="BodyText"/>
        <w:spacing w:line="300" w:lineRule="auto" w:before="63"/>
        <w:ind w:left="1134" w:right="337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能够通过分析取得该组成部分的财务状况、经营成果和现金流量等有关会计信息。</w:t>
      </w:r>
      <w:r>
        <w:rPr>
          <w:w w:val="99"/>
        </w:rPr>
        <w:t> </w:t>
      </w:r>
      <w:r>
        <w:rPr/>
        <w:t>本公司以产品分部为基础确定报告分部，与各分部共同使用的资产、负债不在分部之间分配。</w:t>
      </w:r>
    </w:p>
    <w:p>
      <w:pPr>
        <w:spacing w:line="240" w:lineRule="auto" w:before="6"/>
        <w:rPr>
          <w:rFonts w:ascii="宋体" w:hAnsi="宋体" w:cs="宋体" w:eastAsia="宋体" w:hint="default"/>
          <w:sz w:val="23"/>
          <w:szCs w:val="23"/>
        </w:rPr>
      </w:pPr>
    </w:p>
    <w:p>
      <w:pPr>
        <w:pStyle w:val="Heading4"/>
        <w:spacing w:line="240" w:lineRule="auto"/>
        <w:ind w:left="1134" w:right="0"/>
        <w:jc w:val="left"/>
        <w:rPr>
          <w:b w:val="0"/>
          <w:bCs w:val="0"/>
        </w:rPr>
      </w:pPr>
      <w:bookmarkStart w:name="（2）报告分部的财务信息" w:id="492"/>
      <w:bookmarkEnd w:id="492"/>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35"/>
        <w:gridCol w:w="968"/>
        <w:gridCol w:w="958"/>
        <w:gridCol w:w="957"/>
        <w:gridCol w:w="958"/>
        <w:gridCol w:w="956"/>
        <w:gridCol w:w="958"/>
        <w:gridCol w:w="957"/>
        <w:gridCol w:w="958"/>
        <w:gridCol w:w="956"/>
      </w:tblGrid>
      <w:tr>
        <w:trPr>
          <w:trHeight w:val="161" w:hRule="exact"/>
        </w:trPr>
        <w:tc>
          <w:tcPr>
            <w:tcW w:w="935" w:type="dxa"/>
            <w:vMerge w:val="restart"/>
            <w:tcBorders>
              <w:top w:val="single" w:sz="4" w:space="0" w:color="000000"/>
              <w:left w:val="single" w:sz="4" w:space="0" w:color="000000"/>
              <w:right w:val="single" w:sz="9" w:space="0" w:color="E0FFFF"/>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68" w:type="dxa"/>
            <w:tcBorders>
              <w:top w:val="single" w:sz="4" w:space="0" w:color="000000"/>
              <w:left w:val="single" w:sz="4" w:space="0" w:color="000000"/>
              <w:bottom w:val="nil" w:sz="6" w:space="0" w:color="auto"/>
              <w:right w:val="single" w:sz="4" w:space="0" w:color="000000"/>
            </w:tcBorders>
            <w:shd w:val="clear" w:color="auto" w:fill="E0FFFF"/>
          </w:tcPr>
          <w:p>
            <w:pPr/>
          </w:p>
        </w:tc>
        <w:tc>
          <w:tcPr>
            <w:tcW w:w="958" w:type="dxa"/>
            <w:tcBorders>
              <w:top w:val="single" w:sz="4" w:space="0" w:color="000000"/>
              <w:left w:val="single" w:sz="4" w:space="0" w:color="000000"/>
              <w:bottom w:val="nil" w:sz="6" w:space="0" w:color="auto"/>
              <w:right w:val="single" w:sz="4" w:space="0" w:color="000000"/>
            </w:tcBorders>
            <w:shd w:val="clear" w:color="auto" w:fill="E0FFFF"/>
          </w:tcPr>
          <w:p>
            <w:pPr/>
          </w:p>
        </w:tc>
        <w:tc>
          <w:tcPr>
            <w:tcW w:w="957" w:type="dxa"/>
            <w:tcBorders>
              <w:top w:val="single" w:sz="4" w:space="0" w:color="000000"/>
              <w:left w:val="single" w:sz="4" w:space="0" w:color="000000"/>
              <w:bottom w:val="nil" w:sz="6" w:space="0" w:color="auto"/>
              <w:right w:val="single" w:sz="4" w:space="0" w:color="000000"/>
            </w:tcBorders>
            <w:shd w:val="clear" w:color="auto" w:fill="E0FFFF"/>
          </w:tcPr>
          <w:p>
            <w:pPr/>
          </w:p>
        </w:tc>
        <w:tc>
          <w:tcPr>
            <w:tcW w:w="958" w:type="dxa"/>
            <w:tcBorders>
              <w:top w:val="single" w:sz="4" w:space="0" w:color="000000"/>
              <w:left w:val="single" w:sz="4" w:space="0" w:color="000000"/>
              <w:bottom w:val="nil" w:sz="6" w:space="0" w:color="auto"/>
              <w:right w:val="single" w:sz="4" w:space="0" w:color="000000"/>
            </w:tcBorders>
            <w:shd w:val="clear" w:color="auto" w:fill="E0FFFF"/>
          </w:tcPr>
          <w:p>
            <w:pPr/>
          </w:p>
        </w:tc>
        <w:tc>
          <w:tcPr>
            <w:tcW w:w="956" w:type="dxa"/>
            <w:tcBorders>
              <w:top w:val="single" w:sz="4" w:space="0" w:color="000000"/>
              <w:left w:val="single" w:sz="4" w:space="0" w:color="000000"/>
              <w:bottom w:val="nil" w:sz="6" w:space="0" w:color="auto"/>
              <w:right w:val="single" w:sz="4" w:space="0" w:color="000000"/>
            </w:tcBorders>
            <w:shd w:val="clear" w:color="auto" w:fill="E0FFFF"/>
          </w:tcPr>
          <w:p>
            <w:pPr/>
          </w:p>
        </w:tc>
        <w:tc>
          <w:tcPr>
            <w:tcW w:w="958"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382" w:right="23" w:hanging="360"/>
              <w:jc w:val="left"/>
              <w:rPr>
                <w:rFonts w:ascii="宋体" w:hAnsi="宋体" w:cs="宋体" w:eastAsia="宋体" w:hint="default"/>
                <w:sz w:val="18"/>
                <w:szCs w:val="18"/>
              </w:rPr>
            </w:pPr>
            <w:r>
              <w:rPr>
                <w:rFonts w:ascii="宋体" w:hAnsi="宋体" w:cs="宋体" w:eastAsia="宋体" w:hint="default"/>
                <w:sz w:val="18"/>
                <w:szCs w:val="18"/>
              </w:rPr>
              <w:t>二氧化碳系 列</w:t>
            </w:r>
          </w:p>
        </w:tc>
        <w:tc>
          <w:tcPr>
            <w:tcW w:w="957" w:type="dxa"/>
            <w:tcBorders>
              <w:top w:val="single" w:sz="4" w:space="0" w:color="000000"/>
              <w:left w:val="single" w:sz="4" w:space="0" w:color="000000"/>
              <w:bottom w:val="nil" w:sz="6" w:space="0" w:color="auto"/>
              <w:right w:val="single" w:sz="4" w:space="0" w:color="000000"/>
            </w:tcBorders>
            <w:shd w:val="clear" w:color="auto" w:fill="E0FFFF"/>
          </w:tcPr>
          <w:p>
            <w:pPr/>
          </w:p>
        </w:tc>
        <w:tc>
          <w:tcPr>
            <w:tcW w:w="958" w:type="dxa"/>
            <w:vMerge w:val="restart"/>
            <w:tcBorders>
              <w:top w:val="single" w:sz="4" w:space="0" w:color="000000"/>
              <w:left w:val="single" w:sz="9" w:space="0" w:color="E0FFFF"/>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935" w:type="dxa"/>
            <w:vMerge/>
            <w:tcBorders>
              <w:left w:val="single" w:sz="4" w:space="0" w:color="000000"/>
              <w:right w:val="single" w:sz="9" w:space="0" w:color="E0FFFF"/>
            </w:tcBorders>
            <w:shd w:val="clear" w:color="auto" w:fill="D2D2D2"/>
          </w:tcPr>
          <w:p>
            <w:pPr/>
          </w:p>
        </w:tc>
        <w:tc>
          <w:tcPr>
            <w:tcW w:w="968"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SPC</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系列</w:t>
            </w:r>
          </w:p>
        </w:tc>
        <w:tc>
          <w:tcPr>
            <w:tcW w:w="958"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TEAD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系列</w:t>
            </w:r>
          </w:p>
        </w:tc>
        <w:tc>
          <w:tcPr>
            <w:tcW w:w="957"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left="1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系列</w:t>
            </w:r>
          </w:p>
        </w:tc>
        <w:tc>
          <w:tcPr>
            <w:tcW w:w="958"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醋酸钠系列</w:t>
            </w:r>
          </w:p>
        </w:tc>
        <w:tc>
          <w:tcPr>
            <w:tcW w:w="956"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双氧水系列</w:t>
            </w:r>
          </w:p>
        </w:tc>
        <w:tc>
          <w:tcPr>
            <w:tcW w:w="958" w:type="dxa"/>
            <w:vMerge/>
            <w:tcBorders>
              <w:left w:val="single" w:sz="4" w:space="0" w:color="000000"/>
              <w:right w:val="single" w:sz="4" w:space="0" w:color="000000"/>
            </w:tcBorders>
            <w:shd w:val="clear" w:color="auto" w:fill="E0FFFF"/>
          </w:tcPr>
          <w:p>
            <w:pPr/>
          </w:p>
        </w:tc>
        <w:tc>
          <w:tcPr>
            <w:tcW w:w="957"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双氧水助剂</w:t>
            </w:r>
          </w:p>
        </w:tc>
        <w:tc>
          <w:tcPr>
            <w:tcW w:w="958" w:type="dxa"/>
            <w:vMerge/>
            <w:tcBorders>
              <w:left w:val="single" w:sz="9" w:space="0" w:color="E0FFFF"/>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r>
      <w:tr>
        <w:trPr>
          <w:trHeight w:val="161" w:hRule="exact"/>
        </w:trPr>
        <w:tc>
          <w:tcPr>
            <w:tcW w:w="935" w:type="dxa"/>
            <w:vMerge/>
            <w:tcBorders>
              <w:left w:val="single" w:sz="4" w:space="0" w:color="000000"/>
              <w:bottom w:val="single" w:sz="4" w:space="0" w:color="000000"/>
              <w:right w:val="single" w:sz="9" w:space="0" w:color="E0FFFF"/>
            </w:tcBorders>
            <w:shd w:val="clear" w:color="auto" w:fill="D2D2D2"/>
          </w:tcPr>
          <w:p>
            <w:pPr/>
          </w:p>
        </w:tc>
        <w:tc>
          <w:tcPr>
            <w:tcW w:w="968" w:type="dxa"/>
            <w:tcBorders>
              <w:top w:val="nil" w:sz="6" w:space="0" w:color="auto"/>
              <w:left w:val="single" w:sz="4" w:space="0" w:color="000000"/>
              <w:bottom w:val="single" w:sz="4" w:space="0" w:color="000000"/>
              <w:right w:val="single" w:sz="4" w:space="0" w:color="000000"/>
            </w:tcBorders>
            <w:shd w:val="clear" w:color="auto" w:fill="E0FFFF"/>
          </w:tcPr>
          <w:p>
            <w:pPr/>
          </w:p>
        </w:tc>
        <w:tc>
          <w:tcPr>
            <w:tcW w:w="958" w:type="dxa"/>
            <w:tcBorders>
              <w:top w:val="nil" w:sz="6" w:space="0" w:color="auto"/>
              <w:left w:val="single" w:sz="4" w:space="0" w:color="000000"/>
              <w:bottom w:val="single" w:sz="4" w:space="0" w:color="000000"/>
              <w:right w:val="single" w:sz="4" w:space="0" w:color="000000"/>
            </w:tcBorders>
            <w:shd w:val="clear" w:color="auto" w:fill="E0FFFF"/>
          </w:tcPr>
          <w:p>
            <w:pPr/>
          </w:p>
        </w:tc>
        <w:tc>
          <w:tcPr>
            <w:tcW w:w="957" w:type="dxa"/>
            <w:tcBorders>
              <w:top w:val="nil" w:sz="6" w:space="0" w:color="auto"/>
              <w:left w:val="single" w:sz="4" w:space="0" w:color="000000"/>
              <w:bottom w:val="single" w:sz="4" w:space="0" w:color="000000"/>
              <w:right w:val="single" w:sz="4" w:space="0" w:color="000000"/>
            </w:tcBorders>
            <w:shd w:val="clear" w:color="auto" w:fill="E0FFFF"/>
          </w:tcPr>
          <w:p>
            <w:pPr/>
          </w:p>
        </w:tc>
        <w:tc>
          <w:tcPr>
            <w:tcW w:w="958" w:type="dxa"/>
            <w:tcBorders>
              <w:top w:val="nil" w:sz="6" w:space="0" w:color="auto"/>
              <w:left w:val="single" w:sz="4" w:space="0" w:color="000000"/>
              <w:bottom w:val="single" w:sz="4" w:space="0" w:color="000000"/>
              <w:right w:val="single" w:sz="4" w:space="0" w:color="000000"/>
            </w:tcBorders>
            <w:shd w:val="clear" w:color="auto" w:fill="E0FFFF"/>
          </w:tcPr>
          <w:p>
            <w:pPr/>
          </w:p>
        </w:tc>
        <w:tc>
          <w:tcPr>
            <w:tcW w:w="956" w:type="dxa"/>
            <w:tcBorders>
              <w:top w:val="nil" w:sz="6" w:space="0" w:color="auto"/>
              <w:left w:val="single" w:sz="4" w:space="0" w:color="000000"/>
              <w:bottom w:val="single" w:sz="4" w:space="0" w:color="000000"/>
              <w:right w:val="single" w:sz="4" w:space="0" w:color="000000"/>
            </w:tcBorders>
            <w:shd w:val="clear" w:color="auto" w:fill="E0FFFF"/>
          </w:tcPr>
          <w:p>
            <w:pPr/>
          </w:p>
        </w:tc>
        <w:tc>
          <w:tcPr>
            <w:tcW w:w="958" w:type="dxa"/>
            <w:vMerge/>
            <w:tcBorders>
              <w:left w:val="single" w:sz="4" w:space="0" w:color="000000"/>
              <w:bottom w:val="single" w:sz="4" w:space="0" w:color="000000"/>
              <w:right w:val="single" w:sz="4" w:space="0" w:color="000000"/>
            </w:tcBorders>
            <w:shd w:val="clear" w:color="auto" w:fill="E0FFFF"/>
          </w:tcPr>
          <w:p>
            <w:pPr/>
          </w:p>
        </w:tc>
        <w:tc>
          <w:tcPr>
            <w:tcW w:w="957" w:type="dxa"/>
            <w:tcBorders>
              <w:top w:val="nil" w:sz="6" w:space="0" w:color="auto"/>
              <w:left w:val="single" w:sz="4" w:space="0" w:color="000000"/>
              <w:bottom w:val="single" w:sz="4" w:space="0" w:color="000000"/>
              <w:right w:val="single" w:sz="4" w:space="0" w:color="000000"/>
            </w:tcBorders>
            <w:shd w:val="clear" w:color="auto" w:fill="E0FFFF"/>
          </w:tcPr>
          <w:p>
            <w:pPr/>
          </w:p>
        </w:tc>
        <w:tc>
          <w:tcPr>
            <w:tcW w:w="958" w:type="dxa"/>
            <w:vMerge/>
            <w:tcBorders>
              <w:left w:val="single" w:sz="9" w:space="0" w:color="E0FFFF"/>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主营业务收 入</w:t>
            </w:r>
          </w:p>
        </w:tc>
        <w:tc>
          <w:tcPr>
            <w:tcW w:w="96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301,421,660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87,741,266.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47,288,964.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3,047,381.1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17,283,484.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177,124.03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44,546,083.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28</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501,505,964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.28</w:t>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主营业务成 本</w:t>
            </w:r>
          </w:p>
        </w:tc>
        <w:tc>
          <w:tcPr>
            <w:tcW w:w="96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236,598,093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71,261,485.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28,402,787.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3,737,741.1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16,032,283.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3,689,832.7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16,796,025.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376,518,248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公司无报告分部的，或者不能披露各报告分部的资产总额和负债总额的，应说明原因" w:id="493"/>
      <w:bookmarkEnd w:id="493"/>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说明" w:id="494"/>
      <w:bookmarkEnd w:id="494"/>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7、其他对投资者决策有影响的重要交易和事项" w:id="495"/>
      <w:bookmarkEnd w:id="495"/>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494" w:right="1122"/>
        <w:jc w:val="left"/>
      </w:pPr>
      <w:r>
        <w:rPr/>
        <w:t>（</w:t>
      </w:r>
      <w:r>
        <w:rPr>
          <w:rFonts w:ascii="Times New Roman" w:hAnsi="Times New Roman" w:cs="Times New Roman" w:eastAsia="Times New Roman" w:hint="default"/>
        </w:rPr>
        <w:t>1</w:t>
      </w:r>
      <w:r>
        <w:rPr/>
        <w:t>）股权收购情况 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日本公司与自然人施卫东签署的《湖州吉昌化学有限公司股权转让总协议》，并经公司第二届董事会</w:t>
      </w:r>
    </w:p>
    <w:p>
      <w:pPr>
        <w:pStyle w:val="BodyText"/>
        <w:spacing w:line="300" w:lineRule="auto" w:before="13"/>
        <w:ind w:right="1132"/>
        <w:jc w:val="both"/>
      </w:pPr>
      <w:r>
        <w:rPr>
          <w:spacing w:val="-1"/>
        </w:rPr>
        <w:t>第七次会议审议同意，公司以</w:t>
      </w:r>
      <w:r>
        <w:rPr>
          <w:rFonts w:ascii="Times New Roman" w:hAnsi="Times New Roman" w:cs="Times New Roman" w:eastAsia="Times New Roman" w:hint="default"/>
          <w:spacing w:val="-1"/>
        </w:rPr>
        <w:t>1.44</w:t>
      </w:r>
      <w:r>
        <w:rPr>
          <w:spacing w:val="-1"/>
        </w:rPr>
        <w:t>亿元的价格收购施卫东持有的湖州吉昌公司</w:t>
      </w:r>
      <w:r>
        <w:rPr>
          <w:rFonts w:ascii="Times New Roman" w:hAnsi="Times New Roman" w:cs="Times New Roman" w:eastAsia="Times New Roman" w:hint="default"/>
          <w:spacing w:val="-1"/>
        </w:rPr>
        <w:t>60%</w:t>
      </w:r>
      <w:r>
        <w:rPr>
          <w:spacing w:val="-1"/>
        </w:rPr>
        <w:t>的股权。本公司已按照协议约定于</w:t>
      </w:r>
      <w:r>
        <w:rPr>
          <w:rFonts w:ascii="Times New Roman" w:hAnsi="Times New Roman" w:cs="Times New Roman" w:eastAsia="Times New Roman" w:hint="default"/>
          <w:spacing w:val="-1"/>
        </w:rPr>
        <w:t>2015</w:t>
      </w:r>
      <w:r>
        <w:rPr>
          <w:spacing w:val="-1"/>
        </w:rPr>
        <w:t>年</w:t>
      </w:r>
      <w:r>
        <w:rPr>
          <w:spacing w:val="-42"/>
        </w:rPr>
        <w:t> </w:t>
      </w:r>
      <w:r>
        <w:rPr>
          <w:rFonts w:ascii="Times New Roman" w:hAnsi="Times New Roman" w:cs="Times New Roman" w:eastAsia="Times New Roman" w:hint="default"/>
        </w:rPr>
        <w:t>7</w:t>
      </w:r>
      <w:r>
        <w:rPr/>
        <w:t>月向施卫东支付一、二期股权转让款</w:t>
      </w:r>
      <w:r>
        <w:rPr>
          <w:rFonts w:ascii="Times New Roman" w:hAnsi="Times New Roman" w:cs="Times New Roman" w:eastAsia="Times New Roman" w:hint="default"/>
        </w:rPr>
        <w:t>7,210</w:t>
      </w:r>
      <w:r>
        <w:rPr/>
        <w:t>万元，湖州吉昌公司已于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日办妥工商变更登记手续，本公司于</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7</w:t>
      </w:r>
      <w:r>
        <w:rPr/>
        <w:t>月取得湖州吉昌公司的控制权。除另有约定外，公司应按照协议约定在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日前支付第三期股权转让款</w:t>
      </w:r>
      <w:r>
        <w:rPr>
          <w:rFonts w:ascii="Times New Roman" w:hAnsi="Times New Roman" w:cs="Times New Roman" w:eastAsia="Times New Roman" w:hint="default"/>
        </w:rPr>
        <w:t>3,600</w:t>
      </w:r>
      <w:r>
        <w:rPr/>
        <w:t>万 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日前支付第四期股权转让款</w:t>
      </w:r>
      <w:r>
        <w:rPr>
          <w:rFonts w:ascii="Times New Roman" w:hAnsi="Times New Roman" w:cs="Times New Roman" w:eastAsia="Times New Roman" w:hint="default"/>
        </w:rPr>
        <w:t>3,590</w:t>
      </w:r>
      <w:r>
        <w:rPr/>
        <w:t>万元。</w:t>
      </w:r>
    </w:p>
    <w:p>
      <w:pPr>
        <w:pStyle w:val="BodyText"/>
        <w:spacing w:line="300" w:lineRule="auto" w:before="13"/>
        <w:ind w:left="1493" w:right="1123"/>
        <w:jc w:val="left"/>
      </w:pPr>
      <w:r>
        <w:rPr/>
        <w:t>（</w:t>
      </w:r>
      <w:r>
        <w:rPr>
          <w:rFonts w:ascii="Times New Roman" w:hAnsi="Times New Roman" w:cs="Times New Roman" w:eastAsia="Times New Roman" w:hint="default"/>
        </w:rPr>
        <w:t>2</w:t>
      </w:r>
      <w:r>
        <w:rPr/>
        <w:t>）湖州吉昌公司利润承诺及实现情况 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日本公司与自然人施卫东签署的《湖州吉昌化学有限公司股权转让总协议》，本公司与施卫东约定，</w:t>
      </w:r>
    </w:p>
    <w:p>
      <w:pPr>
        <w:pStyle w:val="BodyText"/>
        <w:spacing w:line="300" w:lineRule="auto" w:before="13"/>
        <w:ind w:right="1123"/>
        <w:jc w:val="left"/>
      </w:pPr>
      <w:r>
        <w:rPr/>
        <w:t>湖州吉昌公司股权转让款根据股权转让后</w:t>
      </w:r>
      <w:r>
        <w:rPr>
          <w:rFonts w:ascii="Times New Roman" w:hAnsi="Times New Roman" w:cs="Times New Roman" w:eastAsia="Times New Roman" w:hint="default"/>
        </w:rPr>
        <w:t>36</w:t>
      </w:r>
      <w:r>
        <w:rPr/>
        <w:t>个月利润情况进行调整。其中</w:t>
      </w:r>
      <w:r>
        <w:rPr>
          <w:rFonts w:ascii="Times New Roman" w:hAnsi="Times New Roman" w:cs="Times New Roman" w:eastAsia="Times New Roman" w:hint="default"/>
        </w:rPr>
        <w:t>:36</w:t>
      </w:r>
      <w:r>
        <w:rPr/>
        <w:t>个月累计净利润在</w:t>
      </w:r>
      <w:r>
        <w:rPr>
          <w:rFonts w:ascii="Times New Roman" w:hAnsi="Times New Roman" w:cs="Times New Roman" w:eastAsia="Times New Roman" w:hint="default"/>
        </w:rPr>
        <w:t>6,000</w:t>
      </w:r>
      <w:r>
        <w:rPr/>
        <w:t>万元</w:t>
      </w:r>
      <w:r>
        <w:rPr>
          <w:rFonts w:ascii="Times New Roman" w:hAnsi="Times New Roman" w:cs="Times New Roman" w:eastAsia="Times New Roman" w:hint="default"/>
        </w:rPr>
        <w:t>-6,600</w:t>
      </w:r>
      <w:r>
        <w:rPr/>
        <w:t>万元之间， 股权转让款不作调整；</w:t>
      </w:r>
      <w:r>
        <w:rPr>
          <w:rFonts w:ascii="Times New Roman" w:hAnsi="Times New Roman" w:cs="Times New Roman" w:eastAsia="Times New Roman" w:hint="default"/>
        </w:rPr>
        <w:t>36</w:t>
      </w:r>
      <w:r>
        <w:rPr/>
        <w:t>个月累计净利润小于</w:t>
      </w:r>
      <w:r>
        <w:rPr>
          <w:rFonts w:ascii="Times New Roman" w:hAnsi="Times New Roman" w:cs="Times New Roman" w:eastAsia="Times New Roman" w:hint="default"/>
        </w:rPr>
        <w:t>6,000</w:t>
      </w:r>
      <w:r>
        <w:rPr/>
        <w:t>万元时由施卫东向公司补偿；</w:t>
      </w:r>
      <w:r>
        <w:rPr>
          <w:rFonts w:ascii="Times New Roman" w:hAnsi="Times New Roman" w:cs="Times New Roman" w:eastAsia="Times New Roman" w:hint="default"/>
        </w:rPr>
        <w:t>36</w:t>
      </w:r>
      <w:r>
        <w:rPr/>
        <w:t>个月累计净利润大于</w:t>
      </w:r>
      <w:r>
        <w:rPr>
          <w:rFonts w:ascii="Times New Roman" w:hAnsi="Times New Roman" w:cs="Times New Roman" w:eastAsia="Times New Roman" w:hint="default"/>
        </w:rPr>
        <w:t>6,600</w:t>
      </w:r>
      <w:r>
        <w:rPr/>
        <w:t>万元时，由公 司向施卫东支付奖励款。</w:t>
      </w:r>
    </w:p>
    <w:p>
      <w:pPr>
        <w:pStyle w:val="BodyText"/>
        <w:spacing w:line="300" w:lineRule="auto" w:before="31"/>
        <w:ind w:right="0" w:firstLine="360"/>
        <w:jc w:val="left"/>
      </w:pPr>
      <w:r>
        <w:rPr>
          <w:spacing w:val="-1"/>
        </w:rPr>
        <w:t>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月完成湖州吉昌公司</w:t>
      </w:r>
      <w:r>
        <w:rPr>
          <w:rFonts w:ascii="Times New Roman" w:hAnsi="Times New Roman" w:cs="Times New Roman" w:eastAsia="Times New Roman" w:hint="default"/>
          <w:spacing w:val="-1"/>
        </w:rPr>
        <w:t>60%</w:t>
      </w:r>
      <w:r>
        <w:rPr>
          <w:spacing w:val="-1"/>
        </w:rPr>
        <w:t>股权的收购，湖州吉昌公司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8-12</w:t>
      </w:r>
      <w:r>
        <w:rPr>
          <w:spacing w:val="-1"/>
        </w:rPr>
        <w:t>月实现的净利润为</w:t>
      </w:r>
      <w:r>
        <w:rPr>
          <w:rFonts w:ascii="Times New Roman" w:hAnsi="Times New Roman" w:cs="Times New Roman" w:eastAsia="Times New Roman" w:hint="default"/>
          <w:spacing w:val="-1"/>
        </w:rPr>
        <w:t>1,752.77</w:t>
      </w:r>
      <w:r>
        <w:rPr>
          <w:spacing w:val="-1"/>
        </w:rPr>
        <w:t>万元（扣除非</w:t>
      </w:r>
      <w:r>
        <w:rPr/>
        <w:t> 经常性损益后的净利润为</w:t>
      </w:r>
      <w:r>
        <w:rPr>
          <w:rFonts w:ascii="Times New Roman" w:hAnsi="Times New Roman" w:cs="Times New Roman" w:eastAsia="Times New Roman" w:hint="default"/>
        </w:rPr>
        <w:t>1,751.88</w:t>
      </w:r>
      <w:r>
        <w:rPr/>
        <w:t>万元）。</w:t>
      </w:r>
    </w:p>
    <w:p>
      <w:pPr>
        <w:spacing w:line="240" w:lineRule="auto" w:before="1"/>
        <w:rPr>
          <w:rFonts w:ascii="宋体" w:hAnsi="宋体" w:cs="宋体" w:eastAsia="宋体" w:hint="default"/>
          <w:sz w:val="22"/>
          <w:szCs w:val="22"/>
        </w:rPr>
      </w:pPr>
    </w:p>
    <w:p>
      <w:pPr>
        <w:spacing w:line="487" w:lineRule="auto" w:before="0"/>
        <w:ind w:left="1133" w:right="6653" w:firstLine="0"/>
        <w:jc w:val="left"/>
        <w:rPr>
          <w:rFonts w:ascii="宋体" w:hAnsi="宋体" w:cs="宋体" w:eastAsia="宋体" w:hint="default"/>
          <w:sz w:val="21"/>
          <w:szCs w:val="21"/>
        </w:rPr>
      </w:pPr>
      <w:bookmarkStart w:name="8、其他" w:id="496"/>
      <w:bookmarkEnd w:id="49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97"/>
      <w:bookmarkEnd w:id="49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498"/>
      <w:bookmarkEnd w:id="498"/>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3"/>
        <w:ind w:right="0"/>
        <w:jc w:val="left"/>
        <w:rPr>
          <w:b w:val="0"/>
          <w:bCs w:val="0"/>
        </w:rPr>
      </w:pPr>
      <w:bookmarkStart w:name="（1）应收账款分类披露" w:id="499"/>
      <w:bookmarkEnd w:id="49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62,361,2</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78.40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3,126,01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59,235,26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65,234,</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451.58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3,263,752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61,970,699.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62,361,2</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78.40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3,126,01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7.85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5.01%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59,235,26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0.55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65,234,</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451.58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3,263,752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61,970,699.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期末单项金额重大并单项计提坏账准备的应收账款：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62,318,999.83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3,115,949.99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13,078.57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1,307.86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8,760.00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62,361,278.40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3,126,017.85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5.01%</w:t>
            </w:r>
          </w:p>
        </w:tc>
      </w:tr>
    </w:tbl>
    <w:p>
      <w:pPr>
        <w:pStyle w:val="BodyText"/>
        <w:spacing w:line="357" w:lineRule="auto" w:before="51"/>
        <w:ind w:left="1134" w:right="6432"/>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本期计提、收回或转回的坏账准备情况" w:id="500"/>
      <w:bookmarkEnd w:id="50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5"/>
        <w:jc w:val="left"/>
      </w:pPr>
      <w:r>
        <w:rPr/>
        <w:t>本期计提坏账准备金额</w:t>
      </w:r>
      <w:r>
        <w:rPr>
          <w:rFonts w:ascii="Times New Roman" w:hAnsi="Times New Roman" w:cs="Times New Roman" w:eastAsia="Times New Roman" w:hint="default"/>
        </w:rPr>
        <w:t>-126,334.73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314" w:space="151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实际核销的应收账款情况" w:id="501"/>
      <w:bookmarkEnd w:id="50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应收账款核销说明：</w:t>
      </w:r>
    </w:p>
    <w:p>
      <w:pPr>
        <w:pStyle w:val="Heading5"/>
        <w:spacing w:line="240" w:lineRule="auto" w:before="90"/>
        <w:ind w:left="1134" w:right="0"/>
        <w:jc w:val="left"/>
      </w:pPr>
      <w:r>
        <w:rPr/>
        <w:t>本期实际核销应收账款金额</w:t>
      </w:r>
      <w:r>
        <w:rPr>
          <w:rFonts w:ascii="Times New Roman" w:hAnsi="Times New Roman" w:cs="Times New Roman" w:eastAsia="Times New Roman" w:hint="default"/>
        </w:rPr>
        <w:t>11,400.00</w:t>
      </w:r>
      <w:r>
        <w:rPr/>
        <w:t>元。</w:t>
      </w:r>
    </w:p>
    <w:p>
      <w:pPr>
        <w:spacing w:line="240" w:lineRule="auto" w:before="8"/>
        <w:rPr>
          <w:rFonts w:ascii="宋体" w:hAnsi="宋体" w:cs="宋体" w:eastAsia="宋体" w:hint="default"/>
          <w:sz w:val="24"/>
          <w:szCs w:val="24"/>
        </w:rPr>
      </w:pPr>
    </w:p>
    <w:p>
      <w:pPr>
        <w:pStyle w:val="Heading4"/>
        <w:spacing w:line="240" w:lineRule="auto"/>
        <w:ind w:left="1134" w:right="0"/>
        <w:jc w:val="left"/>
        <w:rPr>
          <w:b w:val="0"/>
          <w:bCs w:val="0"/>
        </w:rPr>
      </w:pPr>
      <w:bookmarkStart w:name="（4）按欠款方归集的期末余额前五名的应收账款情况" w:id="502"/>
      <w:bookmarkEnd w:id="50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jc w:val="left"/>
      </w:pPr>
      <w:r>
        <w:rPr/>
        <w:t>期末余额前</w:t>
      </w:r>
      <w:r>
        <w:rPr>
          <w:rFonts w:ascii="Times New Roman" w:hAnsi="Times New Roman" w:cs="Times New Roman" w:eastAsia="Times New Roman" w:hint="default"/>
        </w:rPr>
        <w:t>5</w:t>
      </w:r>
      <w:r>
        <w:rPr/>
        <w:t>名的应收账款合计数为</w:t>
      </w:r>
      <w:r>
        <w:rPr>
          <w:rFonts w:ascii="Times New Roman" w:hAnsi="Times New Roman" w:cs="Times New Roman" w:eastAsia="Times New Roman" w:hint="default"/>
        </w:rPr>
        <w:t>37,129,894.37</w:t>
      </w:r>
      <w:r>
        <w:rPr/>
        <w:t>元，占应收账款期末余额合计数的比例为</w:t>
      </w:r>
      <w:r>
        <w:rPr>
          <w:rFonts w:ascii="Times New Roman" w:hAnsi="Times New Roman" w:cs="Times New Roman" w:eastAsia="Times New Roman" w:hint="default"/>
        </w:rPr>
        <w:t>59.55%</w:t>
      </w:r>
      <w:r>
        <w:rPr/>
        <w:t>，相应计提的坏账准备合</w:t>
      </w:r>
      <w:r>
        <w:rPr>
          <w:spacing w:val="-62"/>
        </w:rPr>
        <w:t> </w:t>
      </w:r>
      <w:r>
        <w:rPr>
          <w:spacing w:val="-62"/>
        </w:rPr>
      </w:r>
      <w:r>
        <w:rPr/>
        <w:t>计数为</w:t>
      </w:r>
      <w:r>
        <w:rPr>
          <w:rFonts w:ascii="Times New Roman" w:hAnsi="Times New Roman" w:cs="Times New Roman" w:eastAsia="Times New Roman" w:hint="default"/>
        </w:rPr>
        <w:t>1,856,494.72</w:t>
      </w:r>
      <w:r>
        <w:rPr/>
        <w:t>元。</w:t>
      </w:r>
    </w:p>
    <w:tbl>
      <w:tblPr>
        <w:tblW w:w="0" w:type="auto"/>
        <w:jc w:val="left"/>
        <w:tblInd w:w="1126" w:type="dxa"/>
        <w:tblLayout w:type="fixed"/>
        <w:tblCellMar>
          <w:top w:w="0" w:type="dxa"/>
          <w:left w:w="0" w:type="dxa"/>
          <w:bottom w:w="0" w:type="dxa"/>
          <w:right w:w="0" w:type="dxa"/>
        </w:tblCellMar>
        <w:tblLook w:val="01E0"/>
      </w:tblPr>
      <w:tblGrid>
        <w:gridCol w:w="2504"/>
        <w:gridCol w:w="1577"/>
        <w:gridCol w:w="1030"/>
        <w:gridCol w:w="1296"/>
      </w:tblGrid>
      <w:tr>
        <w:trPr>
          <w:trHeight w:val="971" w:hRule="exact"/>
        </w:trPr>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6" w:right="56"/>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占应收账款 余额 的比例</w:t>
            </w:r>
            <w:r>
              <w:rPr>
                <w:rFonts w:ascii="Times New Roman" w:hAnsi="Times New Roman" w:cs="Times New Roman" w:eastAsia="Times New Roman" w:hint="default"/>
                <w:sz w:val="18"/>
                <w:szCs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8" w:hRule="exact"/>
        </w:trPr>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CNS CO.</w:t>
            </w:r>
            <w:r>
              <w:rPr>
                <w:rFonts w:ascii="Times New Roman"/>
                <w:spacing w:val="-2"/>
                <w:sz w:val="18"/>
              </w:rPr>
              <w:t> </w:t>
            </w:r>
            <w:r>
              <w:rPr>
                <w:rFonts w:ascii="Times New Roman"/>
                <w:sz w:val="18"/>
              </w:rPr>
              <w:t>LTD.</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25" w:right="0"/>
              <w:jc w:val="left"/>
              <w:rPr>
                <w:rFonts w:ascii="Times New Roman" w:hAnsi="Times New Roman" w:cs="Times New Roman" w:eastAsia="Times New Roman" w:hint="default"/>
                <w:sz w:val="18"/>
                <w:szCs w:val="18"/>
              </w:rPr>
            </w:pPr>
            <w:r>
              <w:rPr>
                <w:rFonts w:ascii="Times New Roman"/>
                <w:sz w:val="18"/>
              </w:rPr>
              <w:t>13,682,372.35</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07" w:right="0"/>
              <w:jc w:val="left"/>
              <w:rPr>
                <w:rFonts w:ascii="Times New Roman" w:hAnsi="Times New Roman" w:cs="Times New Roman" w:eastAsia="Times New Roman" w:hint="default"/>
                <w:sz w:val="18"/>
                <w:szCs w:val="18"/>
              </w:rPr>
            </w:pPr>
            <w:r>
              <w:rPr>
                <w:rFonts w:ascii="Times New Roman"/>
                <w:sz w:val="18"/>
              </w:rPr>
              <w:t>21.94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69" w:right="0"/>
              <w:jc w:val="left"/>
              <w:rPr>
                <w:rFonts w:ascii="Times New Roman" w:hAnsi="Times New Roman" w:cs="Times New Roman" w:eastAsia="Times New Roman" w:hint="default"/>
                <w:sz w:val="18"/>
                <w:szCs w:val="18"/>
              </w:rPr>
            </w:pPr>
            <w:r>
              <w:rPr>
                <w:rFonts w:ascii="Times New Roman"/>
                <w:sz w:val="18"/>
              </w:rPr>
              <w:t>684,118.62</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2504"/>
        <w:gridCol w:w="1577"/>
        <w:gridCol w:w="1030"/>
        <w:gridCol w:w="1296"/>
      </w:tblGrid>
      <w:tr>
        <w:trPr>
          <w:trHeight w:val="347" w:hRule="exact"/>
        </w:trPr>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HENKEL</w:t>
            </w:r>
            <w:r>
              <w:rPr>
                <w:rFonts w:ascii="Times New Roman"/>
                <w:spacing w:val="-2"/>
                <w:sz w:val="18"/>
              </w:rPr>
              <w:t> </w:t>
            </w:r>
            <w:r>
              <w:rPr>
                <w:rFonts w:ascii="Times New Roman"/>
                <w:sz w:val="18"/>
              </w:rPr>
              <w:t>SYRIA</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7,942,737.72</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12.74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397,136.88</w:t>
            </w:r>
          </w:p>
        </w:tc>
      </w:tr>
      <w:tr>
        <w:trPr>
          <w:trHeight w:val="659" w:hRule="exact"/>
        </w:trPr>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1"/>
              <w:ind w:left="2" w:right="1004"/>
              <w:jc w:val="left"/>
              <w:rPr>
                <w:rFonts w:ascii="Times New Roman" w:hAnsi="Times New Roman" w:cs="Times New Roman" w:eastAsia="Times New Roman" w:hint="default"/>
                <w:sz w:val="18"/>
                <w:szCs w:val="18"/>
              </w:rPr>
            </w:pPr>
            <w:r>
              <w:rPr>
                <w:rFonts w:ascii="Times New Roman"/>
                <w:sz w:val="18"/>
              </w:rPr>
              <w:t>METALL-CHEMIE</w:t>
            </w:r>
            <w:r>
              <w:rPr>
                <w:rFonts w:ascii="Times New Roman"/>
                <w:w w:val="99"/>
                <w:sz w:val="18"/>
              </w:rPr>
              <w:t> </w:t>
            </w:r>
            <w:r>
              <w:rPr>
                <w:rFonts w:ascii="Times New Roman"/>
                <w:sz w:val="18"/>
              </w:rPr>
              <w:t>CMBH&amp;CO.KC</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6,764,187.95</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10.85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338,209.40</w:t>
            </w:r>
          </w:p>
        </w:tc>
      </w:tr>
      <w:tr>
        <w:trPr>
          <w:trHeight w:val="347" w:hRule="exact"/>
        </w:trPr>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RECKITT</w:t>
            </w:r>
            <w:r>
              <w:rPr>
                <w:rFonts w:ascii="Times New Roman"/>
                <w:spacing w:val="-3"/>
                <w:sz w:val="18"/>
              </w:rPr>
              <w:t> </w:t>
            </w:r>
            <w:r>
              <w:rPr>
                <w:rFonts w:ascii="Times New Roman"/>
                <w:sz w:val="18"/>
              </w:rPr>
              <w:t>BENCKISER</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6,197,642.39</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9.94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309,882.12</w:t>
            </w:r>
          </w:p>
        </w:tc>
      </w:tr>
      <w:tr>
        <w:trPr>
          <w:trHeight w:val="348" w:hRule="exact"/>
        </w:trPr>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BIACHEM</w:t>
            </w:r>
            <w:r>
              <w:rPr>
                <w:rFonts w:ascii="Times New Roman"/>
                <w:spacing w:val="-2"/>
                <w:sz w:val="18"/>
              </w:rPr>
              <w:t> </w:t>
            </w:r>
            <w:r>
              <w:rPr>
                <w:rFonts w:ascii="Times New Roman"/>
                <w:sz w:val="18"/>
              </w:rPr>
              <w:t>LIMITED</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2,542,953.96</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4.08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127,147.70</w:t>
            </w:r>
          </w:p>
        </w:tc>
      </w:tr>
      <w:tr>
        <w:trPr>
          <w:trHeight w:val="347" w:hRule="exact"/>
        </w:trPr>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37,129,894.37</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59.55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1,856,494.72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134" w:right="0"/>
        <w:jc w:val="left"/>
        <w:rPr>
          <w:b w:val="0"/>
          <w:bCs w:val="0"/>
        </w:rPr>
      </w:pPr>
      <w:bookmarkStart w:name="（5）因金融资产转移而终止确认的应收账款" w:id="503"/>
      <w:bookmarkEnd w:id="50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7"/>
          <w:szCs w:val="27"/>
        </w:rPr>
      </w:pPr>
    </w:p>
    <w:p>
      <w:pPr>
        <w:pStyle w:val="Heading4"/>
        <w:spacing w:line="240" w:lineRule="auto"/>
        <w:ind w:left="1134" w:right="0"/>
        <w:jc w:val="left"/>
        <w:rPr>
          <w:b w:val="0"/>
          <w:bCs w:val="0"/>
        </w:rPr>
      </w:pPr>
      <w:bookmarkStart w:name="（6）转移应收账款且继续涉入形成的资产、负债金额" w:id="504"/>
      <w:bookmarkEnd w:id="50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2、其他应收款" w:id="505"/>
      <w:bookmarkEnd w:id="50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其他应收款分类披露" w:id="506"/>
      <w:bookmarkEnd w:id="50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8"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5,400.00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5.81%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87,600.00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163,662</w:t>
            </w:r>
          </w:p>
          <w:p>
            <w:pPr>
              <w:pStyle w:val="TableParagraph"/>
              <w:spacing w:line="240" w:lineRule="auto" w:before="106"/>
              <w:ind w:left="395" w:right="0"/>
              <w:jc w:val="left"/>
              <w:rPr>
                <w:rFonts w:ascii="Times New Roman" w:hAnsi="Times New Roman" w:cs="Times New Roman" w:eastAsia="Times New Roman" w:hint="default"/>
                <w:sz w:val="18"/>
                <w:szCs w:val="18"/>
              </w:rPr>
            </w:pPr>
            <w:r>
              <w:rPr>
                <w:rFonts w:ascii="Times New Roman"/>
                <w:sz w:val="18"/>
              </w:rPr>
              <w:t>.13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8,183.11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155,479.02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5,812,0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56.60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97.26%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581,205.6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5,230,850.9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5,400.00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5.81%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87,600.00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5,975,7</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18.73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589,388.7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9.86%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5,386,329.9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92"/>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471"/>
        <w:gridCol w:w="2307"/>
        <w:gridCol w:w="2391"/>
        <w:gridCol w:w="2389"/>
      </w:tblGrid>
      <w:tr>
        <w:trPr>
          <w:trHeight w:val="402"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w:t>
            </w: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本期计提、收回或转回的坏账准备情况" w:id="507"/>
      <w:bookmarkEnd w:id="50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5"/>
        <w:jc w:val="left"/>
      </w:pPr>
      <w:r>
        <w:rPr/>
        <w:t>本期计提坏账准备金额</w:t>
      </w:r>
      <w:r>
        <w:rPr>
          <w:rFonts w:ascii="Times New Roman" w:hAnsi="Times New Roman" w:cs="Times New Roman" w:eastAsia="Times New Roman" w:hint="default"/>
        </w:rPr>
        <w:t>-583,988.77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314" w:space="151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本期实际核销的其他应收款情况" w:id="508"/>
      <w:bookmarkEnd w:id="508"/>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0"/>
        <w:jc w:val="left"/>
      </w:pPr>
      <w:r>
        <w:rPr/>
        <w:t>其他应收款核销说明：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4）其他应收款按款项性质分类情况" w:id="509"/>
      <w:bookmarkEnd w:id="50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上市中介费</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5,812,056.60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106,169.30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57,492.83</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5,975,718.73</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5）按欠款方归集的期末余额前五名的其他应收款情况" w:id="510"/>
      <w:bookmarkEnd w:id="51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严立江</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倪水桥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1,150.00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孙晓华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93,000.00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6）涉及政府补助的应收款项" w:id="511"/>
      <w:bookmarkEnd w:id="511"/>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7）因金融资产转移而终止确认的其他应收款" w:id="512"/>
      <w:bookmarkEnd w:id="512"/>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8）转移其他应收款且继续涉入形成的资产、负债金额" w:id="513"/>
      <w:bookmarkEnd w:id="513"/>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长期股权投资" w:id="514"/>
      <w:bookmarkEnd w:id="514"/>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376,227,383.76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376,227,383.76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142,517,383.76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142,517,383.76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376,227,383.76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376,227,383.76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142,517,383.76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142,517,383.76</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1）对子公司投资" w:id="515"/>
      <w:bookmarkEnd w:id="515"/>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金科双氧水公司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68,858,800.33</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89,710,000.00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158,568,800.33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金科日化公司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73,658,583.43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73,658,583.43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湖州吉昌公司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142,517,383.76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233,710,000.00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376,227,383.76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对联营、合营企业投资" w:id="516"/>
      <w:bookmarkEnd w:id="516"/>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其他说明" w:id="517"/>
      <w:bookmarkEnd w:id="517"/>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4、营业收入和营业成本" w:id="518"/>
      <w:bookmarkEnd w:id="518"/>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351,935,130.12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283,353,507.17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353,754,803.57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266,230,271.07</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3,420,456.60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2,963,980.45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7,640,206.61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6,224,838.37</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355,355,586.72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286,317,487.62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361,395,010.18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272,455,109.44</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投资收益" w:id="519"/>
      <w:bookmarkEnd w:id="519"/>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298,926.56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7,543,630.77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298,926.56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7,543,630.77</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6、其他" w:id="520"/>
      <w:bookmarkEnd w:id="520"/>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管理费用</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4690"/>
        <w:gridCol w:w="1915"/>
        <w:gridCol w:w="1918"/>
      </w:tblGrid>
      <w:tr>
        <w:trPr>
          <w:trHeight w:val="347" w:hRule="exact"/>
        </w:trPr>
        <w:tc>
          <w:tcPr>
            <w:tcW w:w="46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35"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348" w:hRule="exact"/>
        </w:trPr>
        <w:tc>
          <w:tcPr>
            <w:tcW w:w="46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5,164,874.80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4,765,132.83</w:t>
            </w:r>
          </w:p>
        </w:tc>
      </w:tr>
      <w:tr>
        <w:trPr>
          <w:trHeight w:val="347" w:hRule="exact"/>
        </w:trPr>
        <w:tc>
          <w:tcPr>
            <w:tcW w:w="469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1,654,516.97</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1,656,407.80</w:t>
            </w:r>
          </w:p>
        </w:tc>
      </w:tr>
      <w:tr>
        <w:trPr>
          <w:trHeight w:val="347" w:hRule="exact"/>
        </w:trPr>
        <w:tc>
          <w:tcPr>
            <w:tcW w:w="46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差旅费及业务招待费</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566,365.58</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461,806.89</w:t>
            </w:r>
          </w:p>
        </w:tc>
      </w:tr>
      <w:tr>
        <w:trPr>
          <w:trHeight w:val="347" w:hRule="exact"/>
        </w:trPr>
        <w:tc>
          <w:tcPr>
            <w:tcW w:w="46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1,461,827.79</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1,140,367.90</w:t>
            </w:r>
          </w:p>
        </w:tc>
      </w:tr>
      <w:tr>
        <w:trPr>
          <w:trHeight w:val="347" w:hRule="exact"/>
        </w:trPr>
        <w:tc>
          <w:tcPr>
            <w:tcW w:w="46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中介费用</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2,664,583.10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413,253.77</w:t>
            </w:r>
          </w:p>
        </w:tc>
      </w:tr>
      <w:tr>
        <w:trPr>
          <w:trHeight w:val="347" w:hRule="exact"/>
        </w:trPr>
        <w:tc>
          <w:tcPr>
            <w:tcW w:w="46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1,184,231.49</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797,755.19</w:t>
            </w:r>
          </w:p>
        </w:tc>
      </w:tr>
      <w:tr>
        <w:trPr>
          <w:trHeight w:val="348" w:hRule="exact"/>
        </w:trPr>
        <w:tc>
          <w:tcPr>
            <w:tcW w:w="46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10,683,602.55</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10,790,220.60</w:t>
            </w:r>
          </w:p>
        </w:tc>
      </w:tr>
      <w:tr>
        <w:trPr>
          <w:trHeight w:val="347" w:hRule="exact"/>
        </w:trPr>
        <w:tc>
          <w:tcPr>
            <w:tcW w:w="469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181,497.10</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226,911.09</w:t>
            </w:r>
          </w:p>
        </w:tc>
      </w:tr>
      <w:tr>
        <w:trPr>
          <w:trHeight w:val="347" w:hRule="exact"/>
        </w:trPr>
        <w:tc>
          <w:tcPr>
            <w:tcW w:w="46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23,561,499.38</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20,251,856.07</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八、补充资料" w:id="521"/>
      <w:bookmarkEnd w:id="521"/>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522"/>
      <w:bookmarkEnd w:id="522"/>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241,022.42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1,957,160.86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768,281.68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17,156.00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-276,085.74</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516,419.02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82,818.99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2,108,297.21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523"/>
      <w:bookmarkEnd w:id="523"/>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3、境内外会计准则下会计数据差异" w:id="524"/>
      <w:bookmarkEnd w:id="524"/>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同时按照国际会计准则与按中国会计准则披露的财务报告中净利润和净资产差异情况" w:id="525"/>
      <w:bookmarkEnd w:id="525"/>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同时按照境外会计准则与按中国会计准则披露的财务报告中净利润和净资产差异情况" w:id="526"/>
      <w:bookmarkEnd w:id="526"/>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59" w:lineRule="auto"/>
        <w:ind w:right="0"/>
        <w:jc w:val="left"/>
        <w:rPr>
          <w:b w:val="0"/>
          <w:bCs w:val="0"/>
        </w:rPr>
      </w:pPr>
      <w:bookmarkStart w:name="（3）境内外会计准则下会计数据差异原因说明，对已经境外审计机构审计的数据进行差异" w:id="527"/>
      <w:bookmarkEnd w:id="527"/>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 w:id="528"/>
      <w:bookmarkEnd w:id="528"/>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402" w:right="3403"/>
        <w:jc w:val="center"/>
        <w:rPr>
          <w:b w:val="0"/>
          <w:bCs w:val="0"/>
        </w:rPr>
      </w:pPr>
      <w:bookmarkStart w:name="_TOC_250000" w:id="529"/>
      <w:bookmarkStart w:name="第十一节 备查文件目录" w:id="530"/>
      <w:r>
        <w:rPr>
          <w:b w:val="0"/>
          <w:bCs w:val="0"/>
        </w:rPr>
      </w:r>
      <w:r>
        <w:rPr/>
        <w:t>第十一节</w:t>
      </w:r>
      <w:r>
        <w:rPr>
          <w:spacing w:val="-8"/>
        </w:rPr>
        <w:t> </w:t>
      </w:r>
      <w:r>
        <w:rPr/>
        <w:t>备查文件目录</w:t>
      </w:r>
      <w:bookmarkEnd w:id="529"/>
      <w:r>
        <w:rPr>
          <w:b w:val="0"/>
          <w:bCs w:val="0"/>
        </w:rPr>
      </w:r>
    </w:p>
    <w:p>
      <w:pPr>
        <w:spacing w:line="240" w:lineRule="auto" w:before="7"/>
        <w:rPr>
          <w:rFonts w:ascii="宋体" w:hAnsi="宋体" w:cs="宋体" w:eastAsia="宋体" w:hint="default"/>
          <w:b/>
          <w:bCs/>
          <w:sz w:val="40"/>
          <w:szCs w:val="40"/>
        </w:rPr>
      </w:pPr>
    </w:p>
    <w:p>
      <w:pPr>
        <w:pStyle w:val="Heading5"/>
        <w:spacing w:line="273" w:lineRule="auto" w:before="0"/>
        <w:ind w:right="0"/>
        <w:jc w:val="left"/>
      </w:pPr>
      <w:r>
        <w:rPr>
          <w:spacing w:val="-1"/>
        </w:rPr>
        <w:t>一、载有公司法定代表人、主管会计工作的公司负责人、公司会计机构负责人（会计主管人员）签名并盖</w:t>
      </w:r>
      <w:r>
        <w:rPr>
          <w:spacing w:val="-83"/>
        </w:rPr>
        <w:t> </w:t>
      </w:r>
      <w:r>
        <w:rPr>
          <w:spacing w:val="-83"/>
        </w:rPr>
      </w:r>
      <w:r>
        <w:rPr/>
        <w:t>章的财务报表。</w:t>
      </w:r>
    </w:p>
    <w:p>
      <w:pPr>
        <w:pStyle w:val="Heading5"/>
        <w:spacing w:line="273" w:lineRule="auto"/>
        <w:ind w:right="2563"/>
        <w:jc w:val="left"/>
      </w:pPr>
      <w:r>
        <w:rPr/>
        <w:t>二、载有会计师事务所盖章、注册会计师签名并盖章的审计报告原件。 三、报告期内在中国证监会指定网站上公开披露过的所有公司文件的正本及公告的原稿。 四、其他相关资料。</w:t>
      </w:r>
    </w:p>
    <w:p>
      <w:pPr>
        <w:pStyle w:val="Heading5"/>
        <w:spacing w:line="240" w:lineRule="auto"/>
        <w:ind w:right="0"/>
        <w:jc w:val="left"/>
      </w:pPr>
      <w:r>
        <w:rPr/>
        <w:t>以上备查文件的备置地点：公司证券管理部办公室。</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5664" type="#_x0000_t75" stroked="false">
          <v:imagedata r:id="rId1" o:title=""/>
        </v:shape>
      </w:pict>
    </w:r>
    <w:r>
      <w:rPr/>
      <w:pict>
        <v:shape style="position:absolute;margin-left:533.179993pt;margin-top:795.517944pt;width:6.5pt;height:11pt;mso-position-horizontal-relative:page;mso-position-vertical-relative:page;z-index:-10656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5616" type="#_x0000_t75" stroked="false">
          <v:imagedata r:id="rId1" o:title=""/>
        </v:shape>
      </w:pict>
    </w:r>
    <w:r>
      <w:rPr/>
      <w:pict>
        <v:shape style="position:absolute;margin-left:527.679993pt;margin-top:781.957947pt;width:13pt;height:11pt;mso-position-horizontal-relative:page;mso-position-vertical-relative:page;z-index:-10655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5568" type="#_x0000_t75" stroked="false">
          <v:imagedata r:id="rId1" o:title=""/>
        </v:shape>
      </w:pict>
    </w:r>
    <w:r>
      <w:rPr/>
      <w:pict>
        <v:shape style="position:absolute;margin-left:524.179993pt;margin-top:781.957947pt;width:15.5pt;height:11pt;mso-position-horizontal-relative:page;mso-position-vertical-relative:page;z-index:-10655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5520" type="#_x0000_t75" stroked="false">
          <v:imagedata r:id="rId1" o:title=""/>
        </v:shape>
      </w:pict>
    </w:r>
    <w:r>
      <w:rPr/>
      <w:pict>
        <v:shape style="position:absolute;margin-left:523.179993pt;margin-top:781.957947pt;width:17.5pt;height:11pt;mso-position-horizontal-relative:page;mso-position-vertical-relative:page;z-index:-10654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5472" type="#_x0000_t75" stroked="false">
          <v:imagedata r:id="rId1" o:title=""/>
        </v:shape>
      </w:pict>
    </w:r>
    <w:r>
      <w:rPr/>
      <w:pict>
        <v:shape style="position:absolute;margin-left:73.699997pt;margin-top:755.665588pt;width:470pt;height:11pt;mso-position-horizontal-relative:page;mso-position-vertical-relative:page;z-index:-1065448" type="#_x0000_t202" filled="false" stroked="false">
          <v:textbox inset="0,0,0,0">
            <w:txbxContent>
              <w:p>
                <w:pPr>
                  <w:pStyle w:val="BodyText"/>
                  <w:spacing w:line="200" w:lineRule="exact"/>
                  <w:ind w:left="20" w:right="0"/>
                  <w:jc w:val="left"/>
                </w:pPr>
                <w:r>
                  <w:rPr/>
                  <w:t>授予后立即可行权的换取职工服务的以权益结算的股份支付，在授予日按照权益工具的公允价值计入相关成本或费用，</w:t>
                </w:r>
              </w:p>
            </w:txbxContent>
          </v:textbox>
          <w10:wrap type="none"/>
        </v:shape>
      </w:pict>
    </w:r>
    <w:r>
      <w:rPr/>
      <w:pict>
        <v:shape style="position:absolute;margin-left:523.179993pt;margin-top:781.957947pt;width:17.5pt;height:11pt;mso-position-horizontal-relative:page;mso-position-vertical-relative:page;z-index:-10654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065400" type="#_x0000_t75" stroked="false">
          <v:imagedata r:id="rId1" o:title=""/>
        </v:shape>
      </w:pict>
    </w:r>
    <w:r>
      <w:rPr/>
      <w:pict>
        <v:shape style="position:absolute;margin-left:523.179993pt;margin-top:781.957947pt;width:17.5pt;height:11pt;mso-position-horizontal-relative:page;mso-position-vertical-relative:page;z-index:-10653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065688" type="#_x0000_t202" filled="false" stroked="false">
          <v:textbox inset="0,0,0,0">
            <w:txbxContent>
              <w:p>
                <w:pPr>
                  <w:pStyle w:val="BodyText"/>
                  <w:spacing w:line="214" w:lineRule="exact"/>
                  <w:ind w:left="20" w:right="0"/>
                  <w:jc w:val="left"/>
                </w:pPr>
                <w:r>
                  <w:rPr/>
                  <w:t>浙江金科过氧化物股份有限公司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3403"/>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sz w:val="24"/>
      <w:szCs w:val="24"/>
    </w:rPr>
  </w:style>
  <w:style w:styleId="Heading4" w:type="paragraph">
    <w:name w:val="Heading 4"/>
    <w:basedOn w:val="Normal"/>
    <w:uiPriority w:val="1"/>
    <w:qFormat/>
    <w:pPr>
      <w:ind w:left="1133"/>
      <w:outlineLvl w:val="4"/>
    </w:pPr>
    <w:rPr>
      <w:rFonts w:ascii="宋体" w:hAnsi="宋体" w:eastAsia="宋体"/>
      <w:b/>
      <w:bCs/>
      <w:sz w:val="21"/>
      <w:szCs w:val="21"/>
    </w:rPr>
  </w:style>
  <w:style w:styleId="Heading5" w:type="paragraph">
    <w:name w:val="Heading 5"/>
    <w:basedOn w:val="Normal"/>
    <w:uiPriority w:val="1"/>
    <w:qFormat/>
    <w:pPr>
      <w:spacing w:before="7"/>
      <w:ind w:left="1133"/>
      <w:outlineLvl w:val="5"/>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jinke-chem.com/" TargetMode="External"/><Relationship Id="rId10" Type="http://schemas.openxmlformats.org/officeDocument/2006/relationships/hyperlink" Target="mailto:zqb@jinkegroup.com" TargetMode="External"/><Relationship Id="rId11" Type="http://schemas.openxmlformats.org/officeDocument/2006/relationships/hyperlink" Target="mailto:wht@jinkegroup.com" TargetMode="External"/><Relationship Id="rId12" Type="http://schemas.openxmlformats.org/officeDocument/2006/relationships/hyperlink" Target="mailto:zwz@jinkegroup.com" TargetMode="External"/><Relationship Id="rId13" Type="http://schemas.openxmlformats.org/officeDocument/2006/relationships/hyperlink" Target="http://www.cninfo.com.cn/" TargetMode="External"/><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hyperlink" Target="http://www.cninfo.co/" TargetMode="Externa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浙江金科过氧化物股份有限公司</dc:creator>
  <dc:title>浙江金科过氧化物股份有限公司2015年年度报告全文</dc:title>
  <dcterms:created xsi:type="dcterms:W3CDTF">2020-05-04T17:04:46Z</dcterms:created>
  <dcterms:modified xsi:type="dcterms:W3CDTF">2020-05-04T17:04:46Z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2016-04-25T00:00:00Z</vt:filetime>
  </property>
  <property fmtid="{D5CDD505-2E9C-101B-9397-08002B2CF9AE}" pid="3" name="Creator">
    <vt:lpwstr>Microsoft® Office Word 2007</vt:lpwstr>
  </property>
  <property fmtid="{D5CDD505-2E9C-101B-9397-08002B2CF9AE}" pid="4" name="LastSaved">
    <vt:filetime>2020-05-04T00:00:00Z</vt:filetime>
  </property>
</Properties>
</file>