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80" w:after="0" w:line="240" w:lineRule="auto"/>
        <w:ind w:left="0" w:right="0" w:firstLine="0"/>
        <w:jc w:val="center"/>
        <w:rPr>
          <w:sz w:val="58"/>
          <w:szCs w:val="58"/>
        </w:rPr>
      </w:pPr>
      <w:r>
        <w:rPr>
          <w:rFonts w:ascii="SimHei" w:eastAsia="SimHei" w:hAnsi="SimHei" w:cs="SimHei"/>
          <w:color w:val="000000"/>
          <w:spacing w:val="0"/>
          <w:w w:val="100"/>
          <w:position w:val="0"/>
          <w:sz w:val="58"/>
          <w:szCs w:val="58"/>
        </w:rPr>
        <w:t>浙江金脚文化产业股份有限公司</w:t>
      </w:r>
    </w:p>
    <w:p>
      <w:pPr>
        <w:pStyle w:val="Style2"/>
        <w:keepNext w:val="0"/>
        <w:keepLines w:val="0"/>
        <w:widowControl w:val="0"/>
        <w:shd w:val="clear" w:color="auto" w:fill="auto"/>
        <w:bidi w:val="0"/>
        <w:spacing w:before="0" w:after="1280" w:line="240" w:lineRule="auto"/>
        <w:ind w:left="0" w:right="0" w:firstLine="600"/>
        <w:jc w:val="left"/>
        <w:rPr>
          <w:sz w:val="32"/>
          <w:szCs w:val="32"/>
        </w:rPr>
      </w:pPr>
      <w:r>
        <w:rPr>
          <w:rFonts w:ascii="Arial" w:eastAsia="Arial" w:hAnsi="Arial" w:cs="Arial"/>
          <w:b/>
          <w:bCs/>
          <w:color w:val="000000"/>
          <w:spacing w:val="0"/>
          <w:w w:val="100"/>
          <w:position w:val="0"/>
          <w:sz w:val="32"/>
          <w:szCs w:val="32"/>
        </w:rPr>
        <w:t>ZHE JIANG JINKE CULTURE INDUSTRY CO., LTD</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rFonts w:ascii="SimHei" w:eastAsia="SimHei" w:hAnsi="SimHei" w:cs="SimHei"/>
          <w:b/>
          <w:bCs/>
          <w:color w:val="000000"/>
          <w:spacing w:val="0"/>
          <w:w w:val="100"/>
          <w:position w:val="0"/>
          <w:sz w:val="32"/>
          <w:szCs w:val="32"/>
        </w:rPr>
        <w:t>年年度报告</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（公告编号：</w:t>
      </w:r>
      <w:r>
        <w:rPr>
          <w:rFonts w:ascii="Times New Roman" w:eastAsia="Times New Roman" w:hAnsi="Times New Roman" w:cs="Times New Roman"/>
          <w:b/>
          <w:bCs/>
          <w:color w:val="000000"/>
          <w:spacing w:val="0"/>
          <w:w w:val="100"/>
          <w:position w:val="0"/>
          <w:sz w:val="20"/>
          <w:szCs w:val="20"/>
        </w:rPr>
        <w:t>2021-032</w:t>
      </w:r>
      <w:r>
        <w:rPr>
          <w:rFonts w:ascii="SimHei" w:eastAsia="SimHei" w:hAnsi="SimHei" w:cs="SimHei"/>
          <w:b/>
          <w:bCs/>
          <w:color w:val="000000"/>
          <w:spacing w:val="0"/>
          <w:w w:val="100"/>
          <w:position w:val="0"/>
          <w:sz w:val="20"/>
          <w:szCs w:val="20"/>
        </w:rPr>
        <w:t>）</w:t>
      </w:r>
    </w:p>
    <w:p>
      <w:pPr>
        <w:widowControl w:val="0"/>
        <w:jc w:val="center"/>
        <w:rPr>
          <w:sz w:val="2"/>
          <w:szCs w:val="2"/>
        </w:rPr>
      </w:pPr>
      <w:r>
        <w:drawing>
          <wp:inline>
            <wp:extent cx="5845810" cy="47180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845810" cy="4718050"/>
                    </a:xfrm>
                    <a:prstGeom prst="rect"/>
                  </pic:spPr>
                </pic:pic>
              </a:graphicData>
            </a:graphic>
          </wp:inline>
        </w:drawing>
      </w:r>
    </w:p>
    <w:p>
      <w:pPr>
        <w:pStyle w:val="Style6"/>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1287" w:right="981" w:bottom="1657" w:left="1098" w:header="859" w:footer="1229"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rFonts w:ascii="SimHei" w:eastAsia="SimHei" w:hAnsi="SimHei" w:cs="SimHei"/>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rFonts w:ascii="SimHei" w:eastAsia="SimHei" w:hAnsi="SimHei" w:cs="SimHei"/>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6" w:lineRule="exact"/>
        <w:ind w:left="0" w:right="0"/>
        <w:jc w:val="both"/>
      </w:pPr>
      <w:r>
        <w:rPr>
          <w:b/>
          <w:bCs/>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8"/>
        <w:keepNext w:val="0"/>
        <w:keepLines w:val="0"/>
        <w:widowControl w:val="0"/>
        <w:shd w:val="clear" w:color="auto" w:fill="auto"/>
        <w:bidi w:val="0"/>
        <w:spacing w:before="0" w:line="619" w:lineRule="exact"/>
        <w:ind w:left="0" w:right="0"/>
        <w:jc w:val="both"/>
      </w:pPr>
      <w:r>
        <w:rPr>
          <w:b/>
          <w:bCs/>
          <w:color w:val="000000"/>
          <w:spacing w:val="0"/>
          <w:w w:val="100"/>
          <w:position w:val="0"/>
        </w:rPr>
        <w:t>公司负责人朱志刚、主管会计工作负责人秦海娟及会计机构负责人（会计 主管人员）张仁赞声明：保证本年度报告中财务报告的真实、准确、完整。</w:t>
      </w:r>
    </w:p>
    <w:p>
      <w:pPr>
        <w:pStyle w:val="Style18"/>
        <w:keepNext w:val="0"/>
        <w:keepLines w:val="0"/>
        <w:widowControl w:val="0"/>
        <w:shd w:val="clear" w:color="auto" w:fill="auto"/>
        <w:bidi w:val="0"/>
        <w:spacing w:before="0" w:line="626" w:lineRule="exact"/>
        <w:ind w:left="0" w:right="0"/>
        <w:jc w:val="both"/>
      </w:pPr>
      <w:r>
        <w:rPr>
          <w:b/>
          <w:bCs/>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after="360" w:line="634" w:lineRule="exact"/>
        <w:ind w:left="0" w:right="0"/>
        <w:jc w:val="both"/>
      </w:pPr>
      <w:r>
        <w:rPr>
          <w:b/>
          <w:bCs/>
          <w:color w:val="000000"/>
          <w:spacing w:val="0"/>
          <w:w w:val="100"/>
          <w:position w:val="0"/>
        </w:rPr>
        <w:t>公司需遵守《深圳证券交易所创业板行业信息披露指引第</w:t>
      </w:r>
      <w:r>
        <w:rPr>
          <w:rFonts w:ascii="Times New Roman" w:eastAsia="Times New Roman" w:hAnsi="Times New Roman" w:cs="Times New Roman"/>
          <w:b/>
          <w:bCs/>
          <w:color w:val="000000"/>
          <w:spacing w:val="0"/>
          <w:w w:val="100"/>
          <w:position w:val="0"/>
        </w:rPr>
        <w:t>8</w:t>
      </w:r>
      <w:r>
        <w:rPr>
          <w:b/>
          <w:bCs/>
          <w:color w:val="000000"/>
          <w:spacing w:val="0"/>
          <w:w w:val="100"/>
          <w:position w:val="0"/>
        </w:rPr>
        <w:t>号——上市公 司从事互联网营销及数据服务相关业务》的披露要求</w:t>
      </w:r>
    </w:p>
    <w:p>
      <w:pPr>
        <w:pStyle w:val="Style18"/>
        <w:keepNext w:val="0"/>
        <w:keepLines w:val="0"/>
        <w:widowControl w:val="0"/>
        <w:shd w:val="clear" w:color="auto" w:fill="auto"/>
        <w:bidi w:val="0"/>
        <w:spacing w:before="0" w:after="0" w:line="466" w:lineRule="auto"/>
        <w:ind w:left="0" w:right="0"/>
        <w:jc w:val="both"/>
      </w:pPr>
      <w:bookmarkStart w:id="3" w:name="bookmark3"/>
      <w:r>
        <w:rPr>
          <w:rFonts w:ascii="Times New Roman" w:eastAsia="Times New Roman" w:hAnsi="Times New Roman" w:cs="Times New Roman"/>
          <w:b/>
          <w:bCs/>
          <w:color w:val="000000"/>
          <w:spacing w:val="0"/>
          <w:w w:val="100"/>
          <w:position w:val="0"/>
        </w:rPr>
        <w:t>1</w:t>
      </w:r>
      <w:bookmarkEnd w:id="3"/>
      <w:r>
        <w:rPr>
          <w:b/>
          <w:bCs/>
          <w:color w:val="000000"/>
          <w:spacing w:val="0"/>
          <w:w w:val="100"/>
          <w:position w:val="0"/>
        </w:rPr>
        <w:t>、知识产权风险</w:t>
      </w:r>
    </w:p>
    <w:p>
      <w:pPr>
        <w:pStyle w:val="Style18"/>
        <w:keepNext w:val="0"/>
        <w:keepLines w:val="0"/>
        <w:widowControl w:val="0"/>
        <w:shd w:val="clear" w:color="auto" w:fill="auto"/>
        <w:bidi w:val="0"/>
        <w:spacing w:before="0"/>
        <w:ind w:left="0" w:right="0"/>
        <w:jc w:val="both"/>
      </w:pPr>
      <w:r>
        <w:rPr>
          <w:color w:val="000000"/>
          <w:spacing w:val="0"/>
          <w:w w:val="100"/>
          <w:position w:val="0"/>
        </w:rPr>
        <w:t>公司作为互联网公司，在从事研发、发行及运营互联网产品的过程中会产 生各类商标、软件著作权等知识产权。虽然公司采取了必要的知识产权保护措 施，但是考虑到知识产权的特殊性，仍不排除第三方可能会侵犯公司知识产权, 尤其是公司运营的</w:t>
      </w:r>
      <w:r>
        <w:rPr>
          <w:rFonts w:ascii="Times New Roman" w:eastAsia="Times New Roman" w:hAnsi="Times New Roman" w:cs="Times New Roman"/>
          <w:color w:val="000000"/>
          <w:spacing w:val="0"/>
          <w:w w:val="100"/>
          <w:position w:val="0"/>
        </w:rPr>
        <w:t xml:space="preserve">IP </w:t>
      </w:r>
      <w:r>
        <w:rPr>
          <w:color w:val="000000"/>
          <w:spacing w:val="0"/>
          <w:w w:val="100"/>
          <w:position w:val="0"/>
        </w:rPr>
        <w:t>“会说话的汤姆猫家族”知名度高、产品用户量较大，相 关知识产权可能会受到侵犯，会对公司的正常生产经营造成负面影响。如果公 司保护自有知识产权不到位，可能会导致恶意竞争及用户流失，对公司业绩产 生不利影响。</w:t>
      </w:r>
    </w:p>
    <w:p>
      <w:pPr>
        <w:pStyle w:val="Style18"/>
        <w:keepNext w:val="0"/>
        <w:keepLines w:val="0"/>
        <w:widowControl w:val="0"/>
        <w:shd w:val="clear" w:color="auto" w:fill="auto"/>
        <w:bidi w:val="0"/>
        <w:spacing w:before="0" w:after="360" w:line="626" w:lineRule="exact"/>
        <w:ind w:left="0" w:right="0"/>
        <w:jc w:val="both"/>
      </w:pPr>
      <w:r>
        <w:rPr>
          <w:color w:val="000000"/>
          <w:spacing w:val="0"/>
          <w:w w:val="100"/>
          <w:position w:val="0"/>
        </w:rPr>
        <w:t xml:space="preserve">应对措施：公司采取了及时申请无形资产证书、内部权限控制、员工签署 的劳动合同中包含任职期间的职务作品归属于公司所有、保密条款和竞业限制 条款等保护措施。此外公司在互联网产品开发流程中，制定严格的内部控制制 </w:t>
      </w:r>
      <w:r>
        <w:rPr>
          <w:color w:val="000000"/>
          <w:spacing w:val="0"/>
          <w:w w:val="100"/>
          <w:position w:val="0"/>
        </w:rPr>
        <w:t>度，以杜绝知识产权侵权的发生；公司成立了专业的法务维权团队，并与第三 方维权机构达成合作，专注于知识产权保护及维权。</w:t>
      </w:r>
    </w:p>
    <w:p>
      <w:pPr>
        <w:pStyle w:val="Style18"/>
        <w:keepNext w:val="0"/>
        <w:keepLines w:val="0"/>
        <w:widowControl w:val="0"/>
        <w:shd w:val="clear" w:color="auto" w:fill="auto"/>
        <w:tabs>
          <w:tab w:pos="1005" w:val="left"/>
        </w:tabs>
        <w:bidi w:val="0"/>
        <w:spacing w:before="0" w:after="0" w:line="466" w:lineRule="auto"/>
        <w:ind w:left="0" w:right="0"/>
        <w:jc w:val="left"/>
      </w:pPr>
      <w:bookmarkStart w:id="4" w:name="bookmark4"/>
      <w:r>
        <w:rPr>
          <w:rFonts w:ascii="Times New Roman" w:eastAsia="Times New Roman" w:hAnsi="Times New Roman" w:cs="Times New Roman"/>
          <w:b/>
          <w:bCs/>
          <w:color w:val="000000"/>
          <w:spacing w:val="0"/>
          <w:w w:val="100"/>
          <w:position w:val="0"/>
        </w:rPr>
        <w:t>2</w:t>
      </w:r>
      <w:bookmarkEnd w:id="4"/>
      <w:r>
        <w:rPr>
          <w:b/>
          <w:bCs/>
          <w:color w:val="000000"/>
          <w:spacing w:val="0"/>
          <w:w w:val="100"/>
          <w:position w:val="0"/>
        </w:rPr>
        <w:t>、</w:t>
        <w:tab/>
        <w:t>移动应用产品生命周期风险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互联网行业具有产品更新换代快、用户偏好变化快的特点，因此移动互联 网应用产品具有一定的生命周期。公司拥有“会说话的汤姆猫家族”系列数十 款移动应用，且主打应用被评为最受欢迎的</w:t>
      </w:r>
      <w:r>
        <w:rPr>
          <w:rFonts w:ascii="Times New Roman" w:eastAsia="Times New Roman" w:hAnsi="Times New Roman" w:cs="Times New Roman"/>
          <w:color w:val="000000"/>
          <w:spacing w:val="0"/>
          <w:w w:val="100"/>
          <w:position w:val="0"/>
        </w:rPr>
        <w:t>Google Play</w:t>
      </w:r>
      <w:r>
        <w:rPr>
          <w:color w:val="000000"/>
          <w:spacing w:val="0"/>
          <w:w w:val="100"/>
          <w:position w:val="0"/>
        </w:rPr>
        <w:t>应用之一，但仍不排除 公司因未能及时对目前运营的移动应用进行改良升级，增强用户粘性，或者未 能及时推出有竞争力的新应用以实现产品的更新换代而导致公司业绩出现波动 的风险。</w:t>
      </w:r>
    </w:p>
    <w:p>
      <w:pPr>
        <w:pStyle w:val="Style18"/>
        <w:keepNext w:val="0"/>
        <w:keepLines w:val="0"/>
        <w:widowControl w:val="0"/>
        <w:shd w:val="clear" w:color="auto" w:fill="auto"/>
        <w:bidi w:val="0"/>
        <w:spacing w:before="0" w:after="360" w:line="624" w:lineRule="exact"/>
        <w:ind w:left="0" w:right="0"/>
        <w:jc w:val="both"/>
      </w:pPr>
      <w:r>
        <w:rPr>
          <w:color w:val="000000"/>
          <w:spacing w:val="0"/>
          <w:w w:val="100"/>
          <w:position w:val="0"/>
        </w:rPr>
        <w:t>应对措施：公司拥有“会说话的汤姆猫家族”丰富而强大的</w:t>
      </w:r>
      <w:r>
        <w:rPr>
          <w:rFonts w:ascii="Times New Roman" w:eastAsia="Times New Roman" w:hAnsi="Times New Roman" w:cs="Times New Roman"/>
          <w:color w:val="000000"/>
          <w:spacing w:val="0"/>
          <w:w w:val="100"/>
          <w:position w:val="0"/>
        </w:rPr>
        <w:t>IP</w:t>
      </w:r>
      <w:r>
        <w:rPr>
          <w:color w:val="000000"/>
          <w:spacing w:val="0"/>
          <w:w w:val="100"/>
          <w:position w:val="0"/>
        </w:rPr>
        <w:t>储备库，公 司将根据市场需求及时推出新的移动应用产品，基于前期开发的“明星产品”， 通过变换更新应用场景、应用道具等方式重新激活存量用户；针对老的移动应 用产品，公司将采取增加产品玩法、人物形象、画面风格，推出内购优惠，增 添实时热门元素等方式增强用户粘性、延长产品生命周期。</w:t>
      </w:r>
    </w:p>
    <w:p>
      <w:pPr>
        <w:pStyle w:val="Style18"/>
        <w:keepNext w:val="0"/>
        <w:keepLines w:val="0"/>
        <w:widowControl w:val="0"/>
        <w:shd w:val="clear" w:color="auto" w:fill="auto"/>
        <w:tabs>
          <w:tab w:pos="1005" w:val="left"/>
        </w:tabs>
        <w:bidi w:val="0"/>
        <w:spacing w:before="0" w:after="0" w:line="466" w:lineRule="auto"/>
        <w:ind w:left="0" w:right="0"/>
        <w:jc w:val="both"/>
      </w:pPr>
      <w:bookmarkStart w:id="5" w:name="bookmark5"/>
      <w:r>
        <w:rPr>
          <w:rFonts w:ascii="Times New Roman" w:eastAsia="Times New Roman" w:hAnsi="Times New Roman" w:cs="Times New Roman"/>
          <w:b/>
          <w:bCs/>
          <w:color w:val="000000"/>
          <w:spacing w:val="0"/>
          <w:w w:val="100"/>
          <w:position w:val="0"/>
        </w:rPr>
        <w:t>3</w:t>
      </w:r>
      <w:bookmarkEnd w:id="5"/>
      <w:r>
        <w:rPr>
          <w:b/>
          <w:bCs/>
          <w:color w:val="000000"/>
          <w:spacing w:val="0"/>
          <w:w w:val="100"/>
          <w:position w:val="0"/>
        </w:rPr>
        <w:t>、</w:t>
        <w:tab/>
        <w:t>新产品开发和运营风险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公司需要对抗移动互联网业务领域特有的周期性，就必须不断推动新的移 动互联网产品开发和运营，虽然公司研发运营团队已具有多年开发运营经验， 但是市场不断变化，如果公司推出的移动互联网文化产品不能满足当下市场需 求，则面临新产品开发和运营失败的风险，引起公司业绩的波动。</w:t>
      </w:r>
    </w:p>
    <w:p>
      <w:pPr>
        <w:pStyle w:val="Style18"/>
        <w:keepNext w:val="0"/>
        <w:keepLines w:val="0"/>
        <w:widowControl w:val="0"/>
        <w:shd w:val="clear" w:color="auto" w:fill="auto"/>
        <w:bidi w:val="0"/>
        <w:spacing w:before="0" w:after="360" w:line="629" w:lineRule="exact"/>
        <w:ind w:left="0" w:right="0"/>
        <w:jc w:val="both"/>
      </w:pPr>
      <w:r>
        <w:rPr>
          <w:color w:val="000000"/>
          <w:spacing w:val="0"/>
          <w:w w:val="100"/>
          <w:position w:val="0"/>
        </w:rPr>
        <w:t xml:space="preserve">应对措施：公司成立多个事业部，分别针对各类细分市场长期深耕，行业 理解透彻，相关资源丰富，并积极布局相关衍生行业，开展包括线上动画产品、 </w:t>
      </w:r>
      <w:r>
        <w:rPr>
          <w:color w:val="000000"/>
          <w:spacing w:val="0"/>
          <w:w w:val="100"/>
          <w:position w:val="0"/>
        </w:rPr>
        <w:t>亲子教育产品和线下衍生品、亲子主题乐园等业务，丰富公司产品种类，扩展 研发方向。公司在研发期间随时洞察行业变化，积极学习新技术、适应新趋势, 使得研发团队实力始终处于行业领先地位。</w:t>
      </w:r>
    </w:p>
    <w:p>
      <w:pPr>
        <w:pStyle w:val="Style18"/>
        <w:keepNext w:val="0"/>
        <w:keepLines w:val="0"/>
        <w:widowControl w:val="0"/>
        <w:shd w:val="clear" w:color="auto" w:fill="auto"/>
        <w:tabs>
          <w:tab w:pos="1002" w:val="left"/>
        </w:tabs>
        <w:bidi w:val="0"/>
        <w:spacing w:before="0" w:after="0" w:line="466" w:lineRule="auto"/>
        <w:ind w:left="0" w:right="0"/>
        <w:jc w:val="both"/>
      </w:pPr>
      <w:bookmarkStart w:id="6" w:name="bookmark6"/>
      <w:r>
        <w:rPr>
          <w:rFonts w:ascii="Times New Roman" w:eastAsia="Times New Roman" w:hAnsi="Times New Roman" w:cs="Times New Roman"/>
          <w:b/>
          <w:bCs/>
          <w:color w:val="000000"/>
          <w:spacing w:val="0"/>
          <w:w w:val="100"/>
          <w:position w:val="0"/>
        </w:rPr>
        <w:t>4</w:t>
      </w:r>
      <w:bookmarkEnd w:id="6"/>
      <w:r>
        <w:rPr>
          <w:b/>
          <w:bCs/>
          <w:color w:val="000000"/>
          <w:spacing w:val="0"/>
          <w:w w:val="100"/>
          <w:position w:val="0"/>
        </w:rPr>
        <w:t>、</w:t>
        <w:tab/>
        <w:t>全球市场经营风险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由于公司移动互联网业务涉及的地域范围较广，不同地域在市场环境、商 业文化、技术发展水平等方面有较大的差异，如果公司没能建立起适应海外市 场的发展战略和商业逻辑，并深入理解海外市场的法律法规、商业规则及劳工 条例等，将面临一定的跨国经营风险。</w:t>
      </w:r>
    </w:p>
    <w:p>
      <w:pPr>
        <w:pStyle w:val="Style18"/>
        <w:keepNext w:val="0"/>
        <w:keepLines w:val="0"/>
        <w:widowControl w:val="0"/>
        <w:shd w:val="clear" w:color="auto" w:fill="auto"/>
        <w:bidi w:val="0"/>
        <w:spacing w:before="0" w:after="360" w:line="624" w:lineRule="exact"/>
        <w:ind w:left="0" w:right="0"/>
        <w:jc w:val="both"/>
      </w:pPr>
      <w:r>
        <w:rPr>
          <w:color w:val="000000"/>
          <w:spacing w:val="0"/>
          <w:w w:val="100"/>
          <w:position w:val="0"/>
        </w:rPr>
        <w:t>应对措施：公司将加强内部融合，通过中外双方的团建活动、定期访问、 互派常驻交流人员、深度的业务协作等方式加速双方沟通交流与融合；公司已 建立了一支优秀的深谙国际市场环境、法律法规、经营管理、商业文化、技术 研发与产品运营的管理与业务团队，公司有信心在国际化经营上取得更大成就。</w:t>
      </w:r>
    </w:p>
    <w:p>
      <w:pPr>
        <w:pStyle w:val="Style18"/>
        <w:keepNext w:val="0"/>
        <w:keepLines w:val="0"/>
        <w:widowControl w:val="0"/>
        <w:shd w:val="clear" w:color="auto" w:fill="auto"/>
        <w:tabs>
          <w:tab w:pos="1002" w:val="left"/>
        </w:tabs>
        <w:bidi w:val="0"/>
        <w:spacing w:before="0" w:after="0" w:line="466" w:lineRule="auto"/>
        <w:ind w:left="0" w:right="0"/>
        <w:jc w:val="both"/>
      </w:pPr>
      <w:bookmarkStart w:id="7" w:name="bookmark7"/>
      <w:r>
        <w:rPr>
          <w:rFonts w:ascii="Times New Roman" w:eastAsia="Times New Roman" w:hAnsi="Times New Roman" w:cs="Times New Roman"/>
          <w:b/>
          <w:bCs/>
          <w:color w:val="000000"/>
          <w:spacing w:val="0"/>
          <w:w w:val="100"/>
          <w:position w:val="0"/>
        </w:rPr>
        <w:t>5</w:t>
      </w:r>
      <w:bookmarkEnd w:id="7"/>
      <w:r>
        <w:rPr>
          <w:b/>
          <w:bCs/>
          <w:color w:val="000000"/>
          <w:spacing w:val="0"/>
          <w:w w:val="100"/>
          <w:position w:val="0"/>
        </w:rPr>
        <w:t>、</w:t>
        <w:tab/>
        <w:t>公司新业务开展的管理风险</w:t>
      </w:r>
    </w:p>
    <w:p>
      <w:pPr>
        <w:pStyle w:val="Style18"/>
        <w:keepNext w:val="0"/>
        <w:keepLines w:val="0"/>
        <w:widowControl w:val="0"/>
        <w:shd w:val="clear" w:color="auto" w:fill="auto"/>
        <w:bidi w:val="0"/>
        <w:spacing w:before="0" w:line="630" w:lineRule="exact"/>
        <w:ind w:left="0" w:right="0"/>
        <w:jc w:val="both"/>
      </w:pPr>
      <w:r>
        <w:rPr>
          <w:color w:val="000000"/>
          <w:spacing w:val="0"/>
          <w:w w:val="100"/>
          <w:position w:val="0"/>
        </w:rPr>
        <w:t>目前公司新业务开展迅速，全球化经营规模愈加庞大，组织结构愈加复杂, 这将对公司的经营管理、财务规划以及人力资源配置等提出更高要求。如果公 司的管理水平不能随之提升，可能面临相应的运营管理和内部控制等方面的挑 战。</w:t>
      </w:r>
    </w:p>
    <w:p>
      <w:pPr>
        <w:pStyle w:val="Style18"/>
        <w:keepNext w:val="0"/>
        <w:keepLines w:val="0"/>
        <w:widowControl w:val="0"/>
        <w:shd w:val="clear" w:color="auto" w:fill="auto"/>
        <w:bidi w:val="0"/>
        <w:spacing w:before="0" w:after="360" w:line="626" w:lineRule="exact"/>
        <w:ind w:left="0" w:right="0"/>
        <w:jc w:val="both"/>
      </w:pPr>
      <w:r>
        <w:rPr>
          <w:color w:val="000000"/>
          <w:spacing w:val="0"/>
          <w:w w:val="100"/>
          <w:position w:val="0"/>
        </w:rPr>
        <w:t xml:space="preserve">应对措施：公司将进一步完善法人治理结构，提高公司治理水平，建立更 加有效的运行机制，确保公司各项业务计划的平稳实施、有序进行。针对公司 当前新业务开展速度加快、规模加大的情况，公司组织学习借鉴相关领域的管 理模式，及时对内部组织机构框架进行了调整优化，明确各业务线各岗位职责, </w:t>
      </w:r>
      <w:r>
        <w:rPr>
          <w:color w:val="000000"/>
          <w:spacing w:val="0"/>
          <w:w w:val="100"/>
          <w:position w:val="0"/>
        </w:rPr>
        <w:t>形成符合公司业务运行的管理模式，确保各业务线工作有序进行。</w:t>
      </w:r>
    </w:p>
    <w:p>
      <w:pPr>
        <w:pStyle w:val="Style18"/>
        <w:keepNext w:val="0"/>
        <w:keepLines w:val="0"/>
        <w:widowControl w:val="0"/>
        <w:shd w:val="clear" w:color="auto" w:fill="auto"/>
        <w:bidi w:val="0"/>
        <w:spacing w:before="0" w:after="0" w:line="466" w:lineRule="auto"/>
        <w:ind w:left="0" w:right="0" w:firstLine="360"/>
        <w:jc w:val="both"/>
      </w:pPr>
      <w:bookmarkStart w:id="8" w:name="bookmark8"/>
      <w:r>
        <w:rPr>
          <w:rFonts w:ascii="Times New Roman" w:eastAsia="Times New Roman" w:hAnsi="Times New Roman" w:cs="Times New Roman"/>
          <w:b/>
          <w:bCs/>
          <w:color w:val="000000"/>
          <w:spacing w:val="0"/>
          <w:w w:val="100"/>
          <w:position w:val="0"/>
        </w:rPr>
        <w:t>6</w:t>
      </w:r>
      <w:bookmarkEnd w:id="8"/>
      <w:r>
        <w:rPr>
          <w:b/>
          <w:bCs/>
          <w:color w:val="000000"/>
          <w:spacing w:val="0"/>
          <w:w w:val="100"/>
          <w:position w:val="0"/>
        </w:rPr>
        <w:t>、商誉等资产减值风险</w:t>
      </w:r>
    </w:p>
    <w:p>
      <w:pPr>
        <w:pStyle w:val="Style18"/>
        <w:keepNext w:val="0"/>
        <w:keepLines w:val="0"/>
        <w:widowControl w:val="0"/>
        <w:shd w:val="clear" w:color="auto" w:fill="auto"/>
        <w:bidi w:val="0"/>
        <w:spacing w:before="0" w:line="622" w:lineRule="exact"/>
        <w:ind w:left="0" w:right="0" w:firstLine="560"/>
        <w:jc w:val="both"/>
      </w:pPr>
      <w:r>
        <w:rPr>
          <w:color w:val="000000"/>
          <w:spacing w:val="0"/>
          <w:w w:val="100"/>
          <w:position w:val="0"/>
        </w:rPr>
        <w:t>公司因收购及对外投资项目的实施，积累了数额较大的商誉资产，根据《企 业会计准则》规定，商誉不作摊销处理，但需在未来每年年度终了进行减值测 试。未来公司主营业务行业发展状况如发生较大波动，公司相关资产可能存在 减值，提请投资者注意相关风险。</w:t>
      </w:r>
    </w:p>
    <w:p>
      <w:pPr>
        <w:pStyle w:val="Style18"/>
        <w:keepNext w:val="0"/>
        <w:keepLines w:val="0"/>
        <w:widowControl w:val="0"/>
        <w:shd w:val="clear" w:color="auto" w:fill="auto"/>
        <w:bidi w:val="0"/>
        <w:spacing w:before="0"/>
        <w:ind w:left="0" w:right="0" w:firstLine="560"/>
        <w:jc w:val="both"/>
      </w:pPr>
      <w:r>
        <w:rPr>
          <w:color w:val="000000"/>
          <w:spacing w:val="0"/>
          <w:w w:val="100"/>
          <w:position w:val="0"/>
        </w:rPr>
        <w:t xml:space="preserve">应对措施：一方面，公司将根据主营业务实际经营情况，结合行业发展情 况，在相关会计年度结束后组织商誉和无形资产减值等测试工作，聘请具有证 券从业资格的中介机构进行评估、审计等工作，最终将基于谨慎性原则确定是 否进行资产减值处理。另一方面，公司将面对市场变化进行主动战略调整并促 进资源优化配置，聚焦以“会说话的汤姆猫家族”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 商发展战略，促进各子公司之间的业务协同发展，提升公司资产质量，保障公 司持续健康发展，进而降低资产减值风险。</w:t>
      </w:r>
    </w:p>
    <w:p>
      <w:pPr>
        <w:pStyle w:val="Style18"/>
        <w:keepNext w:val="0"/>
        <w:keepLines w:val="0"/>
        <w:widowControl w:val="0"/>
        <w:shd w:val="clear" w:color="auto" w:fill="auto"/>
        <w:bidi w:val="0"/>
        <w:spacing w:before="0" w:after="220"/>
        <w:ind w:left="0" w:right="0" w:firstLine="560"/>
        <w:jc w:val="both"/>
        <w:sectPr>
          <w:headerReference w:type="default" r:id="rId7"/>
          <w:footerReference w:type="default" r:id="rId8"/>
          <w:footnotePr>
            <w:pos w:val="pageBottom"/>
            <w:numFmt w:val="decimal"/>
            <w:numRestart w:val="continuous"/>
          </w:footnotePr>
          <w:pgSz w:w="11900" w:h="16840"/>
          <w:pgMar w:top="1287" w:right="981" w:bottom="1657" w:left="1098" w:header="0" w:footer="3" w:gutter="0"/>
          <w:pgNumType w:start="1"/>
          <w:cols w:space="720"/>
          <w:noEndnote/>
          <w:rtlGutter w:val="0"/>
          <w:docGrid w:linePitch="360"/>
        </w:sectPr>
      </w:pPr>
      <w:r>
        <w:rPr>
          <w:b/>
          <w:bCs/>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760" w:after="1600" w:line="240" w:lineRule="auto"/>
        <w:ind w:left="0" w:right="0" w:firstLine="0"/>
        <w:jc w:val="center"/>
        <w:rPr>
          <w:sz w:val="32"/>
          <w:szCs w:val="32"/>
        </w:rPr>
      </w:pPr>
      <w:r>
        <w:rPr>
          <w:rFonts w:ascii="SimHei" w:eastAsia="SimHei" w:hAnsi="SimHei" w:cs="SimHei"/>
          <w:color w:val="000000"/>
          <w:spacing w:val="0"/>
          <w:w w:val="100"/>
          <w:position w:val="0"/>
          <w:sz w:val="32"/>
          <w:szCs w:val="32"/>
        </w:rPr>
        <w:t>目录</w:t>
      </w:r>
    </w:p>
    <w:p>
      <w:pPr>
        <w:pStyle w:val="Style24"/>
        <w:keepNext w:val="0"/>
        <w:keepLines w:val="0"/>
        <w:widowControl w:val="0"/>
        <w:shd w:val="clear" w:color="auto" w:fill="auto"/>
        <w:tabs>
          <w:tab w:leader="dot" w:pos="9627"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1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58"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10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25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43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493"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497"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501"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545"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98</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629"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106</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633"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107</w:t>
        </w:r>
      </w:hyperlink>
    </w:p>
    <w:p>
      <w:pPr>
        <w:pStyle w:val="Style24"/>
        <w:keepNext w:val="0"/>
        <w:keepLines w:val="0"/>
        <w:widowControl w:val="0"/>
        <w:shd w:val="clear" w:color="auto" w:fill="auto"/>
        <w:tabs>
          <w:tab w:leader="dot" w:pos="9627" w:val="right"/>
        </w:tabs>
        <w:bidi w:val="0"/>
        <w:spacing w:before="0" w:line="240" w:lineRule="auto"/>
        <w:ind w:left="0" w:right="0" w:firstLine="0"/>
        <w:jc w:val="both"/>
      </w:pPr>
      <w:hyperlink w:anchor="bookmark1781" w:tooltip="Current Document">
        <w:r>
          <w:rPr>
            <w:color w:val="000000"/>
            <w:spacing w:val="0"/>
            <w:w w:val="100"/>
            <w:position w:val="0"/>
          </w:rPr>
          <w:t>第十三节备查文件目录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263</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释义</w:t>
      </w:r>
      <w:bookmarkEnd w:id="10"/>
      <w:bookmarkEnd w:id="11"/>
      <w:bookmarkEnd w:id="12"/>
      <w:bookmarkEnd w:id="9"/>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公司、本公司、金科文化、上市公司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浙江金科文化产业股份有限公司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报告期、本报告期、报告期内、本期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Outfit? </w:t>
            </w:r>
            <w:r>
              <w:rPr>
                <w:color w:val="000000"/>
                <w:spacing w:val="0"/>
                <w:w w:val="100"/>
                <w:position w:val="0"/>
                <w:sz w:val="18"/>
                <w:szCs w:val="18"/>
              </w:rPr>
              <w:t xml:space="preserve">&gt; </w:t>
            </w:r>
            <w:r>
              <w:rPr>
                <w:rFonts w:ascii="Times New Roman" w:eastAsia="Times New Roman" w:hAnsi="Times New Roman" w:cs="Times New Roman"/>
                <w:color w:val="000000"/>
                <w:spacing w:val="0"/>
                <w:w w:val="100"/>
                <w:position w:val="0"/>
                <w:sz w:val="18"/>
                <w:szCs w:val="18"/>
              </w:rPr>
              <w:t>Outfit?</w:t>
            </w:r>
            <w:r>
              <w:rPr>
                <w:color w:val="000000"/>
                <w:spacing w:val="0"/>
                <w:w w:val="100"/>
                <w:position w:val="0"/>
                <w:sz w:val="18"/>
                <w:szCs w:val="18"/>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 Investments Limited</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金科国际公司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金科国际（香港）有限公司</w:t>
            </w:r>
          </w:p>
        </w:tc>
      </w:tr>
    </w:tbl>
    <w:p>
      <w:pPr>
        <w:sectPr>
          <w:footnotePr>
            <w:pos w:val="pageBottom"/>
            <w:numFmt w:val="decimal"/>
            <w:numRestart w:val="continuous"/>
          </w:footnotePr>
          <w:pgSz w:w="11900" w:h="16840"/>
          <w:pgMar w:top="2098" w:right="1120" w:bottom="3586" w:left="1089"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13" w:name="bookmark13"/>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bookmarkEnd w:id="13"/>
    </w:p>
    <w:p>
      <w:pPr>
        <w:pStyle w:val="Style29"/>
        <w:keepNext/>
        <w:keepLines/>
        <w:widowControl w:val="0"/>
        <w:shd w:val="clear" w:color="auto" w:fill="auto"/>
        <w:bidi w:val="0"/>
        <w:spacing w:before="0" w:line="240" w:lineRule="auto"/>
        <w:ind w:left="0" w:right="0" w:firstLine="240"/>
        <w:jc w:val="left"/>
      </w:pPr>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p>
    <w:tbl>
      <w:tblPr>
        <w:tblOverlap w:val="never"/>
        <w:jc w:val="center"/>
        <w:tblLayout w:type="fixed"/>
      </w:tblPr>
      <w:tblGrid>
        <w:gridCol w:w="2525"/>
        <w:gridCol w:w="2717"/>
        <w:gridCol w:w="2155"/>
        <w:gridCol w:w="2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金科文化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浙江金科文化产业股份有限公司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金科文化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Zhejiang Jinke Culture Industry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Jinke Culture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浙江省绍兴市上虞区曹娥街道</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游小镇门户客厅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浙江省杭州市萧山区钱江世纪城平澜路</w:t>
            </w:r>
            <w:r>
              <w:rPr>
                <w:rFonts w:ascii="Times New Roman" w:eastAsia="Times New Roman" w:hAnsi="Times New Roman" w:cs="Times New Roman"/>
                <w:color w:val="000000"/>
                <w:spacing w:val="0"/>
                <w:w w:val="100"/>
                <w:position w:val="0"/>
                <w:sz w:val="18"/>
                <w:szCs w:val="18"/>
              </w:rPr>
              <w:t>299</w:t>
            </w:r>
            <w:r>
              <w:rPr>
                <w:color w:val="000000"/>
                <w:spacing w:val="0"/>
                <w:w w:val="100"/>
                <w:position w:val="0"/>
                <w:sz w:val="18"/>
                <w:szCs w:val="18"/>
              </w:rPr>
              <w:t>号浙江商会大厦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 </w:instrText>
            </w:r>
            <w:r>
              <w:fldChar w:fldCharType="separate"/>
            </w:r>
            <w:r>
              <w:rPr>
                <w:rFonts w:ascii="Times New Roman" w:eastAsia="Times New Roman" w:hAnsi="Times New Roman" w:cs="Times New Roman"/>
                <w:color w:val="000000"/>
                <w:spacing w:val="0"/>
                <w:w w:val="100"/>
                <w:position w:val="0"/>
                <w:sz w:val="18"/>
                <w:szCs w:val="18"/>
              </w:rPr>
              <w:t>http://www.j</w:t>
            </w:r>
            <w:r>
              <w:fldChar w:fldCharType="end"/>
            </w:r>
            <w:r>
              <w:rPr>
                <w:rFonts w:ascii="Times New Roman" w:eastAsia="Times New Roman" w:hAnsi="Times New Roman" w:cs="Times New Roman"/>
                <w:color w:val="000000"/>
                <w:spacing w:val="0"/>
                <w:w w:val="100"/>
                <w:position w:val="0"/>
                <w:sz w:val="18"/>
                <w:szCs w:val="18"/>
              </w:rPr>
              <w:t xml:space="preserve"> inkeculture. com/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"mailto:zqb@jktom.com" </w:instrText>
            </w:r>
            <w:r>
              <w:fldChar w:fldCharType="separate"/>
            </w:r>
            <w:r>
              <w:rPr>
                <w:rFonts w:ascii="Times New Roman" w:eastAsia="Times New Roman" w:hAnsi="Times New Roman" w:cs="Times New Roman"/>
                <w:color w:val="000000"/>
                <w:spacing w:val="0"/>
                <w:w w:val="100"/>
                <w:position w:val="0"/>
                <w:sz w:val="18"/>
                <w:szCs w:val="18"/>
              </w:rPr>
              <w:t>zqb@jktom.com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二</w:t>
      </w:r>
      <w:bookmarkEnd w:id="22"/>
      <w:r>
        <w:rPr>
          <w:color w:val="000000"/>
          <w:spacing w:val="0"/>
          <w:w w:val="100"/>
          <w:position w:val="0"/>
          <w:sz w:val="24"/>
          <w:szCs w:val="24"/>
        </w:rPr>
        <w:t>、联系人和联系方式</w:t>
      </w:r>
      <w:bookmarkEnd w:id="20"/>
      <w:bookmarkEnd w:id="21"/>
      <w:bookmarkEnd w:id="2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浙江省杭州市萧山区钱江世纪城平澜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w:t>
            </w:r>
            <w:r>
              <w:rPr>
                <w:rFonts w:ascii="Times New Roman" w:eastAsia="Times New Roman" w:hAnsi="Times New Roman" w:cs="Times New Roman"/>
                <w:color w:val="000000"/>
                <w:spacing w:val="0"/>
                <w:w w:val="100"/>
                <w:position w:val="0"/>
                <w:sz w:val="18"/>
                <w:szCs w:val="18"/>
              </w:rPr>
              <w:t>299</w:t>
            </w:r>
            <w:r>
              <w:rPr>
                <w:color w:val="000000"/>
                <w:spacing w:val="0"/>
                <w:w w:val="100"/>
                <w:position w:val="0"/>
                <w:sz w:val="18"/>
                <w:szCs w:val="18"/>
              </w:rPr>
              <w:t>号浙江商会大厦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浙江省杭州市萧山区钱江世纪城平澜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w:t>
            </w:r>
            <w:r>
              <w:rPr>
                <w:rFonts w:ascii="Times New Roman" w:eastAsia="Times New Roman" w:hAnsi="Times New Roman" w:cs="Times New Roman"/>
                <w:color w:val="000000"/>
                <w:spacing w:val="0"/>
                <w:w w:val="100"/>
                <w:position w:val="0"/>
                <w:sz w:val="18"/>
                <w:szCs w:val="18"/>
              </w:rPr>
              <w:t>299</w:t>
            </w:r>
            <w:r>
              <w:rPr>
                <w:color w:val="000000"/>
                <w:spacing w:val="0"/>
                <w:w w:val="100"/>
                <w:position w:val="0"/>
                <w:sz w:val="18"/>
                <w:szCs w:val="18"/>
              </w:rPr>
              <w:t>号浙江商会大厦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0571-83822329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0571-83822339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0571-83822330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0571-83822330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"mailto:hufei@jktom.com" </w:instrText>
            </w:r>
            <w:r>
              <w:fldChar w:fldCharType="separate"/>
            </w:r>
            <w:r>
              <w:rPr>
                <w:rFonts w:ascii="Times New Roman" w:eastAsia="Times New Roman" w:hAnsi="Times New Roman" w:cs="Times New Roman"/>
                <w:color w:val="000000"/>
                <w:spacing w:val="0"/>
                <w:w w:val="100"/>
                <w:position w:val="0"/>
                <w:sz w:val="18"/>
                <w:szCs w:val="18"/>
              </w:rPr>
              <w:t>hufei@jktom.com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"mailto:zhangjun@jktom.com" </w:instrText>
            </w:r>
            <w:r>
              <w:fldChar w:fldCharType="separate"/>
            </w:r>
            <w:r>
              <w:rPr>
                <w:rFonts w:ascii="Times New Roman" w:eastAsia="Times New Roman" w:hAnsi="Times New Roman" w:cs="Times New Roman"/>
                <w:color w:val="000000"/>
                <w:spacing w:val="0"/>
                <w:w w:val="100"/>
                <w:position w:val="0"/>
                <w:sz w:val="18"/>
                <w:szCs w:val="18"/>
              </w:rPr>
              <w:t>zhangjun@jktom.com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浙江省杭州市萧山区钱江世纪城平澜路</w:t>
            </w:r>
            <w:r>
              <w:rPr>
                <w:rFonts w:ascii="Times New Roman" w:eastAsia="Times New Roman" w:hAnsi="Times New Roman" w:cs="Times New Roman"/>
                <w:color w:val="000000"/>
                <w:spacing w:val="0"/>
                <w:w w:val="100"/>
                <w:position w:val="0"/>
                <w:sz w:val="18"/>
                <w:szCs w:val="18"/>
              </w:rPr>
              <w:t>299</w:t>
            </w:r>
            <w:r>
              <w:rPr>
                <w:color w:val="000000"/>
                <w:spacing w:val="0"/>
                <w:w w:val="100"/>
                <w:position w:val="0"/>
                <w:sz w:val="18"/>
                <w:szCs w:val="18"/>
              </w:rPr>
              <w:t>号浙江商会大厦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层证券部</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、其他有关资料</w:t>
      </w:r>
      <w:bookmarkEnd w:id="28"/>
      <w:bookmarkEnd w:id="29"/>
      <w:bookmarkEnd w:id="31"/>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8"/>
                <w:szCs w:val="18"/>
              </w:rPr>
              <w:t>号四楼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蔡畅、王昌功、陶凌雪</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、主要会计数据和财务指标</w:t>
      </w:r>
      <w:bookmarkEnd w:id="32"/>
      <w:bookmarkEnd w:id="33"/>
      <w:bookmarkEnd w:id="35"/>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是□否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追溯调整或重述原因</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会计差错更正；同一控制下企业合并</w:t>
      </w:r>
    </w:p>
    <w:tbl>
      <w:tblPr>
        <w:tblOverlap w:val="never"/>
        <w:jc w:val="center"/>
        <w:tblLayout w:type="fixed"/>
      </w:tblPr>
      <w:tblGrid>
        <w:gridCol w:w="2366"/>
        <w:gridCol w:w="1200"/>
        <w:gridCol w:w="1200"/>
        <w:gridCol w:w="1200"/>
        <w:gridCol w:w="1205"/>
        <w:gridCol w:w="1200"/>
        <w:gridCol w:w="1205"/>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本年比上年 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1,807,222,57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1,830,611,72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1,943,031,92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2,725,148,20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2,847,626,27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752,917,670.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-2,779,681,2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-2,809,092,3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841,610,635.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853,725,907.</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归属于上市公司股东的扣 除非经常性损益的净利润</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507,174,716.</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-2,815,248,9</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-2,919,288,4</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815,570,973.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815,570,973.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经营活动产生的现金流量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1,075,838,68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1,041,419,18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1,062,819,38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799,741,347.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833,166,936.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本年末比上 年末增减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3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6,636,726,56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7,926,654,30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8,309,890,10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12,840,378,1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13,271,189,1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归属于上市公司股东的净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2,746,794,53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3,688,380,66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3,563,473,09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6,744,126,42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6,685,928,57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5.17</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会计政策变更的原因及会计差错更正的情况</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公司最近三个会计年度扣除非经常性损益前后净利润孰低者均为负值，且最近一年审计报告显示公司持续经营能力存在不确 </w:t>
      </w:r>
      <w:r>
        <w:rPr>
          <w:color w:val="000000"/>
          <w:spacing w:val="0"/>
          <w:w w:val="100"/>
          <w:position w:val="0"/>
        </w:rPr>
        <w:t>定性</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29"/>
        <w:keepNext/>
        <w:keepLines/>
        <w:widowControl w:val="0"/>
        <w:shd w:val="clear" w:color="auto" w:fill="auto"/>
        <w:bidi w:val="0"/>
        <w:spacing w:before="0" w:after="36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六</w:t>
      </w:r>
      <w:bookmarkEnd w:id="38"/>
      <w:r>
        <w:rPr>
          <w:color w:val="000000"/>
          <w:spacing w:val="0"/>
          <w:w w:val="100"/>
          <w:position w:val="0"/>
          <w:sz w:val="24"/>
          <w:szCs w:val="24"/>
        </w:rPr>
        <w:t>、分季度主要财务指标</w:t>
      </w:r>
      <w:bookmarkEnd w:id="36"/>
      <w:bookmarkEnd w:id="37"/>
      <w:bookmarkEnd w:id="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469,050,105.90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462,798,428.96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367,832,006.20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507,542,031.06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218,235,094.12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247,923,713.26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158,286,455.81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128,472,407.79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归属于上市公司股东的扣除非</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195,194,319.56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243,417,682.83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100,402,649.72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-31,839,935.72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459,565,615.16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37,656,445.30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174,594,026.61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404,022,597.31</w:t>
            </w:r>
          </w:p>
        </w:tc>
      </w:tr>
    </w:tbl>
    <w:p>
      <w:pPr>
        <w:pStyle w:val="Style31"/>
        <w:keepNext w:val="0"/>
        <w:keepLines w:val="0"/>
        <w:widowControl w:val="0"/>
        <w:shd w:val="clear" w:color="auto" w:fill="auto"/>
        <w:bidi w:val="0"/>
        <w:spacing w:before="0" w:after="360" w:line="350" w:lineRule="exact"/>
        <w:ind w:left="0" w:right="0" w:firstLine="0"/>
        <w:jc w:val="both"/>
      </w:pPr>
      <w:r>
        <w:rPr>
          <w:color w:val="000000"/>
          <w:spacing w:val="0"/>
          <w:w w:val="100"/>
          <w:position w:val="0"/>
        </w:rPr>
        <w:t>上述财务指标或其加总数是否与公司已披露季度报告、半年度报告相关财务指标存在重大差异 口是"否</w:t>
      </w:r>
    </w:p>
    <w:p>
      <w:pPr>
        <w:pStyle w:val="Style29"/>
        <w:keepNext/>
        <w:keepLines/>
        <w:widowControl w:val="0"/>
        <w:shd w:val="clear" w:color="auto" w:fill="auto"/>
        <w:tabs>
          <w:tab w:pos="517" w:val="left"/>
        </w:tabs>
        <w:bidi w:val="0"/>
        <w:spacing w:before="0" w:after="36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sz w:val="24"/>
          <w:szCs w:val="24"/>
        </w:rPr>
        <w:t>七</w:t>
      </w:r>
      <w:bookmarkEnd w:id="42"/>
      <w:r>
        <w:rPr>
          <w:color w:val="000000"/>
          <w:spacing w:val="0"/>
          <w:w w:val="100"/>
          <w:position w:val="0"/>
          <w:sz w:val="24"/>
          <w:szCs w:val="24"/>
        </w:rPr>
        <w:t>、</w:t>
        <w:tab/>
        <w:t>境内外会计准则下会计数据差异</w:t>
      </w:r>
      <w:bookmarkEnd w:id="40"/>
      <w:bookmarkEnd w:id="41"/>
      <w:bookmarkEnd w:id="43"/>
    </w:p>
    <w:p>
      <w:pPr>
        <w:pStyle w:val="Style36"/>
        <w:keepNext/>
        <w:keepLines/>
        <w:widowControl w:val="0"/>
        <w:shd w:val="clear" w:color="auto" w:fill="auto"/>
        <w:tabs>
          <w:tab w:pos="410"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10" w:val="left"/>
        </w:tabs>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after="36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八</w:t>
      </w:r>
      <w:bookmarkEnd w:id="54"/>
      <w:r>
        <w:rPr>
          <w:color w:val="000000"/>
          <w:spacing w:val="0"/>
          <w:w w:val="100"/>
          <w:position w:val="0"/>
          <w:sz w:val="24"/>
          <w:szCs w:val="24"/>
        </w:rPr>
        <w:t>、</w:t>
        <w:tab/>
        <w:t>非经常性损益项目及金额</w:t>
      </w:r>
      <w:bookmarkEnd w:id="52"/>
      <w:bookmarkEnd w:id="53"/>
      <w:bookmarkEnd w:id="55"/>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-14,934,670.49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37,157,638.11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-2,246,451.93</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17,814,487.34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4,545,623.37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9,856,914.57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详见“第十二节、 财务报告”之“七、 合并财务报表项目 注释”之“</w:t>
            </w: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、政 府补助”。</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46,419,914.74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70,230,519.37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同一控制下企业合并产生的子公司期初 至合并日的当期净损益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2,943,863.41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13,430,395.31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12,115,271.99</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9,525,940.10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1,530,911.09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 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2,194,926.46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-12,457,071.02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763,684.13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105,385,856.00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19,805,185.12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-1,044,551.82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12,253,774.77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3,722,336.08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-51,755.39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245,742,954.59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110,196,097.78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38,154,934.28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19" w:bottom="1571" w:left="110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600" w:line="240" w:lineRule="auto"/>
        <w:ind w:left="0" w:right="0" w:firstLine="0"/>
        <w:jc w:val="center"/>
      </w:pPr>
      <w:bookmarkStart w:id="56" w:name="bookmark56"/>
      <w:bookmarkStart w:id="57" w:name="bookmark57"/>
      <w:bookmarkStart w:id="58" w:name="bookmark58"/>
      <w:bookmarkStart w:id="59" w:name="bookmark59"/>
      <w:r>
        <w:rPr>
          <w:color w:val="000000"/>
          <w:spacing w:val="0"/>
          <w:w w:val="100"/>
          <w:position w:val="0"/>
        </w:rPr>
        <w:t>第三节公司业务概要</w:t>
      </w:r>
      <w:bookmarkEnd w:id="57"/>
      <w:bookmarkEnd w:id="58"/>
      <w:bookmarkEnd w:id="59"/>
      <w:bookmarkEnd w:id="56"/>
    </w:p>
    <w:p>
      <w:pPr>
        <w:pStyle w:val="Style29"/>
        <w:keepNext/>
        <w:keepLines/>
        <w:widowControl w:val="0"/>
        <w:shd w:val="clear" w:color="auto" w:fill="auto"/>
        <w:bidi w:val="0"/>
        <w:spacing w:before="0" w:after="20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报告期内，公司围绕以“会说话的汤姆猫家族”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生态运营商发展战略，线上推进移 动应用、动漫影视等优质内容的制作与发行以提升用户流量；线下通过开拓</w:t>
      </w: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衍生品与授权业务、新商业 服务业务等连锁业态，集中优质资源持续打造“会说话的汤姆猫家族”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亲子品牌，实现</w:t>
      </w:r>
      <w:r>
        <w:rPr>
          <w:rFonts w:ascii="Times New Roman" w:eastAsia="Times New Roman" w:hAnsi="Times New Roman" w:cs="Times New Roman"/>
          <w:color w:val="000000"/>
          <w:spacing w:val="0"/>
          <w:w w:val="100"/>
          <w:position w:val="0"/>
        </w:rPr>
        <w:t>IP</w:t>
      </w:r>
      <w:r>
        <w:rPr>
          <w:color w:val="000000"/>
          <w:spacing w:val="0"/>
          <w:w w:val="100"/>
          <w:position w:val="0"/>
        </w:rPr>
        <w:t>价值的深度变 现。公司在报告期内从事的主要业务情况如下：</w:t>
      </w:r>
    </w:p>
    <w:p>
      <w:pPr>
        <w:pStyle w:val="Style40"/>
        <w:keepNext w:val="0"/>
        <w:keepLines w:val="0"/>
        <w:widowControl w:val="0"/>
        <w:shd w:val="clear" w:color="auto" w:fill="auto"/>
        <w:bidi w:val="0"/>
        <w:spacing w:before="0" w:after="200" w:line="466"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一）公司线上业务</w:t>
      </w:r>
    </w:p>
    <w:p>
      <w:pPr>
        <w:pStyle w:val="Style40"/>
        <w:keepNext w:val="0"/>
        <w:keepLines w:val="0"/>
        <w:widowControl w:val="0"/>
        <w:shd w:val="clear" w:color="auto" w:fill="auto"/>
        <w:bidi w:val="0"/>
        <w:spacing w:before="0" w:after="0"/>
        <w:ind w:left="0" w:right="0" w:firstLine="44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、移动互联网应用发行业务</w:t>
      </w:r>
    </w:p>
    <w:p>
      <w:pPr>
        <w:pStyle w:val="Style40"/>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报告期内，公司海内外研发团队以全球知名</w:t>
      </w:r>
      <w:r>
        <w:rPr>
          <w:rFonts w:ascii="Times New Roman" w:eastAsia="Times New Roman" w:hAnsi="Times New Roman" w:cs="Times New Roman"/>
          <w:color w:val="000000"/>
          <w:spacing w:val="0"/>
          <w:w w:val="100"/>
          <w:position w:val="0"/>
        </w:rPr>
        <w:t xml:space="preserve">IP </w:t>
      </w:r>
      <w:r>
        <w:rPr>
          <w:color w:val="000000"/>
          <w:spacing w:val="0"/>
          <w:w w:val="100"/>
          <w:position w:val="0"/>
        </w:rPr>
        <w:t>“会说话的汤姆猫家族”为核心，累计已研发上线了《会 说话的汤姆猫》《我的汤姆猫》《我的安吉拉》《汤姆猫跑酷》《我的汤姆猫</w:t>
      </w:r>
      <w:r>
        <w:rPr>
          <w:rFonts w:ascii="Times New Roman" w:eastAsia="Times New Roman" w:hAnsi="Times New Roman" w:cs="Times New Roman"/>
          <w:color w:val="000000"/>
          <w:spacing w:val="0"/>
          <w:w w:val="100"/>
          <w:position w:val="0"/>
        </w:rPr>
        <w:t>2</w:t>
      </w:r>
      <w:r>
        <w:rPr>
          <w:color w:val="000000"/>
          <w:spacing w:val="0"/>
          <w:w w:val="100"/>
          <w:position w:val="0"/>
        </w:rPr>
        <w:t>》《汤姆猫英雄跑酷》《汤姆猫 飞车》《汤姆猫总动员》等</w:t>
      </w:r>
      <w:r>
        <w:rPr>
          <w:rFonts w:ascii="Times New Roman" w:eastAsia="Times New Roman" w:hAnsi="Times New Roman" w:cs="Times New Roman"/>
          <w:color w:val="000000"/>
          <w:spacing w:val="0"/>
          <w:w w:val="100"/>
          <w:position w:val="0"/>
        </w:rPr>
        <w:t>20</w:t>
      </w:r>
      <w:r>
        <w:rPr>
          <w:color w:val="000000"/>
          <w:spacing w:val="0"/>
          <w:w w:val="100"/>
          <w:position w:val="0"/>
        </w:rPr>
        <w:t>余款</w:t>
      </w:r>
      <w:r>
        <w:rPr>
          <w:rFonts w:ascii="Times New Roman" w:eastAsia="Times New Roman" w:hAnsi="Times New Roman" w:cs="Times New Roman"/>
          <w:color w:val="000000"/>
          <w:spacing w:val="0"/>
          <w:w w:val="100"/>
          <w:position w:val="0"/>
        </w:rPr>
        <w:t>IP</w:t>
      </w:r>
      <w:r>
        <w:rPr>
          <w:color w:val="000000"/>
          <w:spacing w:val="0"/>
          <w:w w:val="100"/>
          <w:position w:val="0"/>
        </w:rPr>
        <w:t>系列休闲移动应用。截至报告期末，汤姆猫家族</w:t>
      </w:r>
      <w:r>
        <w:rPr>
          <w:rFonts w:ascii="Times New Roman" w:eastAsia="Times New Roman" w:hAnsi="Times New Roman" w:cs="Times New Roman"/>
          <w:color w:val="000000"/>
          <w:spacing w:val="0"/>
          <w:w w:val="100"/>
          <w:position w:val="0"/>
        </w:rPr>
        <w:t>IP</w:t>
      </w:r>
      <w:r>
        <w:rPr>
          <w:color w:val="000000"/>
          <w:spacing w:val="0"/>
          <w:w w:val="100"/>
          <w:position w:val="0"/>
        </w:rPr>
        <w:t>系列应用在全球范围 内的累计下载量已超过</w:t>
      </w:r>
      <w:r>
        <w:rPr>
          <w:rFonts w:ascii="Times New Roman" w:eastAsia="Times New Roman" w:hAnsi="Times New Roman" w:cs="Times New Roman"/>
          <w:color w:val="000000"/>
          <w:spacing w:val="0"/>
          <w:w w:val="100"/>
          <w:position w:val="0"/>
        </w:rPr>
        <w:t>150</w:t>
      </w:r>
      <w:r>
        <w:rPr>
          <w:color w:val="000000"/>
          <w:spacing w:val="0"/>
          <w:w w:val="100"/>
          <w:position w:val="0"/>
        </w:rPr>
        <w:t>亿次，全球</w:t>
      </w:r>
      <w:r>
        <w:rPr>
          <w:rFonts w:ascii="Times New Roman" w:eastAsia="Times New Roman" w:hAnsi="Times New Roman" w:cs="Times New Roman"/>
          <w:color w:val="000000"/>
          <w:spacing w:val="0"/>
          <w:w w:val="100"/>
          <w:position w:val="0"/>
        </w:rPr>
        <w:t xml:space="preserve">MAU </w:t>
      </w:r>
      <w:r>
        <w:rPr>
          <w:color w:val="000000"/>
          <w:spacing w:val="0"/>
          <w:w w:val="100"/>
          <w:position w:val="0"/>
        </w:rPr>
        <w:t>（月活跃用户人数）高达</w:t>
      </w:r>
      <w:r>
        <w:rPr>
          <w:rFonts w:ascii="Times New Roman" w:eastAsia="Times New Roman" w:hAnsi="Times New Roman" w:cs="Times New Roman"/>
          <w:color w:val="000000"/>
          <w:spacing w:val="0"/>
          <w:w w:val="100"/>
          <w:position w:val="0"/>
        </w:rPr>
        <w:t>4.1</w:t>
      </w:r>
      <w:r>
        <w:rPr>
          <w:color w:val="000000"/>
          <w:spacing w:val="0"/>
          <w:w w:val="100"/>
          <w:position w:val="0"/>
        </w:rPr>
        <w:t>亿次。依托于庞大的用户数量和活 跃用户，公司通过上述应用产品的内置广告</w:t>
      </w:r>
      <w:r>
        <w:rPr>
          <w:color w:val="000000"/>
          <w:spacing w:val="0"/>
          <w:w w:val="100"/>
          <w:position w:val="0"/>
        </w:rPr>
        <w:t>（</w:t>
      </w:r>
      <w:r>
        <w:rPr>
          <w:rFonts w:ascii="Times New Roman" w:eastAsia="Times New Roman" w:hAnsi="Times New Roman" w:cs="Times New Roman"/>
          <w:color w:val="000000"/>
          <w:spacing w:val="0"/>
          <w:w w:val="100"/>
          <w:position w:val="0"/>
        </w:rPr>
        <w:t>In-AppAdvertisement</w:t>
      </w:r>
      <w:r>
        <w:rPr>
          <w:color w:val="000000"/>
          <w:spacing w:val="0"/>
          <w:w w:val="100"/>
          <w:position w:val="0"/>
        </w:rPr>
        <w:t>,</w:t>
      </w:r>
      <w:r>
        <w:rPr>
          <w:color w:val="000000"/>
          <w:spacing w:val="0"/>
          <w:w w:val="100"/>
          <w:position w:val="0"/>
        </w:rPr>
        <w:t>简称</w:t>
      </w:r>
      <w:r>
        <w:rPr>
          <w:color w:val="000000"/>
          <w:spacing w:val="0"/>
          <w:w w:val="100"/>
          <w:position w:val="0"/>
        </w:rPr>
        <w:t>“</w:t>
      </w:r>
      <w:r>
        <w:rPr>
          <w:rFonts w:ascii="Times New Roman" w:eastAsia="Times New Roman" w:hAnsi="Times New Roman" w:cs="Times New Roman"/>
          <w:color w:val="000000"/>
          <w:spacing w:val="0"/>
          <w:w w:val="100"/>
          <w:position w:val="0"/>
        </w:rPr>
        <w:t>IAA</w:t>
      </w:r>
      <w:r>
        <w:rPr>
          <w:color w:val="000000"/>
          <w:spacing w:val="0"/>
          <w:w w:val="100"/>
          <w:position w:val="0"/>
        </w:rPr>
        <w:t>"）</w:t>
      </w:r>
      <w:r>
        <w:rPr>
          <w:color w:val="000000"/>
          <w:spacing w:val="0"/>
          <w:w w:val="100"/>
          <w:position w:val="0"/>
        </w:rPr>
        <w:t>和应用内购</w:t>
      </w:r>
      <w:r>
        <w:rPr>
          <w:color w:val="000000"/>
          <w:spacing w:val="0"/>
          <w:w w:val="100"/>
          <w:position w:val="0"/>
        </w:rPr>
        <w:t>（</w:t>
      </w:r>
      <w:r>
        <w:rPr>
          <w:rFonts w:ascii="Times New Roman" w:eastAsia="Times New Roman" w:hAnsi="Times New Roman" w:cs="Times New Roman"/>
          <w:color w:val="000000"/>
          <w:spacing w:val="0"/>
          <w:w w:val="100"/>
          <w:position w:val="0"/>
        </w:rPr>
        <w:t>In-App Purchase</w:t>
      </w:r>
      <w:r>
        <w:rPr>
          <w:color w:val="000000"/>
          <w:spacing w:val="0"/>
          <w:w w:val="100"/>
          <w:position w:val="0"/>
        </w:rPr>
        <w:t>，</w:t>
      </w:r>
      <w:r>
        <w:rPr>
          <w:color w:val="000000"/>
          <w:spacing w:val="0"/>
          <w:w w:val="100"/>
          <w:position w:val="0"/>
        </w:rPr>
        <w:t>简称</w:t>
      </w:r>
      <w:r>
        <w:rPr>
          <w:color w:val="000000"/>
          <w:spacing w:val="0"/>
          <w:w w:val="100"/>
          <w:position w:val="0"/>
        </w:rPr>
        <w:t>"</w:t>
      </w:r>
      <w:r>
        <w:rPr>
          <w:rFonts w:ascii="Times New Roman" w:eastAsia="Times New Roman" w:hAnsi="Times New Roman" w:cs="Times New Roman"/>
          <w:color w:val="000000"/>
          <w:spacing w:val="0"/>
          <w:w w:val="100"/>
          <w:position w:val="0"/>
        </w:rPr>
        <w:t>IAP</w:t>
      </w:r>
      <w:r>
        <w:rPr>
          <w:color w:val="000000"/>
          <w:spacing w:val="0"/>
          <w:w w:val="100"/>
          <w:position w:val="0"/>
        </w:rPr>
        <w:t>"）</w:t>
      </w:r>
      <w:r>
        <w:rPr>
          <w:color w:val="000000"/>
          <w:spacing w:val="0"/>
          <w:w w:val="100"/>
          <w:position w:val="0"/>
        </w:rPr>
        <w:t>获取收入。</w:t>
      </w:r>
    </w:p>
    <w:p>
      <w:pPr>
        <w:widowControl w:val="0"/>
        <w:jc w:val="center"/>
        <w:rPr>
          <w:sz w:val="2"/>
          <w:szCs w:val="2"/>
        </w:rPr>
      </w:pPr>
      <w:r>
        <w:drawing>
          <wp:inline>
            <wp:extent cx="4328160" cy="26885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328160" cy="2688590"/>
                    </a:xfrm>
                    <a:prstGeom prst="rect"/>
                  </pic:spPr>
                </pic:pic>
              </a:graphicData>
            </a:graphic>
          </wp:inline>
        </w:drawing>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其中，公司移动应用内置广告的盈利模式具体表现为，公司</w:t>
      </w:r>
      <w:r>
        <w:rPr>
          <w:rFonts w:ascii="Times New Roman" w:eastAsia="Times New Roman" w:hAnsi="Times New Roman" w:cs="Times New Roman"/>
          <w:color w:val="000000"/>
          <w:spacing w:val="0"/>
          <w:w w:val="100"/>
          <w:position w:val="0"/>
        </w:rPr>
        <w:t>IP</w:t>
      </w:r>
      <w:r>
        <w:rPr>
          <w:color w:val="000000"/>
          <w:spacing w:val="0"/>
          <w:w w:val="100"/>
          <w:position w:val="0"/>
        </w:rPr>
        <w:t>系列移动应用在</w:t>
      </w:r>
      <w:r>
        <w:rPr>
          <w:rFonts w:ascii="Times New Roman" w:eastAsia="Times New Roman" w:hAnsi="Times New Roman" w:cs="Times New Roman"/>
          <w:color w:val="000000"/>
          <w:spacing w:val="0"/>
          <w:w w:val="100"/>
          <w:position w:val="0"/>
        </w:rPr>
        <w:t>App Store</w:t>
      </w:r>
      <w:r>
        <w:rPr>
          <w:color w:val="000000"/>
          <w:spacing w:val="0"/>
          <w:w w:val="100"/>
          <w:position w:val="0"/>
        </w:rPr>
        <w:t>、</w:t>
      </w:r>
      <w:r>
        <w:rPr>
          <w:rFonts w:ascii="Times New Roman" w:eastAsia="Times New Roman" w:hAnsi="Times New Roman" w:cs="Times New Roman"/>
          <w:color w:val="000000"/>
          <w:spacing w:val="0"/>
          <w:w w:val="100"/>
          <w:position w:val="0"/>
        </w:rPr>
        <w:t xml:space="preserve">Google Play </w:t>
      </w:r>
      <w:r>
        <w:rPr>
          <w:color w:val="000000"/>
          <w:spacing w:val="0"/>
          <w:w w:val="100"/>
          <w:position w:val="0"/>
        </w:rPr>
        <w:t>等平台开展运营，通过对接</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Facebook</w:t>
      </w:r>
      <w:r>
        <w:rPr>
          <w:color w:val="000000"/>
          <w:spacing w:val="0"/>
          <w:w w:val="100"/>
          <w:position w:val="0"/>
        </w:rPr>
        <w:t>、</w:t>
      </w:r>
      <w:r>
        <w:rPr>
          <w:rFonts w:ascii="Times New Roman" w:eastAsia="Times New Roman" w:hAnsi="Times New Roman" w:cs="Times New Roman"/>
          <w:color w:val="000000"/>
          <w:spacing w:val="0"/>
          <w:w w:val="100"/>
          <w:position w:val="0"/>
        </w:rPr>
        <w:t>Twitter</w:t>
      </w:r>
      <w:r>
        <w:rPr>
          <w:color w:val="000000"/>
          <w:spacing w:val="0"/>
          <w:w w:val="100"/>
          <w:position w:val="0"/>
        </w:rPr>
        <w:t>、</w:t>
      </w:r>
      <w:r>
        <w:rPr>
          <w:rFonts w:ascii="Times New Roman" w:eastAsia="Times New Roman" w:hAnsi="Times New Roman" w:cs="Times New Roman"/>
          <w:color w:val="000000"/>
          <w:spacing w:val="0"/>
          <w:w w:val="100"/>
          <w:position w:val="0"/>
        </w:rPr>
        <w:t>AppLovin</w:t>
      </w:r>
      <w:r>
        <w:rPr>
          <w:color w:val="000000"/>
          <w:spacing w:val="0"/>
          <w:w w:val="100"/>
          <w:position w:val="0"/>
        </w:rPr>
        <w:t>、</w:t>
      </w:r>
      <w:r>
        <w:rPr>
          <w:rFonts w:ascii="Times New Roman" w:eastAsia="Times New Roman" w:hAnsi="Times New Roman" w:cs="Times New Roman"/>
          <w:color w:val="000000"/>
          <w:spacing w:val="0"/>
          <w:w w:val="100"/>
          <w:position w:val="0"/>
        </w:rPr>
        <w:t>Smaato</w:t>
      </w:r>
      <w:r>
        <w:rPr>
          <w:color w:val="000000"/>
          <w:spacing w:val="0"/>
          <w:w w:val="100"/>
          <w:position w:val="0"/>
        </w:rPr>
        <w:t>、</w:t>
      </w:r>
      <w:r>
        <w:rPr>
          <w:color w:val="000000"/>
          <w:spacing w:val="0"/>
          <w:w w:val="100"/>
          <w:position w:val="0"/>
        </w:rPr>
        <w:t xml:space="preserve">穿山甲广告联盟等全球知名 广告服务商，获取大量广告主的营销需求，并将该等广告向公司移动应用产品用户进行推送展示（展示方 式包括插页、横幅、奖励视频、视频广告、应用墙等多种形式），公司由此而向营销服务商收取广告展示 </w:t>
      </w:r>
      <w:r>
        <w:rPr>
          <w:color w:val="000000"/>
          <w:spacing w:val="0"/>
          <w:w w:val="100"/>
          <w:position w:val="0"/>
        </w:rPr>
        <w:t>服务费。在实际开展移动广告业务过程中，公司自建了广告控制平台</w:t>
      </w:r>
      <w:r>
        <w:rPr>
          <w:rFonts w:ascii="Times New Roman" w:eastAsia="Times New Roman" w:hAnsi="Times New Roman" w:cs="Times New Roman"/>
          <w:color w:val="000000"/>
          <w:spacing w:val="0"/>
          <w:w w:val="100"/>
          <w:position w:val="0"/>
        </w:rPr>
        <w:t>Mediation</w:t>
      </w:r>
      <w:r>
        <w:rPr>
          <w:color w:val="000000"/>
          <w:spacing w:val="0"/>
          <w:w w:val="100"/>
          <w:position w:val="0"/>
        </w:rPr>
        <w:t>,</w:t>
      </w:r>
      <w:r>
        <w:rPr>
          <w:color w:val="000000"/>
          <w:spacing w:val="0"/>
          <w:w w:val="100"/>
          <w:position w:val="0"/>
        </w:rPr>
        <w:t>对营销服务商的广告需求 进行动态的流量调节，通过该控制平台以及大数据分析技术，公司可优化动态地选择推送和展示费率较高 的营销广告，并对不同产品用户推送的广告内容进行筛选，以最大化保证公司应用产品中广告的填充效率 和广告变现效率。</w:t>
      </w:r>
    </w:p>
    <w:p>
      <w:pPr>
        <w:pStyle w:val="Style40"/>
        <w:keepNext w:val="0"/>
        <w:keepLines w:val="0"/>
        <w:widowControl w:val="0"/>
        <w:shd w:val="clear" w:color="auto" w:fill="auto"/>
        <w:bidi w:val="0"/>
        <w:spacing w:before="0" w:after="200" w:line="470" w:lineRule="exact"/>
        <w:ind w:left="0" w:right="0" w:firstLine="420"/>
        <w:jc w:val="both"/>
      </w:pPr>
      <w:r>
        <w:rPr>
          <w:color w:val="000000"/>
          <w:spacing w:val="0"/>
          <w:w w:val="100"/>
          <w:position w:val="0"/>
        </w:rPr>
        <w:t>根据公司上述广告服务业务，结合公司应用产品的使用玩法，用户在体验公司应用产品的过程中，可 通过观看广告、点击广告链接、进行小游戏等获得额外的虚拟道具奖励或效果加成。由此一方面公司可根 据实际广告展示等情况获得广告收入；另一方面，用户可通过观看广告等方式获取应用内虚拟道具，借此 提高用户体验。</w:t>
      </w:r>
    </w:p>
    <w:p>
      <w:pPr>
        <w:pStyle w:val="Style40"/>
        <w:keepNext w:val="0"/>
        <w:keepLines w:val="0"/>
        <w:widowControl w:val="0"/>
        <w:shd w:val="clear" w:color="auto" w:fill="auto"/>
        <w:bidi w:val="0"/>
        <w:spacing w:before="0" w:after="0" w:line="492" w:lineRule="auto"/>
        <w:ind w:left="0" w:right="0" w:firstLine="36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、动漫影视业务</w:t>
      </w:r>
    </w:p>
    <w:p>
      <w:pPr>
        <w:pStyle w:val="Style40"/>
        <w:keepNext w:val="0"/>
        <w:keepLines w:val="0"/>
        <w:widowControl w:val="0"/>
        <w:shd w:val="clear" w:color="auto" w:fill="auto"/>
        <w:bidi w:val="0"/>
        <w:spacing w:before="0" w:after="200" w:line="470" w:lineRule="exact"/>
        <w:ind w:left="0" w:right="0" w:firstLine="420"/>
        <w:jc w:val="both"/>
      </w:pPr>
      <w:r>
        <w:rPr>
          <w:color w:val="000000"/>
          <w:spacing w:val="0"/>
          <w:w w:val="100"/>
          <w:position w:val="0"/>
        </w:rPr>
        <w:t>报告期内，公司基于“会说话的汤姆猫家族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形象和内容，累计已制作推出《会说话的汤姆猫家族》 五季长篇动画及《汤姆猫英雄小队》《会说话的安吉拉》《会说话的金杰猫》等系列短片、迷你剧等动漫影 视作品。上述动漫影视作品已被翻译成</w:t>
      </w:r>
      <w:r>
        <w:rPr>
          <w:rFonts w:ascii="Times New Roman" w:eastAsia="Times New Roman" w:hAnsi="Times New Roman" w:cs="Times New Roman"/>
          <w:color w:val="000000"/>
          <w:spacing w:val="0"/>
          <w:w w:val="100"/>
          <w:position w:val="0"/>
        </w:rPr>
        <w:t>32</w:t>
      </w:r>
      <w:r>
        <w:rPr>
          <w:color w:val="000000"/>
          <w:spacing w:val="0"/>
          <w:w w:val="100"/>
          <w:position w:val="0"/>
        </w:rPr>
        <w:t>种语言，并通过</w:t>
      </w:r>
      <w:r>
        <w:rPr>
          <w:rFonts w:ascii="Times New Roman" w:eastAsia="Times New Roman" w:hAnsi="Times New Roman" w:cs="Times New Roman"/>
          <w:color w:val="000000"/>
          <w:spacing w:val="0"/>
          <w:w w:val="100"/>
          <w:position w:val="0"/>
        </w:rPr>
        <w:t>YouTube</w:t>
      </w:r>
      <w:r>
        <w:rPr>
          <w:color w:val="000000"/>
          <w:spacing w:val="0"/>
          <w:w w:val="100"/>
          <w:position w:val="0"/>
        </w:rPr>
        <w:t>、</w:t>
      </w:r>
      <w:r>
        <w:rPr>
          <w:rFonts w:ascii="Times New Roman" w:eastAsia="Times New Roman" w:hAnsi="Times New Roman" w:cs="Times New Roman"/>
          <w:color w:val="000000"/>
          <w:spacing w:val="0"/>
          <w:w w:val="100"/>
          <w:position w:val="0"/>
        </w:rPr>
        <w:t>Netflix</w:t>
      </w:r>
      <w:r>
        <w:rPr>
          <w:color w:val="000000"/>
          <w:spacing w:val="0"/>
          <w:w w:val="100"/>
          <w:position w:val="0"/>
        </w:rPr>
        <w:t>、</w:t>
      </w:r>
      <w:r>
        <w:rPr>
          <w:color w:val="000000"/>
          <w:spacing w:val="0"/>
          <w:w w:val="100"/>
          <w:position w:val="0"/>
        </w:rPr>
        <w:t>腾讯、优酷、爱奇艺、小米 视频、华为视频、咪咕视频、沃视频、沃家影视等平台和渠道在全球</w:t>
      </w:r>
      <w:r>
        <w:rPr>
          <w:rFonts w:ascii="Times New Roman" w:eastAsia="Times New Roman" w:hAnsi="Times New Roman" w:cs="Times New Roman"/>
          <w:color w:val="000000"/>
          <w:spacing w:val="0"/>
          <w:w w:val="100"/>
          <w:position w:val="0"/>
        </w:rPr>
        <w:t>200</w:t>
      </w:r>
      <w:r>
        <w:rPr>
          <w:color w:val="000000"/>
          <w:spacing w:val="0"/>
          <w:w w:val="100"/>
          <w:position w:val="0"/>
        </w:rPr>
        <w:t>多个国家和地区播放，深受全球 各地观众的喜爱。截至报告期末，公司</w:t>
      </w:r>
      <w:r>
        <w:rPr>
          <w:rFonts w:ascii="Times New Roman" w:eastAsia="Times New Roman" w:hAnsi="Times New Roman" w:cs="Times New Roman"/>
          <w:color w:val="000000"/>
          <w:spacing w:val="0"/>
          <w:w w:val="100"/>
          <w:position w:val="0"/>
        </w:rPr>
        <w:t>IP</w:t>
      </w:r>
      <w:r>
        <w:rPr>
          <w:color w:val="000000"/>
          <w:spacing w:val="0"/>
          <w:w w:val="100"/>
          <w:position w:val="0"/>
        </w:rPr>
        <w:t>动漫影视作品在全球范围内的累计播放量已超过</w:t>
      </w:r>
      <w:r>
        <w:rPr>
          <w:rFonts w:ascii="Times New Roman" w:eastAsia="Times New Roman" w:hAnsi="Times New Roman" w:cs="Times New Roman"/>
          <w:color w:val="000000"/>
          <w:spacing w:val="0"/>
          <w:w w:val="100"/>
          <w:position w:val="0"/>
        </w:rPr>
        <w:t>720</w:t>
      </w:r>
      <w:r>
        <w:rPr>
          <w:color w:val="000000"/>
          <w:spacing w:val="0"/>
          <w:w w:val="100"/>
          <w:position w:val="0"/>
        </w:rPr>
        <w:t>亿次。此外， 公司也正积极推进“会说话的汤姆猫家族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大电影计划，针对该计划，公司已确定外部合作制片人、编 剧、意向合作导演，项目进入电影剧本撰写修改阶段。</w:t>
      </w:r>
    </w:p>
    <w:p>
      <w:pPr>
        <w:widowControl w:val="0"/>
        <w:jc w:val="center"/>
        <w:rPr>
          <w:sz w:val="2"/>
          <w:szCs w:val="2"/>
        </w:rPr>
      </w:pPr>
      <w:r>
        <w:drawing>
          <wp:inline>
            <wp:extent cx="6102350" cy="22923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6102350" cy="2292350"/>
                    </a:xfrm>
                    <a:prstGeom prst="rect"/>
                  </pic:spPr>
                </pic:pic>
              </a:graphicData>
            </a:graphic>
          </wp:inline>
        </w:drawing>
      </w:r>
    </w:p>
    <w:p>
      <w:pPr>
        <w:widowControl w:val="0"/>
        <w:spacing w:after="259" w:line="1" w:lineRule="exact"/>
      </w:pPr>
    </w:p>
    <w:p>
      <w:pPr>
        <w:pStyle w:val="Style40"/>
        <w:keepNext w:val="0"/>
        <w:keepLines w:val="0"/>
        <w:widowControl w:val="0"/>
        <w:shd w:val="clear" w:color="auto" w:fill="auto"/>
        <w:bidi w:val="0"/>
        <w:spacing w:before="0" w:after="200" w:line="240" w:lineRule="auto"/>
        <w:ind w:left="0" w:right="0" w:firstLine="360"/>
        <w:jc w:val="both"/>
      </w:pPr>
      <w:bookmarkStart w:id="67" w:name="bookmark67"/>
      <w:r>
        <w:rPr>
          <w:b/>
          <w:bCs/>
          <w:color w:val="000000"/>
          <w:spacing w:val="0"/>
          <w:w w:val="100"/>
          <w:position w:val="0"/>
        </w:rPr>
        <w:t>（</w:t>
      </w:r>
      <w:bookmarkEnd w:id="67"/>
      <w:r>
        <w:rPr>
          <w:b/>
          <w:bCs/>
          <w:color w:val="000000"/>
          <w:spacing w:val="0"/>
          <w:w w:val="100"/>
          <w:position w:val="0"/>
        </w:rPr>
        <w:t>二）公司线下业务</w:t>
      </w:r>
    </w:p>
    <w:p>
      <w:pPr>
        <w:pStyle w:val="Style40"/>
        <w:keepNext w:val="0"/>
        <w:keepLines w:val="0"/>
        <w:widowControl w:val="0"/>
        <w:shd w:val="clear" w:color="auto" w:fill="auto"/>
        <w:bidi w:val="0"/>
        <w:spacing w:before="0" w:after="200" w:line="240" w:lineRule="auto"/>
        <w:ind w:left="0" w:right="0" w:firstLine="36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系列衍生品及授权业务</w:t>
      </w:r>
    </w:p>
    <w:p>
      <w:pPr>
        <w:pStyle w:val="Style40"/>
        <w:keepNext w:val="0"/>
        <w:keepLines w:val="0"/>
        <w:widowControl w:val="0"/>
        <w:shd w:val="clear" w:color="auto" w:fill="auto"/>
        <w:bidi w:val="0"/>
        <w:spacing w:before="0" w:after="200" w:line="240" w:lineRule="auto"/>
        <w:ind w:left="0" w:right="0" w:firstLine="360"/>
        <w:jc w:val="both"/>
      </w:pPr>
      <w:r>
        <w:rPr>
          <w:color w:val="000000"/>
          <w:spacing w:val="0"/>
          <w:w w:val="100"/>
          <w:position w:val="0"/>
        </w:rPr>
        <w:t xml:space="preserve">公司基于“会说话的汤姆猫家族”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通过对外品牌授权、自行及合作开发的形式进行</w:t>
      </w:r>
      <w:r>
        <w:rPr>
          <w:rFonts w:ascii="Times New Roman" w:eastAsia="Times New Roman" w:hAnsi="Times New Roman" w:cs="Times New Roman"/>
          <w:color w:val="000000"/>
          <w:spacing w:val="0"/>
          <w:w w:val="100"/>
          <w:position w:val="0"/>
        </w:rPr>
        <w:t>IP</w:t>
      </w:r>
      <w:r>
        <w:rPr>
          <w:color w:val="000000"/>
          <w:spacing w:val="0"/>
          <w:w w:val="100"/>
          <w:position w:val="0"/>
        </w:rPr>
        <w:t>系列衍生品</w:t>
      </w:r>
    </w:p>
    <w:p>
      <w:pPr>
        <w:pStyle w:val="Style40"/>
        <w:keepNext w:val="0"/>
        <w:keepLines w:val="0"/>
        <w:widowControl w:val="0"/>
        <w:shd w:val="clear" w:color="auto" w:fill="auto"/>
        <w:bidi w:val="0"/>
        <w:spacing w:before="0" w:after="200" w:line="240" w:lineRule="auto"/>
        <w:ind w:left="0" w:right="0" w:firstLine="0"/>
        <w:jc w:val="both"/>
      </w:pPr>
      <w:r>
        <w:rPr>
          <w:color w:val="000000"/>
          <w:spacing w:val="0"/>
          <w:w w:val="100"/>
          <w:position w:val="0"/>
        </w:rPr>
        <w:t>的开发与销售，目前公司已陆续推出包含鞋服、日用品、有氧洗护、智能玩具、儿童教育产品等品类丰富</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IP</w:t>
      </w:r>
      <w:r>
        <w:rPr>
          <w:color w:val="000000"/>
          <w:spacing w:val="0"/>
          <w:w w:val="100"/>
          <w:position w:val="0"/>
        </w:rPr>
        <w:t xml:space="preserve">系列衍生品，线上销售渠道主要为天猫旗舰店、京东旗舰店、授权品牌自营渠道等电子商务渠道，线 </w:t>
      </w:r>
      <w:r>
        <w:rPr>
          <w:color w:val="000000"/>
          <w:spacing w:val="0"/>
          <w:w w:val="100"/>
          <w:position w:val="0"/>
        </w:rPr>
        <w:t>下主要通过亲子主题乐园等渠道开展销售。</w:t>
      </w:r>
    </w:p>
    <w:p>
      <w:pPr>
        <w:pStyle w:val="Style40"/>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 xml:space="preserve">此外，公司基于“会说话的汤姆猫家族”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 xml:space="preserve">庞大的线上流量及全球影响力，公司先后与阿里巴巴旗下 </w:t>
      </w:r>
      <w:r>
        <w:rPr>
          <w:rFonts w:ascii="Times New Roman" w:eastAsia="Times New Roman" w:hAnsi="Times New Roman" w:cs="Times New Roman"/>
          <w:color w:val="000000"/>
          <w:spacing w:val="0"/>
          <w:w w:val="100"/>
          <w:position w:val="0"/>
        </w:rPr>
        <w:t>IP</w:t>
      </w:r>
      <w:r>
        <w:rPr>
          <w:color w:val="000000"/>
          <w:spacing w:val="0"/>
          <w:w w:val="100"/>
          <w:position w:val="0"/>
        </w:rPr>
        <w:t>授权平台阿里鱼、阿里迅犀、腾讯手游《一起来捉妖》、网易代理的</w:t>
      </w:r>
      <w:r>
        <w:rPr>
          <w:rFonts w:ascii="Times New Roman" w:eastAsia="Times New Roman" w:hAnsi="Times New Roman" w:cs="Times New Roman"/>
          <w:color w:val="000000"/>
          <w:spacing w:val="0"/>
          <w:w w:val="100"/>
          <w:position w:val="0"/>
        </w:rPr>
        <w:t>3D</w:t>
      </w:r>
      <w:r>
        <w:rPr>
          <w:color w:val="000000"/>
          <w:spacing w:val="0"/>
          <w:w w:val="100"/>
          <w:position w:val="0"/>
        </w:rPr>
        <w:t>沙盒游戏《我的世界》、腾讯旗下 儿童内容平台企鹅童话、国内专业音频分享平台喜马拉雅、韩国知名服饰品牌</w:t>
      </w:r>
      <w:r>
        <w:rPr>
          <w:rFonts w:ascii="Times New Roman" w:eastAsia="Times New Roman" w:hAnsi="Times New Roman" w:cs="Times New Roman"/>
          <w:color w:val="000000"/>
          <w:spacing w:val="0"/>
          <w:w w:val="100"/>
          <w:position w:val="0"/>
        </w:rPr>
        <w:t>Chen</w:t>
      </w:r>
      <w:r>
        <w:rPr>
          <w:color w:val="000000"/>
          <w:spacing w:val="0"/>
          <w:w w:val="100"/>
          <w:position w:val="0"/>
        </w:rPr>
        <w:t>、</w:t>
      </w:r>
      <w:r>
        <w:rPr>
          <w:color w:val="000000"/>
          <w:spacing w:val="0"/>
          <w:w w:val="100"/>
          <w:position w:val="0"/>
        </w:rPr>
        <w:t>麦当劳、吉野家、国 内液态羊奶领军品牌卓牧乳业、知名乳制品企业一鸣食品、知名酒店集团开元酒店旗下多家星级酒店、华 润旗下高品质购物中心万象城、远洋商业乐堤港、浦发银行、杭州地铁等涵盖教育、文化、餐饮、零售、 交通等多个消费领域开展</w:t>
      </w:r>
      <w:r>
        <w:rPr>
          <w:rFonts w:ascii="Times New Roman" w:eastAsia="Times New Roman" w:hAnsi="Times New Roman" w:cs="Times New Roman"/>
          <w:color w:val="000000"/>
          <w:spacing w:val="0"/>
          <w:w w:val="100"/>
          <w:position w:val="0"/>
        </w:rPr>
        <w:t>IP</w:t>
      </w:r>
      <w:r>
        <w:rPr>
          <w:color w:val="000000"/>
          <w:spacing w:val="0"/>
          <w:w w:val="100"/>
          <w:position w:val="0"/>
        </w:rPr>
        <w:t>合作，携手品牌商家打造具有文化内涵的个性化、时尚化产品与服务，满足消 费者多元化的消费需求。</w:t>
      </w:r>
    </w:p>
    <w:p>
      <w:pPr>
        <w:pStyle w:val="Style40"/>
        <w:keepNext w:val="0"/>
        <w:keepLines w:val="0"/>
        <w:widowControl w:val="0"/>
        <w:shd w:val="clear" w:color="auto" w:fill="auto"/>
        <w:bidi w:val="0"/>
        <w:spacing w:before="0" w:after="0"/>
        <w:ind w:left="0" w:right="0" w:firstLine="420"/>
        <w:jc w:val="both"/>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、新商业服务业务</w:t>
      </w:r>
    </w:p>
    <w:p>
      <w:pPr>
        <w:pStyle w:val="Style40"/>
        <w:keepNext w:val="0"/>
        <w:keepLines w:val="0"/>
        <w:widowControl w:val="0"/>
        <w:shd w:val="clear" w:color="auto" w:fill="auto"/>
        <w:bidi w:val="0"/>
        <w:spacing w:before="0" w:after="420" w:line="468" w:lineRule="exact"/>
        <w:ind w:left="0" w:right="0" w:firstLine="420"/>
        <w:jc w:val="both"/>
      </w:pPr>
      <w:r>
        <w:rPr>
          <w:color w:val="000000"/>
          <w:spacing w:val="0"/>
          <w:w w:val="100"/>
          <w:position w:val="0"/>
        </w:rPr>
        <w:t xml:space="preserve">公司基于“会说话的汤姆猫家族”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主要开发经营以</w:t>
      </w:r>
      <w:r>
        <w:rPr>
          <w:rFonts w:ascii="Times New Roman" w:eastAsia="Times New Roman" w:hAnsi="Times New Roman" w:cs="Times New Roman"/>
          <w:color w:val="000000"/>
          <w:spacing w:val="0"/>
          <w:w w:val="100"/>
          <w:position w:val="0"/>
        </w:rPr>
        <w:t>IP</w:t>
      </w:r>
      <w:r>
        <w:rPr>
          <w:color w:val="000000"/>
          <w:spacing w:val="0"/>
          <w:w w:val="100"/>
          <w:position w:val="0"/>
        </w:rPr>
        <w:t>形象和内容为主题、以“寓教于乐”为经营 理念的线下</w:t>
      </w:r>
      <w:r>
        <w:rPr>
          <w:rFonts w:ascii="Times New Roman" w:eastAsia="Times New Roman" w:hAnsi="Times New Roman" w:cs="Times New Roman"/>
          <w:color w:val="000000"/>
          <w:spacing w:val="0"/>
          <w:w w:val="100"/>
          <w:position w:val="0"/>
        </w:rPr>
        <w:t>IP</w:t>
      </w:r>
      <w:r>
        <w:rPr>
          <w:color w:val="000000"/>
          <w:spacing w:val="0"/>
          <w:w w:val="100"/>
          <w:position w:val="0"/>
        </w:rPr>
        <w:t>亲子主题乐园、主题商业综合体等连锁业态。公司目前已在杭州、合肥、绍兴开业了自营亲 子主题乐园，以及通过“全国城市合伙人”计划，在宁波、佛山、日照、杭州等地开业了多家合伙制亲子 主题乐园，己开业的亲子主题乐园运营情况良好，深受当地粉丝喜爱，顾客到店体验转化为会员的转化率 数据良好，已成为</w:t>
      </w:r>
      <w:r>
        <w:rPr>
          <w:rFonts w:ascii="Times New Roman" w:eastAsia="Times New Roman" w:hAnsi="Times New Roman" w:cs="Times New Roman"/>
          <w:color w:val="000000"/>
          <w:spacing w:val="0"/>
          <w:w w:val="100"/>
          <w:position w:val="0"/>
        </w:rPr>
        <w:t>IP</w:t>
      </w:r>
      <w:r>
        <w:rPr>
          <w:color w:val="000000"/>
          <w:spacing w:val="0"/>
          <w:w w:val="100"/>
          <w:position w:val="0"/>
        </w:rPr>
        <w:t xml:space="preserve">本地化运营的有力抓手。此外，公司在报告期内也正积极开展汤姆猫主题酒店的改造 与建设，并与其他企业达成合资建设“会说话的汤姆猫家族”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 xml:space="preserve">主题大型亲子乐园的合作事项，这将进一 步完善“会说话的汤姆猫家族”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线下产业链，拓宽</w:t>
      </w:r>
      <w:r>
        <w:rPr>
          <w:rFonts w:ascii="Times New Roman" w:eastAsia="Times New Roman" w:hAnsi="Times New Roman" w:cs="Times New Roman"/>
          <w:color w:val="000000"/>
          <w:spacing w:val="0"/>
          <w:w w:val="100"/>
          <w:position w:val="0"/>
        </w:rPr>
        <w:t>IP</w:t>
      </w:r>
      <w:r>
        <w:rPr>
          <w:color w:val="000000"/>
          <w:spacing w:val="0"/>
          <w:w w:val="100"/>
          <w:position w:val="0"/>
        </w:rPr>
        <w:t>覆盖区域。</w:t>
      </w:r>
    </w:p>
    <w:p>
      <w:pPr>
        <w:widowControl w:val="0"/>
        <w:jc w:val="center"/>
        <w:rPr>
          <w:sz w:val="2"/>
          <w:szCs w:val="2"/>
        </w:rPr>
      </w:pPr>
      <w:r>
        <w:drawing>
          <wp:inline>
            <wp:extent cx="5967730" cy="30359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5967730" cy="3035935"/>
                    </a:xfrm>
                    <a:prstGeom prst="rect"/>
                  </pic:spPr>
                </pic:pic>
              </a:graphicData>
            </a:graphic>
          </wp:inline>
        </w:drawing>
      </w:r>
    </w:p>
    <w:p>
      <w:pPr>
        <w:widowControl w:val="0"/>
        <w:spacing w:after="419" w:line="1" w:lineRule="exact"/>
      </w:pPr>
    </w:p>
    <w:p>
      <w:pPr>
        <w:pStyle w:val="Style40"/>
        <w:keepNext w:val="0"/>
        <w:keepLines w:val="0"/>
        <w:widowControl w:val="0"/>
        <w:shd w:val="clear" w:color="auto" w:fill="auto"/>
        <w:bidi w:val="0"/>
        <w:spacing w:before="0" w:after="220" w:line="240" w:lineRule="auto"/>
        <w:ind w:left="0" w:right="0" w:firstLine="380"/>
        <w:jc w:val="both"/>
      </w:pPr>
      <w:bookmarkStart w:id="70" w:name="bookmark70"/>
      <w:r>
        <w:rPr>
          <w:b/>
          <w:bCs/>
          <w:color w:val="000000"/>
          <w:spacing w:val="0"/>
          <w:w w:val="100"/>
          <w:position w:val="0"/>
        </w:rPr>
        <w:t>（</w:t>
      </w:r>
      <w:bookmarkEnd w:id="70"/>
      <w:r>
        <w:rPr>
          <w:b/>
          <w:bCs/>
          <w:color w:val="000000"/>
          <w:spacing w:val="0"/>
          <w:w w:val="100"/>
          <w:position w:val="0"/>
        </w:rPr>
        <w:t>三）公司所处行业发展情况</w:t>
      </w:r>
    </w:p>
    <w:p>
      <w:pPr>
        <w:pStyle w:val="Style40"/>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 xml:space="preserve">公司所处的移动互联网文化产业己全方位地深入人类社会生活，在全球市场表现为持续保持了稳定的 </w:t>
      </w:r>
      <w:r>
        <w:rPr>
          <w:color w:val="000000"/>
          <w:spacing w:val="0"/>
          <w:w w:val="100"/>
          <w:position w:val="0"/>
        </w:rPr>
        <w:t>市场增长。党的十九大报告指出，“要坚持中国特色社会主义文化发展道路，激发全民族文化创新创造活 力，建设社会主义文化强国”，并提出要“健全现代文化产业体系和市场体系，创新生产经营机制，完善 文化经济政策，培育新型文化业态”。《国民经济和社会发展第十四个五年规划和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年远景目标纲要》指 出，“坚持马克思主义在意识形态领域的指导地位，坚定文化自信，坚持以社会主义核心价值观引领文化 建设，围绕举旗帜、聚民心、育新人、兴文化、展形象的使命任务，促进满足人民文化需求和增强人民精 神力量相统一，推进社会主义文化强国建设”。这明确了文化产业未来发展的总目标和总任务，而作为大 众文化娱乐消费的主力军一移动互联网文化产业更是迎来了前所未有的发展契机。</w:t>
      </w:r>
    </w:p>
    <w:p>
      <w:pPr>
        <w:pStyle w:val="Style40"/>
        <w:keepNext w:val="0"/>
        <w:keepLines w:val="0"/>
        <w:widowControl w:val="0"/>
        <w:numPr>
          <w:ilvl w:val="0"/>
          <w:numId w:val="1"/>
        </w:numPr>
        <w:shd w:val="clear" w:color="auto" w:fill="auto"/>
        <w:bidi w:val="0"/>
        <w:spacing w:before="0" w:after="0"/>
        <w:ind w:left="0" w:right="0" w:firstLine="440"/>
        <w:jc w:val="left"/>
      </w:pPr>
      <w:bookmarkStart w:id="71" w:name="bookmark71"/>
      <w:bookmarkEnd w:id="71"/>
      <w:r>
        <w:rPr>
          <w:color w:val="000000"/>
          <w:spacing w:val="0"/>
          <w:w w:val="100"/>
          <w:position w:val="0"/>
        </w:rPr>
        <w:t>行业经济形式变化带来的影响</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年受全球爆发的新型冠状病毒疫情的影响，人类的生活、生产方式均产生改变。一方面，为控制 国内外新型冠状病毒疫情，全球诸多国家和地区采取了不同程度的居家或医学隔离措施，全球移动应用用 户处于室内时间有所增加；另一方面，随着移动设备和应用对人类生活各个场景的渗透加深，移动设备使 用频率升高，这均给移动互联网应用行业带来了一定的积极影响。</w:t>
      </w:r>
    </w:p>
    <w:p>
      <w:pPr>
        <w:pStyle w:val="Style40"/>
        <w:keepNext w:val="0"/>
        <w:keepLines w:val="0"/>
        <w:widowControl w:val="0"/>
        <w:shd w:val="clear" w:color="auto" w:fill="auto"/>
        <w:tabs>
          <w:tab w:pos="961" w:val="left"/>
        </w:tabs>
        <w:bidi w:val="0"/>
        <w:spacing w:before="0" w:after="0" w:line="469"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w:t>
        <w:tab/>
        <w:t>根据移动市场数据供应商</w:t>
      </w:r>
      <w:r>
        <w:rPr>
          <w:rFonts w:ascii="Times New Roman" w:eastAsia="Times New Roman" w:hAnsi="Times New Roman" w:cs="Times New Roman"/>
          <w:color w:val="000000"/>
          <w:spacing w:val="0"/>
          <w:w w:val="100"/>
          <w:position w:val="0"/>
        </w:rPr>
        <w:t>AppAnnie</w:t>
      </w:r>
      <w:r>
        <w:rPr>
          <w:color w:val="000000"/>
          <w:spacing w:val="0"/>
          <w:w w:val="100"/>
          <w:position w:val="0"/>
        </w:rPr>
        <w:t>发布的</w:t>
      </w:r>
      <w:r>
        <w:rPr>
          <w:i/>
          <w:iCs/>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年移动市场报告》，</w:t>
      </w:r>
      <w:r>
        <w:rPr>
          <w:rFonts w:ascii="Times New Roman" w:eastAsia="Times New Roman" w:hAnsi="Times New Roman" w:cs="Times New Roman"/>
          <w:color w:val="000000"/>
          <w:spacing w:val="0"/>
          <w:w w:val="100"/>
          <w:position w:val="0"/>
        </w:rPr>
        <w:t>2020</w:t>
      </w:r>
      <w:r>
        <w:rPr>
          <w:color w:val="000000"/>
          <w:spacing w:val="0"/>
          <w:w w:val="100"/>
          <w:position w:val="0"/>
        </w:rPr>
        <w:t>年移动互联网行业依然 呈现稳步增长态势，</w:t>
      </w:r>
      <w:r>
        <w:rPr>
          <w:rFonts w:ascii="Times New Roman" w:eastAsia="Times New Roman" w:hAnsi="Times New Roman" w:cs="Times New Roman"/>
          <w:color w:val="000000"/>
          <w:spacing w:val="0"/>
          <w:w w:val="100"/>
          <w:position w:val="0"/>
        </w:rPr>
        <w:t>2020</w:t>
      </w:r>
      <w:r>
        <w:rPr>
          <w:color w:val="000000"/>
          <w:spacing w:val="0"/>
          <w:w w:val="100"/>
          <w:position w:val="0"/>
        </w:rPr>
        <w:t>年度，全球移动设备的普及率和使用量直线上升，新应用的需求仍呈增长趋势。 报告显示，全球全年应用下载量达到</w:t>
      </w:r>
      <w:r>
        <w:rPr>
          <w:rFonts w:ascii="Times New Roman" w:eastAsia="Times New Roman" w:hAnsi="Times New Roman" w:cs="Times New Roman"/>
          <w:color w:val="000000"/>
          <w:spacing w:val="0"/>
          <w:w w:val="100"/>
          <w:position w:val="0"/>
        </w:rPr>
        <w:t>2,180</w:t>
      </w:r>
      <w:r>
        <w:rPr>
          <w:color w:val="000000"/>
          <w:spacing w:val="0"/>
          <w:w w:val="100"/>
          <w:position w:val="0"/>
        </w:rPr>
        <w:t>亿次，同比增长</w:t>
      </w:r>
      <w:r>
        <w:rPr>
          <w:rFonts w:ascii="Times New Roman" w:eastAsia="Times New Roman" w:hAnsi="Times New Roman" w:cs="Times New Roman"/>
          <w:color w:val="000000"/>
          <w:spacing w:val="0"/>
          <w:w w:val="100"/>
          <w:position w:val="0"/>
        </w:rPr>
        <w:t>7%</w:t>
      </w:r>
      <w:r>
        <w:rPr>
          <w:color w:val="000000"/>
          <w:spacing w:val="0"/>
          <w:w w:val="100"/>
          <w:position w:val="0"/>
        </w:rPr>
        <w:t>；应用商店用户支出</w:t>
      </w:r>
      <w:r>
        <w:rPr>
          <w:rFonts w:ascii="Times New Roman" w:eastAsia="Times New Roman" w:hAnsi="Times New Roman" w:cs="Times New Roman"/>
          <w:color w:val="000000"/>
          <w:spacing w:val="0"/>
          <w:w w:val="100"/>
          <w:position w:val="0"/>
        </w:rPr>
        <w:t>1,430</w:t>
      </w:r>
      <w:r>
        <w:rPr>
          <w:color w:val="000000"/>
          <w:spacing w:val="0"/>
          <w:w w:val="100"/>
          <w:position w:val="0"/>
        </w:rPr>
        <w:t xml:space="preserve">亿美元，同比增长 </w:t>
      </w:r>
      <w:r>
        <w:rPr>
          <w:rFonts w:ascii="Times New Roman" w:eastAsia="Times New Roman" w:hAnsi="Times New Roman" w:cs="Times New Roman"/>
          <w:color w:val="000000"/>
          <w:spacing w:val="0"/>
          <w:w w:val="100"/>
          <w:position w:val="0"/>
        </w:rPr>
        <w:t>20%</w:t>
      </w:r>
      <w:r>
        <w:rPr>
          <w:color w:val="000000"/>
          <w:spacing w:val="0"/>
          <w:w w:val="100"/>
          <w:position w:val="0"/>
        </w:rPr>
        <w:t>。同时，全球移动应用用户粘性进一步增强，每用户日平均使用时长、各年龄层移动设备使用时长等 指标均有增幅，在</w:t>
      </w:r>
      <w:r>
        <w:rPr>
          <w:rFonts w:ascii="Times New Roman" w:eastAsia="Times New Roman" w:hAnsi="Times New Roman" w:cs="Times New Roman"/>
          <w:color w:val="000000"/>
          <w:spacing w:val="0"/>
          <w:w w:val="100"/>
          <w:position w:val="0"/>
        </w:rPr>
        <w:t>Android</w:t>
      </w:r>
      <w:r>
        <w:rPr>
          <w:color w:val="000000"/>
          <w:spacing w:val="0"/>
          <w:w w:val="100"/>
          <w:position w:val="0"/>
        </w:rPr>
        <w:t>设备上，全球用户全年累计使用时长达到</w:t>
      </w:r>
      <w:r>
        <w:rPr>
          <w:rFonts w:ascii="Times New Roman" w:eastAsia="Times New Roman" w:hAnsi="Times New Roman" w:cs="Times New Roman"/>
          <w:color w:val="000000"/>
          <w:spacing w:val="0"/>
          <w:w w:val="100"/>
          <w:position w:val="0"/>
        </w:rPr>
        <w:t>3.5</w:t>
      </w:r>
      <w:r>
        <w:rPr>
          <w:color w:val="000000"/>
          <w:spacing w:val="0"/>
          <w:w w:val="100"/>
          <w:position w:val="0"/>
        </w:rPr>
        <w:t>万亿小时。</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值得一提的是，根据</w:t>
      </w:r>
      <w:r>
        <w:rPr>
          <w:rFonts w:ascii="Times New Roman" w:eastAsia="Times New Roman" w:hAnsi="Times New Roman" w:cs="Times New Roman"/>
          <w:color w:val="000000"/>
          <w:spacing w:val="0"/>
          <w:w w:val="100"/>
          <w:position w:val="0"/>
        </w:rPr>
        <w:t>AppAnnie</w:t>
      </w:r>
      <w:r>
        <w:rPr>
          <w:color w:val="000000"/>
          <w:spacing w:val="0"/>
          <w:w w:val="100"/>
          <w:position w:val="0"/>
        </w:rPr>
        <w:t>发布的</w:t>
      </w:r>
      <w:r>
        <w:rPr>
          <w:i/>
          <w:iCs/>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移动市场报告》，</w:t>
      </w:r>
      <w:r>
        <w:rPr>
          <w:rFonts w:ascii="Times New Roman" w:eastAsia="Times New Roman" w:hAnsi="Times New Roman" w:cs="Times New Roman"/>
          <w:color w:val="000000"/>
          <w:spacing w:val="0"/>
          <w:w w:val="100"/>
          <w:position w:val="0"/>
        </w:rPr>
        <w:t>2020</w:t>
      </w:r>
      <w:r>
        <w:rPr>
          <w:color w:val="000000"/>
          <w:spacing w:val="0"/>
          <w:w w:val="100"/>
          <w:position w:val="0"/>
        </w:rPr>
        <w:t>年中国市场的下载量、用户支出和 用户时长三项核心数据分别超过</w:t>
      </w:r>
      <w:r>
        <w:rPr>
          <w:rFonts w:ascii="Times New Roman" w:eastAsia="Times New Roman" w:hAnsi="Times New Roman" w:cs="Times New Roman"/>
          <w:color w:val="000000"/>
          <w:spacing w:val="0"/>
          <w:w w:val="100"/>
          <w:position w:val="0"/>
        </w:rPr>
        <w:t>519</w:t>
      </w:r>
      <w:r>
        <w:rPr>
          <w:color w:val="000000"/>
          <w:spacing w:val="0"/>
          <w:w w:val="100"/>
          <w:position w:val="0"/>
        </w:rPr>
        <w:t>亿美元、</w:t>
      </w:r>
      <w:r>
        <w:rPr>
          <w:rFonts w:ascii="Times New Roman" w:eastAsia="Times New Roman" w:hAnsi="Times New Roman" w:cs="Times New Roman"/>
          <w:color w:val="000000"/>
          <w:spacing w:val="0"/>
          <w:w w:val="100"/>
          <w:position w:val="0"/>
        </w:rPr>
        <w:t>970</w:t>
      </w:r>
      <w:r>
        <w:rPr>
          <w:color w:val="000000"/>
          <w:spacing w:val="0"/>
          <w:w w:val="100"/>
          <w:position w:val="0"/>
        </w:rPr>
        <w:t>亿次和</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.176</w:t>
      </w:r>
      <w:r>
        <w:rPr>
          <w:color w:val="000000"/>
          <w:spacing w:val="0"/>
          <w:w w:val="100"/>
          <w:position w:val="0"/>
        </w:rPr>
        <w:t>万亿小时，排名</w:t>
      </w:r>
      <w:r>
        <w:rPr>
          <w:rFonts w:ascii="Times New Roman" w:eastAsia="Times New Roman" w:hAnsi="Times New Roman" w:cs="Times New Roman"/>
          <w:color w:val="000000"/>
          <w:spacing w:val="0"/>
          <w:w w:val="100"/>
          <w:position w:val="0"/>
        </w:rPr>
        <w:t>2020</w:t>
      </w:r>
      <w:r>
        <w:rPr>
          <w:color w:val="000000"/>
          <w:spacing w:val="0"/>
          <w:w w:val="100"/>
          <w:position w:val="0"/>
        </w:rPr>
        <w:t>年度全球前十，成为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全球最热移动市场之一。基于国内外对移动设备和应用的需求成为新常态的现状，移动互联网行业将有更 多盈利机会浮现。</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根据中国音数协游戏工委和中国游戏产业发展研究院联合发布的《</w:t>
      </w:r>
      <w:r>
        <w:rPr>
          <w:rFonts w:ascii="Times New Roman" w:eastAsia="Times New Roman" w:hAnsi="Times New Roman" w:cs="Times New Roman"/>
          <w:color w:val="000000"/>
          <w:spacing w:val="0"/>
          <w:w w:val="100"/>
          <w:position w:val="0"/>
        </w:rPr>
        <w:t>2020</w:t>
      </w:r>
      <w:r>
        <w:rPr>
          <w:color w:val="000000"/>
          <w:spacing w:val="0"/>
          <w:w w:val="100"/>
          <w:position w:val="0"/>
        </w:rPr>
        <w:t>年中国游戏产业报告》显示， 受新型冠状病毒疫情余波影响，游戏产业作为社会主义文化事业的重要组成部分，受到一系列产业政策扶 持和指导。在娱乐需求和政策支持下，国内游戏市场保持了稳中有升的态势，用户规模稳定增长，移动游 戏营销收入增速明显，自主研发游戏继续保持领先地位。</w:t>
      </w:r>
      <w:r>
        <w:rPr>
          <w:rFonts w:ascii="Times New Roman" w:eastAsia="Times New Roman" w:hAnsi="Times New Roman" w:cs="Times New Roman"/>
          <w:color w:val="000000"/>
          <w:spacing w:val="0"/>
          <w:w w:val="100"/>
          <w:position w:val="0"/>
        </w:rPr>
        <w:t>2020</w:t>
      </w:r>
      <w:r>
        <w:rPr>
          <w:color w:val="000000"/>
          <w:spacing w:val="0"/>
          <w:w w:val="100"/>
          <w:position w:val="0"/>
        </w:rPr>
        <w:t>年，中国游戏市场实际销售收入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,786.87</w:t>
      </w:r>
      <w:r>
        <w:rPr>
          <w:color w:val="000000"/>
          <w:spacing w:val="0"/>
          <w:w w:val="100"/>
          <w:position w:val="0"/>
        </w:rPr>
        <w:t>亿 元，比</w:t>
      </w:r>
      <w:r>
        <w:rPr>
          <w:rFonts w:ascii="Times New Roman" w:eastAsia="Times New Roman" w:hAnsi="Times New Roman" w:cs="Times New Roman"/>
          <w:color w:val="000000"/>
          <w:spacing w:val="0"/>
          <w:w w:val="100"/>
          <w:position w:val="0"/>
        </w:rPr>
        <w:t>2019</w:t>
      </w:r>
      <w:r>
        <w:rPr>
          <w:color w:val="000000"/>
          <w:spacing w:val="0"/>
          <w:w w:val="100"/>
          <w:position w:val="0"/>
        </w:rPr>
        <w:t>年增加了</w:t>
      </w:r>
      <w:r>
        <w:rPr>
          <w:rFonts w:ascii="Times New Roman" w:eastAsia="Times New Roman" w:hAnsi="Times New Roman" w:cs="Times New Roman"/>
          <w:color w:val="000000"/>
          <w:spacing w:val="0"/>
          <w:w w:val="100"/>
          <w:position w:val="0"/>
        </w:rPr>
        <w:t>478.</w:t>
      </w:r>
      <w:r>
        <w:rPr>
          <w:rFonts w:ascii="Times New Roman" w:eastAsia="Times New Roman" w:hAnsi="Times New Roman" w:cs="Times New Roman"/>
          <w:color w:val="000000"/>
          <w:spacing w:val="0"/>
          <w:w w:val="100"/>
          <w:position w:val="0"/>
        </w:rPr>
        <w:t>1</w:t>
      </w:r>
      <w:r>
        <w:rPr>
          <w:color w:val="000000"/>
          <w:spacing w:val="0"/>
          <w:w w:val="100"/>
          <w:position w:val="0"/>
        </w:rPr>
        <w:t>亿元，同比增长</w:t>
      </w:r>
      <w:r>
        <w:rPr>
          <w:rFonts w:ascii="Times New Roman" w:eastAsia="Times New Roman" w:hAnsi="Times New Roman" w:cs="Times New Roman"/>
          <w:color w:val="000000"/>
          <w:spacing w:val="0"/>
          <w:w w:val="100"/>
          <w:position w:val="0"/>
        </w:rPr>
        <w:t>20.71%</w:t>
      </w:r>
      <w:r>
        <w:rPr>
          <w:color w:val="000000"/>
          <w:spacing w:val="0"/>
          <w:w w:val="100"/>
          <w:position w:val="0"/>
        </w:rPr>
        <w:t>。其中，移动游戏贡献了全行业高达</w:t>
      </w:r>
      <w:r>
        <w:rPr>
          <w:rFonts w:ascii="Times New Roman" w:eastAsia="Times New Roman" w:hAnsi="Times New Roman" w:cs="Times New Roman"/>
          <w:color w:val="000000"/>
          <w:spacing w:val="0"/>
          <w:w w:val="100"/>
          <w:position w:val="0"/>
        </w:rPr>
        <w:t>75.24%</w:t>
      </w:r>
      <w:r>
        <w:rPr>
          <w:color w:val="000000"/>
          <w:spacing w:val="0"/>
          <w:w w:val="100"/>
          <w:position w:val="0"/>
        </w:rPr>
        <w:t xml:space="preserve">的销售收入。 </w:t>
      </w:r>
      <w:r>
        <w:rPr>
          <w:rFonts w:ascii="Times New Roman" w:eastAsia="Times New Roman" w:hAnsi="Times New Roman" w:cs="Times New Roman"/>
          <w:color w:val="000000"/>
          <w:spacing w:val="0"/>
          <w:w w:val="100"/>
          <w:position w:val="0"/>
        </w:rPr>
        <w:t>2020</w:t>
      </w:r>
      <w:r>
        <w:rPr>
          <w:color w:val="000000"/>
          <w:spacing w:val="0"/>
          <w:w w:val="100"/>
          <w:position w:val="0"/>
        </w:rPr>
        <w:t>年，中国移动游戏市场实际销售收入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,096.76</w:t>
      </w:r>
      <w:r>
        <w:rPr>
          <w:color w:val="000000"/>
          <w:spacing w:val="0"/>
          <w:w w:val="100"/>
          <w:position w:val="0"/>
        </w:rPr>
        <w:t>亿元，比</w:t>
      </w:r>
      <w:r>
        <w:rPr>
          <w:rFonts w:ascii="Times New Roman" w:eastAsia="Times New Roman" w:hAnsi="Times New Roman" w:cs="Times New Roman"/>
          <w:color w:val="000000"/>
          <w:spacing w:val="0"/>
          <w:w w:val="100"/>
          <w:position w:val="0"/>
        </w:rPr>
        <w:t>2019</w:t>
      </w:r>
      <w:r>
        <w:rPr>
          <w:color w:val="000000"/>
          <w:spacing w:val="0"/>
          <w:w w:val="100"/>
          <w:position w:val="0"/>
        </w:rPr>
        <w:t>年增加了</w:t>
      </w:r>
      <w:r>
        <w:rPr>
          <w:rFonts w:ascii="Times New Roman" w:eastAsia="Times New Roman" w:hAnsi="Times New Roman" w:cs="Times New Roman"/>
          <w:color w:val="000000"/>
          <w:spacing w:val="0"/>
          <w:w w:val="100"/>
          <w:position w:val="0"/>
        </w:rPr>
        <w:t>515.65</w:t>
      </w:r>
      <w:r>
        <w:rPr>
          <w:color w:val="000000"/>
          <w:spacing w:val="0"/>
          <w:w w:val="100"/>
          <w:position w:val="0"/>
        </w:rPr>
        <w:t>亿元，同比增长</w:t>
      </w:r>
      <w:r>
        <w:rPr>
          <w:rFonts w:ascii="Times New Roman" w:eastAsia="Times New Roman" w:hAnsi="Times New Roman" w:cs="Times New Roman"/>
          <w:color w:val="000000"/>
          <w:spacing w:val="0"/>
          <w:w w:val="100"/>
          <w:position w:val="0"/>
        </w:rPr>
        <w:t>32.61%</w:t>
      </w:r>
      <w:r>
        <w:rPr>
          <w:color w:val="000000"/>
          <w:spacing w:val="0"/>
          <w:w w:val="100"/>
          <w:position w:val="0"/>
        </w:rPr>
        <w:t>；用 户规模同比增长</w:t>
      </w:r>
      <w:r>
        <w:rPr>
          <w:rFonts w:ascii="Times New Roman" w:eastAsia="Times New Roman" w:hAnsi="Times New Roman" w:cs="Times New Roman"/>
          <w:color w:val="000000"/>
          <w:spacing w:val="0"/>
          <w:w w:val="100"/>
          <w:position w:val="0"/>
        </w:rPr>
        <w:t>4.84%</w:t>
      </w:r>
      <w:r>
        <w:rPr>
          <w:color w:val="000000"/>
          <w:spacing w:val="0"/>
          <w:w w:val="100"/>
          <w:position w:val="0"/>
        </w:rPr>
        <w:t>，达</w:t>
      </w:r>
      <w:r>
        <w:rPr>
          <w:rFonts w:ascii="Times New Roman" w:eastAsia="Times New Roman" w:hAnsi="Times New Roman" w:cs="Times New Roman"/>
          <w:color w:val="000000"/>
          <w:spacing w:val="0"/>
          <w:w w:val="100"/>
          <w:position w:val="0"/>
        </w:rPr>
        <w:t>6.54</w:t>
      </w:r>
      <w:r>
        <w:rPr>
          <w:color w:val="000000"/>
          <w:spacing w:val="0"/>
          <w:w w:val="100"/>
          <w:position w:val="0"/>
        </w:rPr>
        <w:t>亿人。上述国内外移动互联网行业持续增长的发展态势，为公司主营业务的 开展带来了积极影响。</w:t>
      </w:r>
    </w:p>
    <w:p>
      <w:pPr>
        <w:pStyle w:val="Style40"/>
        <w:keepNext w:val="0"/>
        <w:keepLines w:val="0"/>
        <w:widowControl w:val="0"/>
        <w:shd w:val="clear" w:color="auto" w:fill="auto"/>
        <w:tabs>
          <w:tab w:pos="873" w:val="left"/>
        </w:tabs>
        <w:bidi w:val="0"/>
        <w:spacing w:before="0" w:after="0" w:line="469"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t>在移动互联网营销领域，移动应用行业的增长带动了移动互联网营销业务的快速发展。根据</w:t>
      </w:r>
      <w:r>
        <w:rPr>
          <w:rFonts w:ascii="Times New Roman" w:eastAsia="Times New Roman" w:hAnsi="Times New Roman" w:cs="Times New Roman"/>
          <w:color w:val="000000"/>
          <w:spacing w:val="0"/>
          <w:w w:val="100"/>
          <w:position w:val="0"/>
        </w:rPr>
        <w:t>App</w:t>
      </w:r>
    </w:p>
    <w:p>
      <w:pPr>
        <w:pStyle w:val="Style40"/>
        <w:keepNext w:val="0"/>
        <w:keepLines w:val="0"/>
        <w:widowControl w:val="0"/>
        <w:shd w:val="clear" w:color="auto" w:fill="auto"/>
        <w:bidi w:val="0"/>
        <w:spacing w:before="0" w:after="0" w:line="469" w:lineRule="exact"/>
        <w:ind w:left="320" w:right="0" w:firstLine="0"/>
        <w:jc w:val="both"/>
      </w:pPr>
      <w:r>
        <w:rPr>
          <w:rFonts w:ascii="Times New Roman" w:eastAsia="Times New Roman" w:hAnsi="Times New Roman" w:cs="Times New Roman"/>
          <w:color w:val="000000"/>
          <w:spacing w:val="0"/>
          <w:w w:val="100"/>
          <w:position w:val="0"/>
        </w:rPr>
        <w:t>Annie</w:t>
      </w:r>
      <w:r>
        <w:rPr>
          <w:color w:val="000000"/>
          <w:spacing w:val="0"/>
          <w:w w:val="100"/>
          <w:position w:val="0"/>
        </w:rPr>
        <w:t>发布的《</w:t>
      </w:r>
      <w:r>
        <w:rPr>
          <w:rFonts w:ascii="Times New Roman" w:eastAsia="Times New Roman" w:hAnsi="Times New Roman" w:cs="Times New Roman"/>
          <w:color w:val="000000"/>
          <w:spacing w:val="0"/>
          <w:w w:val="100"/>
          <w:position w:val="0"/>
        </w:rPr>
        <w:t>2021</w:t>
      </w:r>
      <w:r>
        <w:rPr>
          <w:color w:val="000000"/>
          <w:spacing w:val="0"/>
          <w:w w:val="100"/>
          <w:position w:val="0"/>
        </w:rPr>
        <w:t>年移动市场报告》，</w:t>
      </w:r>
      <w:r>
        <w:rPr>
          <w:rFonts w:ascii="Times New Roman" w:eastAsia="Times New Roman" w:hAnsi="Times New Roman" w:cs="Times New Roman"/>
          <w:color w:val="000000"/>
          <w:spacing w:val="0"/>
          <w:w w:val="100"/>
          <w:position w:val="0"/>
        </w:rPr>
        <w:t>2020</w:t>
      </w:r>
      <w:r>
        <w:rPr>
          <w:color w:val="000000"/>
          <w:spacing w:val="0"/>
          <w:w w:val="100"/>
          <w:position w:val="0"/>
        </w:rPr>
        <w:t>年移动广告的支出已经增长到</w:t>
      </w:r>
      <w:r>
        <w:rPr>
          <w:rFonts w:ascii="Times New Roman" w:eastAsia="Times New Roman" w:hAnsi="Times New Roman" w:cs="Times New Roman"/>
          <w:color w:val="000000"/>
          <w:spacing w:val="0"/>
          <w:w w:val="100"/>
          <w:position w:val="0"/>
        </w:rPr>
        <w:t>2,400</w:t>
      </w:r>
      <w:r>
        <w:rPr>
          <w:color w:val="000000"/>
          <w:spacing w:val="0"/>
          <w:w w:val="100"/>
          <w:position w:val="0"/>
        </w:rPr>
        <w:t>亿美元，同比增长</w:t>
      </w:r>
      <w:r>
        <w:rPr>
          <w:rFonts w:ascii="Times New Roman" w:eastAsia="Times New Roman" w:hAnsi="Times New Roman" w:cs="Times New Roman"/>
          <w:color w:val="000000"/>
          <w:spacing w:val="0"/>
          <w:w w:val="100"/>
          <w:position w:val="0"/>
        </w:rPr>
        <w:t>26%</w:t>
      </w:r>
      <w:r>
        <w:rPr>
          <w:color w:val="000000"/>
          <w:spacing w:val="0"/>
          <w:w w:val="100"/>
          <w:position w:val="0"/>
        </w:rPr>
        <w:t xml:space="preserve">。据 </w:t>
      </w:r>
      <w:r>
        <w:rPr>
          <w:rFonts w:ascii="Times New Roman" w:eastAsia="Times New Roman" w:hAnsi="Times New Roman" w:cs="Times New Roman"/>
          <w:color w:val="000000"/>
          <w:spacing w:val="0"/>
          <w:w w:val="100"/>
          <w:position w:val="0"/>
        </w:rPr>
        <w:t>AppAnnie</w:t>
      </w:r>
      <w:r>
        <w:rPr>
          <w:color w:val="000000"/>
          <w:spacing w:val="0"/>
          <w:w w:val="100"/>
          <w:position w:val="0"/>
        </w:rPr>
        <w:t>预计，到</w:t>
      </w:r>
      <w:r>
        <w:rPr>
          <w:rFonts w:ascii="Times New Roman" w:eastAsia="Times New Roman" w:hAnsi="Times New Roman" w:cs="Times New Roman"/>
          <w:color w:val="000000"/>
          <w:spacing w:val="0"/>
          <w:w w:val="100"/>
          <w:position w:val="0"/>
        </w:rPr>
        <w:t>2021</w:t>
      </w:r>
      <w:r>
        <w:rPr>
          <w:color w:val="000000"/>
          <w:spacing w:val="0"/>
          <w:w w:val="100"/>
          <w:position w:val="0"/>
        </w:rPr>
        <w:t>年移动广告支出将增长到</w:t>
      </w:r>
      <w:r>
        <w:rPr>
          <w:rFonts w:ascii="Times New Roman" w:eastAsia="Times New Roman" w:hAnsi="Times New Roman" w:cs="Times New Roman"/>
          <w:color w:val="000000"/>
          <w:spacing w:val="0"/>
          <w:w w:val="100"/>
          <w:position w:val="0"/>
        </w:rPr>
        <w:t>2,900</w:t>
      </w:r>
      <w:r>
        <w:rPr>
          <w:color w:val="000000"/>
          <w:spacing w:val="0"/>
          <w:w w:val="100"/>
          <w:position w:val="0"/>
        </w:rPr>
        <w:t>亿美元，全球移动广告行业将继续保持快速增长态 势。移动终端的普及、全生态全功能的打通为移动营销提供了更多价值场景，与此同时，移动广告产业链 不断完善，推动着移动广告规模的快速增长，将持续引领网络广告市场发展。</w:t>
      </w:r>
    </w:p>
    <w:p>
      <w:pPr>
        <w:pStyle w:val="Style40"/>
        <w:keepNext w:val="0"/>
        <w:keepLines w:val="0"/>
        <w:widowControl w:val="0"/>
        <w:numPr>
          <w:ilvl w:val="0"/>
          <w:numId w:val="1"/>
        </w:numPr>
        <w:shd w:val="clear" w:color="auto" w:fill="auto"/>
        <w:bidi w:val="0"/>
        <w:spacing w:before="0" w:after="0" w:line="469" w:lineRule="exact"/>
        <w:ind w:left="0" w:right="0" w:firstLine="740"/>
        <w:jc w:val="both"/>
      </w:pPr>
      <w:bookmarkStart w:id="74" w:name="bookmark74"/>
      <w:bookmarkEnd w:id="74"/>
      <w:r>
        <w:rPr>
          <w:color w:val="000000"/>
          <w:spacing w:val="0"/>
          <w:w w:val="100"/>
          <w:position w:val="0"/>
        </w:rPr>
        <w:t>行业政策环境带来的影响</w:t>
      </w:r>
    </w:p>
    <w:p>
      <w:pPr>
        <w:pStyle w:val="Style40"/>
        <w:keepNext w:val="0"/>
        <w:keepLines w:val="0"/>
        <w:widowControl w:val="0"/>
        <w:shd w:val="clear" w:color="auto" w:fill="auto"/>
        <w:tabs>
          <w:tab w:pos="1276" w:val="left"/>
        </w:tabs>
        <w:bidi w:val="0"/>
        <w:spacing w:before="0" w:after="0" w:line="469" w:lineRule="exact"/>
        <w:ind w:left="320" w:right="0" w:firstLine="42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日，《求是》杂志</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期发表习近平总书记的重要文章《在中央政治局常委会 会议研究应对新型冠状病毒肺炎疫情工作时的讲话》。文章指出，“着力稳定居民消费。扩大消费是对冲疫 情影响的重要着力点之一。要加快释放新兴消费潜力，积极丰富</w:t>
      </w:r>
      <w:r>
        <w:rPr>
          <w:rFonts w:ascii="Times New Roman" w:eastAsia="Times New Roman" w:hAnsi="Times New Roman" w:cs="Times New Roman"/>
          <w:color w:val="000000"/>
          <w:spacing w:val="0"/>
          <w:w w:val="100"/>
          <w:position w:val="0"/>
        </w:rPr>
        <w:t>5G</w:t>
      </w:r>
      <w:r>
        <w:rPr>
          <w:color w:val="000000"/>
          <w:spacing w:val="0"/>
          <w:w w:val="100"/>
          <w:position w:val="0"/>
        </w:rPr>
        <w:t>技术应用场景，带动</w:t>
      </w:r>
      <w:r>
        <w:rPr>
          <w:rFonts w:ascii="Times New Roman" w:eastAsia="Times New Roman" w:hAnsi="Times New Roman" w:cs="Times New Roman"/>
          <w:color w:val="000000"/>
          <w:spacing w:val="0"/>
          <w:w w:val="100"/>
          <w:position w:val="0"/>
        </w:rPr>
        <w:t>5G</w:t>
      </w:r>
      <w:r>
        <w:rPr>
          <w:color w:val="000000"/>
          <w:spacing w:val="0"/>
          <w:w w:val="100"/>
          <w:position w:val="0"/>
        </w:rPr>
        <w:t>手机等终端消 费，推动增加电子商务、电子政务、网络教育、网络娱乐等方面消费”。这意味着，随着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云计算等新 技术的发展及运用，网上购物、网络教育、网络娱乐等数字经济新业态将迎来新的增长点，而移动游戏作 为一种网络娱乐生活方式，未来仍将保持持续快速发展态势。</w:t>
      </w:r>
    </w:p>
    <w:p>
      <w:pPr>
        <w:pStyle w:val="Style40"/>
        <w:keepNext w:val="0"/>
        <w:keepLines w:val="0"/>
        <w:widowControl w:val="0"/>
        <w:shd w:val="clear" w:color="auto" w:fill="auto"/>
        <w:tabs>
          <w:tab w:pos="1276" w:val="left"/>
        </w:tabs>
        <w:bidi w:val="0"/>
        <w:spacing w:before="0" w:after="0" w:line="469" w:lineRule="exact"/>
        <w:ind w:left="320" w:right="0" w:firstLine="42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年是全面建成小康社会和“十三五”规划收官之年，也是谋划“十四五”的关键之年。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日，中国共产党第十九届中央委员会第五次全体会议在北京举行，全会审议通过了《中共 中央关于制定国民经济和社会发展第十四个五年规划和二。三五年远景目标的建议》，确定“实施文化产 业数字化战略，加快发展新型文化企业、文化业态、文化消费模式。”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日，十三届全国人大四 次会议表决通过了《关于国民经济和社会发展第十四个五年规划和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年远景目标纲要的决议》，《国民经 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年远景目标纲要》再次提到“实施文化产业数字化战略，加快发展 新型文化企业、文化业态、文化消费模式，壮大数字创意、网络视听、数字出版、数字娱乐、线上演播等 产业”国家对文化产业发展的高度重视意味着未来文化产业发展将更具方向性，网络游戏、网络动漫作为 社会主义文化事业的重要组成部分，十四五规划的出台将为其新时代高质量发展奠定政策基础。行业政策 的推出与落实为公司移动互联网文化业务的开展带来了契机，公司未来将继续围绕</w:t>
      </w:r>
      <w:r>
        <w:rPr>
          <w:rFonts w:ascii="Times New Roman" w:eastAsia="Times New Roman" w:hAnsi="Times New Roman" w:cs="Times New Roman"/>
          <w:color w:val="000000"/>
          <w:spacing w:val="0"/>
          <w:w w:val="100"/>
          <w:position w:val="0"/>
        </w:rPr>
        <w:t>IP</w:t>
      </w:r>
      <w:r>
        <w:rPr>
          <w:color w:val="000000"/>
          <w:spacing w:val="0"/>
          <w:w w:val="100"/>
          <w:position w:val="0"/>
        </w:rPr>
        <w:t>践行文化产业发展方 向。</w:t>
      </w:r>
    </w:p>
    <w:p>
      <w:pPr>
        <w:pStyle w:val="Style40"/>
        <w:keepNext w:val="0"/>
        <w:keepLines w:val="0"/>
        <w:widowControl w:val="0"/>
        <w:shd w:val="clear" w:color="auto" w:fill="auto"/>
        <w:bidi w:val="0"/>
        <w:spacing w:before="0" w:after="0" w:line="469" w:lineRule="exact"/>
        <w:ind w:left="320" w:right="0" w:firstLine="420"/>
        <w:jc w:val="both"/>
      </w:pPr>
      <w:r>
        <w:rPr>
          <w:color w:val="000000"/>
          <w:spacing w:val="0"/>
          <w:w w:val="100"/>
          <w:position w:val="0"/>
        </w:rPr>
        <w:t>除了上述行业经营环境、政策环境带给公司主营业务开展的影响因素外，公司所处的移动互联网文化 产业整体不存在较明显的行业周期性，但是其中移动游戏产品的运营具有一定的周期性，表现在两个维度： 首先表现为行业季节时间周期性。公司主营</w:t>
      </w:r>
      <w:r>
        <w:rPr>
          <w:rFonts w:ascii="Times New Roman" w:eastAsia="Times New Roman" w:hAnsi="Times New Roman" w:cs="Times New Roman"/>
          <w:color w:val="000000"/>
          <w:spacing w:val="0"/>
          <w:w w:val="100"/>
          <w:position w:val="0"/>
        </w:rPr>
        <w:t>IP</w:t>
      </w:r>
      <w:r>
        <w:rPr>
          <w:color w:val="000000"/>
          <w:spacing w:val="0"/>
          <w:w w:val="100"/>
          <w:position w:val="0"/>
        </w:rPr>
        <w:t>主题休闲游戏，休闲游戏用户使用时间大多集中在非工作日 的闲暇时间，所以在闲暇时间段，公司游戏产品的运营表现会出现较大程度增长，由此在报告期内因受到 新冠病毒疫情影响，公司游戏产品的运营数据同比有所提升；其次表现为单款移动应用遵循其生命周期曲 线。单款移动游戏产品从上线运营后会经历一个运营数据逐步增加，到峰值后保持相当时间的平稳，之后 逐渐回落的过程，相应地，产品的广告收入和内购收入也会遵循前述的生命周期曲线。除此之外，公司</w:t>
      </w:r>
      <w:r>
        <w:rPr>
          <w:rFonts w:ascii="Times New Roman" w:eastAsia="Times New Roman" w:hAnsi="Times New Roman" w:cs="Times New Roman"/>
          <w:color w:val="000000"/>
          <w:spacing w:val="0"/>
          <w:w w:val="100"/>
          <w:position w:val="0"/>
        </w:rPr>
        <w:t xml:space="preserve">IP </w:t>
      </w:r>
      <w:r>
        <w:rPr>
          <w:color w:val="000000"/>
          <w:spacing w:val="0"/>
          <w:w w:val="100"/>
          <w:position w:val="0"/>
        </w:rPr>
        <w:t>线下业务基于文化产业的性质，无明显的行业周期性。</w:t>
      </w:r>
      <w:r>
        <w:br w:type="page"/>
      </w:r>
    </w:p>
    <w:p>
      <w:pPr>
        <w:pStyle w:val="Style29"/>
        <w:keepNext/>
        <w:keepLines/>
        <w:widowControl w:val="0"/>
        <w:shd w:val="clear" w:color="auto" w:fill="auto"/>
        <w:bidi w:val="0"/>
        <w:spacing w:before="0" w:line="240" w:lineRule="auto"/>
        <w:ind w:left="0" w:right="0" w:firstLine="32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、主要资产重大变化情况</w:t>
      </w:r>
      <w:bookmarkEnd w:id="77"/>
      <w:bookmarkEnd w:id="78"/>
      <w:bookmarkEnd w:id="80"/>
    </w:p>
    <w:p>
      <w:pPr>
        <w:pStyle w:val="Style36"/>
        <w:keepNext/>
        <w:keepLines/>
        <w:widowControl w:val="0"/>
        <w:shd w:val="clear" w:color="auto" w:fill="auto"/>
        <w:bidi w:val="0"/>
        <w:spacing w:before="0" w:after="320" w:line="240" w:lineRule="auto"/>
        <w:ind w:left="0" w:right="0" w:firstLine="32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系本期对外投资设立参股公司导致长期股权投资增加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系公司本期出租办公楼、商场等，报表分类至投资性房地产列报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主要系公司本期内部研发增加无形资产原值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主要系公司本期支付股权转让款导致的货币资金减少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主要系公司本期收回资金拆借款导致其他应收款减少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系公司本期出租办公楼、商场等，报表分类至投资性房地产列报</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32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6"/>
        <w:gridCol w:w="1061"/>
        <w:gridCol w:w="1066"/>
        <w:gridCol w:w="1061"/>
        <w:gridCol w:w="1066"/>
        <w:gridCol w:w="1066"/>
        <w:gridCol w:w="1061"/>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资产的具</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资产规模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保障资产 安全性的 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境外资产 占公司净 资产的比</w:t>
            </w:r>
          </w:p>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是否存在 重大减值 风险</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Outfit7 </w:t>
            </w:r>
            <w:r>
              <w:rPr>
                <w:color w:val="000000"/>
                <w:spacing w:val="0"/>
                <w:w w:val="100"/>
                <w:position w:val="0"/>
                <w:sz w:val="18"/>
                <w:szCs w:val="18"/>
              </w:rPr>
              <w:t>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376,329,11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自主运营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通过加强 管理、财务 管控等方 式防范风 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29"/>
        <w:keepNext/>
        <w:keepLines/>
        <w:widowControl w:val="0"/>
        <w:shd w:val="clear" w:color="auto" w:fill="auto"/>
        <w:bidi w:val="0"/>
        <w:spacing w:before="0" w:after="200" w:line="240" w:lineRule="auto"/>
        <w:ind w:left="0" w:right="0" w:firstLine="32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40"/>
        <w:keepNext w:val="0"/>
        <w:keepLines w:val="0"/>
        <w:widowControl w:val="0"/>
        <w:shd w:val="clear" w:color="auto" w:fill="auto"/>
        <w:tabs>
          <w:tab w:pos="1113" w:val="left"/>
        </w:tabs>
        <w:bidi w:val="0"/>
        <w:spacing w:before="0" w:after="0" w:line="467" w:lineRule="exact"/>
        <w:ind w:left="0" w:right="0" w:firstLine="740"/>
        <w:jc w:val="left"/>
      </w:pPr>
      <w:bookmarkStart w:id="93" w:name="bookmark93"/>
      <w:r>
        <w:rPr>
          <w:rFonts w:ascii="Times New Roman" w:eastAsia="Times New Roman" w:hAnsi="Times New Roman" w:cs="Times New Roman"/>
          <w:b/>
          <w:bCs/>
          <w:color w:val="000000"/>
          <w:spacing w:val="0"/>
          <w:w w:val="100"/>
          <w:position w:val="0"/>
        </w:rPr>
        <w:t>1</w:t>
      </w:r>
      <w:bookmarkEnd w:id="93"/>
      <w:r>
        <w:rPr>
          <w:b/>
          <w:bCs/>
          <w:color w:val="000000"/>
          <w:spacing w:val="0"/>
          <w:w w:val="100"/>
          <w:position w:val="0"/>
        </w:rPr>
        <w:t>、</w:t>
        <w:tab/>
        <w:t>全球知名</w:t>
      </w:r>
      <w:r>
        <w:rPr>
          <w:rFonts w:ascii="Times New Roman" w:eastAsia="Times New Roman" w:hAnsi="Times New Roman" w:cs="Times New Roman"/>
          <w:b/>
          <w:bCs/>
          <w:color w:val="000000"/>
          <w:spacing w:val="0"/>
          <w:w w:val="100"/>
          <w:position w:val="0"/>
        </w:rPr>
        <w:t>IP</w:t>
      </w:r>
      <w:r>
        <w:rPr>
          <w:b/>
          <w:bCs/>
          <w:color w:val="000000"/>
          <w:spacing w:val="0"/>
          <w:w w:val="100"/>
          <w:position w:val="0"/>
        </w:rPr>
        <w:t>品牌影响力</w:t>
      </w:r>
    </w:p>
    <w:p>
      <w:pPr>
        <w:pStyle w:val="Style40"/>
        <w:keepNext w:val="0"/>
        <w:keepLines w:val="0"/>
        <w:widowControl w:val="0"/>
        <w:shd w:val="clear" w:color="auto" w:fill="auto"/>
        <w:bidi w:val="0"/>
        <w:spacing w:before="0" w:after="0" w:line="467" w:lineRule="exact"/>
        <w:ind w:left="320" w:right="0" w:firstLine="420"/>
        <w:jc w:val="both"/>
      </w:pPr>
      <w:r>
        <w:rPr>
          <w:color w:val="000000"/>
          <w:spacing w:val="0"/>
          <w:w w:val="100"/>
          <w:position w:val="0"/>
        </w:rPr>
        <w:t>公司作为著名的移动互联网高科技企业，深耕家庭娱乐和亲子互动类移动应用的开发与运营。公司子 公司</w:t>
      </w:r>
      <w:r>
        <w:rPr>
          <w:rFonts w:ascii="Times New Roman" w:eastAsia="Times New Roman" w:hAnsi="Times New Roman" w:cs="Times New Roman"/>
          <w:color w:val="000000"/>
          <w:spacing w:val="0"/>
          <w:w w:val="100"/>
          <w:position w:val="0"/>
        </w:rPr>
        <w:t>Outfit7</w:t>
      </w:r>
      <w:r>
        <w:rPr>
          <w:color w:val="000000"/>
          <w:spacing w:val="0"/>
          <w:w w:val="100"/>
          <w:position w:val="0"/>
        </w:rPr>
        <w:t>公司创造了 “会说话的汤姆猫家族”这一全球知名</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该</w:t>
      </w:r>
      <w:r>
        <w:rPr>
          <w:rFonts w:ascii="Times New Roman" w:eastAsia="Times New Roman" w:hAnsi="Times New Roman" w:cs="Times New Roman"/>
          <w:color w:val="000000"/>
          <w:spacing w:val="0"/>
          <w:w w:val="100"/>
          <w:position w:val="0"/>
        </w:rPr>
        <w:t>IP</w:t>
      </w:r>
      <w:r>
        <w:rPr>
          <w:color w:val="000000"/>
          <w:spacing w:val="0"/>
          <w:w w:val="100"/>
          <w:position w:val="0"/>
        </w:rPr>
        <w:t>为公司带来了巨大的用户流量，且 覆盖全球数亿人口。公司将继续对该</w:t>
      </w:r>
      <w:r>
        <w:rPr>
          <w:rFonts w:ascii="Times New Roman" w:eastAsia="Times New Roman" w:hAnsi="Times New Roman" w:cs="Times New Roman"/>
          <w:color w:val="000000"/>
          <w:spacing w:val="0"/>
          <w:w w:val="100"/>
          <w:position w:val="0"/>
        </w:rPr>
        <w:t>IP</w:t>
      </w:r>
      <w:r>
        <w:rPr>
          <w:color w:val="000000"/>
          <w:spacing w:val="0"/>
          <w:w w:val="100"/>
          <w:position w:val="0"/>
        </w:rPr>
        <w:t>进行深入开发，充分挖掘该</w:t>
      </w:r>
      <w:r>
        <w:rPr>
          <w:rFonts w:ascii="Times New Roman" w:eastAsia="Times New Roman" w:hAnsi="Times New Roman" w:cs="Times New Roman"/>
          <w:color w:val="000000"/>
          <w:spacing w:val="0"/>
          <w:w w:val="100"/>
          <w:position w:val="0"/>
        </w:rPr>
        <w:t>IP</w:t>
      </w:r>
      <w:r>
        <w:rPr>
          <w:color w:val="000000"/>
          <w:spacing w:val="0"/>
          <w:w w:val="100"/>
          <w:position w:val="0"/>
        </w:rPr>
        <w:t>潜藏的价值，实行线上线下产业联动 布局，以</w:t>
      </w:r>
      <w:r>
        <w:rPr>
          <w:rFonts w:ascii="Times New Roman" w:eastAsia="Times New Roman" w:hAnsi="Times New Roman" w:cs="Times New Roman"/>
          <w:color w:val="000000"/>
          <w:spacing w:val="0"/>
          <w:w w:val="100"/>
          <w:position w:val="0"/>
        </w:rPr>
        <w:t>IP</w:t>
      </w:r>
      <w:r>
        <w:rPr>
          <w:color w:val="000000"/>
          <w:spacing w:val="0"/>
          <w:w w:val="100"/>
          <w:position w:val="0"/>
        </w:rPr>
        <w:t>为核心，形成全产业生态链。</w:t>
      </w:r>
    </w:p>
    <w:p>
      <w:pPr>
        <w:pStyle w:val="Style40"/>
        <w:keepNext w:val="0"/>
        <w:keepLines w:val="0"/>
        <w:widowControl w:val="0"/>
        <w:shd w:val="clear" w:color="auto" w:fill="auto"/>
        <w:tabs>
          <w:tab w:pos="1122" w:val="left"/>
        </w:tabs>
        <w:bidi w:val="0"/>
        <w:spacing w:before="0" w:after="0" w:line="467" w:lineRule="exact"/>
        <w:ind w:left="0" w:right="0" w:firstLine="740"/>
        <w:jc w:val="left"/>
      </w:pPr>
      <w:bookmarkStart w:id="94" w:name="bookmark94"/>
      <w:r>
        <w:rPr>
          <w:rFonts w:ascii="Times New Roman" w:eastAsia="Times New Roman" w:hAnsi="Times New Roman" w:cs="Times New Roman"/>
          <w:b/>
          <w:bCs/>
          <w:color w:val="000000"/>
          <w:spacing w:val="0"/>
          <w:w w:val="100"/>
          <w:position w:val="0"/>
        </w:rPr>
        <w:t>2</w:t>
      </w:r>
      <w:bookmarkEnd w:id="94"/>
      <w:r>
        <w:rPr>
          <w:b/>
          <w:bCs/>
          <w:color w:val="000000"/>
          <w:spacing w:val="0"/>
          <w:w w:val="100"/>
          <w:position w:val="0"/>
        </w:rPr>
        <w:t>、</w:t>
        <w:tab/>
      </w:r>
      <w:r>
        <w:rPr>
          <w:rFonts w:ascii="Times New Roman" w:eastAsia="Times New Roman" w:hAnsi="Times New Roman" w:cs="Times New Roman"/>
          <w:b/>
          <w:bCs/>
          <w:color w:val="000000"/>
          <w:spacing w:val="0"/>
          <w:w w:val="100"/>
          <w:position w:val="0"/>
        </w:rPr>
        <w:t>IP</w:t>
      </w:r>
      <w:r>
        <w:rPr>
          <w:b/>
          <w:bCs/>
          <w:color w:val="000000"/>
          <w:spacing w:val="0"/>
          <w:w w:val="100"/>
          <w:position w:val="0"/>
        </w:rPr>
        <w:t>系列核心产品具有广泛的用户基础</w:t>
      </w:r>
    </w:p>
    <w:p>
      <w:pPr>
        <w:pStyle w:val="Style40"/>
        <w:keepNext w:val="0"/>
        <w:keepLines w:val="0"/>
        <w:widowControl w:val="0"/>
        <w:shd w:val="clear" w:color="auto" w:fill="auto"/>
        <w:bidi w:val="0"/>
        <w:spacing w:before="0" w:after="0" w:line="467" w:lineRule="exact"/>
        <w:ind w:left="0" w:right="340" w:firstLine="0"/>
        <w:jc w:val="left"/>
      </w:pPr>
      <w:r>
        <w:rPr>
          <w:color w:val="000000"/>
          <w:spacing w:val="0"/>
          <w:w w:val="100"/>
          <w:position w:val="0"/>
        </w:rPr>
        <w:t xml:space="preserve">公司以“会说话的汤姆猫家族”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 xml:space="preserve">为核心推出的系列移动应用产品已在全球多个主要市场成功上线运 营，拥有广泛的用户基础。公司推出的《会说话的汤姆猫》《我的汤姆猫》《我的安吉拉》《汤姆猫跑酷》《我 </w:t>
      </w:r>
      <w:r>
        <w:rPr>
          <w:color w:val="000000"/>
          <w:spacing w:val="0"/>
          <w:w w:val="100"/>
          <w:position w:val="0"/>
        </w:rPr>
        <w:t>的汤姆猫</w:t>
      </w:r>
      <w:r>
        <w:rPr>
          <w:rFonts w:ascii="Times New Roman" w:eastAsia="Times New Roman" w:hAnsi="Times New Roman" w:cs="Times New Roman"/>
          <w:color w:val="000000"/>
          <w:spacing w:val="0"/>
          <w:w w:val="100"/>
          <w:position w:val="0"/>
        </w:rPr>
        <w:t>2</w:t>
      </w:r>
      <w:r>
        <w:rPr>
          <w:color w:val="000000"/>
          <w:spacing w:val="0"/>
          <w:w w:val="100"/>
          <w:position w:val="0"/>
        </w:rPr>
        <w:t>》《汤姆猫英雄跑酷》《汤姆猫飞车》《汤姆猫总动员》等</w:t>
      </w:r>
      <w:r>
        <w:rPr>
          <w:rFonts w:ascii="Times New Roman" w:eastAsia="Times New Roman" w:hAnsi="Times New Roman" w:cs="Times New Roman"/>
          <w:color w:val="000000"/>
          <w:spacing w:val="0"/>
          <w:w w:val="100"/>
          <w:position w:val="0"/>
        </w:rPr>
        <w:t>20</w:t>
      </w:r>
      <w:r>
        <w:rPr>
          <w:color w:val="000000"/>
          <w:spacing w:val="0"/>
          <w:w w:val="100"/>
          <w:position w:val="0"/>
        </w:rPr>
        <w:t>余款</w:t>
      </w:r>
      <w:r>
        <w:rPr>
          <w:rFonts w:ascii="Times New Roman" w:eastAsia="Times New Roman" w:hAnsi="Times New Roman" w:cs="Times New Roman"/>
          <w:color w:val="000000"/>
          <w:spacing w:val="0"/>
          <w:w w:val="100"/>
          <w:position w:val="0"/>
        </w:rPr>
        <w:t>IP</w:t>
      </w:r>
      <w:r>
        <w:rPr>
          <w:color w:val="000000"/>
          <w:spacing w:val="0"/>
          <w:w w:val="100"/>
          <w:position w:val="0"/>
        </w:rPr>
        <w:t>系列移动应用产品自推出以来 获取了超过</w:t>
      </w:r>
      <w:r>
        <w:rPr>
          <w:rFonts w:ascii="Times New Roman" w:eastAsia="Times New Roman" w:hAnsi="Times New Roman" w:cs="Times New Roman"/>
          <w:color w:val="000000"/>
          <w:spacing w:val="0"/>
          <w:w w:val="100"/>
          <w:position w:val="0"/>
        </w:rPr>
        <w:t>150</w:t>
      </w:r>
      <w:r>
        <w:rPr>
          <w:color w:val="000000"/>
          <w:spacing w:val="0"/>
          <w:w w:val="100"/>
          <w:position w:val="0"/>
        </w:rPr>
        <w:t>亿次的下载量，全球</w:t>
      </w:r>
      <w:r>
        <w:rPr>
          <w:rFonts w:ascii="Times New Roman" w:eastAsia="Times New Roman" w:hAnsi="Times New Roman" w:cs="Times New Roman"/>
          <w:color w:val="000000"/>
          <w:spacing w:val="0"/>
          <w:w w:val="100"/>
          <w:position w:val="0"/>
        </w:rPr>
        <w:t xml:space="preserve">MAU </w:t>
      </w:r>
      <w:r>
        <w:rPr>
          <w:color w:val="000000"/>
          <w:spacing w:val="0"/>
          <w:w w:val="100"/>
          <w:position w:val="0"/>
        </w:rPr>
        <w:t>（月活跃用户人数）高达</w:t>
      </w:r>
      <w:r>
        <w:rPr>
          <w:rFonts w:ascii="Times New Roman" w:eastAsia="Times New Roman" w:hAnsi="Times New Roman" w:cs="Times New Roman"/>
          <w:color w:val="000000"/>
          <w:spacing w:val="0"/>
          <w:w w:val="100"/>
          <w:position w:val="0"/>
        </w:rPr>
        <w:t>4.1</w:t>
      </w:r>
      <w:r>
        <w:rPr>
          <w:color w:val="000000"/>
          <w:spacing w:val="0"/>
          <w:w w:val="100"/>
          <w:position w:val="0"/>
        </w:rPr>
        <w:t>亿次，公司产品用户群体保持了高活 跃度。除线上移动应用业务外，公司</w:t>
      </w:r>
      <w:r>
        <w:rPr>
          <w:rFonts w:ascii="Times New Roman" w:eastAsia="Times New Roman" w:hAnsi="Times New Roman" w:cs="Times New Roman"/>
          <w:color w:val="000000"/>
          <w:spacing w:val="0"/>
          <w:w w:val="100"/>
          <w:position w:val="0"/>
        </w:rPr>
        <w:t>IP</w:t>
      </w:r>
      <w:r>
        <w:rPr>
          <w:color w:val="000000"/>
          <w:spacing w:val="0"/>
          <w:w w:val="100"/>
          <w:position w:val="0"/>
        </w:rPr>
        <w:t>系列动漫影视作品也深受广大用户和粉丝的青睐，</w:t>
      </w:r>
      <w:r>
        <w:rPr>
          <w:rFonts w:ascii="Times New Roman" w:eastAsia="Times New Roman" w:hAnsi="Times New Roman" w:cs="Times New Roman"/>
          <w:color w:val="000000"/>
          <w:spacing w:val="0"/>
          <w:w w:val="100"/>
          <w:position w:val="0"/>
        </w:rPr>
        <w:t>IP</w:t>
      </w:r>
      <w:r>
        <w:rPr>
          <w:color w:val="000000"/>
          <w:spacing w:val="0"/>
          <w:w w:val="100"/>
          <w:position w:val="0"/>
        </w:rPr>
        <w:t>动漫影视产品 自播放以来在全球范围内获取了超过</w:t>
      </w:r>
      <w:r>
        <w:rPr>
          <w:rFonts w:ascii="Times New Roman" w:eastAsia="Times New Roman" w:hAnsi="Times New Roman" w:cs="Times New Roman"/>
          <w:color w:val="000000"/>
          <w:spacing w:val="0"/>
          <w:w w:val="100"/>
          <w:position w:val="0"/>
        </w:rPr>
        <w:t>720</w:t>
      </w:r>
      <w:r>
        <w:rPr>
          <w:color w:val="000000"/>
          <w:spacing w:val="0"/>
          <w:w w:val="100"/>
          <w:position w:val="0"/>
        </w:rPr>
        <w:t>亿次的点播量。</w:t>
      </w:r>
    </w:p>
    <w:p>
      <w:pPr>
        <w:pStyle w:val="Style40"/>
        <w:keepNext w:val="0"/>
        <w:keepLines w:val="0"/>
        <w:widowControl w:val="0"/>
        <w:shd w:val="clear" w:color="auto" w:fill="auto"/>
        <w:bidi w:val="0"/>
        <w:spacing w:before="0" w:after="0" w:line="469" w:lineRule="exact"/>
        <w:ind w:left="340" w:right="0" w:firstLine="420"/>
        <w:jc w:val="both"/>
      </w:pPr>
      <w:r>
        <w:rPr>
          <w:color w:val="000000"/>
          <w:spacing w:val="0"/>
          <w:w w:val="100"/>
          <w:position w:val="0"/>
        </w:rPr>
        <w:t>基于上述庞大的公司产品用户基数所带来的巨大用户流量，公司在</w:t>
      </w:r>
      <w:r>
        <w:rPr>
          <w:rFonts w:ascii="Times New Roman" w:eastAsia="Times New Roman" w:hAnsi="Times New Roman" w:cs="Times New Roman"/>
          <w:color w:val="000000"/>
          <w:spacing w:val="0"/>
          <w:w w:val="100"/>
          <w:position w:val="0"/>
        </w:rPr>
        <w:t>IP</w:t>
      </w:r>
      <w:r>
        <w:rPr>
          <w:color w:val="000000"/>
          <w:spacing w:val="0"/>
          <w:w w:val="100"/>
          <w:position w:val="0"/>
        </w:rPr>
        <w:t>系列等移动应用产品内广告收入 和应用内充值变现收入得到有效保障；与此同时为公司线下业务方面的</w:t>
      </w:r>
      <w:r>
        <w:rPr>
          <w:rFonts w:ascii="Times New Roman" w:eastAsia="Times New Roman" w:hAnsi="Times New Roman" w:cs="Times New Roman"/>
          <w:color w:val="000000"/>
          <w:spacing w:val="0"/>
          <w:w w:val="100"/>
          <w:position w:val="0"/>
        </w:rPr>
        <w:t>IP</w:t>
      </w:r>
      <w:r>
        <w:rPr>
          <w:color w:val="000000"/>
          <w:spacing w:val="0"/>
          <w:w w:val="100"/>
          <w:position w:val="0"/>
        </w:rPr>
        <w:t>衍生品、</w:t>
      </w:r>
      <w:r>
        <w:rPr>
          <w:rFonts w:ascii="Times New Roman" w:eastAsia="Times New Roman" w:hAnsi="Times New Roman" w:cs="Times New Roman"/>
          <w:color w:val="000000"/>
          <w:spacing w:val="0"/>
          <w:w w:val="100"/>
          <w:position w:val="0"/>
        </w:rPr>
        <w:t>IP</w:t>
      </w:r>
      <w:r>
        <w:rPr>
          <w:color w:val="000000"/>
          <w:spacing w:val="0"/>
          <w:w w:val="100"/>
          <w:position w:val="0"/>
        </w:rPr>
        <w:t>亲子主题乐园等业务 的开展奠定了强有力的用户基础。</w:t>
      </w:r>
    </w:p>
    <w:p>
      <w:pPr>
        <w:pStyle w:val="Style40"/>
        <w:keepNext w:val="0"/>
        <w:keepLines w:val="0"/>
        <w:widowControl w:val="0"/>
        <w:shd w:val="clear" w:color="auto" w:fill="auto"/>
        <w:tabs>
          <w:tab w:pos="1082" w:val="left"/>
        </w:tabs>
        <w:bidi w:val="0"/>
        <w:spacing w:before="0" w:after="0" w:line="469" w:lineRule="exact"/>
        <w:ind w:left="0" w:right="0" w:firstLine="760"/>
        <w:jc w:val="both"/>
      </w:pPr>
      <w:bookmarkStart w:id="95" w:name="bookmark95"/>
      <w:r>
        <w:rPr>
          <w:rFonts w:ascii="Times New Roman" w:eastAsia="Times New Roman" w:hAnsi="Times New Roman" w:cs="Times New Roman"/>
          <w:b/>
          <w:bCs/>
          <w:color w:val="000000"/>
          <w:spacing w:val="0"/>
          <w:w w:val="100"/>
          <w:position w:val="0"/>
        </w:rPr>
        <w:t>3</w:t>
      </w:r>
      <w:bookmarkEnd w:id="95"/>
      <w:r>
        <w:rPr>
          <w:b/>
          <w:bCs/>
          <w:color w:val="000000"/>
          <w:spacing w:val="0"/>
          <w:w w:val="100"/>
          <w:position w:val="0"/>
        </w:rPr>
        <w:t>、</w:t>
        <w:tab/>
        <w:t>领先的大数据精准营销及与长期营销服务商合作关系</w:t>
      </w:r>
    </w:p>
    <w:p>
      <w:pPr>
        <w:pStyle w:val="Style40"/>
        <w:keepNext w:val="0"/>
        <w:keepLines w:val="0"/>
        <w:widowControl w:val="0"/>
        <w:shd w:val="clear" w:color="auto" w:fill="auto"/>
        <w:bidi w:val="0"/>
        <w:spacing w:before="0" w:after="0" w:line="469" w:lineRule="exact"/>
        <w:ind w:left="340" w:right="0" w:firstLine="420"/>
        <w:jc w:val="both"/>
      </w:pPr>
      <w:r>
        <w:rPr>
          <w:color w:val="000000"/>
          <w:spacing w:val="0"/>
          <w:w w:val="100"/>
          <w:position w:val="0"/>
        </w:rPr>
        <w:t>公司在移动应用的研发和运营中通过数据分析系统建立了以数据为基础、以用户行为为导向的精细化 市场营销和运营体系，公司根据现有产品的庞大用户基数，在遵守用户隐私保护原则的基础上，公司每天 可收集到大量用户行为数据，公司自行研发了演进的机器学习算法，将收集到的相关运营数据进行精准分 析和比对，优化营销渠道，及时调整市场推广工作，为运营和市场决策提供支持。通过大数据分析用户的 特征和偏好，实现精准的广告投放。同时公司根据广告主的营销需求，个性化地提供不同的广告形式，并 向公司移动应用产品用户进行投放。</w:t>
      </w:r>
    </w:p>
    <w:p>
      <w:pPr>
        <w:pStyle w:val="Style40"/>
        <w:keepNext w:val="0"/>
        <w:keepLines w:val="0"/>
        <w:widowControl w:val="0"/>
        <w:shd w:val="clear" w:color="auto" w:fill="auto"/>
        <w:bidi w:val="0"/>
        <w:spacing w:before="0" w:after="0" w:line="469" w:lineRule="exact"/>
        <w:ind w:left="340" w:right="0" w:firstLine="420"/>
        <w:jc w:val="both"/>
      </w:pPr>
      <w:r>
        <w:rPr>
          <w:rFonts w:ascii="Times New Roman" w:eastAsia="Times New Roman" w:hAnsi="Times New Roman" w:cs="Times New Roman"/>
          <w:color w:val="000000"/>
          <w:spacing w:val="0"/>
          <w:w w:val="100"/>
          <w:position w:val="0"/>
        </w:rPr>
        <w:t>Outfit7</w:t>
      </w:r>
      <w:r>
        <w:rPr>
          <w:color w:val="000000"/>
          <w:spacing w:val="0"/>
          <w:w w:val="100"/>
          <w:position w:val="0"/>
        </w:rPr>
        <w:t xml:space="preserve">公司的主要产品在世界范围内取得用户的良好评价，全球用户数保持了快速增长，公司与包括 </w:t>
      </w:r>
      <w:r>
        <w:rPr>
          <w:rFonts w:ascii="Times New Roman" w:eastAsia="Times New Roman" w:hAnsi="Times New Roman" w:cs="Times New Roman"/>
          <w:color w:val="000000"/>
          <w:spacing w:val="0"/>
          <w:w w:val="100"/>
          <w:position w:val="0"/>
        </w:rPr>
        <w:t>App Lovin</w:t>
      </w:r>
      <w:r>
        <w:rPr>
          <w:color w:val="000000"/>
          <w:spacing w:val="0"/>
          <w:w w:val="100"/>
          <w:position w:val="0"/>
        </w:rPr>
        <w:t xml:space="preserve">, </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Twitter</w:t>
      </w:r>
      <w:r>
        <w:rPr>
          <w:color w:val="000000"/>
          <w:spacing w:val="0"/>
          <w:w w:val="100"/>
          <w:position w:val="0"/>
        </w:rPr>
        <w:t>等国际主流的广告营销平台建立了良好的长期业务合作关系，该等大型互联网 广告服务商将</w:t>
      </w:r>
      <w:r>
        <w:rPr>
          <w:rFonts w:ascii="Times New Roman" w:eastAsia="Times New Roman" w:hAnsi="Times New Roman" w:cs="Times New Roman"/>
          <w:color w:val="000000"/>
          <w:spacing w:val="0"/>
          <w:w w:val="100"/>
          <w:position w:val="0"/>
        </w:rPr>
        <w:t>Outfit7</w:t>
      </w:r>
      <w:r>
        <w:rPr>
          <w:color w:val="000000"/>
          <w:spacing w:val="0"/>
          <w:w w:val="100"/>
          <w:position w:val="0"/>
        </w:rPr>
        <w:t>公司列为优先广告发布平台。</w:t>
      </w:r>
      <w:r>
        <w:rPr>
          <w:rFonts w:ascii="Times New Roman" w:eastAsia="Times New Roman" w:hAnsi="Times New Roman" w:cs="Times New Roman"/>
          <w:color w:val="000000"/>
          <w:spacing w:val="0"/>
          <w:w w:val="100"/>
          <w:position w:val="0"/>
        </w:rPr>
        <w:t>Outfit7</w:t>
      </w:r>
      <w:r>
        <w:rPr>
          <w:color w:val="000000"/>
          <w:spacing w:val="0"/>
          <w:w w:val="100"/>
          <w:position w:val="0"/>
        </w:rPr>
        <w:t>公司凭借自身优异的广告营销能力，以及与该等 营销平台的良好关系，在全球范围获得更多的优质广告业务订单。同时，在国内市场中</w:t>
      </w:r>
      <w:r>
        <w:rPr>
          <w:rFonts w:ascii="Times New Roman" w:eastAsia="Times New Roman" w:hAnsi="Times New Roman" w:cs="Times New Roman"/>
          <w:color w:val="000000"/>
          <w:spacing w:val="0"/>
          <w:w w:val="100"/>
          <w:position w:val="0"/>
        </w:rPr>
        <w:t>Outfit7</w:t>
      </w:r>
      <w:r>
        <w:rPr>
          <w:color w:val="000000"/>
          <w:spacing w:val="0"/>
          <w:w w:val="100"/>
          <w:position w:val="0"/>
        </w:rPr>
        <w:t>公司通过国 内子公司进行业务拓展，并与国内领先的视频广告平台穿山甲广告联盟等知名广告服务商开展了合作，从 而为公司获取更多广告业务提供了有力支持。</w:t>
      </w:r>
    </w:p>
    <w:p>
      <w:pPr>
        <w:pStyle w:val="Style40"/>
        <w:keepNext w:val="0"/>
        <w:keepLines w:val="0"/>
        <w:widowControl w:val="0"/>
        <w:shd w:val="clear" w:color="auto" w:fill="auto"/>
        <w:tabs>
          <w:tab w:pos="1082" w:val="left"/>
        </w:tabs>
        <w:bidi w:val="0"/>
        <w:spacing w:before="0" w:after="0" w:line="469" w:lineRule="exact"/>
        <w:ind w:left="0" w:right="0" w:firstLine="760"/>
        <w:jc w:val="both"/>
      </w:pPr>
      <w:bookmarkStart w:id="96" w:name="bookmark96"/>
      <w:r>
        <w:rPr>
          <w:rFonts w:ascii="Times New Roman" w:eastAsia="Times New Roman" w:hAnsi="Times New Roman" w:cs="Times New Roman"/>
          <w:b/>
          <w:bCs/>
          <w:color w:val="000000"/>
          <w:spacing w:val="0"/>
          <w:w w:val="100"/>
          <w:position w:val="0"/>
        </w:rPr>
        <w:t>4</w:t>
      </w:r>
      <w:bookmarkEnd w:id="96"/>
      <w:r>
        <w:rPr>
          <w:b/>
          <w:bCs/>
          <w:color w:val="000000"/>
          <w:spacing w:val="0"/>
          <w:w w:val="100"/>
          <w:position w:val="0"/>
        </w:rPr>
        <w:t>、</w:t>
        <w:tab/>
        <w:t>卓越的自我投放推广和交叉营销能力</w:t>
      </w:r>
    </w:p>
    <w:p>
      <w:pPr>
        <w:pStyle w:val="Style40"/>
        <w:keepNext w:val="0"/>
        <w:keepLines w:val="0"/>
        <w:widowControl w:val="0"/>
        <w:shd w:val="clear" w:color="auto" w:fill="auto"/>
        <w:bidi w:val="0"/>
        <w:spacing w:before="0" w:after="0" w:line="469" w:lineRule="exact"/>
        <w:ind w:left="340" w:right="0" w:firstLine="420"/>
        <w:jc w:val="both"/>
      </w:pPr>
      <w:r>
        <w:rPr>
          <w:color w:val="000000"/>
          <w:spacing w:val="0"/>
          <w:w w:val="100"/>
          <w:position w:val="0"/>
        </w:rPr>
        <w:t>公司具有较强的移动广告自我投放推广能力，自投放优势主要在于节省因第三方推广带来的中间差价 和质量问题，避免了与竞争对手因购买流量而产生的溢价竞争。除对接</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AppLovin</w:t>
      </w:r>
      <w:r>
        <w:rPr>
          <w:color w:val="000000"/>
          <w:spacing w:val="0"/>
          <w:w w:val="100"/>
          <w:position w:val="0"/>
        </w:rPr>
        <w:t>等互联网广告商 的需求外，公司亦在其应用产品中通过应用墙、插页等形式，推广其自有产品。公司通过内部自有产品的 交叉营销取得庞大的新增用户数，从而更进一步降低获取用户的成本。</w:t>
      </w:r>
    </w:p>
    <w:p>
      <w:pPr>
        <w:pStyle w:val="Style40"/>
        <w:keepNext w:val="0"/>
        <w:keepLines w:val="0"/>
        <w:widowControl w:val="0"/>
        <w:shd w:val="clear" w:color="auto" w:fill="auto"/>
        <w:tabs>
          <w:tab w:pos="1082" w:val="left"/>
        </w:tabs>
        <w:bidi w:val="0"/>
        <w:spacing w:before="0" w:after="0" w:line="469" w:lineRule="exact"/>
        <w:ind w:left="0" w:right="0" w:firstLine="760"/>
        <w:jc w:val="both"/>
      </w:pPr>
      <w:bookmarkStart w:id="97" w:name="bookmark97"/>
      <w:r>
        <w:rPr>
          <w:rFonts w:ascii="Times New Roman" w:eastAsia="Times New Roman" w:hAnsi="Times New Roman" w:cs="Times New Roman"/>
          <w:b/>
          <w:bCs/>
          <w:color w:val="000000"/>
          <w:spacing w:val="0"/>
          <w:w w:val="100"/>
          <w:position w:val="0"/>
        </w:rPr>
        <w:t>5</w:t>
      </w:r>
      <w:bookmarkEnd w:id="97"/>
      <w:r>
        <w:rPr>
          <w:b/>
          <w:bCs/>
          <w:color w:val="000000"/>
          <w:spacing w:val="0"/>
          <w:w w:val="100"/>
          <w:position w:val="0"/>
        </w:rPr>
        <w:t>、</w:t>
        <w:tab/>
        <w:t>充足的人才储备和全球化视野</w:t>
      </w:r>
    </w:p>
    <w:p>
      <w:pPr>
        <w:pStyle w:val="Style40"/>
        <w:keepNext w:val="0"/>
        <w:keepLines w:val="0"/>
        <w:widowControl w:val="0"/>
        <w:shd w:val="clear" w:color="auto" w:fill="auto"/>
        <w:bidi w:val="0"/>
        <w:spacing w:before="0" w:after="0" w:line="469" w:lineRule="exact"/>
        <w:ind w:left="340" w:right="0" w:firstLine="420"/>
        <w:jc w:val="both"/>
      </w:pPr>
      <w:r>
        <w:rPr>
          <w:color w:val="000000"/>
          <w:spacing w:val="0"/>
          <w:w w:val="100"/>
          <w:position w:val="0"/>
        </w:rPr>
        <w:t>公司在快速发展的过程中，已逐步建立起一支涵盖技术研发、应用产品开发、专业测试、移动应用运 营等方面的专业人才队伍，团队核心人员均具有多年移动互联网行业工作经验，并已熟练掌握引擎渲染技 术、深度数据关系挖掘、大数据的存储管理及分析处理、虚拟财产安全保障等核心技术，具有强大的可持 续创新技术开发能力。</w:t>
      </w:r>
    </w:p>
    <w:p>
      <w:pPr>
        <w:pStyle w:val="Style40"/>
        <w:keepNext w:val="0"/>
        <w:keepLines w:val="0"/>
        <w:widowControl w:val="0"/>
        <w:shd w:val="clear" w:color="auto" w:fill="auto"/>
        <w:bidi w:val="0"/>
        <w:spacing w:before="0" w:after="0" w:line="470" w:lineRule="exact"/>
        <w:ind w:left="340" w:right="0" w:firstLine="420"/>
        <w:jc w:val="both"/>
      </w:pPr>
      <w:r>
        <w:rPr>
          <w:rFonts w:ascii="Times New Roman" w:eastAsia="Times New Roman" w:hAnsi="Times New Roman" w:cs="Times New Roman"/>
          <w:color w:val="000000"/>
          <w:spacing w:val="0"/>
          <w:w w:val="100"/>
          <w:position w:val="0"/>
        </w:rPr>
        <w:t>Outfit?</w:t>
      </w:r>
      <w:r>
        <w:rPr>
          <w:color w:val="000000"/>
          <w:spacing w:val="0"/>
          <w:w w:val="100"/>
          <w:position w:val="0"/>
        </w:rPr>
        <w:t>公司是国际著名的家庭娱乐和亲子互动应用开发公司，业务覆盖欧盟、美国、中国、俄罗斯、 巴西、印度等全球大部分国家和地区。全球化的发展战略的实施，有助于公司提升自身在全球移动应用市 场的竞争力，同时吸收更多的国际化先进经营管理经验，吸引更多国际优秀人才，增强公司的持续盈利能 力和发展潜力。</w:t>
      </w:r>
    </w:p>
    <w:p>
      <w:pPr>
        <w:pStyle w:val="Style40"/>
        <w:keepNext w:val="0"/>
        <w:keepLines w:val="0"/>
        <w:widowControl w:val="0"/>
        <w:shd w:val="clear" w:color="auto" w:fill="auto"/>
        <w:tabs>
          <w:tab w:pos="1092" w:val="left"/>
        </w:tabs>
        <w:bidi w:val="0"/>
        <w:spacing w:before="0" w:after="0" w:line="470" w:lineRule="exact"/>
        <w:ind w:left="0" w:right="0" w:firstLine="760"/>
        <w:jc w:val="both"/>
      </w:pPr>
      <w:bookmarkStart w:id="98" w:name="bookmark98"/>
      <w:r>
        <w:rPr>
          <w:rFonts w:ascii="Times New Roman" w:eastAsia="Times New Roman" w:hAnsi="Times New Roman" w:cs="Times New Roman"/>
          <w:b/>
          <w:bCs/>
          <w:color w:val="000000"/>
          <w:spacing w:val="0"/>
          <w:w w:val="100"/>
          <w:position w:val="0"/>
        </w:rPr>
        <w:t>6</w:t>
      </w:r>
      <w:bookmarkEnd w:id="98"/>
      <w:r>
        <w:rPr>
          <w:b/>
          <w:bCs/>
          <w:color w:val="000000"/>
          <w:spacing w:val="0"/>
          <w:w w:val="100"/>
          <w:position w:val="0"/>
        </w:rPr>
        <w:t>、</w:t>
        <w:tab/>
        <w:t>强大的研发及创新能力</w:t>
      </w:r>
    </w:p>
    <w:p>
      <w:pPr>
        <w:pStyle w:val="Style40"/>
        <w:keepNext w:val="0"/>
        <w:keepLines w:val="0"/>
        <w:widowControl w:val="0"/>
        <w:shd w:val="clear" w:color="auto" w:fill="auto"/>
        <w:bidi w:val="0"/>
        <w:spacing w:before="0" w:after="0" w:line="470" w:lineRule="exact"/>
        <w:ind w:left="340" w:right="0" w:firstLine="420"/>
        <w:jc w:val="both"/>
      </w:pPr>
      <w:r>
        <w:rPr>
          <w:color w:val="000000"/>
          <w:spacing w:val="0"/>
          <w:w w:val="100"/>
          <w:position w:val="0"/>
        </w:rPr>
        <w:t>经过多年的积淀，公司已拥有一支高度稳定的、具有较强凝聚力的优秀核心研发团队，优秀的研发团 队是公司保持快速发展的重要因素。公司子公司</w:t>
      </w:r>
      <w:r>
        <w:rPr>
          <w:rFonts w:ascii="Times New Roman" w:eastAsia="Times New Roman" w:hAnsi="Times New Roman" w:cs="Times New Roman"/>
          <w:color w:val="000000"/>
          <w:spacing w:val="0"/>
          <w:w w:val="100"/>
          <w:position w:val="0"/>
        </w:rPr>
        <w:t>Outfit7</w:t>
      </w:r>
      <w:r>
        <w:rPr>
          <w:color w:val="000000"/>
          <w:spacing w:val="0"/>
          <w:w w:val="100"/>
          <w:position w:val="0"/>
        </w:rPr>
        <w:t>公司作为全球知名的互联网科技企业，其研发团队 成员具有丰富的研发经验和优秀的创意基因，不断开发出一系列的优质移动应用产品，有效地保障了产品 的持续创新、用户的不断累积、企业的快速发展。</w:t>
      </w:r>
    </w:p>
    <w:p>
      <w:pPr>
        <w:pStyle w:val="Style40"/>
        <w:keepNext w:val="0"/>
        <w:keepLines w:val="0"/>
        <w:widowControl w:val="0"/>
        <w:shd w:val="clear" w:color="auto" w:fill="auto"/>
        <w:tabs>
          <w:tab w:pos="1092" w:val="left"/>
        </w:tabs>
        <w:bidi w:val="0"/>
        <w:spacing w:before="0" w:after="0" w:line="470" w:lineRule="exact"/>
        <w:ind w:left="0" w:right="0" w:firstLine="760"/>
        <w:jc w:val="both"/>
      </w:pPr>
      <w:bookmarkStart w:id="99" w:name="bookmark99"/>
      <w:r>
        <w:rPr>
          <w:rFonts w:ascii="Times New Roman" w:eastAsia="Times New Roman" w:hAnsi="Times New Roman" w:cs="Times New Roman"/>
          <w:b/>
          <w:bCs/>
          <w:color w:val="000000"/>
          <w:spacing w:val="0"/>
          <w:w w:val="100"/>
          <w:position w:val="0"/>
        </w:rPr>
        <w:t>7</w:t>
      </w:r>
      <w:bookmarkEnd w:id="99"/>
      <w:r>
        <w:rPr>
          <w:b/>
          <w:bCs/>
          <w:color w:val="000000"/>
          <w:spacing w:val="0"/>
          <w:w w:val="100"/>
          <w:position w:val="0"/>
        </w:rPr>
        <w:t>、</w:t>
        <w:tab/>
        <w:t>丰富的全球化产品运营经验</w:t>
      </w:r>
    </w:p>
    <w:p>
      <w:pPr>
        <w:pStyle w:val="Style40"/>
        <w:keepNext w:val="0"/>
        <w:keepLines w:val="0"/>
        <w:widowControl w:val="0"/>
        <w:shd w:val="clear" w:color="auto" w:fill="auto"/>
        <w:bidi w:val="0"/>
        <w:spacing w:before="0" w:after="0" w:line="470" w:lineRule="exact"/>
        <w:ind w:left="340" w:right="0" w:firstLine="420"/>
        <w:jc w:val="both"/>
      </w:pPr>
      <w:r>
        <w:rPr>
          <w:color w:val="000000"/>
          <w:spacing w:val="0"/>
          <w:w w:val="100"/>
          <w:position w:val="0"/>
        </w:rPr>
        <w:t>公司拥有全球范围内投放和运营产品的经验，具备世界范围内网络跨平台营销能力。在全球市场的开 拓过程中，公司逐步打造出一支强大的营销运营团队。通过在目标市场上深耕细作，针对不同地区市场的 用户特征、行为偏好、付费能力以及付费习惯等制定产品推广和运营策略，进一步提升市场占有率及盈利 能力。丰富的全球化产品运营经验是公司保持现有行业领先地位和市场占有率的坚强支撑和重要保障。</w:t>
      </w:r>
    </w:p>
    <w:p>
      <w:pPr>
        <w:pStyle w:val="Style40"/>
        <w:keepNext w:val="0"/>
        <w:keepLines w:val="0"/>
        <w:widowControl w:val="0"/>
        <w:shd w:val="clear" w:color="auto" w:fill="auto"/>
        <w:tabs>
          <w:tab w:pos="1092" w:val="left"/>
        </w:tabs>
        <w:bidi w:val="0"/>
        <w:spacing w:before="0" w:after="0" w:line="470" w:lineRule="exact"/>
        <w:ind w:left="0" w:right="0" w:firstLine="760"/>
        <w:jc w:val="both"/>
      </w:pPr>
      <w:bookmarkStart w:id="100" w:name="bookmark100"/>
      <w:r>
        <w:rPr>
          <w:rFonts w:ascii="Times New Roman" w:eastAsia="Times New Roman" w:hAnsi="Times New Roman" w:cs="Times New Roman"/>
          <w:b/>
          <w:bCs/>
          <w:color w:val="000000"/>
          <w:spacing w:val="0"/>
          <w:w w:val="100"/>
          <w:position w:val="0"/>
        </w:rPr>
        <w:t>8</w:t>
      </w:r>
      <w:bookmarkEnd w:id="100"/>
      <w:r>
        <w:rPr>
          <w:b/>
          <w:bCs/>
          <w:color w:val="000000"/>
          <w:spacing w:val="0"/>
          <w:w w:val="100"/>
          <w:position w:val="0"/>
        </w:rPr>
        <w:t>、</w:t>
        <w:tab/>
        <w:t>线上线下相结合的移动互联网生态产业链优势</w:t>
      </w:r>
    </w:p>
    <w:p>
      <w:pPr>
        <w:pStyle w:val="Style40"/>
        <w:keepNext w:val="0"/>
        <w:keepLines w:val="0"/>
        <w:widowControl w:val="0"/>
        <w:shd w:val="clear" w:color="auto" w:fill="auto"/>
        <w:bidi w:val="0"/>
        <w:spacing w:before="0" w:after="220" w:line="470" w:lineRule="exact"/>
        <w:ind w:left="340" w:right="0" w:firstLine="420"/>
        <w:jc w:val="both"/>
      </w:pPr>
      <w:r>
        <w:rPr>
          <w:color w:val="000000"/>
          <w:spacing w:val="0"/>
          <w:w w:val="100"/>
          <w:position w:val="0"/>
        </w:rPr>
        <w:t>公司围绕“会说话的汤姆猫家族”系列</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线上推进移动应用、动漫影视，线下布局</w:t>
      </w:r>
      <w:r>
        <w:rPr>
          <w:rFonts w:ascii="Times New Roman" w:eastAsia="Times New Roman" w:hAnsi="Times New Roman" w:cs="Times New Roman"/>
          <w:color w:val="000000"/>
          <w:spacing w:val="0"/>
          <w:w w:val="100"/>
          <w:position w:val="0"/>
        </w:rPr>
        <w:t>IP</w:t>
      </w:r>
      <w:r>
        <w:rPr>
          <w:color w:val="000000"/>
          <w:spacing w:val="0"/>
          <w:w w:val="100"/>
          <w:position w:val="0"/>
        </w:rPr>
        <w:t>衍生品与授权 业务、亲子主题乐园等连锁业态，打造全栖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生态运营商。围绕全栖</w:t>
      </w:r>
      <w:r>
        <w:rPr>
          <w:rFonts w:ascii="Times New Roman" w:eastAsia="Times New Roman" w:hAnsi="Times New Roman" w:cs="Times New Roman"/>
          <w:color w:val="000000"/>
          <w:spacing w:val="0"/>
          <w:w w:val="100"/>
          <w:position w:val="0"/>
        </w:rPr>
        <w:t>IP</w:t>
      </w:r>
      <w:r>
        <w:rPr>
          <w:color w:val="000000"/>
          <w:spacing w:val="0"/>
          <w:w w:val="100"/>
          <w:position w:val="0"/>
        </w:rPr>
        <w:t>生态运营战略，公司业务涵盖了游 戏、</w:t>
      </w:r>
      <w:r>
        <w:rPr>
          <w:rFonts w:ascii="Times New Roman" w:eastAsia="Times New Roman" w:hAnsi="Times New Roman" w:cs="Times New Roman"/>
          <w:color w:val="000000"/>
          <w:spacing w:val="0"/>
          <w:w w:val="100"/>
          <w:position w:val="0"/>
        </w:rPr>
        <w:t>IP</w:t>
      </w:r>
      <w:r>
        <w:rPr>
          <w:color w:val="000000"/>
          <w:spacing w:val="0"/>
          <w:w w:val="100"/>
          <w:position w:val="0"/>
        </w:rPr>
        <w:t>授权、动画、电影、亲子主题乐园等多元产业格局，形成各产业相互协同发展的业态，公司力求各 产业间协同发展，互相促进。公司</w:t>
      </w:r>
      <w:r>
        <w:rPr>
          <w:rFonts w:ascii="Times New Roman" w:eastAsia="Times New Roman" w:hAnsi="Times New Roman" w:cs="Times New Roman"/>
          <w:color w:val="000000"/>
          <w:spacing w:val="0"/>
          <w:w w:val="100"/>
          <w:position w:val="0"/>
        </w:rPr>
        <w:t>IP</w:t>
      </w:r>
      <w:r>
        <w:rPr>
          <w:color w:val="000000"/>
          <w:spacing w:val="0"/>
          <w:w w:val="100"/>
          <w:position w:val="0"/>
        </w:rPr>
        <w:t>的运营与变现依托全产业链优势，开启多渠道联动变现模式，未来将 会给公司带来持续性的利润成长空间。</w:t>
      </w:r>
    </w:p>
    <w:p>
      <w:pPr>
        <w:pStyle w:val="Style34"/>
        <w:keepNext w:val="0"/>
        <w:keepLines w:val="0"/>
        <w:widowControl w:val="0"/>
        <w:shd w:val="clear" w:color="auto" w:fill="auto"/>
        <w:bidi w:val="0"/>
        <w:spacing w:before="0" w:after="0" w:line="240" w:lineRule="auto"/>
        <w:ind w:left="744" w:right="0" w:firstLine="0"/>
        <w:jc w:val="left"/>
        <w:rPr>
          <w:sz w:val="20"/>
          <w:szCs w:val="20"/>
        </w:rPr>
      </w:pPr>
      <w:r>
        <w:rPr>
          <w:color w:val="000000"/>
          <w:spacing w:val="0"/>
          <w:w w:val="100"/>
          <w:position w:val="0"/>
          <w:sz w:val="20"/>
          <w:szCs w:val="20"/>
        </w:rPr>
        <w:t>截至报告期末，公司研发取得的重要的专利情况如下:</w:t>
      </w:r>
    </w:p>
    <w:tbl>
      <w:tblPr>
        <w:tblOverlap w:val="never"/>
        <w:jc w:val="center"/>
        <w:tblLayout w:type="fixed"/>
      </w:tblPr>
      <w:tblGrid>
        <w:gridCol w:w="1138"/>
        <w:gridCol w:w="1661"/>
        <w:gridCol w:w="1829"/>
        <w:gridCol w:w="5702"/>
      </w:tblGrid>
      <w:tr>
        <w:trPr>
          <w:trHeight w:val="35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专利作用</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专利详情介绍</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一种旋转连 接装置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2016108733527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用于两个零部件间 的可靠连接，且可实 现接触导电。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该旋转连接装置将连接槽与连接体直接设在一个旋转连接装置 中，使用时通过两个上述旋转连接装置旋转固定连接，且旋转 连接装置底座上还设有导电界面。</w:t>
            </w:r>
          </w:p>
        </w:tc>
      </w:tr>
      <w:tr>
        <w:trPr>
          <w:trHeight w:val="253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分布式数据 存储方法和</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装置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2017102880014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解决磁盘损坏不能 尽快修复且易出现 数据丢失的技术问 题。</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通过将分布式系统的存储空间分成多个存储区域，每个区域中 设有若干存储设备，查找并获得所有存储设备的起始物理地址、 端口信息以及为每一个存储设备分配唯一的存储设备标识符； 监视每个存储设备的工作状态，当存在故障存储设备时，根据 所述起始物理地址、端口信息或者存储设备标识符中的任意一 种或几种来确定故障存储设备中的出现故障的部分的具体位置 并且确定所述出现故障的全部数据组，然后替换失效部分的全 部数据组。</w:t>
            </w:r>
          </w:p>
        </w:tc>
      </w:tr>
    </w:tbl>
    <w:p>
      <w:pPr>
        <w:spacing w:lineRule="exact" w:line="1"/>
        <w:rPr>
          <w:sz w:val="2"/>
          <w:szCs w:val="2"/>
        </w:rPr>
      </w:pPr>
      <w:r>
        <w:br w:type="page"/>
      </w:r>
    </w:p>
    <w:tbl>
      <w:tblPr>
        <w:tblOverlap w:val="never"/>
        <w:jc w:val="center"/>
        <w:tblLayout w:type="fixed"/>
      </w:tblPr>
      <w:tblGrid>
        <w:gridCol w:w="1138"/>
        <w:gridCol w:w="1661"/>
        <w:gridCol w:w="1829"/>
        <w:gridCol w:w="5702"/>
      </w:tblGrid>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游戏手柄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2017102879905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提示玩家适当控制 游戏时间。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游戏手柄通过温控开关感应电子设备的温度来判断游戏时长， 当电子设备温度过于温控开关所设置的温度阈值时，手柄支撑 部会通过转动提示玩家休息。</w:t>
            </w:r>
          </w:p>
        </w:tc>
      </w:tr>
      <w:tr>
        <w:trPr>
          <w:trHeight w:val="31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流式播放互 动绘本播放 方法、系统 和计算机可 读存储介质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2017103411748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3s c</w:t>
            </w:r>
            <w:r>
              <w:rPr>
                <w:color w:val="000000"/>
                <w:spacing w:val="0"/>
                <w:w w:val="100"/>
                <w:position w:val="0"/>
              </w:rPr>
              <w:t xml:space="preserve">平台和 </w:t>
            </w:r>
            <w:r>
              <w:rPr>
                <w:rFonts w:ascii="Times New Roman" w:eastAsia="Times New Roman" w:hAnsi="Times New Roman" w:cs="Times New Roman"/>
                <w:color w:val="000000"/>
                <w:spacing w:val="0"/>
                <w:w w:val="100"/>
                <w:position w:val="0"/>
              </w:rPr>
              <w:t>html5</w:t>
            </w:r>
            <w:r>
              <w:rPr>
                <w:color w:val="000000"/>
                <w:spacing w:val="0"/>
                <w:w w:val="100"/>
                <w:position w:val="0"/>
              </w:rPr>
              <w:t>技术，在保留 了可直接在线流式 播放特性的基础上， 同时具备丰富的动 画交互效果，并且无 需安装专有软件，在 具备</w:t>
            </w:r>
            <w:r>
              <w:rPr>
                <w:rFonts w:ascii="Times New Roman" w:eastAsia="Times New Roman" w:hAnsi="Times New Roman" w:cs="Times New Roman"/>
                <w:color w:val="000000"/>
                <w:spacing w:val="0"/>
                <w:w w:val="100"/>
                <w:position w:val="0"/>
              </w:rPr>
              <w:t>html5</w:t>
            </w:r>
            <w:r>
              <w:rPr>
                <w:color w:val="000000"/>
                <w:spacing w:val="0"/>
                <w:w w:val="100"/>
                <w:position w:val="0"/>
              </w:rPr>
              <w:t>支持的浏 览器环境下即可阅 读体验。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基于自主研发的</w:t>
            </w:r>
            <w:r>
              <w:rPr>
                <w:rFonts w:ascii="Times New Roman" w:eastAsia="Times New Roman" w:hAnsi="Times New Roman" w:cs="Times New Roman"/>
                <w:color w:val="000000"/>
                <w:spacing w:val="0"/>
                <w:w w:val="100"/>
                <w:position w:val="0"/>
              </w:rPr>
              <w:t>3sc</w:t>
            </w:r>
            <w:r>
              <w:rPr>
                <w:color w:val="000000"/>
                <w:spacing w:val="0"/>
                <w:w w:val="100"/>
                <w:position w:val="0"/>
              </w:rPr>
              <w:t>平台进行绘本制作，制作完成后将绘本以索 引加内容片段的方式发布到</w:t>
            </w:r>
            <w:r>
              <w:rPr>
                <w:rFonts w:ascii="Times New Roman" w:eastAsia="Times New Roman" w:hAnsi="Times New Roman" w:cs="Times New Roman"/>
                <w:color w:val="000000"/>
                <w:spacing w:val="0"/>
                <w:w w:val="100"/>
                <w:position w:val="0"/>
              </w:rPr>
              <w:t>CDN</w:t>
            </w:r>
            <w:r>
              <w:rPr>
                <w:color w:val="000000"/>
                <w:spacing w:val="0"/>
                <w:w w:val="100"/>
                <w:position w:val="0"/>
              </w:rPr>
              <w:t>服务上，供播放器访问使用。</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互动绘本的阅读时利用互动绘本播放系统加载已经发布到 </w:t>
            </w:r>
            <w:r>
              <w:rPr>
                <w:rFonts w:ascii="Times New Roman" w:eastAsia="Times New Roman" w:hAnsi="Times New Roman" w:cs="Times New Roman"/>
                <w:color w:val="000000"/>
                <w:spacing w:val="0"/>
                <w:w w:val="100"/>
                <w:position w:val="0"/>
              </w:rPr>
              <w:t>CDN</w:t>
            </w:r>
            <w:r>
              <w:rPr>
                <w:color w:val="000000"/>
                <w:spacing w:val="0"/>
                <w:w w:val="100"/>
                <w:position w:val="0"/>
              </w:rPr>
              <w:t>的绘本资源，展示给用户。</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一种模块化 互动灯具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2016210999755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解决现有灯具结构 单一且互动性差的 问题。</w:t>
            </w:r>
          </w:p>
        </w:tc>
        <w:tc>
          <w:tcPr>
            <w:tcBorders>
              <w:top w:val="single" w:sz="4"/>
              <w:left w:val="single" w:sz="4"/>
              <w:right w:val="single" w:sz="4"/>
            </w:tcBorders>
            <w:shd w:val="clear" w:color="auto" w:fill="FFFFFF"/>
            <w:vAlign w:val="bottom"/>
          </w:tcPr>
          <w:p>
            <w:pPr>
              <w:pStyle w:val="Style2"/>
              <w:keepNext w:val="0"/>
              <w:keepLines w:val="0"/>
              <w:widowControl w:val="0"/>
              <w:numPr>
                <w:ilvl w:val="0"/>
                <w:numId w:val="3"/>
              </w:numPr>
              <w:shd w:val="clear" w:color="auto" w:fill="auto"/>
              <w:tabs>
                <w:tab w:pos="187" w:val="left"/>
              </w:tabs>
              <w:bidi w:val="0"/>
              <w:spacing w:before="0" w:after="80" w:line="317" w:lineRule="exact"/>
              <w:ind w:left="0" w:right="0" w:firstLine="0"/>
              <w:jc w:val="both"/>
            </w:pPr>
            <w:r>
              <w:rPr>
                <w:color w:val="000000"/>
                <w:spacing w:val="0"/>
                <w:w w:val="100"/>
                <w:position w:val="0"/>
              </w:rPr>
              <w:t>该种多面体的模块化互动灯具可利用壳体上的安装孔通过连 接装置与另一模块化互动灯具进行连接，组合出丰富的灯具形</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状；</w:t>
            </w:r>
          </w:p>
          <w:p>
            <w:pPr>
              <w:pStyle w:val="Style2"/>
              <w:keepNext w:val="0"/>
              <w:keepLines w:val="0"/>
              <w:widowControl w:val="0"/>
              <w:numPr>
                <w:ilvl w:val="0"/>
                <w:numId w:val="3"/>
              </w:numPr>
              <w:shd w:val="clear" w:color="auto" w:fill="auto"/>
              <w:tabs>
                <w:tab w:pos="187" w:val="left"/>
              </w:tabs>
              <w:bidi w:val="0"/>
              <w:spacing w:before="0" w:after="0" w:line="326" w:lineRule="exact"/>
              <w:ind w:left="0" w:right="0" w:firstLine="0"/>
              <w:jc w:val="both"/>
            </w:pPr>
            <w:r>
              <w:rPr>
                <w:color w:val="000000"/>
                <w:spacing w:val="0"/>
                <w:w w:val="100"/>
                <w:position w:val="0"/>
              </w:rPr>
              <w:t>该种多面体的模块化互动灯具壳体上的安装孔可用于安装连 接装置或功能模板，且可通过安装不同的功能模块实现不同的</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功能扩展；</w:t>
            </w:r>
          </w:p>
          <w:p>
            <w:pPr>
              <w:pStyle w:val="Style2"/>
              <w:keepNext w:val="0"/>
              <w:keepLines w:val="0"/>
              <w:widowControl w:val="0"/>
              <w:numPr>
                <w:ilvl w:val="0"/>
                <w:numId w:val="3"/>
              </w:numPr>
              <w:shd w:val="clear" w:color="auto" w:fill="auto"/>
              <w:tabs>
                <w:tab w:pos="192" w:val="left"/>
              </w:tabs>
              <w:bidi w:val="0"/>
              <w:spacing w:before="0" w:after="0" w:line="317" w:lineRule="exact"/>
              <w:ind w:left="0" w:right="0" w:firstLine="0"/>
              <w:jc w:val="both"/>
            </w:pPr>
            <w:r>
              <w:rPr>
                <w:color w:val="000000"/>
                <w:spacing w:val="0"/>
                <w:w w:val="100"/>
                <w:position w:val="0"/>
              </w:rPr>
              <w:t>多个模块化互动灯具间可以建立通信连接进行互动，即通过 开关模块或无线模块对壳体内供电模块和电路板上的中央处理</w:t>
            </w:r>
          </w:p>
          <w:p>
            <w:pPr>
              <w:pStyle w:val="Style2"/>
              <w:keepNext w:val="0"/>
              <w:keepLines w:val="0"/>
              <w:widowControl w:val="0"/>
              <w:shd w:val="clear" w:color="auto" w:fill="auto"/>
              <w:bidi w:val="0"/>
              <w:spacing w:before="0" w:after="40" w:line="317" w:lineRule="exact"/>
              <w:ind w:left="0" w:right="0" w:firstLine="0"/>
              <w:jc w:val="center"/>
            </w:pPr>
            <w:r>
              <w:rPr>
                <w:color w:val="000000"/>
                <w:spacing w:val="0"/>
                <w:w w:val="100"/>
                <w:position w:val="0"/>
              </w:rPr>
              <w:t>单元发送工作指令。</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一种模块化 玩具机器人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2017202970497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改善现有模块化玩 具连接不稳定、拓展 性和安全系数低的 问题。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该模块化玩具机器人单体由外壳和连接装置组成，其外壳为圆 柱体形结构，所述外壳分上壳体和下壳体，上壳体</w:t>
            </w:r>
            <w:r>
              <w:rPr>
                <w:rFonts w:ascii="Times New Roman" w:eastAsia="Times New Roman" w:hAnsi="Times New Roman" w:cs="Times New Roman"/>
                <w:color w:val="000000"/>
                <w:spacing w:val="0"/>
                <w:w w:val="100"/>
                <w:position w:val="0"/>
              </w:rPr>
              <w:t>/</w:t>
            </w:r>
            <w:r>
              <w:rPr>
                <w:color w:val="000000"/>
                <w:spacing w:val="0"/>
                <w:w w:val="100"/>
                <w:position w:val="0"/>
              </w:rPr>
              <w:t>下壳体底面 设有预留孔洞，预留孔洞用于安装连接装置或其他功能装置， 所述上壳体和下壳体之间具有相对旋转的特性，当上壳体和下 壳体在内部扭矩提供装置的带动下相互转动时，相邻两个模块 化玩具机器人单体之间相互转动。当模块化玩具机器人单体连 接数量达到一定程度，可形成类似机器人脖子的结构进行扭动。</w:t>
            </w:r>
          </w:p>
        </w:tc>
      </w:tr>
      <w:tr>
        <w:trPr>
          <w:trHeight w:val="25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一种模块化 玩具机器人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2017202976351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改善现有模块化玩 具连接不稳定、拓展 性和安全系数低的 问题。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该模块化玩具机器人单体由外壳、连接装置和扭矩提供装置组 成，其外壳由多个</w:t>
            </w:r>
            <w:r>
              <w:rPr>
                <w:rFonts w:ascii="Times New Roman" w:eastAsia="Times New Roman" w:hAnsi="Times New Roman" w:cs="Times New Roman"/>
                <w:color w:val="000000"/>
                <w:spacing w:val="0"/>
                <w:w w:val="100"/>
                <w:position w:val="0"/>
              </w:rPr>
              <w:t>U</w:t>
            </w:r>
            <w:r>
              <w:rPr>
                <w:color w:val="000000"/>
                <w:spacing w:val="0"/>
                <w:w w:val="100"/>
                <w:position w:val="0"/>
              </w:rPr>
              <w:t>型构件组成一个几何体，且至少有一个</w:t>
            </w:r>
            <w:r>
              <w:rPr>
                <w:rFonts w:ascii="Times New Roman" w:eastAsia="Times New Roman" w:hAnsi="Times New Roman" w:cs="Times New Roman"/>
                <w:color w:val="000000"/>
                <w:spacing w:val="0"/>
                <w:w w:val="100"/>
                <w:position w:val="0"/>
              </w:rPr>
              <w:t xml:space="preserve">U </w:t>
            </w:r>
            <w:r>
              <w:rPr>
                <w:color w:val="000000"/>
                <w:spacing w:val="0"/>
                <w:w w:val="100"/>
                <w:position w:val="0"/>
              </w:rPr>
              <w:t>型构件上设有预留孔洞，预留孔洞可用于安装连接装置或其他 功能性装置。</w:t>
            </w:r>
            <w:r>
              <w:rPr>
                <w:rFonts w:ascii="Times New Roman" w:eastAsia="Times New Roman" w:hAnsi="Times New Roman" w:cs="Times New Roman"/>
                <w:color w:val="000000"/>
                <w:spacing w:val="0"/>
                <w:w w:val="100"/>
                <w:position w:val="0"/>
              </w:rPr>
              <w:t>U</w:t>
            </w:r>
            <w:r>
              <w:rPr>
                <w:color w:val="000000"/>
                <w:spacing w:val="0"/>
                <w:w w:val="100"/>
                <w:position w:val="0"/>
              </w:rPr>
              <w:t>型构件具有特殊的相对位移关系，在由</w:t>
            </w:r>
            <w:r>
              <w:rPr>
                <w:rFonts w:ascii="Times New Roman" w:eastAsia="Times New Roman" w:hAnsi="Times New Roman" w:cs="Times New Roman"/>
                <w:color w:val="000000"/>
                <w:spacing w:val="0"/>
                <w:w w:val="100"/>
                <w:position w:val="0"/>
              </w:rPr>
              <w:t>4</w:t>
            </w:r>
            <w:r>
              <w:rPr>
                <w:color w:val="000000"/>
                <w:spacing w:val="0"/>
                <w:w w:val="100"/>
                <w:position w:val="0"/>
              </w:rPr>
              <w:t>个</w:t>
            </w:r>
            <w:r>
              <w:rPr>
                <w:rFonts w:ascii="Times New Roman" w:eastAsia="Times New Roman" w:hAnsi="Times New Roman" w:cs="Times New Roman"/>
                <w:color w:val="000000"/>
                <w:spacing w:val="0"/>
                <w:w w:val="100"/>
                <w:position w:val="0"/>
              </w:rPr>
              <w:t>U</w:t>
            </w:r>
            <w:r>
              <w:rPr>
                <w:color w:val="000000"/>
                <w:spacing w:val="0"/>
                <w:w w:val="100"/>
                <w:position w:val="0"/>
              </w:rPr>
              <w:t>型 构件形成整体结构时可形成一种可变形的平行四边形结构，内 部扭矩提供装置的输出轴通过舵盘和摇臂连接方式可带动两个 不相邻的</w:t>
            </w:r>
            <w:r>
              <w:rPr>
                <w:rFonts w:ascii="Times New Roman" w:eastAsia="Times New Roman" w:hAnsi="Times New Roman" w:cs="Times New Roman"/>
                <w:color w:val="000000"/>
                <w:spacing w:val="0"/>
                <w:w w:val="100"/>
                <w:position w:val="0"/>
              </w:rPr>
              <w:t>U</w:t>
            </w:r>
            <w:r>
              <w:rPr>
                <w:color w:val="000000"/>
                <w:spacing w:val="0"/>
                <w:w w:val="100"/>
                <w:position w:val="0"/>
              </w:rPr>
              <w:t>型构件做同步摆动。当模块化玩具机器人单体连接 数量达到一定程度，可形成类似昆虫蠕动的结构进行扭动。</w:t>
            </w: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一种模块化 玩具机器人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2017202976436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改善现有模块化玩 具连接不稳定、拓展 性和安全系数低的 问题。</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该模块化玩具机器人单体由两相互配合的外壳，外壳上设有预 留孔洞，预留孔洞上安装有连接装置，两相互配合的外壳间设 有扭矩提供装置，两相互配合的外壳通过扭矩提供装置连接在 一起，模块化玩具机器人单体彼此间可通过连接装置相互连接。 其内部的扭矩提供装置输出时可使自身外壳沿扭矩输出轴发生 转动，带动连接装置发生转动从而使于其相连的模块化机器人 发生旋转，当模块化机器人的连接数量达到一定程度时，可以</w:t>
            </w:r>
          </w:p>
        </w:tc>
      </w:tr>
    </w:tbl>
    <w:p>
      <w:pPr>
        <w:spacing w:lineRule="exact" w:line="1"/>
        <w:rPr>
          <w:sz w:val="2"/>
          <w:szCs w:val="2"/>
        </w:rPr>
      </w:pPr>
      <w:r>
        <w:br w:type="page"/>
      </w:r>
    </w:p>
    <w:tbl>
      <w:tblPr>
        <w:tblOverlap w:val="never"/>
        <w:jc w:val="center"/>
        <w:tblLayout w:type="fixed"/>
      </w:tblPr>
      <w:tblGrid>
        <w:gridCol w:w="1138"/>
        <w:gridCol w:w="1661"/>
        <w:gridCol w:w="1829"/>
        <w:gridCol w:w="5702"/>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实现复杂的自重构功能。</w:t>
            </w:r>
          </w:p>
        </w:tc>
      </w:tr>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一种模块化 玩具机器人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2017202976417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改善现有模块化玩 具连接不稳定、拓展 性和安全系数低的 问题。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该模块化玩具机器人单体由外壳和连接装置组成，外壳上设有 至少一个以上的预留孔洞，连接装置通过预留孔洞固定在外壳 上，模块化玩具机器人单体彼此间可通过连接装置相互连接， 所述外壳内设有控制单元和拓展模块，可通过设置在连接装置 上的通信界面发送指令，两个模块化玩具机器人单体见可通过 通信界面进行信息输送。</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一种模块化 玩具机器人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2017202972327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改善现有模块化玩 具连接不稳定、拓展 性和安全系数低的 问题。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该模块化玩具机器人单体由第一壳体、第二壳体和连接装置组 成，第一壳体和第二壳体间设有扭矩提供装置，第一壳体和第 二壳体间通过扭矩提供装置实现相互转动，当与其他机器人连 接时，重新组合后的机器人整体能实现角度旋转，可带动相连 的两个通过连接装置的模块化玩具机器人单体进行摆动，当模 块化机器人的连接数量达到一定程度时，可形成类似蛇形的结 构进行扭动。</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一种模块化 环境检测机</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2018209396953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可对环境进行实时 监测。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该模块化环境检测机器人含有至少一个以上的机器人部件、中 央处理单元和环境检测单元，环境检测单元包括输入单元和输 出单元，输入单元将检测的环境参数信息输送至其中一个或多 个中央处理单元，中央处理单元将该参数信息处理为控制输出 单元输出相应环境参数信息的控制指令。</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一种模块化 的遥控机器</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201820936980X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改善现有机器人拼 装、操作难，功能不 完善的问题。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该模块化的遥控机器人包括机体、信号源采集系统和受控系统, 受控系统可通过与信号源采集系统通信连接并根据所述信号源 类型控制机体作出相应动作，所述机体包括至少一个机器人部 件，所述受控系统包括至少一个输入单元和至少一个中央处理 器。所述的信号源采集系统采集的信号源产生方式可多种，如 通过遥控单元远程遥控、手机、人体肢体动作远程遥控等。</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一种模块化 声音机器人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2018209364967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改善现有机器人拼 装、操作难，功能不 完善的问题。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该模块化声音机器人主要包括至少一个机器人部件和至少一个 中央处理单元，至少一个输入单元设置于其中一个或多个机器 人部件上，输入单元将接收到的外部信息传送至一个或多个中 央处理器单元，并经由中央处理单元处理为相应控制指令，至 少一个声音单元用于接收其中或多个中央处理器单元发送的控 制指令，并根据控制指令发出相应声音。其所述的输入单元包 括多种功能模块，触发模块、人体输入模块、识别模块以及拓 展模块中的至少一种。</w:t>
            </w:r>
          </w:p>
        </w:tc>
      </w:tr>
      <w:tr>
        <w:trPr>
          <w:trHeight w:val="25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一种可改装 的模块化碰 碰车机器人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2018211497986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使家长和孩子足不 出户体验到碰碰车 的乐趣，并提供孩子 的动手力和想象力。</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可改装的模块化碰碰车机器人包括至少一个机器人部件，至少 一个中央处理单元设在一个或多个机器人部件上，至少一个碰 撞检测模块设置在其中一个或多个机器人部件上且用于检测碰 撞程度和</w:t>
            </w:r>
            <w:r>
              <w:rPr>
                <w:rFonts w:ascii="Times New Roman" w:eastAsia="Times New Roman" w:hAnsi="Times New Roman" w:cs="Times New Roman"/>
                <w:color w:val="000000"/>
                <w:spacing w:val="0"/>
                <w:w w:val="100"/>
                <w:position w:val="0"/>
              </w:rPr>
              <w:t>/</w:t>
            </w:r>
            <w:r>
              <w:rPr>
                <w:color w:val="000000"/>
                <w:spacing w:val="0"/>
                <w:w w:val="100"/>
                <w:position w:val="0"/>
              </w:rPr>
              <w:t>或碰撞位置，并将检测到的碰撞程度和</w:t>
            </w:r>
            <w:r>
              <w:rPr>
                <w:rFonts w:ascii="Times New Roman" w:eastAsia="Times New Roman" w:hAnsi="Times New Roman" w:cs="Times New Roman"/>
                <w:color w:val="000000"/>
                <w:spacing w:val="0"/>
                <w:w w:val="100"/>
                <w:position w:val="0"/>
              </w:rPr>
              <w:t>/</w:t>
            </w:r>
            <w:r>
              <w:rPr>
                <w:color w:val="000000"/>
                <w:spacing w:val="0"/>
                <w:w w:val="100"/>
                <w:position w:val="0"/>
              </w:rPr>
              <w:t>或碰撞位置 信息输送至其中一个或多个中央处理单元，至少一个输出模块 受控于其中一个或多个中央处理单元，中央处理单元可根据接 收的碰撞状态信息对所述输出模块进行相应的控制，如血量显 示模块、声音模块等。</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一种基于颜 色识别的控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2018209396756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机器人可通过识别 单元进行颜色识别，</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基于颜色识别的控制系统及模块化颜色识别机器人，其系统主 要包括：颜色识别单元、中央处理单元和受控单元。机器人中</w:t>
            </w:r>
          </w:p>
        </w:tc>
      </w:tr>
    </w:tbl>
    <w:p>
      <w:pPr>
        <w:spacing w:lineRule="exact" w:line="1"/>
        <w:rPr>
          <w:sz w:val="2"/>
          <w:szCs w:val="2"/>
        </w:rPr>
      </w:pPr>
      <w:r>
        <w:br w:type="page"/>
      </w:r>
    </w:p>
    <w:tbl>
      <w:tblPr>
        <w:tblOverlap w:val="never"/>
        <w:jc w:val="center"/>
        <w:tblLayout w:type="fixed"/>
      </w:tblPr>
      <w:tblGrid>
        <w:gridCol w:w="1138"/>
        <w:gridCol w:w="1661"/>
        <w:gridCol w:w="1829"/>
        <w:gridCol w:w="5702"/>
      </w:tblGrid>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制系统及模 块化颜色识 别机器人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并进行相应控制，提 高了学习趣味性，及 孩子对于机器人运 行原理的兴趣，以便 于孩子们学习了解。</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需预先建立语义库，所述语义库包括颜色数据库以及根据应用 对象所对应的功能建立映射和关联的功能解释库；在应用对象 上设置颜色识别单元，通过颜色识别单元捕捉外部颜色信息， 并将捕捉的外部颜色信息转换为颜色数据信息；将颜色识别单 元转换得到的颜色数据信息与预先建立的语义库进行比对，若 比对成功，则通过功能解释库中的匹配指令对应用对象进行相 应的功能控制。</w:t>
            </w:r>
          </w:p>
        </w:tc>
      </w:tr>
      <w:tr>
        <w:trPr>
          <w:trHeight w:val="9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一种多功能 手游用手机 转接器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2016201944768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提高游戏体验。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可通过手机转接器将手柄、游戏眼镜等传统游戏装备与手游相 结合，使手游不在局限于手机屏幕上。</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一种多功能 手游辅助设</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2016201944772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提示玩家适当控制 游戏时间，并及时进 行游戏保存。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该辅助设备可通过手游方面的软硬件的结合，配合手游装置内 部的定时器进行阶段性的提醒控制，提醒玩家适当控制游戏时 间。且其存储器采用了双存储结构，使得游戏的进度可以很完 善的保存，玩家下次游戏时可直接读取进度进行游戏。</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一种便于手 游的防汗装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2016201944787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防止手机因出好掉 落损坏。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通过设置的套环，使用户在长时间使用手机后，仍能够牢牢 的把握住手机，避免了手机的掉落；</w:t>
            </w:r>
            <w:r>
              <w:rPr>
                <w:rFonts w:ascii="Times New Roman" w:eastAsia="Times New Roman" w:hAnsi="Times New Roman" w:cs="Times New Roman"/>
                <w:color w:val="000000"/>
                <w:spacing w:val="0"/>
                <w:w w:val="100"/>
                <w:position w:val="0"/>
              </w:rPr>
              <w:t>2.</w:t>
            </w:r>
            <w:r>
              <w:rPr>
                <w:color w:val="000000"/>
                <w:spacing w:val="0"/>
                <w:w w:val="100"/>
                <w:position w:val="0"/>
              </w:rPr>
              <w:t>通过设置的防汗网，能 够有效的吸附汗液，且利用防汗网和套体间的通风通道尽快散 尽汗液；</w:t>
            </w:r>
          </w:p>
          <w:p>
            <w:pPr>
              <w:pStyle w:val="Style2"/>
              <w:keepNext w:val="0"/>
              <w:keepLines w:val="0"/>
              <w:widowControl w:val="0"/>
              <w:shd w:val="clear" w:color="auto" w:fill="auto"/>
              <w:bidi w:val="0"/>
              <w:spacing w:before="0" w:after="0" w:line="316" w:lineRule="exact"/>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通过设置的折叠杆，能够随意调节角度，能够手机视频的观 看。</w:t>
            </w:r>
          </w:p>
        </w:tc>
      </w:tr>
      <w:tr>
        <w:trPr>
          <w:trHeight w:val="15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一种可健康 合理分配时 间的手游时 间检测警示</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2016212581363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提示玩家健康合理 分配时间，防止玩家 沉迷于手游。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该装置可通过控制终端输入提醒的时间值，在到达这个时间值 的时候，警报器便会警示提醒用户。</w:t>
            </w:r>
          </w:p>
        </w:tc>
      </w:tr>
      <w:tr>
        <w:trPr>
          <w:trHeight w:val="128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一种拿握方 便避免掉落 的手机防掉 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2016212587800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防止手机掉落。</w:t>
            </w:r>
          </w:p>
        </w:tc>
        <w:tc>
          <w:tcPr>
            <w:tcBorders>
              <w:top w:val="single" w:sz="4"/>
              <w:left w:val="single" w:sz="4"/>
              <w:right w:val="single" w:sz="4"/>
            </w:tcBorders>
            <w:shd w:val="clear" w:color="auto" w:fill="FFFFFF"/>
            <w:vAlign w:val="top"/>
          </w:tcPr>
          <w:p>
            <w:pPr>
              <w:pStyle w:val="Style2"/>
              <w:keepNext w:val="0"/>
              <w:keepLines w:val="0"/>
              <w:widowControl w:val="0"/>
              <w:numPr>
                <w:ilvl w:val="0"/>
                <w:numId w:val="5"/>
              </w:numPr>
              <w:shd w:val="clear" w:color="auto" w:fill="auto"/>
              <w:tabs>
                <w:tab w:pos="139" w:val="left"/>
              </w:tabs>
              <w:bidi w:val="0"/>
              <w:spacing w:before="0" w:after="0" w:line="240" w:lineRule="auto"/>
              <w:ind w:left="0" w:right="0" w:firstLine="0"/>
              <w:jc w:val="left"/>
            </w:pPr>
            <w:r>
              <w:rPr>
                <w:color w:val="000000"/>
                <w:spacing w:val="0"/>
                <w:w w:val="100"/>
                <w:position w:val="0"/>
              </w:rPr>
              <w:t>将壳体套在手机上，然后将手指套过拉环，可防止手机掉落;</w:t>
            </w:r>
          </w:p>
          <w:p>
            <w:pPr>
              <w:pStyle w:val="Style2"/>
              <w:keepNext w:val="0"/>
              <w:keepLines w:val="0"/>
              <w:widowControl w:val="0"/>
              <w:numPr>
                <w:ilvl w:val="0"/>
                <w:numId w:val="5"/>
              </w:numPr>
              <w:shd w:val="clear" w:color="auto" w:fill="auto"/>
              <w:tabs>
                <w:tab w:pos="168" w:val="left"/>
              </w:tabs>
              <w:bidi w:val="0"/>
              <w:spacing w:before="0" w:after="80" w:line="240" w:lineRule="auto"/>
              <w:ind w:left="0" w:right="0" w:firstLine="0"/>
              <w:jc w:val="center"/>
            </w:pPr>
            <w:r>
              <w:rPr>
                <w:color w:val="000000"/>
                <w:spacing w:val="0"/>
                <w:w w:val="100"/>
                <w:position w:val="0"/>
              </w:rPr>
              <w:t>可通过设置的柔性转轴与柔性滑块的调整，使手机可以在更</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多的地方侧放。</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监视处理设 备上的应用 并生成奖励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10643239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监视应用并发布奖 励。</w:t>
            </w:r>
          </w:p>
        </w:tc>
        <w:tc>
          <w:tcPr>
            <w:tcBorders>
              <w:top w:val="single" w:sz="4"/>
              <w:left w:val="single" w:sz="4"/>
              <w:right w:val="single" w:sz="4"/>
            </w:tcBorders>
            <w:shd w:val="clear" w:color="auto" w:fill="FFFFFF"/>
            <w:vAlign w:val="bottom"/>
          </w:tcPr>
          <w:p>
            <w:pPr>
              <w:pStyle w:val="Style2"/>
              <w:keepNext w:val="0"/>
              <w:keepLines w:val="0"/>
              <w:widowControl w:val="0"/>
              <w:numPr>
                <w:ilvl w:val="0"/>
                <w:numId w:val="7"/>
              </w:numPr>
              <w:shd w:val="clear" w:color="auto" w:fill="auto"/>
              <w:tabs>
                <w:tab w:pos="144" w:val="left"/>
              </w:tabs>
              <w:bidi w:val="0"/>
              <w:spacing w:before="0" w:after="0" w:line="317" w:lineRule="exact"/>
              <w:ind w:left="0" w:right="0" w:firstLine="0"/>
              <w:jc w:val="center"/>
            </w:pPr>
            <w:r>
              <w:rPr>
                <w:color w:val="000000"/>
                <w:spacing w:val="0"/>
                <w:w w:val="100"/>
                <w:position w:val="0"/>
              </w:rPr>
              <w:t>监视用户对应用的参与情况并计算不同应用中使用的奖励；</w:t>
            </w:r>
          </w:p>
          <w:p>
            <w:pPr>
              <w:pStyle w:val="Style2"/>
              <w:keepNext w:val="0"/>
              <w:keepLines w:val="0"/>
              <w:widowControl w:val="0"/>
              <w:numPr>
                <w:ilvl w:val="0"/>
                <w:numId w:val="7"/>
              </w:numPr>
              <w:shd w:val="clear" w:color="auto" w:fill="auto"/>
              <w:tabs>
                <w:tab w:pos="182" w:val="left"/>
              </w:tabs>
              <w:bidi w:val="0"/>
              <w:spacing w:before="0" w:after="0" w:line="317" w:lineRule="exact"/>
              <w:ind w:left="0" w:right="0" w:firstLine="0"/>
              <w:jc w:val="both"/>
            </w:pPr>
            <w:r>
              <w:rPr>
                <w:color w:val="000000"/>
                <w:spacing w:val="0"/>
                <w:w w:val="100"/>
                <w:position w:val="0"/>
              </w:rPr>
              <w:t>在用户处理设备上提供内容递送和奖励实现指令，不同的应 用可以具有不同的奖励，完成相关内容递送指令，程序下一次 启动或运行到某一时间时，内容递送和奖励递送服务器装置通</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信以获得可用的奖励，并在程序中发放给用户；</w:t>
            </w:r>
          </w:p>
          <w:p>
            <w:pPr>
              <w:pStyle w:val="Style2"/>
              <w:keepNext w:val="0"/>
              <w:keepLines w:val="0"/>
              <w:widowControl w:val="0"/>
              <w:numPr>
                <w:ilvl w:val="0"/>
                <w:numId w:val="7"/>
              </w:numPr>
              <w:shd w:val="clear" w:color="auto" w:fill="auto"/>
              <w:tabs>
                <w:tab w:pos="168" w:val="left"/>
              </w:tabs>
              <w:bidi w:val="0"/>
              <w:spacing w:before="0" w:after="0" w:line="317" w:lineRule="exact"/>
              <w:ind w:left="0" w:right="0" w:firstLine="0"/>
              <w:jc w:val="center"/>
            </w:pPr>
            <w:r>
              <w:rPr>
                <w:color w:val="000000"/>
                <w:spacing w:val="0"/>
                <w:w w:val="100"/>
                <w:position w:val="0"/>
              </w:rPr>
              <w:t>可计算、监视推广应用参与情况，并对推广应用本身及推广</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链接发布应用发布相应奖励。</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用于电子设 备的交互式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游戏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09061204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交互式游戏。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本系统允许玩家在具有触摸屏接口（移动电话，平板计算机， 计算机，膝上型计算机，或具有触摸屏接口的其他这样的设备） 的设备上利用</w:t>
            </w:r>
            <w:r>
              <w:rPr>
                <w:rFonts w:ascii="Times New Roman" w:eastAsia="Times New Roman" w:hAnsi="Times New Roman" w:cs="Times New Roman"/>
                <w:color w:val="000000"/>
                <w:spacing w:val="0"/>
                <w:w w:val="100"/>
                <w:position w:val="0"/>
              </w:rPr>
              <w:t>3d</w:t>
            </w:r>
            <w:r>
              <w:rPr>
                <w:color w:val="000000"/>
                <w:spacing w:val="0"/>
                <w:w w:val="100"/>
                <w:position w:val="0"/>
              </w:rPr>
              <w:t>模型、动物或任何其他角色的</w:t>
            </w:r>
            <w:r>
              <w:rPr>
                <w:rFonts w:ascii="Times New Roman" w:eastAsia="Times New Roman" w:hAnsi="Times New Roman" w:cs="Times New Roman"/>
                <w:color w:val="000000"/>
                <w:spacing w:val="0"/>
                <w:w w:val="100"/>
                <w:position w:val="0"/>
              </w:rPr>
              <w:t>2d</w:t>
            </w:r>
            <w:r>
              <w:rPr>
                <w:color w:val="000000"/>
                <w:spacing w:val="0"/>
                <w:w w:val="100"/>
                <w:position w:val="0"/>
              </w:rPr>
              <w:t>模型来玩游戏, 玩家必须成功地模仿</w:t>
            </w:r>
            <w:r>
              <w:rPr>
                <w:rFonts w:ascii="Times New Roman" w:eastAsia="Times New Roman" w:hAnsi="Times New Roman" w:cs="Times New Roman"/>
                <w:color w:val="000000"/>
                <w:spacing w:val="0"/>
                <w:w w:val="100"/>
                <w:position w:val="0"/>
              </w:rPr>
              <w:t>3d</w:t>
            </w:r>
            <w:r>
              <w:rPr>
                <w:color w:val="000000"/>
                <w:spacing w:val="0"/>
                <w:w w:val="100"/>
                <w:position w:val="0"/>
              </w:rPr>
              <w:t>或</w:t>
            </w:r>
            <w:r>
              <w:rPr>
                <w:rFonts w:ascii="Times New Roman" w:eastAsia="Times New Roman" w:hAnsi="Times New Roman" w:cs="Times New Roman"/>
                <w:color w:val="000000"/>
                <w:spacing w:val="0"/>
                <w:w w:val="100"/>
                <w:position w:val="0"/>
              </w:rPr>
              <w:t>2d</w:t>
            </w:r>
            <w:r>
              <w:rPr>
                <w:color w:val="000000"/>
                <w:spacing w:val="0"/>
                <w:w w:val="100"/>
                <w:position w:val="0"/>
              </w:rPr>
              <w:t>模型</w:t>
            </w:r>
            <w:r>
              <w:rPr>
                <w:rFonts w:ascii="Times New Roman" w:eastAsia="Times New Roman" w:hAnsi="Times New Roman" w:cs="Times New Roman"/>
                <w:color w:val="000000"/>
                <w:spacing w:val="0"/>
                <w:w w:val="100"/>
                <w:position w:val="0"/>
              </w:rPr>
              <w:t>/</w:t>
            </w:r>
            <w:r>
              <w:rPr>
                <w:color w:val="000000"/>
                <w:spacing w:val="0"/>
                <w:w w:val="100"/>
                <w:position w:val="0"/>
              </w:rPr>
              <w:t>角色的移动，须通过用他的手 指或手指触摸屏幕来匹配他的移动，所述手指的移动也必须触 摸到屏幕的特定区域。</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在应用之间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09953336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可安全地在设备上</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该方法是一种将奖励数据从在数据处理设备上运行的第一应用</w:t>
            </w:r>
          </w:p>
        </w:tc>
      </w:tr>
    </w:tbl>
    <w:p>
      <w:pPr>
        <w:spacing w:lineRule="exact" w:line="1"/>
        <w:rPr>
          <w:sz w:val="2"/>
          <w:szCs w:val="2"/>
        </w:rPr>
      </w:pPr>
      <w:r>
        <w:br w:type="page"/>
      </w:r>
    </w:p>
    <w:tbl>
      <w:tblPr>
        <w:tblOverlap w:val="never"/>
        <w:jc w:val="center"/>
        <w:tblLayout w:type="fixed"/>
      </w:tblPr>
      <w:tblGrid>
        <w:gridCol w:w="1138"/>
        <w:gridCol w:w="1661"/>
        <w:gridCol w:w="1829"/>
        <w:gridCol w:w="5702"/>
      </w:tblGrid>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的奖励数据 的通信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的应用间传送奖励 数据。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传送到数据处理设备上的第二应用以供第二应用使用的方法， 该方法包括第一应用执行以下过程：响应于第一应用的用户在 第一应用中完成预定任务而获得奖励值，响应于来自用户的请 求奖励的请求，生成并发送：将所述第二应用置于交互状态的 指令，接收所述奖励值生成所述奖励数据，以供所述第二应用 在所述交互状态下使用。</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监视处理设 备上的应用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10413818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监视应用情况。</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该处理设备的监视模块可监视用户对第二应用的参与情况，且 根据用户第二应用的参与情况来计算奖励，并可将该奖励发放 于第一应用。</w:t>
            </w:r>
          </w:p>
        </w:tc>
      </w:tr>
    </w:tbl>
    <w:p>
      <w:pPr>
        <w:sectPr>
          <w:footnotePr>
            <w:pos w:val="pageBottom"/>
            <w:numFmt w:val="decimal"/>
            <w:numRestart w:val="continuous"/>
          </w:footnotePr>
          <w:pgSz w:w="11900" w:h="16840"/>
          <w:pgMar w:top="1321" w:right="773" w:bottom="1436" w:left="797" w:header="0" w:footer="3" w:gutter="0"/>
          <w:cols w:space="720"/>
          <w:noEndnote/>
          <w:rtlGutter w:val="0"/>
          <w:docGrid w:linePitch="360"/>
        </w:sectPr>
      </w:pPr>
    </w:p>
    <w:p>
      <w:pPr>
        <w:pStyle w:val="Style12"/>
        <w:keepNext/>
        <w:keepLines/>
        <w:widowControl w:val="0"/>
        <w:shd w:val="clear" w:color="auto" w:fill="auto"/>
        <w:bidi w:val="0"/>
        <w:spacing w:before="660" w:line="240" w:lineRule="auto"/>
        <w:ind w:left="0" w:right="0" w:firstLine="0"/>
        <w:jc w:val="center"/>
      </w:pPr>
      <w:bookmarkStart w:id="101" w:name="bookmark101"/>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bookmarkEnd w:id="101"/>
    </w:p>
    <w:p>
      <w:pPr>
        <w:pStyle w:val="Style29"/>
        <w:keepNext/>
        <w:keepLines/>
        <w:widowControl w:val="0"/>
        <w:shd w:val="clear" w:color="auto" w:fill="auto"/>
        <w:bidi w:val="0"/>
        <w:spacing w:before="0" w:after="20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、概述</w:t>
      </w:r>
      <w:bookmarkEnd w:id="105"/>
      <w:bookmarkEnd w:id="106"/>
      <w:bookmarkEnd w:id="108"/>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报告期内，受新型冠状病毒疫情影响，全球经济受到冲击，国内外各行业经济形势均受到不同程度的 影响。在此背景下，公司始终围绕以“会说话的汤姆猫家族”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生态运营商发展战略，线 上积极推进移动应用、动漫影视等业务，线下稳步布局</w:t>
      </w:r>
      <w:r>
        <w:rPr>
          <w:rFonts w:ascii="Times New Roman" w:eastAsia="Times New Roman" w:hAnsi="Times New Roman" w:cs="Times New Roman"/>
          <w:color w:val="000000"/>
          <w:spacing w:val="0"/>
          <w:w w:val="100"/>
          <w:position w:val="0"/>
        </w:rPr>
        <w:t>IP</w:t>
      </w:r>
      <w:r>
        <w:rPr>
          <w:color w:val="000000"/>
          <w:spacing w:val="0"/>
          <w:w w:val="100"/>
          <w:position w:val="0"/>
        </w:rPr>
        <w:t>衍生品与授权业务、新商业服务业务等连锁业态, 打造全栖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生态运营商，各项业务保持了积极向上的发展态势。</w:t>
      </w:r>
    </w:p>
    <w:p>
      <w:pPr>
        <w:widowControl w:val="0"/>
        <w:jc w:val="center"/>
        <w:rPr>
          <w:sz w:val="2"/>
          <w:szCs w:val="2"/>
        </w:rPr>
      </w:pPr>
      <w:r>
        <w:drawing>
          <wp:inline>
            <wp:extent cx="6071870" cy="278574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6071870" cy="2785745"/>
                    </a:xfrm>
                    <a:prstGeom prst="rect"/>
                  </pic:spPr>
                </pic:pic>
              </a:graphicData>
            </a:graphic>
          </wp:inline>
        </w:drawing>
      </w:r>
    </w:p>
    <w:p>
      <w:pPr>
        <w:pStyle w:val="Style4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 xml:space="preserve">同时，公司根据行业发展环境和市场变化，保持了快速的市场反应能力，一方面通过聚焦核心业务， 持续推出精品移动应用等优质内容；另一方面，公司通过持续优化组织架构，进一步完善全球化研运体系， 提升全球化管理效能。截至报告期末，公司海内外团队已形成“明确分工、密切协同”的合作机制。其中， 公司分布于斯洛文尼亚、塞浦路斯、西班牙、英国等国家和地区的海外团队具有数十年的研发经验和优秀 的创意基因，主要负责“会说话的汤姆猫家族”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系列移动应用产品的研发与全球发行，报告期内，公司 海外子公司</w:t>
      </w:r>
      <w:r>
        <w:rPr>
          <w:rFonts w:ascii="Times New Roman" w:eastAsia="Times New Roman" w:hAnsi="Times New Roman" w:cs="Times New Roman"/>
          <w:color w:val="000000"/>
          <w:spacing w:val="0"/>
          <w:w w:val="100"/>
          <w:position w:val="0"/>
        </w:rPr>
        <w:t>Outfit7</w:t>
      </w:r>
      <w:r>
        <w:rPr>
          <w:color w:val="000000"/>
          <w:spacing w:val="0"/>
          <w:w w:val="100"/>
          <w:position w:val="0"/>
        </w:rPr>
        <w:t>实现营业收入</w:t>
      </w:r>
      <w:r>
        <w:rPr>
          <w:rFonts w:ascii="Times New Roman" w:eastAsia="Times New Roman" w:hAnsi="Times New Roman" w:cs="Times New Roman"/>
          <w:color w:val="000000"/>
          <w:spacing w:val="0"/>
          <w:w w:val="100"/>
          <w:position w:val="0"/>
        </w:rPr>
        <w:t>132,878.17</w:t>
      </w:r>
      <w:r>
        <w:rPr>
          <w:color w:val="000000"/>
          <w:spacing w:val="0"/>
          <w:w w:val="100"/>
          <w:position w:val="0"/>
        </w:rPr>
        <w:t>万元，同比增长</w:t>
      </w:r>
      <w:r>
        <w:rPr>
          <w:rFonts w:ascii="Times New Roman" w:eastAsia="Times New Roman" w:hAnsi="Times New Roman" w:cs="Times New Roman"/>
          <w:color w:val="000000"/>
          <w:spacing w:val="0"/>
          <w:w w:val="100"/>
          <w:position w:val="0"/>
        </w:rPr>
        <w:t>40.5%</w:t>
      </w:r>
      <w:r>
        <w:rPr>
          <w:color w:val="000000"/>
          <w:spacing w:val="0"/>
          <w:w w:val="100"/>
          <w:position w:val="0"/>
        </w:rPr>
        <w:t>，实现净利润</w:t>
      </w:r>
      <w:r>
        <w:rPr>
          <w:rFonts w:ascii="Times New Roman" w:eastAsia="Times New Roman" w:hAnsi="Times New Roman" w:cs="Times New Roman"/>
          <w:color w:val="000000"/>
          <w:spacing w:val="0"/>
          <w:w w:val="100"/>
          <w:position w:val="0"/>
        </w:rPr>
        <w:t>74,910.90</w:t>
      </w:r>
      <w:r>
        <w:rPr>
          <w:color w:val="000000"/>
          <w:spacing w:val="0"/>
          <w:w w:val="100"/>
          <w:position w:val="0"/>
        </w:rPr>
        <w:t xml:space="preserve">万元，同比增长 </w:t>
      </w:r>
      <w:r>
        <w:rPr>
          <w:rFonts w:ascii="Times New Roman" w:eastAsia="Times New Roman" w:hAnsi="Times New Roman" w:cs="Times New Roman"/>
          <w:color w:val="000000"/>
          <w:spacing w:val="0"/>
          <w:w w:val="100"/>
          <w:position w:val="0"/>
        </w:rPr>
        <w:t>30.7%</w:t>
      </w:r>
      <w:r>
        <w:rPr>
          <w:color w:val="000000"/>
          <w:spacing w:val="0"/>
          <w:w w:val="100"/>
          <w:position w:val="0"/>
        </w:rPr>
        <w:t>；国内团队则利用其本土化资源优势，运营和开发针对中国市场的线上产品与线下业态；在日趋成 熟的研运机制下，公司引入游戏业内资深人员，搭建业务团队，进一步开拓海外优质游戏的引入与发行业 务，拓展公司移动应用业务增量。</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报告期内，公司围绕“会说话的汤姆猫家族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线上线下业务发展良好。在双线业务稳步推进、相 互反哺下，公司强调聚焦</w:t>
      </w:r>
      <w:r>
        <w:rPr>
          <w:rFonts w:ascii="Times New Roman" w:eastAsia="Times New Roman" w:hAnsi="Times New Roman" w:cs="Times New Roman"/>
          <w:color w:val="000000"/>
          <w:spacing w:val="0"/>
          <w:w w:val="100"/>
          <w:position w:val="0"/>
        </w:rPr>
        <w:t>IP</w:t>
      </w:r>
      <w:r>
        <w:rPr>
          <w:color w:val="000000"/>
          <w:spacing w:val="0"/>
          <w:w w:val="100"/>
          <w:position w:val="0"/>
        </w:rPr>
        <w:t>生态运营发展战略及资源优化配置的成效初步显现。</w:t>
      </w:r>
    </w:p>
    <w:p>
      <w:pPr>
        <w:pStyle w:val="Style4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报告期内，公司主要业务进展如下：</w:t>
      </w:r>
    </w:p>
    <w:p>
      <w:pPr>
        <w:pStyle w:val="Style40"/>
        <w:keepNext w:val="0"/>
        <w:keepLines w:val="0"/>
        <w:widowControl w:val="0"/>
        <w:numPr>
          <w:ilvl w:val="0"/>
          <w:numId w:val="9"/>
        </w:numPr>
        <w:shd w:val="clear" w:color="auto" w:fill="auto"/>
        <w:bidi w:val="0"/>
        <w:spacing w:before="0" w:after="0"/>
        <w:ind w:left="0" w:right="0" w:firstLine="440"/>
        <w:jc w:val="both"/>
      </w:pPr>
      <w:bookmarkStart w:id="109" w:name="bookmark109"/>
      <w:bookmarkEnd w:id="109"/>
      <w:r>
        <w:rPr>
          <w:b/>
          <w:bCs/>
          <w:color w:val="000000"/>
          <w:spacing w:val="0"/>
          <w:w w:val="100"/>
          <w:position w:val="0"/>
        </w:rPr>
        <w:t>线上移动应用业务稳中有升</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报告期内，受国内外新型冠状病毒疫情反复的影响，全球线上娱乐维持着高需求局面，公司对已发行 上线的《我的汤姆猫</w:t>
      </w:r>
      <w:r>
        <w:rPr>
          <w:rFonts w:ascii="Times New Roman" w:eastAsia="Times New Roman" w:hAnsi="Times New Roman" w:cs="Times New Roman"/>
          <w:color w:val="000000"/>
          <w:spacing w:val="0"/>
          <w:w w:val="100"/>
          <w:position w:val="0"/>
        </w:rPr>
        <w:t>2</w:t>
      </w:r>
      <w:r>
        <w:rPr>
          <w:color w:val="000000"/>
          <w:spacing w:val="0"/>
          <w:w w:val="100"/>
          <w:position w:val="0"/>
        </w:rPr>
        <w:t>》《汤姆猫跑酷》《我的汤姆猫》《我的安吉拉》等</w:t>
      </w:r>
      <w:r>
        <w:rPr>
          <w:rFonts w:ascii="Times New Roman" w:eastAsia="Times New Roman" w:hAnsi="Times New Roman" w:cs="Times New Roman"/>
          <w:color w:val="000000"/>
          <w:spacing w:val="0"/>
          <w:w w:val="100"/>
          <w:position w:val="0"/>
        </w:rPr>
        <w:t>IP</w:t>
      </w:r>
      <w:r>
        <w:rPr>
          <w:color w:val="000000"/>
          <w:spacing w:val="0"/>
          <w:w w:val="100"/>
          <w:position w:val="0"/>
        </w:rPr>
        <w:t>系列产品开展了多次场景更新与 玩法优化，核心移动应用产品保持了强劲的活跃度，其中，《我的汤姆猫</w:t>
      </w:r>
      <w:r>
        <w:rPr>
          <w:rFonts w:ascii="Times New Roman" w:eastAsia="Times New Roman" w:hAnsi="Times New Roman" w:cs="Times New Roman"/>
          <w:color w:val="000000"/>
          <w:spacing w:val="0"/>
          <w:w w:val="100"/>
          <w:position w:val="0"/>
        </w:rPr>
        <w:t>2</w:t>
      </w:r>
      <w:r>
        <w:rPr>
          <w:color w:val="000000"/>
          <w:spacing w:val="0"/>
          <w:w w:val="100"/>
          <w:position w:val="0"/>
        </w:rPr>
        <w:t>》最高月活跃用户数达到</w:t>
      </w:r>
      <w:r>
        <w:rPr>
          <w:rFonts w:ascii="Times New Roman" w:eastAsia="Times New Roman" w:hAnsi="Times New Roman" w:cs="Times New Roman"/>
          <w:color w:val="000000"/>
          <w:spacing w:val="0"/>
          <w:w w:val="100"/>
          <w:position w:val="0"/>
        </w:rPr>
        <w:t xml:space="preserve">8,600 </w:t>
      </w:r>
      <w:r>
        <w:rPr>
          <w:color w:val="000000"/>
          <w:spacing w:val="0"/>
          <w:w w:val="100"/>
          <w:position w:val="0"/>
        </w:rPr>
        <w:t>万人次，《汤姆猫跑酷》最高月活跃用户数达到</w:t>
      </w:r>
      <w:r>
        <w:rPr>
          <w:rFonts w:ascii="Times New Roman" w:eastAsia="Times New Roman" w:hAnsi="Times New Roman" w:cs="Times New Roman"/>
          <w:color w:val="000000"/>
          <w:spacing w:val="0"/>
          <w:w w:val="100"/>
          <w:position w:val="0"/>
        </w:rPr>
        <w:t>7,900</w:t>
      </w:r>
      <w:r>
        <w:rPr>
          <w:color w:val="000000"/>
          <w:spacing w:val="0"/>
          <w:w w:val="100"/>
          <w:position w:val="0"/>
        </w:rPr>
        <w:t>万人次；分别于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年上线的《我的汤姆猫》 和《我的安吉拉》保持了长生命周期运营，最高月活跃用户数分别达</w:t>
      </w:r>
      <w:r>
        <w:rPr>
          <w:rFonts w:ascii="Times New Roman" w:eastAsia="Times New Roman" w:hAnsi="Times New Roman" w:cs="Times New Roman"/>
          <w:color w:val="000000"/>
          <w:spacing w:val="0"/>
          <w:w w:val="100"/>
          <w:position w:val="0"/>
        </w:rPr>
        <w:t>5,600</w:t>
      </w:r>
      <w:r>
        <w:rPr>
          <w:color w:val="000000"/>
          <w:spacing w:val="0"/>
          <w:w w:val="100"/>
          <w:position w:val="0"/>
        </w:rPr>
        <w:t>万人次和</w:t>
      </w:r>
      <w:r>
        <w:rPr>
          <w:rFonts w:ascii="Times New Roman" w:eastAsia="Times New Roman" w:hAnsi="Times New Roman" w:cs="Times New Roman"/>
          <w:color w:val="000000"/>
          <w:spacing w:val="0"/>
          <w:w w:val="100"/>
          <w:position w:val="0"/>
        </w:rPr>
        <w:t>6,600</w:t>
      </w:r>
      <w:r>
        <w:rPr>
          <w:color w:val="000000"/>
          <w:spacing w:val="0"/>
          <w:w w:val="100"/>
          <w:position w:val="0"/>
        </w:rPr>
        <w:t>万人次。</w:t>
      </w:r>
    </w:p>
    <w:p>
      <w:pPr>
        <w:pStyle w:val="Style40"/>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 xml:space="preserve">在延续移动业务核心品类优势的同时，公司海外及国内研发团队持续稳步推进游戏产品“精品化+多 元化”扩张，围绕“会说话的汤姆猫家族”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研发并上线了多款不同品类的精品，其中包括电子宠物养成 类游戏《汤姆猫总动员》、</w:t>
      </w:r>
      <w:r>
        <w:rPr>
          <w:rFonts w:ascii="Times New Roman" w:eastAsia="Times New Roman" w:hAnsi="Times New Roman" w:cs="Times New Roman"/>
          <w:color w:val="000000"/>
          <w:spacing w:val="0"/>
          <w:w w:val="100"/>
          <w:position w:val="0"/>
        </w:rPr>
        <w:t>IP</w:t>
      </w:r>
      <w:r>
        <w:rPr>
          <w:color w:val="000000"/>
          <w:spacing w:val="0"/>
          <w:w w:val="100"/>
          <w:position w:val="0"/>
        </w:rPr>
        <w:t>首款弹射对战手游《汤姆猫大冒险》以及</w:t>
      </w:r>
      <w:r>
        <w:rPr>
          <w:rFonts w:ascii="Times New Roman" w:eastAsia="Times New Roman" w:hAnsi="Times New Roman" w:cs="Times New Roman"/>
          <w:color w:val="000000"/>
          <w:spacing w:val="0"/>
          <w:w w:val="100"/>
          <w:position w:val="0"/>
        </w:rPr>
        <w:t>IP</w:t>
      </w:r>
      <w:r>
        <w:rPr>
          <w:color w:val="000000"/>
          <w:spacing w:val="0"/>
          <w:w w:val="100"/>
          <w:position w:val="0"/>
        </w:rPr>
        <w:t>首款赛车竞技类手游《汤姆猫飞车》。 其中，公司于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月推出的养成品类力作《汤姆猫总动员》在原有养成玩法的基础上引入了 “会说话 的汤姆猫家族” </w:t>
      </w:r>
      <w:r>
        <w:rPr>
          <w:rFonts w:ascii="Times New Roman" w:eastAsia="Times New Roman" w:hAnsi="Times New Roman" w:cs="Times New Roman"/>
          <w:color w:val="000000"/>
          <w:spacing w:val="0"/>
          <w:w w:val="100"/>
          <w:position w:val="0"/>
        </w:rPr>
        <w:t>IP</w:t>
      </w:r>
      <w:r>
        <w:rPr>
          <w:color w:val="000000"/>
          <w:spacing w:val="0"/>
          <w:w w:val="100"/>
          <w:position w:val="0"/>
        </w:rPr>
        <w:t>旗下六位家族成员一一会说话的汤姆猫、会说话的狗狗本、会说话的安吉拉、会说话的 金杰猫、会说话的汉克狗以及最新</w:t>
      </w:r>
      <w:r>
        <w:rPr>
          <w:rFonts w:ascii="Times New Roman" w:eastAsia="Times New Roman" w:hAnsi="Times New Roman" w:cs="Times New Roman"/>
          <w:color w:val="000000"/>
          <w:spacing w:val="0"/>
          <w:w w:val="100"/>
          <w:position w:val="0"/>
        </w:rPr>
        <w:t>IP</w:t>
      </w:r>
      <w:r>
        <w:rPr>
          <w:color w:val="000000"/>
          <w:spacing w:val="0"/>
          <w:w w:val="100"/>
          <w:position w:val="0"/>
        </w:rPr>
        <w:t>角色“会说话的贝卡兔”，多角色互动结合类沙盒的玩法以及丰富的游 戏场景使该产品在上线前即收到来自</w:t>
      </w:r>
      <w:r>
        <w:rPr>
          <w:rFonts w:ascii="Times New Roman" w:eastAsia="Times New Roman" w:hAnsi="Times New Roman" w:cs="Times New Roman"/>
          <w:color w:val="000000"/>
          <w:spacing w:val="0"/>
          <w:w w:val="100"/>
          <w:position w:val="0"/>
        </w:rPr>
        <w:t>Google Play</w:t>
      </w:r>
      <w:r>
        <w:rPr>
          <w:color w:val="000000"/>
          <w:spacing w:val="0"/>
          <w:w w:val="100"/>
          <w:position w:val="0"/>
        </w:rPr>
        <w:t>超过</w:t>
      </w:r>
      <w:r>
        <w:rPr>
          <w:rFonts w:ascii="Times New Roman" w:eastAsia="Times New Roman" w:hAnsi="Times New Roman" w:cs="Times New Roman"/>
          <w:color w:val="000000"/>
          <w:spacing w:val="0"/>
          <w:w w:val="100"/>
          <w:position w:val="0"/>
        </w:rPr>
        <w:t>1,300</w:t>
      </w:r>
      <w:r>
        <w:rPr>
          <w:color w:val="000000"/>
          <w:spacing w:val="0"/>
          <w:w w:val="100"/>
          <w:position w:val="0"/>
        </w:rPr>
        <w:t>万次的玩家预约，上线后数据表现优异，上线当 月下载量达</w:t>
      </w:r>
      <w:r>
        <w:rPr>
          <w:rFonts w:ascii="Times New Roman" w:eastAsia="Times New Roman" w:hAnsi="Times New Roman" w:cs="Times New Roman"/>
          <w:color w:val="000000"/>
          <w:spacing w:val="0"/>
          <w:w w:val="100"/>
          <w:position w:val="0"/>
        </w:rPr>
        <w:t>6,900</w:t>
      </w:r>
      <w:r>
        <w:rPr>
          <w:color w:val="000000"/>
          <w:spacing w:val="0"/>
          <w:w w:val="100"/>
          <w:position w:val="0"/>
        </w:rPr>
        <w:t>万次，月活跃用户数突破</w:t>
      </w:r>
      <w:r>
        <w:rPr>
          <w:rFonts w:ascii="Times New Roman" w:eastAsia="Times New Roman" w:hAnsi="Times New Roman" w:cs="Times New Roman"/>
          <w:color w:val="000000"/>
          <w:spacing w:val="0"/>
          <w:w w:val="100"/>
          <w:position w:val="0"/>
        </w:rPr>
        <w:t>5,000</w:t>
      </w:r>
      <w:r>
        <w:rPr>
          <w:color w:val="000000"/>
          <w:spacing w:val="0"/>
          <w:w w:val="100"/>
          <w:position w:val="0"/>
        </w:rPr>
        <w:t>万人次，成为拉动公司整体活跃用户数量持续增长的主力 游戏之一。据移动市场数据供应商</w:t>
      </w:r>
      <w:r>
        <w:rPr>
          <w:rFonts w:ascii="Times New Roman" w:eastAsia="Times New Roman" w:hAnsi="Times New Roman" w:cs="Times New Roman"/>
          <w:color w:val="000000"/>
          <w:spacing w:val="0"/>
          <w:w w:val="100"/>
          <w:position w:val="0"/>
        </w:rPr>
        <w:t>AppAnnie</w:t>
      </w:r>
      <w:r>
        <w:rPr>
          <w:color w:val="000000"/>
          <w:spacing w:val="0"/>
          <w:w w:val="100"/>
          <w:position w:val="0"/>
        </w:rPr>
        <w:t>发布的</w:t>
      </w:r>
      <w:r>
        <w:rPr>
          <w:i/>
          <w:iCs/>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年移动市场报告》显示，《汤姆猫总动员》以上 线半年的优异表现位列</w:t>
      </w:r>
      <w:r>
        <w:rPr>
          <w:rFonts w:ascii="Times New Roman" w:eastAsia="Times New Roman" w:hAnsi="Times New Roman" w:cs="Times New Roman"/>
          <w:color w:val="000000"/>
          <w:spacing w:val="0"/>
          <w:w w:val="100"/>
          <w:position w:val="0"/>
        </w:rPr>
        <w:t>2020</w:t>
      </w:r>
      <w:r>
        <w:rPr>
          <w:color w:val="000000"/>
          <w:spacing w:val="0"/>
          <w:w w:val="100"/>
          <w:position w:val="0"/>
        </w:rPr>
        <w:t>年全球热门下载游戏榜第八位。</w:t>
      </w:r>
    </w:p>
    <w:p>
      <w:pPr>
        <w:widowControl w:val="0"/>
        <w:jc w:val="center"/>
        <w:rPr>
          <w:sz w:val="2"/>
          <w:szCs w:val="2"/>
        </w:rPr>
      </w:pPr>
      <w:r>
        <w:drawing>
          <wp:inline>
            <wp:extent cx="5005070" cy="28892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5005070" cy="2889250"/>
                    </a:xfrm>
                    <a:prstGeom prst="rect"/>
                  </pic:spPr>
                </pic:pic>
              </a:graphicData>
            </a:graphic>
          </wp:inline>
        </w:drawing>
      </w:r>
    </w:p>
    <w:p>
      <w:pPr>
        <w:widowControl w:val="0"/>
        <w:spacing w:after="579" w:line="1" w:lineRule="exact"/>
      </w:pPr>
    </w:p>
    <w:p>
      <w:pPr>
        <w:pStyle w:val="Style4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丰富的核心玩法和过硬的产品质量使公司旗下移动应用产品深受用户与渠道认可。报告期内，公司汤 </w:t>
      </w:r>
      <w:r>
        <w:rPr>
          <w:color w:val="000000"/>
          <w:spacing w:val="0"/>
          <w:w w:val="100"/>
          <w:position w:val="0"/>
        </w:rPr>
        <w:t>姆猫家族</w:t>
      </w:r>
      <w:r>
        <w:rPr>
          <w:rFonts w:ascii="Times New Roman" w:eastAsia="Times New Roman" w:hAnsi="Times New Roman" w:cs="Times New Roman"/>
          <w:color w:val="000000"/>
          <w:spacing w:val="0"/>
          <w:w w:val="100"/>
          <w:position w:val="0"/>
        </w:rPr>
        <w:t>IP</w:t>
      </w:r>
      <w:r>
        <w:rPr>
          <w:color w:val="000000"/>
          <w:spacing w:val="0"/>
          <w:w w:val="100"/>
          <w:position w:val="0"/>
        </w:rPr>
        <w:t>系列移动应用产品斩获国内多项游戏大奖。其中，《我的汤姆猫</w:t>
      </w:r>
      <w:r>
        <w:rPr>
          <w:rFonts w:ascii="Times New Roman" w:eastAsia="Times New Roman" w:hAnsi="Times New Roman" w:cs="Times New Roman"/>
          <w:color w:val="000000"/>
          <w:spacing w:val="0"/>
          <w:w w:val="100"/>
          <w:position w:val="0"/>
        </w:rPr>
        <w:t>2</w:t>
      </w:r>
      <w:r>
        <w:rPr>
          <w:color w:val="000000"/>
          <w:spacing w:val="0"/>
          <w:w w:val="100"/>
          <w:position w:val="0"/>
        </w:rPr>
        <w:t>》分别获得硬核联盟主办的第 六届黑石奖“年度最受欢迎休闲游戏”和陀螺科技主办的第五届“金陀螺年度人气</w:t>
      </w:r>
      <w:r>
        <w:rPr>
          <w:rFonts w:ascii="Times New Roman" w:eastAsia="Times New Roman" w:hAnsi="Times New Roman" w:cs="Times New Roman"/>
          <w:color w:val="000000"/>
          <w:spacing w:val="0"/>
          <w:w w:val="100"/>
          <w:position w:val="0"/>
        </w:rPr>
        <w:t>IP</w:t>
      </w:r>
      <w:r>
        <w:rPr>
          <w:color w:val="000000"/>
          <w:spacing w:val="0"/>
          <w:w w:val="100"/>
          <w:position w:val="0"/>
        </w:rPr>
        <w:t>类游戏奖”两大奖项;</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 xml:space="preserve">《汤姆猫跑酷》斩获第六届黑石奖“年度最受欢迎休闲游戏”以及“小米最受欢迎小游戏奖”；《我的安吉 拉》获得了 </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年度最佳小游戏”；《汤姆猫总动员》荣获金口奖“</w:t>
      </w:r>
      <w:r>
        <w:rPr>
          <w:rFonts w:ascii="Times New Roman" w:eastAsia="Times New Roman" w:hAnsi="Times New Roman" w:cs="Times New Roman"/>
          <w:color w:val="000000"/>
          <w:spacing w:val="0"/>
          <w:w w:val="100"/>
          <w:position w:val="0"/>
        </w:rPr>
        <w:t>2021</w:t>
      </w:r>
      <w:r>
        <w:rPr>
          <w:color w:val="000000"/>
          <w:spacing w:val="0"/>
          <w:w w:val="100"/>
          <w:position w:val="0"/>
        </w:rPr>
        <w:t>年最受期待产品奖”；《汤姆猫飞 车》接连荣获金茶奖“</w:t>
      </w:r>
      <w:r>
        <w:rPr>
          <w:rFonts w:ascii="Times New Roman" w:eastAsia="Times New Roman" w:hAnsi="Times New Roman" w:cs="Times New Roman"/>
          <w:color w:val="000000"/>
          <w:spacing w:val="0"/>
          <w:w w:val="100"/>
          <w:position w:val="0"/>
        </w:rPr>
        <w:t>2020</w:t>
      </w:r>
      <w:r>
        <w:rPr>
          <w:color w:val="000000"/>
          <w:spacing w:val="0"/>
          <w:w w:val="100"/>
          <w:position w:val="0"/>
        </w:rPr>
        <w:t>年度最值得期待移动游戏奖”、“</w:t>
      </w:r>
      <w:r>
        <w:rPr>
          <w:rFonts w:ascii="Times New Roman" w:eastAsia="Times New Roman" w:hAnsi="Times New Roman" w:cs="Times New Roman"/>
          <w:color w:val="000000"/>
          <w:spacing w:val="0"/>
          <w:w w:val="100"/>
          <w:position w:val="0"/>
        </w:rPr>
        <w:t>2020</w:t>
      </w:r>
      <w:r>
        <w:rPr>
          <w:color w:val="000000"/>
          <w:spacing w:val="0"/>
          <w:w w:val="100"/>
          <w:position w:val="0"/>
        </w:rPr>
        <w:t>年度金手指最佳新游奖”、</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年度最佳 竞技游戏”以及</w:t>
      </w:r>
      <w:r>
        <w:rPr>
          <w:color w:val="000000"/>
          <w:spacing w:val="0"/>
          <w:w w:val="100"/>
          <w:position w:val="0"/>
        </w:rPr>
        <w:t>“</w:t>
      </w:r>
      <w:r>
        <w:rPr>
          <w:rFonts w:ascii="Times New Roman" w:eastAsia="Times New Roman" w:hAnsi="Times New Roman" w:cs="Times New Roman"/>
          <w:color w:val="000000"/>
          <w:spacing w:val="0"/>
          <w:w w:val="100"/>
          <w:position w:val="0"/>
        </w:rPr>
        <w:t>oppO</w:t>
      </w:r>
      <w:r>
        <w:rPr>
          <w:color w:val="000000"/>
          <w:spacing w:val="0"/>
          <w:w w:val="100"/>
          <w:position w:val="0"/>
        </w:rPr>
        <w:t>最佳新游奖”四个奖项。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此外，公司在围绕“会说话的汤姆猫家族”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持续推出养成、跑酷等核心品类精品产品的同时，也在 积极探索多元品类游戏，不断完善精品游戏矩阵。报告期内，公司每日给力团队推出的休闲小游戏《一波 超人》《光头探长</w:t>
      </w:r>
      <w:r>
        <w:rPr>
          <w:rFonts w:ascii="Times New Roman" w:eastAsia="Times New Roman" w:hAnsi="Times New Roman" w:cs="Times New Roman"/>
          <w:color w:val="000000"/>
          <w:spacing w:val="0"/>
          <w:w w:val="100"/>
          <w:position w:val="0"/>
        </w:rPr>
        <w:t>2</w:t>
      </w:r>
      <w:r>
        <w:rPr>
          <w:color w:val="000000"/>
          <w:spacing w:val="0"/>
          <w:w w:val="100"/>
          <w:position w:val="0"/>
        </w:rPr>
        <w:t>》等产品陆续上线抖音、快手平台，上线后运营情况良好，其中《一波超人》上线抖音 小游戏后迅速登上该平台游戏榜首。同时，公司国内团队对《汤姆猫荒野派对》《汤姆猫泡泡团》《弹弹奇 兵》《热血街头足球》等移动应用产品先后开展了多轮测试，公司将根据研发进度及版号获取情况陆续上 线相关产品。截至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月，《弹弹奇兵》已在国内安卓渠道上线，上线首月即取得良好的市场表现。</w:t>
      </w:r>
    </w:p>
    <w:p>
      <w:pPr>
        <w:pStyle w:val="Style40"/>
        <w:keepNext w:val="0"/>
        <w:keepLines w:val="0"/>
        <w:widowControl w:val="0"/>
        <w:shd w:val="clear" w:color="auto" w:fill="auto"/>
        <w:bidi w:val="0"/>
        <w:spacing w:before="0" w:after="660" w:line="469" w:lineRule="exact"/>
        <w:ind w:left="0" w:right="0" w:firstLine="440"/>
        <w:jc w:val="both"/>
      </w:pPr>
      <w:r>
        <w:rPr>
          <w:color w:val="000000"/>
          <w:spacing w:val="0"/>
          <w:w w:val="100"/>
          <w:position w:val="0"/>
        </w:rPr>
        <w:t xml:space="preserve">公司研运架构的明晰、多元品类产品的陆续上线及已上线产品的长周期稳定运营，持续夯实并强化了 公司在全球休闲游戏市场领先地位。截至报告期末，公司“会说话的汤姆猫家族”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系列移动应用全球累 计下载量已超过</w:t>
      </w:r>
      <w:r>
        <w:rPr>
          <w:rFonts w:ascii="Times New Roman" w:eastAsia="Times New Roman" w:hAnsi="Times New Roman" w:cs="Times New Roman"/>
          <w:color w:val="000000"/>
          <w:spacing w:val="0"/>
          <w:w w:val="100"/>
          <w:position w:val="0"/>
        </w:rPr>
        <w:t>150</w:t>
      </w:r>
      <w:r>
        <w:rPr>
          <w:color w:val="000000"/>
          <w:spacing w:val="0"/>
          <w:w w:val="100"/>
          <w:position w:val="0"/>
        </w:rPr>
        <w:t>亿次，全球</w:t>
      </w:r>
      <w:r>
        <w:rPr>
          <w:rFonts w:ascii="Times New Roman" w:eastAsia="Times New Roman" w:hAnsi="Times New Roman" w:cs="Times New Roman"/>
          <w:color w:val="000000"/>
          <w:spacing w:val="0"/>
          <w:w w:val="100"/>
          <w:position w:val="0"/>
        </w:rPr>
        <w:t>MAU</w:t>
      </w:r>
      <w:r>
        <w:rPr>
          <w:color w:val="000000"/>
          <w:spacing w:val="0"/>
          <w:w w:val="100"/>
          <w:position w:val="0"/>
        </w:rPr>
        <w:t>高达</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1</w:t>
      </w:r>
      <w:r>
        <w:rPr>
          <w:color w:val="000000"/>
          <w:spacing w:val="0"/>
          <w:w w:val="100"/>
          <w:position w:val="0"/>
        </w:rPr>
        <w:t>亿次。据</w:t>
      </w:r>
      <w:r>
        <w:rPr>
          <w:rFonts w:ascii="Times New Roman" w:eastAsia="Times New Roman" w:hAnsi="Times New Roman" w:cs="Times New Roman"/>
          <w:color w:val="000000"/>
          <w:spacing w:val="0"/>
          <w:w w:val="100"/>
          <w:position w:val="0"/>
        </w:rPr>
        <w:t>AppAnnie</w:t>
      </w:r>
      <w:r>
        <w:rPr>
          <w:color w:val="000000"/>
          <w:spacing w:val="0"/>
          <w:w w:val="100"/>
          <w:position w:val="0"/>
        </w:rPr>
        <w:t>发布的</w:t>
      </w:r>
      <w:r>
        <w:rPr>
          <w:i/>
          <w:iCs/>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年移动市场报告》数据统计, </w:t>
      </w:r>
      <w:r>
        <w:rPr>
          <w:rFonts w:ascii="Times New Roman" w:eastAsia="Times New Roman" w:hAnsi="Times New Roman" w:cs="Times New Roman"/>
          <w:color w:val="000000"/>
          <w:spacing w:val="0"/>
          <w:w w:val="100"/>
          <w:position w:val="0"/>
        </w:rPr>
        <w:t>2020</w:t>
      </w:r>
      <w:r>
        <w:rPr>
          <w:color w:val="000000"/>
          <w:spacing w:val="0"/>
          <w:w w:val="100"/>
          <w:position w:val="0"/>
        </w:rPr>
        <w:t>年公司位列</w:t>
      </w:r>
      <w:r>
        <w:rPr>
          <w:rFonts w:ascii="Times New Roman" w:eastAsia="Times New Roman" w:hAnsi="Times New Roman" w:cs="Times New Roman"/>
          <w:color w:val="000000"/>
          <w:spacing w:val="0"/>
          <w:w w:val="100"/>
          <w:position w:val="0"/>
        </w:rPr>
        <w:t>iOS</w:t>
      </w:r>
      <w:r>
        <w:rPr>
          <w:color w:val="000000"/>
          <w:spacing w:val="0"/>
          <w:w w:val="100"/>
          <w:position w:val="0"/>
        </w:rPr>
        <w:t>及</w:t>
      </w:r>
      <w:r>
        <w:rPr>
          <w:rFonts w:ascii="Times New Roman" w:eastAsia="Times New Roman" w:hAnsi="Times New Roman" w:cs="Times New Roman"/>
          <w:color w:val="000000"/>
          <w:spacing w:val="0"/>
          <w:w w:val="100"/>
          <w:position w:val="0"/>
        </w:rPr>
        <w:t>Google Play</w:t>
      </w:r>
      <w:r>
        <w:rPr>
          <w:color w:val="000000"/>
          <w:spacing w:val="0"/>
          <w:w w:val="100"/>
          <w:position w:val="0"/>
        </w:rPr>
        <w:t>游戏综合下载榜全球第四位，成为</w:t>
      </w:r>
      <w:r>
        <w:rPr>
          <w:rFonts w:ascii="Times New Roman" w:eastAsia="Times New Roman" w:hAnsi="Times New Roman" w:cs="Times New Roman"/>
          <w:color w:val="000000"/>
          <w:spacing w:val="0"/>
          <w:w w:val="100"/>
          <w:position w:val="0"/>
        </w:rPr>
        <w:t>2020</w:t>
      </w:r>
      <w:r>
        <w:rPr>
          <w:color w:val="000000"/>
          <w:spacing w:val="0"/>
          <w:w w:val="100"/>
          <w:position w:val="0"/>
        </w:rPr>
        <w:t>年全球热门游戏公司里仅有的两 家中国公司之一。同时，在中国、俄罗斯、印度、巴西、秘鲁、哥伦比亚、土耳其、阿根廷等全球</w:t>
      </w:r>
      <w:r>
        <w:rPr>
          <w:rFonts w:ascii="Times New Roman" w:eastAsia="Times New Roman" w:hAnsi="Times New Roman" w:cs="Times New Roman"/>
          <w:color w:val="000000"/>
          <w:spacing w:val="0"/>
          <w:w w:val="100"/>
          <w:position w:val="0"/>
        </w:rPr>
        <w:t>17</w:t>
      </w:r>
      <w:r>
        <w:rPr>
          <w:color w:val="000000"/>
          <w:spacing w:val="0"/>
          <w:w w:val="100"/>
          <w:position w:val="0"/>
        </w:rPr>
        <w:t xml:space="preserve">个国 家，“会说话的汤姆猫家族”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系列产品保持了榜单前十的人气热度。</w:t>
      </w:r>
    </w:p>
    <w:tbl>
      <w:tblPr>
        <w:tblOverlap w:val="never"/>
        <w:jc w:val="center"/>
        <w:tblLayout w:type="fixed"/>
      </w:tblPr>
      <w:tblGrid>
        <w:gridCol w:w="288"/>
        <w:gridCol w:w="451"/>
        <w:gridCol w:w="1013"/>
        <w:gridCol w:w="1027"/>
        <w:gridCol w:w="432"/>
        <w:gridCol w:w="1186"/>
        <w:gridCol w:w="706"/>
        <w:gridCol w:w="1402"/>
        <w:gridCol w:w="614"/>
      </w:tblGrid>
      <w:tr>
        <w:trPr>
          <w:trHeight w:val="326" w:hRule="exact"/>
        </w:trPr>
        <w:tc>
          <w:tcPr>
            <w:gridSpan w:val="3"/>
            <w:tcBorders/>
            <w:shd w:val="clear" w:color="auto" w:fill="F86904"/>
            <w:vAlign w:val="bottom"/>
          </w:tcPr>
          <w:p>
            <w:pPr>
              <w:pStyle w:val="Style2"/>
              <w:keepNext w:val="0"/>
              <w:keepLines w:val="0"/>
              <w:widowControl w:val="0"/>
              <w:pBdr>
                <w:top w:val="single" w:sz="0" w:space="0" w:color="F86903"/>
                <w:left w:val="single" w:sz="0" w:space="0" w:color="F86903"/>
                <w:bottom w:val="single" w:sz="0" w:space="0" w:color="F86903"/>
                <w:right w:val="single" w:sz="0" w:space="0" w:color="F86903"/>
              </w:pBdr>
              <w:shd w:val="clear" w:color="auto" w:fill="F86903"/>
              <w:bidi w:val="0"/>
              <w:spacing w:before="0" w:after="0" w:line="240" w:lineRule="auto"/>
              <w:ind w:left="0" w:right="0" w:firstLine="0"/>
              <w:jc w:val="left"/>
              <w:rPr>
                <w:sz w:val="28"/>
                <w:szCs w:val="28"/>
              </w:rPr>
            </w:pPr>
            <w:r>
              <w:rPr>
                <w:rFonts w:ascii="Times New Roman" w:eastAsia="Times New Roman" w:hAnsi="Times New Roman" w:cs="Times New Roman"/>
                <w:color w:val="FFFFFF"/>
                <w:spacing w:val="0"/>
                <w:w w:val="100"/>
                <w:position w:val="0"/>
                <w:sz w:val="28"/>
                <w:szCs w:val="28"/>
              </w:rPr>
              <w:t>[T2017</w:t>
            </w:r>
          </w:p>
        </w:tc>
        <w:tc>
          <w:tcPr>
            <w:gridSpan w:val="4"/>
            <w:tcBorders/>
            <w:shd w:val="clear" w:color="auto" w:fill="FFFFFF"/>
            <w:vAlign w:val="top"/>
          </w:tcPr>
          <w:p>
            <w:pPr>
              <w:widowControl w:val="0"/>
              <w:rPr>
                <w:sz w:val="10"/>
                <w:szCs w:val="10"/>
              </w:rPr>
            </w:pPr>
          </w:p>
        </w:tc>
        <w:tc>
          <w:tcPr>
            <w:gridSpan w:val="2"/>
            <w:tcBorders>
              <w:right w:val="single" w:sz="4"/>
            </w:tcBorders>
            <w:shd w:val="clear" w:color="auto" w:fill="F86904"/>
            <w:vAlign w:val="bottom"/>
          </w:tcPr>
          <w:p>
            <w:pPr>
              <w:pStyle w:val="Style2"/>
              <w:keepNext w:val="0"/>
              <w:keepLines w:val="0"/>
              <w:widowControl w:val="0"/>
              <w:pBdr>
                <w:top w:val="single" w:sz="0" w:space="0" w:color="F86904"/>
                <w:left w:val="single" w:sz="0" w:space="0" w:color="F86904"/>
                <w:bottom w:val="single" w:sz="0" w:space="0" w:color="F86904"/>
                <w:right w:val="single" w:sz="0" w:space="0" w:color="F86904"/>
              </w:pBdr>
              <w:shd w:val="clear" w:color="auto" w:fill="F86904"/>
              <w:bidi w:val="0"/>
              <w:spacing w:before="0" w:after="0" w:line="240" w:lineRule="auto"/>
              <w:ind w:left="0" w:right="0" w:firstLine="0"/>
              <w:jc w:val="center"/>
              <w:rPr>
                <w:sz w:val="24"/>
                <w:szCs w:val="24"/>
              </w:rPr>
            </w:pPr>
            <w:r>
              <w:rPr>
                <w:rFonts w:ascii="Times New Roman" w:eastAsia="Times New Roman" w:hAnsi="Times New Roman" w:cs="Times New Roman"/>
                <w:color w:val="FFFFFF"/>
                <w:spacing w:val="0"/>
                <w:w w:val="100"/>
                <w:position w:val="0"/>
                <w:sz w:val="24"/>
                <w:szCs w:val="24"/>
              </w:rPr>
              <w:t>2020</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101" w:lineRule="exact"/>
              <w:ind w:left="0" w:right="0" w:firstLine="0"/>
              <w:jc w:val="left"/>
              <w:rPr>
                <w:sz w:val="8"/>
                <w:szCs w:val="8"/>
              </w:rPr>
            </w:pPr>
            <w:r>
              <w:rPr>
                <w:rFonts w:ascii="Arial" w:eastAsia="Arial" w:hAnsi="Arial" w:cs="Arial"/>
                <w:b/>
                <w:bCs/>
                <w:color w:val="9CA0A4"/>
                <w:spacing w:val="0"/>
                <w:w w:val="100"/>
                <w:position w:val="0"/>
                <w:sz w:val="8"/>
                <w:szCs w:val="8"/>
              </w:rPr>
              <w:t>2018</w:t>
            </w:r>
            <w:r>
              <w:rPr>
                <w:rFonts w:ascii="SimHei" w:eastAsia="SimHei" w:hAnsi="SimHei" w:cs="SimHei"/>
                <w:color w:val="9CA0A4"/>
                <w:spacing w:val="0"/>
                <w:w w:val="100"/>
                <w:position w:val="0"/>
                <w:sz w:val="8"/>
                <w:szCs w:val="8"/>
              </w:rPr>
              <w:t>年裁先公</w:t>
            </w:r>
            <w:r>
              <w:rPr>
                <w:rFonts w:ascii="Arial" w:eastAsia="Arial" w:hAnsi="Arial" w:cs="Arial"/>
                <w:b/>
                <w:bCs/>
                <w:color w:val="9CA0A4"/>
                <w:spacing w:val="0"/>
                <w:w w:val="100"/>
                <w:position w:val="0"/>
                <w:sz w:val="8"/>
                <w:szCs w:val="8"/>
              </w:rPr>
              <w:t>B）</w:t>
            </w:r>
            <w:r>
              <w:rPr>
                <w:b/>
                <w:bCs/>
                <w:color w:val="9CA0A4"/>
                <w:spacing w:val="0"/>
                <w:w w:val="100"/>
                <w:position w:val="0"/>
                <w:sz w:val="9"/>
                <w:szCs w:val="9"/>
              </w:rPr>
              <w:t>：</w:t>
            </w:r>
            <w:r>
              <w:rPr>
                <w:rFonts w:ascii="SimHei" w:eastAsia="SimHei" w:hAnsi="SimHei" w:cs="SimHei"/>
                <w:color w:val="9CA0A4"/>
                <w:spacing w:val="0"/>
                <w:w w:val="100"/>
                <w:position w:val="0"/>
                <w:sz w:val="8"/>
                <w:szCs w:val="8"/>
              </w:rPr>
              <w:t xml:space="preserve">全球 </w:t>
            </w:r>
            <w:r>
              <w:rPr>
                <w:rFonts w:ascii="Arial" w:eastAsia="Arial" w:hAnsi="Arial" w:cs="Arial"/>
                <w:b/>
                <w:bCs/>
                <w:color w:val="9CA0A4"/>
                <w:spacing w:val="0"/>
                <w:w w:val="100"/>
                <w:position w:val="0"/>
                <w:sz w:val="8"/>
                <w:szCs w:val="8"/>
              </w:rPr>
              <w:t xml:space="preserve">iOS </w:t>
            </w:r>
            <w:r>
              <w:rPr>
                <w:rFonts w:ascii="SimHei" w:eastAsia="SimHei" w:hAnsi="SimHei" w:cs="SimHei"/>
                <w:color w:val="9CA0A4"/>
                <w:spacing w:val="0"/>
                <w:w w:val="100"/>
                <w:position w:val="0"/>
                <w:sz w:val="8"/>
                <w:szCs w:val="8"/>
              </w:rPr>
              <w:t xml:space="preserve">与 </w:t>
            </w:r>
            <w:r>
              <w:rPr>
                <w:rFonts w:ascii="Arial" w:eastAsia="Arial" w:hAnsi="Arial" w:cs="Arial"/>
                <w:b/>
                <w:bCs/>
                <w:color w:val="9CA0A4"/>
                <w:spacing w:val="0"/>
                <w:w w:val="100"/>
                <w:position w:val="0"/>
                <w:sz w:val="8"/>
                <w:szCs w:val="8"/>
              </w:rPr>
              <w:t xml:space="preserve">Google Play </w:t>
            </w:r>
            <w:r>
              <w:rPr>
                <w:rFonts w:ascii="SimHei" w:eastAsia="SimHei" w:hAnsi="SimHei" w:cs="SimHei"/>
                <w:color w:val="9CA0A4"/>
                <w:spacing w:val="0"/>
                <w:w w:val="100"/>
                <w:position w:val="0"/>
                <w:sz w:val="8"/>
                <w:szCs w:val="8"/>
              </w:rPr>
              <w:t>溥我</w:t>
            </w:r>
            <w:r>
              <w:rPr>
                <w:rFonts w:ascii="Arial" w:eastAsia="Arial" w:hAnsi="Arial" w:cs="Arial"/>
                <w:b/>
                <w:bCs/>
                <w:color w:val="9CA0A4"/>
                <w:spacing w:val="0"/>
                <w:w w:val="100"/>
                <w:position w:val="0"/>
                <w:sz w:val="8"/>
                <w:szCs w:val="8"/>
              </w:rPr>
              <w:t>StW</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9CA0A4"/>
                <w:spacing w:val="0"/>
                <w:w w:val="100"/>
                <w:position w:val="0"/>
                <w:sz w:val="8"/>
                <w:szCs w:val="8"/>
              </w:rPr>
              <w:t>301*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212B4B"/>
                <w:spacing w:val="0"/>
                <w:w w:val="100"/>
                <w:position w:val="0"/>
                <w:sz w:val="13"/>
                <w:szCs w:val="13"/>
              </w:rPr>
              <w:t>¥琢卜就重琲</w:t>
            </w:r>
            <w:r>
              <w:rPr>
                <w:color w:val="212B4B"/>
                <w:spacing w:val="0"/>
                <w:w w:val="100"/>
                <w:position w:val="0"/>
                <w:sz w:val="13"/>
                <w:szCs w:val="13"/>
              </w:rPr>
              <w:t>&amp;</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9"/>
                <w:szCs w:val="9"/>
              </w:rPr>
            </w:pPr>
            <w:r>
              <w:rPr>
                <w:rFonts w:ascii="SimHei" w:eastAsia="SimHei" w:hAnsi="SimHei" w:cs="SimHei"/>
                <w:color w:val="313131"/>
                <w:spacing w:val="0"/>
                <w:w w:val="100"/>
                <w:position w:val="0"/>
                <w:sz w:val="9"/>
                <w:szCs w:val="9"/>
              </w:rPr>
              <w:t>热门游戏公司</w:t>
            </w:r>
          </w:p>
        </w:tc>
        <w:tc>
          <w:tcPr>
            <w:tcBorders>
              <w:righ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87A9C3"/>
                <w:spacing w:val="0"/>
                <w:w w:val="100"/>
                <w:position w:val="0"/>
                <w:sz w:val="8"/>
                <w:szCs w:val="8"/>
              </w:rPr>
              <w:t>W8</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A879D"/>
                <w:spacing w:val="0"/>
                <w:w w:val="100"/>
                <w:position w:val="0"/>
                <w:sz w:val="8"/>
                <w:szCs w:val="8"/>
              </w:rPr>
              <w:t>ea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1B5DF"/>
                <w:spacing w:val="0"/>
                <w:w w:val="100"/>
                <w:position w:val="0"/>
                <w:sz w:val="8"/>
                <w:szCs w:val="8"/>
              </w:rPr>
              <w:t>精名</w:t>
            </w:r>
            <w:r>
              <w:rPr>
                <w:rFonts w:ascii="SimHei" w:eastAsia="SimHei" w:hAnsi="SimHei" w:cs="SimHei"/>
                <w:color w:val="59698C"/>
                <w:spacing w:val="0"/>
                <w:w w:val="100"/>
                <w:position w:val="0"/>
                <w:sz w:val="8"/>
                <w:szCs w:val="8"/>
              </w:rPr>
              <w:t>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i/>
                <w:iCs/>
                <w:color w:val="354A6F"/>
                <w:spacing w:val="0"/>
                <w:w w:val="100"/>
                <w:position w:val="0"/>
                <w:sz w:val="10"/>
                <w:szCs w:val="10"/>
              </w:rPr>
              <w:t>AU</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6D6D6D"/>
                <w:spacing w:val="0"/>
                <w:w w:val="100"/>
                <w:position w:val="0"/>
                <w:sz w:val="13"/>
                <w:szCs w:val="13"/>
              </w:rPr>
              <w:t>领先游戏公司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Voodoo</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D6D6D"/>
                <w:spacing w:val="0"/>
                <w:w w:val="100"/>
                <w:position w:val="0"/>
                <w:sz w:val="8"/>
                <w:szCs w:val="8"/>
              </w:rPr>
              <w:t>France</w:t>
            </w:r>
          </w:p>
        </w:tc>
      </w:tr>
      <w:tr>
        <w:trPr>
          <w:trHeight w:val="1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80"/>
              <w:jc w:val="both"/>
              <w:rPr>
                <w:sz w:val="8"/>
                <w:szCs w:val="8"/>
              </w:rPr>
            </w:pPr>
            <w:r>
              <w:rPr>
                <w:rFonts w:ascii="Arial" w:eastAsia="Arial" w:hAnsi="Arial" w:cs="Arial"/>
                <w:b/>
                <w:bCs/>
                <w:color w:val="7E8189"/>
                <w:spacing w:val="0"/>
                <w:w w:val="100"/>
                <w:position w:val="0"/>
                <w:sz w:val="8"/>
                <w:szCs w:val="8"/>
              </w:rPr>
              <w:t>AppLovin</w:t>
            </w:r>
          </w:p>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Crazy Labs</w:t>
            </w:r>
          </w:p>
        </w:tc>
        <w:tc>
          <w:tcPr>
            <w:vMerge w:val="restart"/>
            <w:tcBorders>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8"/>
                <w:szCs w:val="8"/>
              </w:rPr>
            </w:pPr>
            <w:r>
              <w:rPr>
                <w:rFonts w:ascii="Arial" w:eastAsia="Arial" w:hAnsi="Arial" w:cs="Arial"/>
                <w:b/>
                <w:bCs/>
                <w:color w:val="7E8189"/>
                <w:spacing w:val="0"/>
                <w:w w:val="100"/>
                <w:position w:val="0"/>
                <w:sz w:val="8"/>
                <w:szCs w:val="8"/>
              </w:rPr>
              <w:t>United States</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Israel</w:t>
            </w:r>
          </w:p>
        </w:tc>
      </w:tr>
      <w:tr>
        <w:trPr>
          <w:trHeight w:val="37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rPr>
                <w:sz w:val="8"/>
                <w:szCs w:val="8"/>
              </w:rPr>
            </w:pPr>
            <w:r>
              <w:rPr>
                <w:rFonts w:ascii="Arial" w:eastAsia="Arial" w:hAnsi="Arial" w:cs="Arial"/>
                <w:b/>
                <w:bCs/>
                <w:color w:val="B8BDBD"/>
                <w:spacing w:val="0"/>
                <w:w w:val="100"/>
                <w:position w:val="0"/>
                <w:sz w:val="8"/>
                <w:szCs w:val="8"/>
              </w:rPr>
              <w:t>1</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8"/>
                <w:szCs w:val="8"/>
              </w:rPr>
            </w:pPr>
            <w:r>
              <w:rPr>
                <w:rFonts w:ascii="Arial" w:eastAsia="Arial" w:hAnsi="Arial" w:cs="Arial"/>
                <w:b/>
                <w:bCs/>
                <w:color w:val="9CA0A4"/>
                <w:spacing w:val="0"/>
                <w:w w:val="100"/>
                <w:position w:val="0"/>
                <w:sz w:val="8"/>
                <w:szCs w:val="8"/>
              </w:rPr>
              <w:t>iUD</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8"/>
                <w:szCs w:val="8"/>
              </w:rPr>
            </w:pPr>
            <w:r>
              <w:rPr>
                <w:rFonts w:ascii="Arial" w:eastAsia="Arial" w:hAnsi="Arial" w:cs="Arial"/>
                <w:b/>
                <w:bCs/>
                <w:color w:val="7A879D"/>
                <w:spacing w:val="0"/>
                <w:w w:val="100"/>
                <w:position w:val="0"/>
                <w:sz w:val="8"/>
                <w:szCs w:val="8"/>
              </w:rPr>
              <w:t>1 Voodoo</w:t>
            </w:r>
          </w:p>
          <w:p>
            <w:pPr>
              <w:pStyle w:val="Style2"/>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59698C"/>
                <w:spacing w:val="0"/>
                <w:w w:val="100"/>
                <w:position w:val="0"/>
                <w:sz w:val="8"/>
                <w:szCs w:val="8"/>
              </w:rPr>
              <w:t>UK</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Voodoo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法国</w:t>
            </w:r>
          </w:p>
        </w:tc>
        <w:tc>
          <w:tcPr>
            <w:vMerge/>
            <w:tcBorders/>
            <w:shd w:val="clear" w:color="auto" w:fill="FFFFFF"/>
            <w:vAlign w:val="center"/>
          </w:tcPr>
          <w:p>
            <w:pPr/>
          </w:p>
        </w:tc>
        <w:tc>
          <w:tcPr>
            <w:vMerge/>
            <w:tcBorders>
              <w:right w:val="single" w:sz="4"/>
            </w:tcBorders>
            <w:shd w:val="clear" w:color="auto" w:fill="FFFFFF"/>
            <w:vAlign w:val="center"/>
          </w:tcPr>
          <w:p>
            <w:pPr/>
          </w:p>
        </w:tc>
      </w:tr>
      <w:tr>
        <w:trPr>
          <w:trHeight w:val="18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i/>
                <w:iCs/>
                <w:color w:val="B8BDBD"/>
                <w:spacing w:val="0"/>
                <w:w w:val="100"/>
                <w:position w:val="0"/>
                <w:sz w:val="10"/>
                <w:szCs w:val="10"/>
              </w:rPr>
              <w:t>2</w:t>
            </w:r>
          </w:p>
        </w:tc>
        <w:tc>
          <w:tcPr>
            <w:tcBorders/>
            <w:shd w:val="clear" w:color="auto" w:fill="FFFFFF"/>
            <w:vAlign w:val="top"/>
          </w:tcPr>
          <w:p>
            <w:pPr>
              <w:pStyle w:val="Style2"/>
              <w:keepNext w:val="0"/>
              <w:keepLines w:val="0"/>
              <w:widowControl w:val="0"/>
              <w:shd w:val="clear" w:color="auto" w:fill="auto"/>
              <w:bidi w:val="0"/>
              <w:spacing w:before="0" w:after="0" w:line="264" w:lineRule="auto"/>
              <w:ind w:left="0" w:right="0" w:firstLine="0"/>
              <w:jc w:val="left"/>
              <w:rPr>
                <w:sz w:val="8"/>
                <w:szCs w:val="8"/>
              </w:rPr>
            </w:pPr>
            <w:r>
              <w:rPr>
                <w:rFonts w:ascii="Arial" w:eastAsia="Arial" w:hAnsi="Arial" w:cs="Arial"/>
                <w:b/>
                <w:bCs/>
                <w:color w:val="9CA0A4"/>
                <w:spacing w:val="0"/>
                <w:w w:val="100"/>
                <w:position w:val="0"/>
                <w:sz w:val="8"/>
                <w:szCs w:val="8"/>
              </w:rPr>
              <w:t>fitatorac Mi</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A879D"/>
                <w:spacing w:val="0"/>
                <w:w w:val="100"/>
                <w:position w:val="0"/>
                <w:sz w:val="8"/>
                <w:szCs w:val="8"/>
              </w:rPr>
              <w:t>MOI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Good Job Gjmcs</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±HX</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FD1B18"/>
                <w:spacing w:val="0"/>
                <w:w w:val="100"/>
                <w:position w:val="0"/>
                <w:sz w:val="8"/>
                <w:szCs w:val="8"/>
              </w:rPr>
              <w:t xml:space="preserve">| </w:t>
            </w:r>
            <w:r>
              <w:rPr>
                <w:rFonts w:ascii="Arial" w:eastAsia="Arial" w:hAnsi="Arial" w:cs="Arial"/>
                <w:b/>
                <w:bCs/>
                <w:color w:val="7E8189"/>
                <w:spacing w:val="0"/>
                <w:w w:val="100"/>
                <w:position w:val="0"/>
                <w:sz w:val="8"/>
                <w:szCs w:val="8"/>
              </w:rPr>
              <w:t xml:space="preserve">Jinke Culture </w:t>
            </w:r>
            <w:r>
              <w:rPr>
                <w:rFonts w:ascii="Arial" w:eastAsia="Arial" w:hAnsi="Arial" w:cs="Arial"/>
                <w:b/>
                <w:bCs/>
                <w:color w:val="7E8189"/>
                <w:spacing w:val="0"/>
                <w:w w:val="100"/>
                <w:position w:val="0"/>
                <w:sz w:val="8"/>
                <w:szCs w:val="8"/>
              </w:rPr>
              <w:t xml:space="preserve">- </w:t>
            </w:r>
            <w:r>
              <w:rPr>
                <w:rFonts w:ascii="Arial" w:eastAsia="Arial" w:hAnsi="Arial" w:cs="Arial"/>
                <w:b/>
                <w:bCs/>
                <w:color w:val="7E8189"/>
                <w:spacing w:val="0"/>
                <w:w w:val="100"/>
                <w:position w:val="0"/>
                <w:sz w:val="8"/>
                <w:szCs w:val="8"/>
              </w:rPr>
              <w:t>Outfit?</w:t>
            </w: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 xml:space="preserve">China </w:t>
            </w:r>
            <w:r>
              <w:rPr>
                <w:rFonts w:ascii="Arial" w:eastAsia="Arial" w:hAnsi="Arial" w:cs="Arial"/>
                <w:b/>
                <w:bCs/>
                <w:color w:val="D6271E"/>
                <w:spacing w:val="0"/>
                <w:w w:val="100"/>
                <w:position w:val="0"/>
                <w:sz w:val="8"/>
                <w:szCs w:val="8"/>
              </w:rPr>
              <w:t>|</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8"/>
                <w:szCs w:val="8"/>
              </w:rPr>
            </w:pPr>
            <w:r>
              <w:rPr>
                <w:rFonts w:ascii="Arial" w:eastAsia="Arial" w:hAnsi="Arial" w:cs="Arial"/>
                <w:b/>
                <w:bCs/>
                <w:color w:val="B8BDBD"/>
                <w:spacing w:val="0"/>
                <w:w w:val="100"/>
                <w:position w:val="0"/>
                <w:sz w:val="8"/>
                <w:szCs w:val="8"/>
              </w:rPr>
              <w:t>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88C9E3"/>
                <w:spacing w:val="0"/>
                <w:w w:val="100"/>
                <w:position w:val="0"/>
                <w:sz w:val="8"/>
                <w:szCs w:val="8"/>
              </w:rPr>
              <w:t xml:space="preserve">3 </w:t>
            </w:r>
            <w:r>
              <w:rPr>
                <w:rFonts w:ascii="Arial" w:eastAsia="Arial" w:hAnsi="Arial" w:cs="Arial"/>
                <w:b/>
                <w:bCs/>
                <w:color w:val="59698C"/>
                <w:spacing w:val="0"/>
                <w:w w:val="100"/>
                <w:position w:val="0"/>
                <w:sz w:val="8"/>
                <w:szCs w:val="8"/>
              </w:rPr>
              <w:t>nta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59698C"/>
                <w:spacing w:val="0"/>
                <w:w w:val="100"/>
                <w:position w:val="0"/>
                <w:sz w:val="8"/>
                <w:szCs w:val="8"/>
              </w:rPr>
              <w:t>中国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SayGamcs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白俄罗济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SayGames</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Belarus</w:t>
            </w:r>
          </w:p>
        </w:tc>
      </w:tr>
      <w:tr>
        <w:trPr>
          <w:trHeight w:val="250"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32"/>
                <w:szCs w:val="32"/>
              </w:rPr>
            </w:pPr>
            <w:r>
              <w:rPr>
                <w:rFonts w:ascii="Arial" w:eastAsia="Arial" w:hAnsi="Arial" w:cs="Arial"/>
                <w:color w:val="E0595C"/>
                <w:spacing w:val="0"/>
                <w:w w:val="100"/>
                <w:position w:val="0"/>
                <w:sz w:val="32"/>
                <w:szCs w:val="32"/>
              </w:rPr>
              <w:t>L.</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Om«7</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4 Outfit?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firstLine="0"/>
              <w:jc w:val="center"/>
              <w:rPr>
                <w:sz w:val="8"/>
                <w:szCs w:val="8"/>
              </w:rPr>
            </w:pPr>
            <w:r>
              <w:rPr>
                <w:rFonts w:ascii="Arial" w:eastAsia="Arial" w:hAnsi="Arial" w:cs="Arial"/>
                <w:b/>
                <w:bCs/>
                <w:color w:val="E53533"/>
                <w:spacing w:val="0"/>
                <w:w w:val="100"/>
                <w:position w:val="0"/>
                <w:sz w:val="8"/>
                <w:szCs w:val="8"/>
              </w:rPr>
              <w:t xml:space="preserve">| </w:t>
            </w:r>
            <w:r>
              <w:rPr>
                <w:rFonts w:ascii="Arial" w:eastAsia="Arial" w:hAnsi="Arial" w:cs="Arial"/>
                <w:b/>
                <w:bCs/>
                <w:color w:val="7E8189"/>
                <w:spacing w:val="0"/>
                <w:w w:val="100"/>
                <w:position w:val="0"/>
                <w:sz w:val="8"/>
                <w:szCs w:val="8"/>
              </w:rPr>
              <w:t>Outfit?</w:t>
            </w:r>
          </w:p>
        </w:tc>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Playgendaiy</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Germany</w:t>
            </w:r>
          </w:p>
        </w:tc>
      </w:tr>
      <w:tr>
        <w:trPr>
          <w:trHeight w:val="418" w:hRule="exact"/>
        </w:trPr>
        <w:tc>
          <w:tcPr>
            <w:vMerge/>
            <w:tcBorders/>
            <w:shd w:val="clear" w:color="auto" w:fill="FFFFFF"/>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Mndp</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2C3D9"/>
                <w:spacing w:val="0"/>
                <w:w w:val="100"/>
                <w:position w:val="0"/>
                <w:sz w:val="8"/>
                <w:szCs w:val="8"/>
              </w:rPr>
              <w:t xml:space="preserve">5 </w:t>
            </w:r>
            <w:r>
              <w:rPr>
                <w:rFonts w:ascii="Arial" w:eastAsia="Arial" w:hAnsi="Arial" w:cs="Arial"/>
                <w:b/>
                <w:bCs/>
                <w:color w:val="7A879D"/>
                <w:spacing w:val="0"/>
                <w:w w:val="100"/>
                <w:position w:val="0"/>
                <w:sz w:val="8"/>
                <w:szCs w:val="8"/>
              </w:rPr>
              <w:t>Tat&gt;T«l*</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Playgendary</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宓国</w:t>
            </w:r>
          </w:p>
        </w:tc>
        <w:tc>
          <w:tcPr>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280"/>
              <w:jc w:val="left"/>
              <w:rPr>
                <w:sz w:val="8"/>
                <w:szCs w:val="8"/>
              </w:rPr>
            </w:pPr>
            <w:r>
              <w:rPr>
                <w:rFonts w:ascii="Arial" w:eastAsia="Arial" w:hAnsi="Arial" w:cs="Arial"/>
                <w:b/>
                <w:bCs/>
                <w:color w:val="7E8189"/>
                <w:spacing w:val="0"/>
                <w:w w:val="100"/>
                <w:position w:val="0"/>
                <w:sz w:val="8"/>
                <w:szCs w:val="8"/>
              </w:rPr>
              <w:t>Azur Interactive Games</w:t>
            </w:r>
          </w:p>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Miniclip</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8"/>
                <w:szCs w:val="8"/>
              </w:rPr>
            </w:pPr>
            <w:r>
              <w:rPr>
                <w:rFonts w:ascii="Arial" w:eastAsia="Arial" w:hAnsi="Arial" w:cs="Arial"/>
                <w:b/>
                <w:bCs/>
                <w:color w:val="7E8189"/>
                <w:spacing w:val="0"/>
                <w:w w:val="100"/>
                <w:position w:val="0"/>
                <w:sz w:val="8"/>
                <w:szCs w:val="8"/>
              </w:rPr>
              <w:t>Russia</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Switzerland</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MMM</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4X8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2C3D9"/>
                <w:spacing w:val="0"/>
                <w:w w:val="100"/>
                <w:position w:val="0"/>
                <w:sz w:val="8"/>
                <w:szCs w:val="8"/>
              </w:rPr>
              <w:t xml:space="preserve">6 </w:t>
            </w:r>
            <w:r>
              <w:rPr>
                <w:rFonts w:ascii="Arial" w:eastAsia="Arial" w:hAnsi="Arial" w:cs="Arial"/>
                <w:b/>
                <w:bCs/>
                <w:color w:val="7A879D"/>
                <w:spacing w:val="0"/>
                <w:w w:val="100"/>
                <w:position w:val="0"/>
                <w:sz w:val="8"/>
                <w:szCs w:val="8"/>
              </w:rPr>
              <w:t>Eltctroruc Art*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59698C"/>
                <w:spacing w:val="0"/>
                <w:w w:val="100"/>
                <w:position w:val="0"/>
                <w:sz w:val="8"/>
                <w:szCs w:val="8"/>
              </w:rPr>
              <w:t>美国</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AppLovin</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美国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BabyBus</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E8189"/>
                <w:spacing w:val="0"/>
                <w:w w:val="100"/>
                <w:position w:val="0"/>
                <w:sz w:val="8"/>
                <w:szCs w:val="8"/>
              </w:rPr>
              <w:t>China</w:t>
            </w:r>
          </w:p>
        </w:tc>
      </w:tr>
      <w:tr>
        <w:trPr>
          <w:trHeight w:val="26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0"/>
                <w:szCs w:val="10"/>
              </w:rPr>
            </w:pPr>
            <w:r>
              <w:rPr>
                <w:rFonts w:ascii="Times New Roman" w:eastAsia="Times New Roman" w:hAnsi="Times New Roman" w:cs="Times New Roman"/>
                <w:i/>
                <w:iCs/>
                <w:color w:val="B8BDBD"/>
                <w:spacing w:val="0"/>
                <w:w w:val="100"/>
                <w:position w:val="0"/>
                <w:sz w:val="10"/>
                <w:szCs w:val="10"/>
              </w:rPr>
              <w:t>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UM</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2C3D9"/>
                <w:spacing w:val="0"/>
                <w:w w:val="100"/>
                <w:position w:val="0"/>
                <w:sz w:val="8"/>
                <w:szCs w:val="8"/>
              </w:rPr>
              <w:t xml:space="preserve">7 </w:t>
            </w:r>
            <w:r>
              <w:rPr>
                <w:rFonts w:ascii="Arial" w:eastAsia="Arial" w:hAnsi="Arial" w:cs="Arial"/>
                <w:b/>
                <w:bCs/>
                <w:color w:val="7A879D"/>
                <w:spacing w:val="0"/>
                <w:w w:val="100"/>
                <w:position w:val="0"/>
                <w:sz w:val="8"/>
                <w:szCs w:val="8"/>
              </w:rPr>
              <w:t>Aoolovic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9698C"/>
                <w:spacing w:val="0"/>
                <w:w w:val="100"/>
                <w:position w:val="0"/>
                <w:sz w:val="12"/>
                <w:szCs w:val="12"/>
              </w:rPr>
              <w:t>ROD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Crazy Lat»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以色列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7E8189"/>
                <w:spacing w:val="0"/>
                <w:w w:val="100"/>
                <w:position w:val="0"/>
                <w:sz w:val="8"/>
                <w:szCs w:val="8"/>
              </w:rPr>
              <w:t>Playrix</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Ireland</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A879D"/>
                <w:spacing w:val="0"/>
                <w:w w:val="100"/>
                <w:position w:val="0"/>
                <w:sz w:val="8"/>
                <w:szCs w:val="8"/>
              </w:rPr>
              <w:t>MOD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88C9E3"/>
                <w:spacing w:val="0"/>
                <w:w w:val="100"/>
                <w:position w:val="0"/>
                <w:sz w:val="8"/>
                <w:szCs w:val="8"/>
              </w:rPr>
              <w:t xml:space="preserve">8 </w:t>
            </w:r>
            <w:r>
              <w:rPr>
                <w:rFonts w:ascii="Arial" w:eastAsia="Arial" w:hAnsi="Arial" w:cs="Arial"/>
                <w:b/>
                <w:bCs/>
                <w:color w:val="7A879D"/>
                <w:spacing w:val="0"/>
                <w:w w:val="100"/>
                <w:position w:val="0"/>
                <w:sz w:val="8"/>
                <w:szCs w:val="8"/>
              </w:rPr>
              <w:t>VH</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7A879D"/>
                <w:spacing w:val="0"/>
                <w:w w:val="100"/>
                <w:position w:val="0"/>
                <w:sz w:val="12"/>
                <w:szCs w:val="12"/>
              </w:rPr>
              <w:t>&gt;£9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Miniclip</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璃士</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A879D"/>
                <w:spacing w:val="0"/>
                <w:w w:val="100"/>
                <w:position w:val="0"/>
                <w:sz w:val="8"/>
                <w:szCs w:val="8"/>
              </w:rPr>
              <w:t>MA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ODD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88C9E3"/>
                <w:spacing w:val="0"/>
                <w:w w:val="100"/>
                <w:position w:val="0"/>
                <w:sz w:val="8"/>
                <w:szCs w:val="8"/>
              </w:rPr>
              <w:t xml:space="preserve">9 </w:t>
            </w:r>
            <w:r>
              <w:rPr>
                <w:rFonts w:ascii="Arial" w:eastAsia="Arial" w:hAnsi="Arial" w:cs="Arial"/>
                <w:b/>
                <w:bCs/>
                <w:color w:val="7A879D"/>
                <w:spacing w:val="0"/>
                <w:w w:val="100"/>
                <w:position w:val="0"/>
                <w:sz w:val="8"/>
                <w:szCs w:val="8"/>
              </w:rPr>
              <w:t>PteyQ»n4ary</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9698C"/>
                <w:spacing w:val="0"/>
                <w:w w:val="100"/>
                <w:position w:val="0"/>
                <w:sz w:val="12"/>
                <w:szCs w:val="12"/>
              </w:rPr>
              <w:t>■oa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7E8189"/>
                <w:spacing w:val="0"/>
                <w:w w:val="100"/>
                <w:position w:val="0"/>
                <w:sz w:val="8"/>
                <w:szCs w:val="8"/>
              </w:rPr>
              <w:t>ste±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中国</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4&gt;4D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88C9E3"/>
                <w:spacing w:val="0"/>
                <w:w w:val="100"/>
                <w:position w:val="0"/>
                <w:sz w:val="8"/>
                <w:szCs w:val="8"/>
              </w:rPr>
              <w:t xml:space="preserve">K) </w:t>
            </w:r>
            <w:r>
              <w:rPr>
                <w:rFonts w:ascii="Arial" w:eastAsia="Arial" w:hAnsi="Arial" w:cs="Arial"/>
                <w:b/>
                <w:bCs/>
                <w:color w:val="7A879D"/>
                <w:spacing w:val="0"/>
                <w:w w:val="100"/>
                <w:position w:val="0"/>
                <w:sz w:val="8"/>
                <w:szCs w:val="8"/>
              </w:rPr>
              <w:t>Mlniclip</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7A879D"/>
                <w:spacing w:val="0"/>
                <w:w w:val="100"/>
                <w:position w:val="0"/>
                <w:sz w:val="12"/>
                <w:szCs w:val="1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E8189"/>
                <w:spacing w:val="0"/>
                <w:w w:val="100"/>
                <w:position w:val="0"/>
                <w:sz w:val="8"/>
                <w:szCs w:val="8"/>
              </w:rPr>
              <w:t>HiH</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E8189"/>
                <w:spacing w:val="0"/>
                <w:w w:val="100"/>
                <w:position w:val="0"/>
                <w:sz w:val="9"/>
                <w:szCs w:val="9"/>
              </w:rPr>
              <w:t>中国</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val="0"/>
        <w:keepLines w:val="0"/>
        <w:widowControl w:val="0"/>
        <w:numPr>
          <w:ilvl w:val="0"/>
          <w:numId w:val="9"/>
        </w:numPr>
        <w:shd w:val="clear" w:color="auto" w:fill="auto"/>
        <w:bidi w:val="0"/>
        <w:spacing w:before="0" w:after="0" w:line="466" w:lineRule="exact"/>
        <w:ind w:left="0" w:right="0" w:firstLine="440"/>
        <w:jc w:val="both"/>
      </w:pPr>
      <w:bookmarkStart w:id="110" w:name="bookmark110"/>
      <w:bookmarkEnd w:id="110"/>
      <w:r>
        <w:rPr>
          <w:b/>
          <w:bCs/>
          <w:color w:val="000000"/>
          <w:spacing w:val="0"/>
          <w:w w:val="100"/>
          <w:position w:val="0"/>
        </w:rPr>
        <w:t>动漫影视作品持续热播</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此前，公司基于“会说话的汤姆猫家族”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 xml:space="preserve">已推出系列动画片、短片及迷你剧等动漫影视作品，通过 </w:t>
      </w:r>
      <w:r>
        <w:rPr>
          <w:rFonts w:ascii="Times New Roman" w:eastAsia="Times New Roman" w:hAnsi="Times New Roman" w:cs="Times New Roman"/>
          <w:color w:val="000000"/>
          <w:spacing w:val="0"/>
          <w:w w:val="100"/>
          <w:position w:val="0"/>
        </w:rPr>
        <w:t>YouTube</w:t>
      </w:r>
      <w:r>
        <w:rPr>
          <w:color w:val="000000"/>
          <w:spacing w:val="0"/>
          <w:w w:val="100"/>
          <w:position w:val="0"/>
        </w:rPr>
        <w:t>、</w:t>
      </w:r>
      <w:r>
        <w:rPr>
          <w:rFonts w:ascii="Times New Roman" w:eastAsia="Times New Roman" w:hAnsi="Times New Roman" w:cs="Times New Roman"/>
          <w:color w:val="000000"/>
          <w:spacing w:val="0"/>
          <w:w w:val="100"/>
          <w:position w:val="0"/>
        </w:rPr>
        <w:t>Netflix</w:t>
      </w:r>
      <w:r>
        <w:rPr>
          <w:color w:val="000000"/>
          <w:spacing w:val="0"/>
          <w:w w:val="100"/>
          <w:position w:val="0"/>
        </w:rPr>
        <w:t>等全球主流平台在全球</w:t>
      </w:r>
      <w:r>
        <w:rPr>
          <w:rFonts w:ascii="Times New Roman" w:eastAsia="Times New Roman" w:hAnsi="Times New Roman" w:cs="Times New Roman"/>
          <w:color w:val="000000"/>
          <w:spacing w:val="0"/>
          <w:w w:val="100"/>
          <w:position w:val="0"/>
        </w:rPr>
        <w:t>200</w:t>
      </w:r>
      <w:r>
        <w:rPr>
          <w:color w:val="000000"/>
          <w:spacing w:val="0"/>
          <w:w w:val="100"/>
          <w:position w:val="0"/>
        </w:rPr>
        <w:t>多个国家和地区播放，深受全球用户的喜爱。截至报告期末， 公司“会说话的汤姆猫家族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系列动画作品已被翻译成</w:t>
      </w:r>
      <w:r>
        <w:rPr>
          <w:rFonts w:ascii="Times New Roman" w:eastAsia="Times New Roman" w:hAnsi="Times New Roman" w:cs="Times New Roman"/>
          <w:color w:val="000000"/>
          <w:spacing w:val="0"/>
          <w:w w:val="100"/>
          <w:position w:val="0"/>
        </w:rPr>
        <w:t>32</w:t>
      </w:r>
      <w:r>
        <w:rPr>
          <w:color w:val="000000"/>
          <w:spacing w:val="0"/>
          <w:w w:val="100"/>
          <w:position w:val="0"/>
        </w:rPr>
        <w:t>种语言，全球累计播放量已超过</w:t>
      </w:r>
      <w:r>
        <w:rPr>
          <w:rFonts w:ascii="Times New Roman" w:eastAsia="Times New Roman" w:hAnsi="Times New Roman" w:cs="Times New Roman"/>
          <w:color w:val="000000"/>
          <w:spacing w:val="0"/>
          <w:w w:val="100"/>
          <w:position w:val="0"/>
        </w:rPr>
        <w:t>720</w:t>
      </w:r>
      <w:r>
        <w:rPr>
          <w:color w:val="000000"/>
          <w:spacing w:val="0"/>
          <w:w w:val="100"/>
          <w:position w:val="0"/>
        </w:rPr>
        <w:t>亿次。</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凭借丰富有趣的原创剧情和过硬的品质口碑，“会说话的汤姆猫家族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系列动画在海外市场保持了良 好的播放热度及发展趋势。报告期内，</w:t>
      </w:r>
      <w:r>
        <w:rPr>
          <w:rFonts w:ascii="Times New Roman" w:eastAsia="Times New Roman" w:hAnsi="Times New Roman" w:cs="Times New Roman"/>
          <w:color w:val="000000"/>
          <w:spacing w:val="0"/>
          <w:w w:val="100"/>
          <w:position w:val="0"/>
        </w:rPr>
        <w:t>IP</w:t>
      </w:r>
      <w:r>
        <w:rPr>
          <w:color w:val="000000"/>
          <w:spacing w:val="0"/>
          <w:w w:val="100"/>
          <w:position w:val="0"/>
        </w:rPr>
        <w:t>系列动画作品在</w:t>
      </w:r>
      <w:r>
        <w:rPr>
          <w:rFonts w:ascii="Times New Roman" w:eastAsia="Times New Roman" w:hAnsi="Times New Roman" w:cs="Times New Roman"/>
          <w:color w:val="000000"/>
          <w:spacing w:val="0"/>
          <w:w w:val="100"/>
          <w:position w:val="0"/>
        </w:rPr>
        <w:t>YouTube</w:t>
      </w:r>
      <w:r>
        <w:rPr>
          <w:color w:val="000000"/>
          <w:spacing w:val="0"/>
          <w:w w:val="100"/>
          <w:position w:val="0"/>
        </w:rPr>
        <w:t>上的新增观看量突破</w:t>
      </w:r>
      <w:r>
        <w:rPr>
          <w:rFonts w:ascii="Times New Roman" w:eastAsia="Times New Roman" w:hAnsi="Times New Roman" w:cs="Times New Roman"/>
          <w:color w:val="000000"/>
          <w:spacing w:val="0"/>
          <w:w w:val="100"/>
          <w:position w:val="0"/>
        </w:rPr>
        <w:t>129</w:t>
      </w:r>
      <w:r>
        <w:rPr>
          <w:color w:val="000000"/>
          <w:spacing w:val="0"/>
          <w:w w:val="100"/>
          <w:position w:val="0"/>
        </w:rPr>
        <w:t xml:space="preserve">亿次，同比增长 </w:t>
      </w:r>
      <w:r>
        <w:rPr>
          <w:rFonts w:ascii="Times New Roman" w:eastAsia="Times New Roman" w:hAnsi="Times New Roman" w:cs="Times New Roman"/>
          <w:color w:val="000000"/>
          <w:spacing w:val="0"/>
          <w:w w:val="100"/>
          <w:position w:val="0"/>
        </w:rPr>
        <w:t>114%</w:t>
      </w:r>
      <w:r>
        <w:rPr>
          <w:color w:val="000000"/>
          <w:spacing w:val="0"/>
          <w:w w:val="100"/>
          <w:position w:val="0"/>
        </w:rPr>
        <w:t>。作为</w:t>
      </w:r>
      <w:r>
        <w:rPr>
          <w:rFonts w:ascii="Times New Roman" w:eastAsia="Times New Roman" w:hAnsi="Times New Roman" w:cs="Times New Roman"/>
          <w:color w:val="000000"/>
          <w:spacing w:val="0"/>
          <w:w w:val="100"/>
          <w:position w:val="0"/>
        </w:rPr>
        <w:t>YouTube</w:t>
      </w:r>
      <w:r>
        <w:rPr>
          <w:color w:val="000000"/>
          <w:spacing w:val="0"/>
          <w:w w:val="100"/>
          <w:position w:val="0"/>
        </w:rPr>
        <w:t>上知名动漫品牌，其内容深受各年龄段用户喜爱，旗下“会说话的汤姆猫”官方账号 多次荣获</w:t>
      </w:r>
      <w:r>
        <w:rPr>
          <w:rFonts w:ascii="Times New Roman" w:eastAsia="Times New Roman" w:hAnsi="Times New Roman" w:cs="Times New Roman"/>
          <w:color w:val="000000"/>
          <w:spacing w:val="0"/>
          <w:w w:val="100"/>
          <w:position w:val="0"/>
        </w:rPr>
        <w:t>YouTube</w:t>
      </w:r>
      <w:r>
        <w:rPr>
          <w:color w:val="000000"/>
          <w:spacing w:val="0"/>
          <w:w w:val="100"/>
          <w:position w:val="0"/>
        </w:rPr>
        <w:t>全网点播量热门频道，报告期内，“会说话的汤姆猫”官方账号成功上榜</w:t>
      </w:r>
      <w:r>
        <w:rPr>
          <w:rFonts w:ascii="Times New Roman" w:eastAsia="Times New Roman" w:hAnsi="Times New Roman" w:cs="Times New Roman"/>
          <w:color w:val="000000"/>
          <w:spacing w:val="0"/>
          <w:w w:val="100"/>
          <w:position w:val="0"/>
        </w:rPr>
        <w:t>YouTube</w:t>
      </w:r>
      <w:r>
        <w:rPr>
          <w:color w:val="000000"/>
          <w:spacing w:val="0"/>
          <w:w w:val="100"/>
          <w:position w:val="0"/>
        </w:rPr>
        <w:t>全球频 道前</w:t>
      </w:r>
      <w:r>
        <w:rPr>
          <w:rFonts w:ascii="Times New Roman" w:eastAsia="Times New Roman" w:hAnsi="Times New Roman" w:cs="Times New Roman"/>
          <w:color w:val="000000"/>
          <w:spacing w:val="0"/>
          <w:w w:val="100"/>
          <w:position w:val="0"/>
        </w:rPr>
        <w:t>50</w:t>
      </w:r>
      <w:r>
        <w:rPr>
          <w:color w:val="000000"/>
          <w:spacing w:val="0"/>
          <w:w w:val="100"/>
          <w:position w:val="0"/>
        </w:rPr>
        <w:t>； “会说话的安吉拉”官方账号订阅人数突破</w:t>
      </w:r>
      <w:r>
        <w:rPr>
          <w:rFonts w:ascii="Times New Roman" w:eastAsia="Times New Roman" w:hAnsi="Times New Roman" w:cs="Times New Roman"/>
          <w:color w:val="000000"/>
          <w:spacing w:val="0"/>
          <w:w w:val="100"/>
          <w:position w:val="0"/>
        </w:rPr>
        <w:t>1,000</w:t>
      </w:r>
      <w:r>
        <w:rPr>
          <w:color w:val="000000"/>
          <w:spacing w:val="0"/>
          <w:w w:val="100"/>
          <w:position w:val="0"/>
        </w:rPr>
        <w:t>万，荣获</w:t>
      </w:r>
      <w:r>
        <w:rPr>
          <w:rFonts w:ascii="Times New Roman" w:eastAsia="Times New Roman" w:hAnsi="Times New Roman" w:cs="Times New Roman"/>
          <w:color w:val="000000"/>
          <w:spacing w:val="0"/>
          <w:w w:val="100"/>
          <w:position w:val="0"/>
        </w:rPr>
        <w:t>YouTube</w:t>
      </w:r>
      <w:r>
        <w:rPr>
          <w:color w:val="000000"/>
          <w:spacing w:val="0"/>
          <w:w w:val="100"/>
          <w:position w:val="0"/>
        </w:rPr>
        <w:t>平台颁发给运营商的最高级别影 响力的</w:t>
      </w:r>
      <w:r>
        <w:rPr>
          <w:rFonts w:ascii="Times New Roman" w:eastAsia="Times New Roman" w:hAnsi="Times New Roman" w:cs="Times New Roman"/>
          <w:color w:val="000000"/>
          <w:spacing w:val="0"/>
          <w:w w:val="100"/>
          <w:position w:val="0"/>
        </w:rPr>
        <w:t>Diamond Creator</w:t>
      </w:r>
      <w:r>
        <w:rPr>
          <w:color w:val="000000"/>
          <w:spacing w:val="0"/>
          <w:w w:val="100"/>
          <w:position w:val="0"/>
        </w:rPr>
        <w:t>奖项，截至报告期末，“会说话的汤姆猫家族”</w:t>
      </w:r>
      <w:r>
        <w:rPr>
          <w:rFonts w:ascii="Times New Roman" w:eastAsia="Times New Roman" w:hAnsi="Times New Roman" w:cs="Times New Roman"/>
          <w:color w:val="000000"/>
          <w:spacing w:val="0"/>
          <w:w w:val="100"/>
          <w:position w:val="0"/>
        </w:rPr>
        <w:t>IP</w:t>
      </w:r>
      <w:r>
        <w:rPr>
          <w:color w:val="000000"/>
          <w:spacing w:val="0"/>
          <w:w w:val="100"/>
          <w:position w:val="0"/>
        </w:rPr>
        <w:t xml:space="preserve">旗下已拥有三个千万订阅量级别的 </w:t>
      </w:r>
      <w:r>
        <w:rPr>
          <w:rFonts w:ascii="Times New Roman" w:eastAsia="Times New Roman" w:hAnsi="Times New Roman" w:cs="Times New Roman"/>
          <w:color w:val="000000"/>
          <w:spacing w:val="0"/>
          <w:w w:val="100"/>
          <w:position w:val="0"/>
        </w:rPr>
        <w:t>YouTube</w:t>
      </w:r>
      <w:r>
        <w:rPr>
          <w:color w:val="000000"/>
          <w:spacing w:val="0"/>
          <w:w w:val="100"/>
          <w:position w:val="0"/>
        </w:rPr>
        <w:t>官方 号。</w:t>
      </w:r>
    </w:p>
    <w:p>
      <w:pPr>
        <w:widowControl w:val="0"/>
        <w:spacing w:line="1" w:lineRule="exact"/>
      </w:pPr>
      <w:r>
        <w:drawing>
          <wp:anchor distT="241300" distB="30480" distL="0" distR="0" simplePos="0" relativeHeight="125829378" behindDoc="0" locked="0" layoutInCell="1" allowOverlap="1">
            <wp:simplePos x="0" y="0"/>
            <wp:positionH relativeFrom="page">
              <wp:posOffset>1266825</wp:posOffset>
            </wp:positionH>
            <wp:positionV relativeFrom="paragraph">
              <wp:posOffset>241300</wp:posOffset>
            </wp:positionV>
            <wp:extent cx="829310" cy="64008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9"/>
                    <a:stretch/>
                  </pic:blipFill>
                  <pic:spPr>
                    <a:xfrm>
                      <a:ext cx="829310" cy="640080"/>
                    </a:xfrm>
                    <a:prstGeom prst="rect"/>
                  </pic:spPr>
                </pic:pic>
              </a:graphicData>
            </a:graphic>
          </wp:anchor>
        </w:drawing>
      </w:r>
      <w:r>
        <mc:AlternateContent>
          <mc:Choice Requires="wps">
            <w:drawing>
              <wp:anchor distT="363220" distB="100330" distL="0" distR="0" simplePos="0" relativeHeight="125829379" behindDoc="0" locked="0" layoutInCell="1" allowOverlap="1">
                <wp:simplePos x="0" y="0"/>
                <wp:positionH relativeFrom="page">
                  <wp:posOffset>2433955</wp:posOffset>
                </wp:positionH>
                <wp:positionV relativeFrom="paragraph">
                  <wp:posOffset>363220</wp:posOffset>
                </wp:positionV>
                <wp:extent cx="1112520" cy="445135"/>
                <wp:wrapTopAndBottom/>
                <wp:docPr id="14" name="Shape 14"/>
                <a:graphic xmlns:a="http://schemas.openxmlformats.org/drawingml/2006/main">
                  <a:graphicData uri="http://schemas.microsoft.com/office/word/2010/wordprocessingShape">
                    <wps:wsp>
                      <wps:cNvSpPr txBox="1"/>
                      <wps:spPr>
                        <a:xfrm>
                          <a:ext cx="1112520" cy="4451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64"/>
                                <w:szCs w:val="64"/>
                              </w:rPr>
                            </w:pPr>
                            <w:r>
                              <w:rPr>
                                <w:rFonts w:ascii="Arial" w:eastAsia="Arial" w:hAnsi="Arial" w:cs="Arial"/>
                                <w:b/>
                                <w:bCs/>
                                <w:color w:val="E20D18"/>
                                <w:spacing w:val="0"/>
                                <w:w w:val="60"/>
                                <w:position w:val="0"/>
                                <w:sz w:val="64"/>
                                <w:szCs w:val="64"/>
                              </w:rPr>
                              <w:t>NETFLIX</w:t>
                            </w:r>
                          </w:p>
                        </w:txbxContent>
                      </wps:txbx>
                      <wps:bodyPr wrap="none" lIns="0" tIns="0" rIns="0" bIns="0">
                        <a:noAutoFit/>
                      </wps:bodyPr>
                    </wps:wsp>
                  </a:graphicData>
                </a:graphic>
              </wp:anchor>
            </w:drawing>
          </mc:Choice>
          <mc:Fallback>
            <w:pict>
              <v:shape id="_x0000_s1040" type="#_x0000_t202" style="position:absolute;margin-left:191.65000000000001pt;margin-top:28.600000000000001pt;width:87.600000000000009pt;height:35.050000000000004pt;z-index:-125829374;mso-wrap-distance-left:0;mso-wrap-distance-top:28.600000000000001pt;mso-wrap-distance-right:0;mso-wrap-distance-bottom:7.90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64"/>
                          <w:szCs w:val="64"/>
                        </w:rPr>
                      </w:pPr>
                      <w:r>
                        <w:rPr>
                          <w:rFonts w:ascii="Arial" w:eastAsia="Arial" w:hAnsi="Arial" w:cs="Arial"/>
                          <w:b/>
                          <w:bCs/>
                          <w:color w:val="E20D18"/>
                          <w:spacing w:val="0"/>
                          <w:w w:val="60"/>
                          <w:position w:val="0"/>
                          <w:sz w:val="64"/>
                          <w:szCs w:val="64"/>
                        </w:rPr>
                        <w:t>NETFLIX</w:t>
                      </w:r>
                    </w:p>
                  </w:txbxContent>
                </v:textbox>
                <w10:wrap type="topAndBottom" anchorx="page"/>
              </v:shape>
            </w:pict>
          </mc:Fallback>
        </mc:AlternateContent>
      </w:r>
      <w:r>
        <mc:AlternateContent>
          <mc:Choice Requires="wps">
            <w:drawing>
              <wp:anchor distT="405765" distB="267970" distL="0" distR="0" simplePos="0" relativeHeight="125829381" behindDoc="0" locked="0" layoutInCell="1" allowOverlap="1">
                <wp:simplePos x="0" y="0"/>
                <wp:positionH relativeFrom="page">
                  <wp:posOffset>3940175</wp:posOffset>
                </wp:positionH>
                <wp:positionV relativeFrom="paragraph">
                  <wp:posOffset>405765</wp:posOffset>
                </wp:positionV>
                <wp:extent cx="1112520" cy="234950"/>
                <wp:wrapTopAndBottom/>
                <wp:docPr id="16" name="Shape 16"/>
                <a:graphic xmlns:a="http://schemas.openxmlformats.org/drawingml/2006/main">
                  <a:graphicData uri="http://schemas.microsoft.com/office/word/2010/wordprocessingShape">
                    <wps:wsp>
                      <wps:cNvSpPr txBox="1"/>
                      <wps:spPr>
                        <a:xfrm>
                          <a:ext cx="1112520" cy="234950"/>
                        </a:xfrm>
                        <a:prstGeom prst="rect"/>
                        <a:noFill/>
                      </wps:spPr>
                      <wps:txbx>
                        <w:txbxContent>
                          <w:p>
                            <w:pPr>
                              <w:pStyle w:val="Style2"/>
                              <w:keepNext w:val="0"/>
                              <w:keepLines w:val="0"/>
                              <w:widowControl w:val="0"/>
                              <w:pBdr>
                                <w:top w:val="single" w:sz="0" w:space="0" w:color="83197D"/>
                                <w:left w:val="single" w:sz="0" w:space="0" w:color="83197D"/>
                                <w:bottom w:val="single" w:sz="0" w:space="0" w:color="83197D"/>
                                <w:right w:val="single" w:sz="0" w:space="0" w:color="83197D"/>
                              </w:pBdr>
                              <w:shd w:val="clear" w:color="auto" w:fill="83197D"/>
                              <w:bidi w:val="0"/>
                              <w:spacing w:before="0" w:after="0" w:line="240" w:lineRule="auto"/>
                              <w:ind w:left="0" w:right="0" w:firstLine="0"/>
                              <w:jc w:val="center"/>
                              <w:rPr>
                                <w:sz w:val="30"/>
                                <w:szCs w:val="30"/>
                              </w:rPr>
                            </w:pPr>
                            <w:r>
                              <w:rPr>
                                <w:rFonts w:ascii="Arial" w:eastAsia="Arial" w:hAnsi="Arial" w:cs="Arial"/>
                                <w:color w:val="FFFFFF"/>
                                <w:spacing w:val="0"/>
                                <w:w w:val="100"/>
                                <w:position w:val="0"/>
                                <w:sz w:val="30"/>
                                <w:szCs w:val="30"/>
                              </w:rPr>
                              <w:t xml:space="preserve">teieToOw </w:t>
                            </w:r>
                            <w:r>
                              <w:rPr>
                                <w:rFonts w:ascii="Arial" w:eastAsia="Arial" w:hAnsi="Arial" w:cs="Arial"/>
                                <w:color w:val="FFFFFF"/>
                                <w:spacing w:val="0"/>
                                <w:w w:val="100"/>
                                <w:position w:val="0"/>
                                <w:sz w:val="30"/>
                                <w:szCs w:val="30"/>
                              </w:rPr>
                              <w:t>+</w:t>
                            </w:r>
                          </w:p>
                        </w:txbxContent>
                      </wps:txbx>
                      <wps:bodyPr wrap="none" lIns="0" tIns="0" rIns="0" bIns="0">
                        <a:noAutoFit/>
                      </wps:bodyPr>
                    </wps:wsp>
                  </a:graphicData>
                </a:graphic>
              </wp:anchor>
            </w:drawing>
          </mc:Choice>
          <mc:Fallback>
            <w:pict>
              <v:shape id="_x0000_s1042" type="#_x0000_t202" style="position:absolute;margin-left:310.25pt;margin-top:31.949999999999999pt;width:87.600000000000009pt;height:18.5pt;z-index:-125829372;mso-wrap-distance-left:0;mso-wrap-distance-top:31.949999999999999pt;mso-wrap-distance-right:0;mso-wrap-distance-bottom:21.100000000000001pt;mso-position-horizontal-relative:page" filled="f" stroked="f">
                <v:textbox inset="0,0,0,0">
                  <w:txbxContent>
                    <w:p>
                      <w:pPr>
                        <w:pStyle w:val="Style2"/>
                        <w:keepNext w:val="0"/>
                        <w:keepLines w:val="0"/>
                        <w:widowControl w:val="0"/>
                        <w:pBdr>
                          <w:top w:val="single" w:sz="0" w:space="0" w:color="83197D"/>
                          <w:left w:val="single" w:sz="0" w:space="0" w:color="83197D"/>
                          <w:bottom w:val="single" w:sz="0" w:space="0" w:color="83197D"/>
                          <w:right w:val="single" w:sz="0" w:space="0" w:color="83197D"/>
                        </w:pBdr>
                        <w:shd w:val="clear" w:color="auto" w:fill="83197D"/>
                        <w:bidi w:val="0"/>
                        <w:spacing w:before="0" w:after="0" w:line="240" w:lineRule="auto"/>
                        <w:ind w:left="0" w:right="0" w:firstLine="0"/>
                        <w:jc w:val="center"/>
                        <w:rPr>
                          <w:sz w:val="30"/>
                          <w:szCs w:val="30"/>
                        </w:rPr>
                      </w:pPr>
                      <w:r>
                        <w:rPr>
                          <w:rFonts w:ascii="Arial" w:eastAsia="Arial" w:hAnsi="Arial" w:cs="Arial"/>
                          <w:color w:val="FFFFFF"/>
                          <w:spacing w:val="0"/>
                          <w:w w:val="100"/>
                          <w:position w:val="0"/>
                          <w:sz w:val="30"/>
                          <w:szCs w:val="30"/>
                        </w:rPr>
                        <w:t xml:space="preserve">teieToOw </w:t>
                      </w:r>
                      <w:r>
                        <w:rPr>
                          <w:rFonts w:ascii="Arial" w:eastAsia="Arial" w:hAnsi="Arial" w:cs="Arial"/>
                          <w:color w:val="FFFFFF"/>
                          <w:spacing w:val="0"/>
                          <w:w w:val="100"/>
                          <w:position w:val="0"/>
                          <w:sz w:val="30"/>
                          <w:szCs w:val="30"/>
                        </w:rPr>
                        <w:t>+</w:t>
                      </w:r>
                    </w:p>
                  </w:txbxContent>
                </v:textbox>
                <w10:wrap type="topAndBottom" anchorx="page"/>
              </v:shape>
            </w:pict>
          </mc:Fallback>
        </mc:AlternateContent>
      </w:r>
      <w:r>
        <mc:AlternateContent>
          <mc:Choice Requires="wps">
            <w:drawing>
              <wp:anchor distT="811530" distB="0" distL="0" distR="0" simplePos="0" relativeHeight="125829383" behindDoc="0" locked="0" layoutInCell="1" allowOverlap="1">
                <wp:simplePos x="0" y="0"/>
                <wp:positionH relativeFrom="page">
                  <wp:posOffset>5415280</wp:posOffset>
                </wp:positionH>
                <wp:positionV relativeFrom="paragraph">
                  <wp:posOffset>811530</wp:posOffset>
                </wp:positionV>
                <wp:extent cx="853440" cy="97790"/>
                <wp:wrapTopAndBottom/>
                <wp:docPr id="18" name="Shape 18"/>
                <a:graphic xmlns:a="http://schemas.openxmlformats.org/drawingml/2006/main">
                  <a:graphicData uri="http://schemas.microsoft.com/office/word/2010/wordprocessingShape">
                    <wps:wsp>
                      <wps:cNvSpPr txBox="1"/>
                      <wps:spPr>
                        <a:xfrm>
                          <a:ext cx="85344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rPr>
                              <w:t>CARTOON NETWORK</w:t>
                            </w:r>
                          </w:p>
                        </w:txbxContent>
                      </wps:txbx>
                      <wps:bodyPr wrap="none" lIns="0" tIns="0" rIns="0" bIns="0">
                        <a:noAutoFit/>
                      </wps:bodyPr>
                    </wps:wsp>
                  </a:graphicData>
                </a:graphic>
              </wp:anchor>
            </w:drawing>
          </mc:Choice>
          <mc:Fallback>
            <w:pict>
              <v:shape id="_x0000_s1044" type="#_x0000_t202" style="position:absolute;margin-left:426.40000000000003pt;margin-top:63.899999999999999pt;width:67.200000000000003pt;height:7.7000000000000002pt;z-index:-125829370;mso-wrap-distance-left:0;mso-wrap-distance-top:63.89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rPr>
                        <w:t>CARTOON NETWORK</w:t>
                      </w:r>
                    </w:p>
                  </w:txbxContent>
                </v:textbox>
                <w10:wrap type="topAndBottom" anchorx="page"/>
              </v:shape>
            </w:pict>
          </mc:Fallback>
        </mc:AlternateContent>
      </w:r>
    </w:p>
    <w:p>
      <w:pPr>
        <w:widowControl w:val="0"/>
        <w:spacing w:line="1" w:lineRule="exact"/>
      </w:pPr>
      <w:r>
        <mc:AlternateContent>
          <mc:Choice Requires="wps">
            <w:drawing>
              <wp:anchor distT="177800" distB="0" distL="0" distR="0" simplePos="0" relativeHeight="125829385" behindDoc="0" locked="0" layoutInCell="1" allowOverlap="1">
                <wp:simplePos x="0" y="0"/>
                <wp:positionH relativeFrom="page">
                  <wp:posOffset>1266825</wp:posOffset>
                </wp:positionH>
                <wp:positionV relativeFrom="paragraph">
                  <wp:posOffset>177800</wp:posOffset>
                </wp:positionV>
                <wp:extent cx="859790" cy="448310"/>
                <wp:wrapTopAndBottom/>
                <wp:docPr id="20" name="Shape 20"/>
                <a:graphic xmlns:a="http://schemas.openxmlformats.org/drawingml/2006/main">
                  <a:graphicData uri="http://schemas.microsoft.com/office/word/2010/wordprocessingShape">
                    <wps:wsp>
                      <wps:cNvSpPr txBox="1"/>
                      <wps:spPr>
                        <a:xfrm>
                          <a:ext cx="859790" cy="4483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000000"/>
                                <w:spacing w:val="0"/>
                                <w:w w:val="100"/>
                                <w:position w:val="0"/>
                                <w:sz w:val="60"/>
                                <w:szCs w:val="60"/>
                              </w:rPr>
                              <w:t>HB®</w:t>
                            </w:r>
                          </w:p>
                        </w:txbxContent>
                      </wps:txbx>
                      <wps:bodyPr wrap="none" lIns="0" tIns="0" rIns="0" bIns="0">
                        <a:noAutoFit/>
                      </wps:bodyPr>
                    </wps:wsp>
                  </a:graphicData>
                </a:graphic>
              </wp:anchor>
            </w:drawing>
          </mc:Choice>
          <mc:Fallback>
            <w:pict>
              <v:shape id="_x0000_s1046" type="#_x0000_t202" style="position:absolute;margin-left:99.75pt;margin-top:14.pt;width:67.700000000000003pt;height:35.300000000000004pt;z-index:-125829368;mso-wrap-distance-left:0;mso-wrap-distance-top:14.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000000"/>
                          <w:spacing w:val="0"/>
                          <w:w w:val="100"/>
                          <w:position w:val="0"/>
                          <w:sz w:val="60"/>
                          <w:szCs w:val="60"/>
                        </w:rPr>
                        <w:t>HB®</w:t>
                      </w:r>
                    </w:p>
                  </w:txbxContent>
                </v:textbox>
                <w10:wrap type="topAndBottom" anchorx="page"/>
              </v:shape>
            </w:pict>
          </mc:Fallback>
        </mc:AlternateContent>
      </w:r>
      <w:r>
        <mc:AlternateContent>
          <mc:Choice Requires="wps">
            <w:drawing>
              <wp:anchor distT="180975" distB="40005" distL="0" distR="0" simplePos="0" relativeHeight="125829387" behindDoc="0" locked="0" layoutInCell="1" allowOverlap="1">
                <wp:simplePos x="0" y="0"/>
                <wp:positionH relativeFrom="page">
                  <wp:posOffset>4022090</wp:posOffset>
                </wp:positionH>
                <wp:positionV relativeFrom="paragraph">
                  <wp:posOffset>180975</wp:posOffset>
                </wp:positionV>
                <wp:extent cx="841375" cy="405130"/>
                <wp:wrapTopAndBottom/>
                <wp:docPr id="22" name="Shape 22"/>
                <a:graphic xmlns:a="http://schemas.openxmlformats.org/drawingml/2006/main">
                  <a:graphicData uri="http://schemas.microsoft.com/office/word/2010/wordprocessingShape">
                    <wps:wsp>
                      <wps:cNvSpPr txBox="1"/>
                      <wps:spPr>
                        <a:xfrm>
                          <a:ext cx="841375" cy="4051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4"/>
                                <w:szCs w:val="54"/>
                              </w:rPr>
                            </w:pPr>
                            <w:r>
                              <w:rPr>
                                <w:rFonts w:ascii="Times New Roman" w:eastAsia="Times New Roman" w:hAnsi="Times New Roman" w:cs="Times New Roman"/>
                                <w:b/>
                                <w:bCs/>
                                <w:smallCaps/>
                                <w:color w:val="6C3D95"/>
                                <w:spacing w:val="0"/>
                                <w:w w:val="100"/>
                                <w:position w:val="0"/>
                                <w:sz w:val="54"/>
                                <w:szCs w:val="54"/>
                              </w:rPr>
                              <w:t>Roku</w:t>
                            </w:r>
                          </w:p>
                        </w:txbxContent>
                      </wps:txbx>
                      <wps:bodyPr wrap="none" lIns="0" tIns="0" rIns="0" bIns="0">
                        <a:noAutoFit/>
                      </wps:bodyPr>
                    </wps:wsp>
                  </a:graphicData>
                </a:graphic>
              </wp:anchor>
            </w:drawing>
          </mc:Choice>
          <mc:Fallback>
            <w:pict>
              <v:shape id="_x0000_s1048" type="#_x0000_t202" style="position:absolute;margin-left:316.69999999999999pt;margin-top:14.25pt;width:66.25pt;height:31.900000000000002pt;z-index:-125829366;mso-wrap-distance-left:0;mso-wrap-distance-top:14.25pt;mso-wrap-distance-right:0;mso-wrap-distance-bottom:3.14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54"/>
                          <w:szCs w:val="54"/>
                        </w:rPr>
                      </w:pPr>
                      <w:r>
                        <w:rPr>
                          <w:rFonts w:ascii="Times New Roman" w:eastAsia="Times New Roman" w:hAnsi="Times New Roman" w:cs="Times New Roman"/>
                          <w:b/>
                          <w:bCs/>
                          <w:smallCaps/>
                          <w:color w:val="6C3D95"/>
                          <w:spacing w:val="0"/>
                          <w:w w:val="100"/>
                          <w:position w:val="0"/>
                          <w:sz w:val="54"/>
                          <w:szCs w:val="54"/>
                        </w:rPr>
                        <w:t>Roku</w:t>
                      </w:r>
                    </w:p>
                  </w:txbxContent>
                </v:textbox>
                <w10:wrap type="topAndBottom" anchorx="page"/>
              </v:shape>
            </w:pict>
          </mc:Fallback>
        </mc:AlternateContent>
      </w:r>
    </w:p>
    <w:p>
      <w:pPr>
        <w:widowControl w:val="0"/>
        <w:spacing w:line="1" w:lineRule="exact"/>
      </w:pPr>
      <w:r>
        <mc:AlternateContent>
          <mc:Choice Requires="wps">
            <w:drawing>
              <wp:anchor distT="194310" distB="57785" distL="0" distR="0" simplePos="0" relativeHeight="125829389" behindDoc="0" locked="0" layoutInCell="1" allowOverlap="1">
                <wp:simplePos x="0" y="0"/>
                <wp:positionH relativeFrom="page">
                  <wp:posOffset>1160145</wp:posOffset>
                </wp:positionH>
                <wp:positionV relativeFrom="paragraph">
                  <wp:posOffset>194310</wp:posOffset>
                </wp:positionV>
                <wp:extent cx="1106170" cy="328930"/>
                <wp:wrapTopAndBottom/>
                <wp:docPr id="24" name="Shape 24"/>
                <a:graphic xmlns:a="http://schemas.openxmlformats.org/drawingml/2006/main">
                  <a:graphicData uri="http://schemas.microsoft.com/office/word/2010/wordprocessingShape">
                    <wps:wsp>
                      <wps:cNvSpPr txBox="1"/>
                      <wps:spPr>
                        <a:xfrm>
                          <a:ext cx="1106170" cy="32893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6"/>
                                <w:szCs w:val="26"/>
                              </w:rPr>
                            </w:pPr>
                            <w:r>
                              <w:rPr>
                                <w:i/>
                                <w:iCs/>
                                <w:color w:val="6CAE85"/>
                                <w:spacing w:val="0"/>
                                <w:w w:val="100"/>
                                <w:position w:val="0"/>
                                <w:sz w:val="26"/>
                                <w:szCs w:val="26"/>
                              </w:rPr>
                              <w:t>0</w:t>
                            </w:r>
                            <w:r>
                              <w:rPr>
                                <w:i/>
                                <w:iCs/>
                                <w:color w:val="494948"/>
                                <w:spacing w:val="0"/>
                                <w:w w:val="100"/>
                                <w:position w:val="0"/>
                                <w:sz w:val="26"/>
                                <w:szCs w:val="26"/>
                              </w:rPr>
                              <w:t>腾讯视频</w:t>
                            </w:r>
                          </w:p>
                          <w:p>
                            <w:pPr>
                              <w:pStyle w:val="Style40"/>
                              <w:keepNext w:val="0"/>
                              <w:keepLines w:val="0"/>
                              <w:widowControl w:val="0"/>
                              <w:shd w:val="clear" w:color="auto" w:fill="auto"/>
                              <w:bidi w:val="0"/>
                              <w:spacing w:before="0" w:after="0" w:line="240" w:lineRule="auto"/>
                              <w:ind w:left="0" w:right="0" w:firstLine="580"/>
                              <w:jc w:val="left"/>
                              <w:rPr>
                                <w:sz w:val="19"/>
                                <w:szCs w:val="19"/>
                              </w:rPr>
                            </w:pPr>
                            <w:r>
                              <w:rPr>
                                <w:i/>
                                <w:iCs/>
                                <w:color w:val="7E8189"/>
                                <w:spacing w:val="0"/>
                                <w:w w:val="100"/>
                                <w:position w:val="0"/>
                                <w:sz w:val="20"/>
                                <w:szCs w:val="20"/>
                              </w:rPr>
                              <w:t>不</w:t>
                            </w:r>
                            <w:r>
                              <w:rPr>
                                <w:color w:val="7E8189"/>
                                <w:spacing w:val="0"/>
                                <w:w w:val="100"/>
                                <w:position w:val="0"/>
                                <w:sz w:val="19"/>
                                <w:szCs w:val="19"/>
                              </w:rPr>
                              <w:t>衣好时站</w:t>
                            </w:r>
                          </w:p>
                        </w:txbxContent>
                      </wps:txbx>
                      <wps:bodyPr lIns="0" tIns="0" rIns="0" bIns="0">
                        <a:noAutoFit/>
                      </wps:bodyPr>
                    </wps:wsp>
                  </a:graphicData>
                </a:graphic>
              </wp:anchor>
            </w:drawing>
          </mc:Choice>
          <mc:Fallback>
            <w:pict>
              <v:shape id="_x0000_s1050" type="#_x0000_t202" style="position:absolute;margin-left:91.350000000000009pt;margin-top:15.300000000000001pt;width:87.100000000000009pt;height:25.900000000000002pt;z-index:-125829364;mso-wrap-distance-left:0;mso-wrap-distance-top:15.300000000000001pt;mso-wrap-distance-right:0;mso-wrap-distance-bottom:4.5499999999999998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6"/>
                          <w:szCs w:val="26"/>
                        </w:rPr>
                      </w:pPr>
                      <w:r>
                        <w:rPr>
                          <w:i/>
                          <w:iCs/>
                          <w:color w:val="6CAE85"/>
                          <w:spacing w:val="0"/>
                          <w:w w:val="100"/>
                          <w:position w:val="0"/>
                          <w:sz w:val="26"/>
                          <w:szCs w:val="26"/>
                        </w:rPr>
                        <w:t>0</w:t>
                      </w:r>
                      <w:r>
                        <w:rPr>
                          <w:i/>
                          <w:iCs/>
                          <w:color w:val="494948"/>
                          <w:spacing w:val="0"/>
                          <w:w w:val="100"/>
                          <w:position w:val="0"/>
                          <w:sz w:val="26"/>
                          <w:szCs w:val="26"/>
                        </w:rPr>
                        <w:t>腾讯视频</w:t>
                      </w:r>
                    </w:p>
                    <w:p>
                      <w:pPr>
                        <w:pStyle w:val="Style40"/>
                        <w:keepNext w:val="0"/>
                        <w:keepLines w:val="0"/>
                        <w:widowControl w:val="0"/>
                        <w:shd w:val="clear" w:color="auto" w:fill="auto"/>
                        <w:bidi w:val="0"/>
                        <w:spacing w:before="0" w:after="0" w:line="240" w:lineRule="auto"/>
                        <w:ind w:left="0" w:right="0" w:firstLine="580"/>
                        <w:jc w:val="left"/>
                        <w:rPr>
                          <w:sz w:val="19"/>
                          <w:szCs w:val="19"/>
                        </w:rPr>
                      </w:pPr>
                      <w:r>
                        <w:rPr>
                          <w:i/>
                          <w:iCs/>
                          <w:color w:val="7E8189"/>
                          <w:spacing w:val="0"/>
                          <w:w w:val="100"/>
                          <w:position w:val="0"/>
                          <w:sz w:val="20"/>
                          <w:szCs w:val="20"/>
                        </w:rPr>
                        <w:t>不</w:t>
                      </w:r>
                      <w:r>
                        <w:rPr>
                          <w:color w:val="7E8189"/>
                          <w:spacing w:val="0"/>
                          <w:w w:val="100"/>
                          <w:position w:val="0"/>
                          <w:sz w:val="19"/>
                          <w:szCs w:val="19"/>
                        </w:rPr>
                        <w:t>衣好时站</w:t>
                      </w:r>
                    </w:p>
                  </w:txbxContent>
                </v:textbox>
                <w10:wrap type="topAndBottom" anchorx="page"/>
              </v:shape>
            </w:pict>
          </mc:Fallback>
        </mc:AlternateContent>
      </w:r>
      <w:r>
        <mc:AlternateContent>
          <mc:Choice Requires="wps">
            <w:drawing>
              <wp:anchor distT="209550" distB="33020" distL="0" distR="0" simplePos="0" relativeHeight="125829391" behindDoc="0" locked="0" layoutInCell="1" allowOverlap="1">
                <wp:simplePos x="0" y="0"/>
                <wp:positionH relativeFrom="page">
                  <wp:posOffset>2455545</wp:posOffset>
                </wp:positionH>
                <wp:positionV relativeFrom="paragraph">
                  <wp:posOffset>209550</wp:posOffset>
                </wp:positionV>
                <wp:extent cx="1121410" cy="338455"/>
                <wp:wrapTopAndBottom/>
                <wp:docPr id="26" name="Shape 26"/>
                <a:graphic xmlns:a="http://schemas.openxmlformats.org/drawingml/2006/main">
                  <a:graphicData uri="http://schemas.microsoft.com/office/word/2010/wordprocessingShape">
                    <wps:wsp>
                      <wps:cNvSpPr txBox="1"/>
                      <wps:spPr>
                        <a:xfrm>
                          <a:ext cx="1121410" cy="3384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4"/>
                                <w:szCs w:val="44"/>
                              </w:rPr>
                            </w:pPr>
                            <w:r>
                              <w:rPr>
                                <w:color w:val="814017"/>
                                <w:spacing w:val="0"/>
                                <w:w w:val="100"/>
                                <w:position w:val="0"/>
                                <w:sz w:val="34"/>
                                <w:szCs w:val="34"/>
                              </w:rPr>
                              <w:t>⑥芒果</w:t>
                            </w:r>
                            <w:r>
                              <w:rPr>
                                <w:rFonts w:ascii="Arial" w:eastAsia="Arial" w:hAnsi="Arial" w:cs="Arial"/>
                                <w:color w:val="000000"/>
                                <w:spacing w:val="0"/>
                                <w:w w:val="100"/>
                                <w:position w:val="0"/>
                                <w:sz w:val="44"/>
                                <w:szCs w:val="44"/>
                              </w:rPr>
                              <w:t>tv</w:t>
                            </w:r>
                          </w:p>
                        </w:txbxContent>
                      </wps:txbx>
                      <wps:bodyPr wrap="none" lIns="0" tIns="0" rIns="0" bIns="0">
                        <a:noAutoFit/>
                      </wps:bodyPr>
                    </wps:wsp>
                  </a:graphicData>
                </a:graphic>
              </wp:anchor>
            </w:drawing>
          </mc:Choice>
          <mc:Fallback>
            <w:pict>
              <v:shape id="_x0000_s1052" type="#_x0000_t202" style="position:absolute;margin-left:193.34999999999999pt;margin-top:16.5pt;width:88.299999999999997pt;height:26.650000000000002pt;z-index:-125829362;mso-wrap-distance-left:0;mso-wrap-distance-top:16.5pt;mso-wrap-distance-right:0;mso-wrap-distance-bottom:2.6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4"/>
                          <w:szCs w:val="44"/>
                        </w:rPr>
                      </w:pPr>
                      <w:r>
                        <w:rPr>
                          <w:color w:val="814017"/>
                          <w:spacing w:val="0"/>
                          <w:w w:val="100"/>
                          <w:position w:val="0"/>
                          <w:sz w:val="34"/>
                          <w:szCs w:val="34"/>
                        </w:rPr>
                        <w:t>⑥芒果</w:t>
                      </w:r>
                      <w:r>
                        <w:rPr>
                          <w:rFonts w:ascii="Arial" w:eastAsia="Arial" w:hAnsi="Arial" w:cs="Arial"/>
                          <w:color w:val="000000"/>
                          <w:spacing w:val="0"/>
                          <w:w w:val="100"/>
                          <w:position w:val="0"/>
                          <w:sz w:val="44"/>
                          <w:szCs w:val="44"/>
                        </w:rPr>
                        <w:t>tv</w:t>
                      </w:r>
                    </w:p>
                  </w:txbxContent>
                </v:textbox>
                <w10:wrap type="topAndBottom" anchorx="page"/>
              </v:shape>
            </w:pict>
          </mc:Fallback>
        </mc:AlternateContent>
      </w:r>
      <w:r>
        <mc:AlternateContent>
          <mc:Choice Requires="wps">
            <w:drawing>
              <wp:anchor distT="127000" distB="0" distL="0" distR="0" simplePos="0" relativeHeight="125829393" behindDoc="0" locked="0" layoutInCell="1" allowOverlap="1">
                <wp:simplePos x="0" y="0"/>
                <wp:positionH relativeFrom="page">
                  <wp:posOffset>3869690</wp:posOffset>
                </wp:positionH>
                <wp:positionV relativeFrom="paragraph">
                  <wp:posOffset>127000</wp:posOffset>
                </wp:positionV>
                <wp:extent cx="1127760" cy="454025"/>
                <wp:wrapTopAndBottom/>
                <wp:docPr id="28" name="Shape 28"/>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A08289"/>
                                <w:spacing w:val="0"/>
                                <w:w w:val="100"/>
                                <w:position w:val="0"/>
                                <w:sz w:val="48"/>
                                <w:szCs w:val="48"/>
                              </w:rPr>
                              <w:t>YOUKU</w:t>
                            </w:r>
                          </w:p>
                          <w:p>
                            <w:pPr>
                              <w:pStyle w:val="Style40"/>
                              <w:keepNext w:val="0"/>
                              <w:keepLines w:val="0"/>
                              <w:widowControl w:val="0"/>
                              <w:shd w:val="clear" w:color="auto" w:fill="auto"/>
                              <w:bidi w:val="0"/>
                              <w:spacing w:before="0" w:after="0" w:line="240" w:lineRule="auto"/>
                              <w:ind w:left="0" w:right="0" w:firstLine="0"/>
                              <w:jc w:val="center"/>
                              <w:rPr>
                                <w:sz w:val="19"/>
                                <w:szCs w:val="19"/>
                              </w:rPr>
                            </w:pPr>
                            <w:r>
                              <w:rPr>
                                <w:color w:val="C75145"/>
                                <w:spacing w:val="0"/>
                                <w:w w:val="100"/>
                                <w:position w:val="0"/>
                                <w:sz w:val="19"/>
                                <w:szCs w:val="19"/>
                              </w:rPr>
                              <w:t>•这</w:t>
                            </w:r>
                            <w:r>
                              <w:rPr>
                                <w:color w:val="A08289"/>
                                <w:spacing w:val="0"/>
                                <w:w w:val="100"/>
                                <w:position w:val="0"/>
                                <w:sz w:val="19"/>
                                <w:szCs w:val="19"/>
                              </w:rPr>
                              <w:t>世界</w:t>
                            </w:r>
                            <w:r>
                              <w:rPr>
                                <w:color w:val="739DA7"/>
                                <w:spacing w:val="0"/>
                                <w:w w:val="100"/>
                                <w:position w:val="0"/>
                                <w:sz w:val="19"/>
                                <w:szCs w:val="19"/>
                              </w:rPr>
                              <w:t>很酰*</w:t>
                            </w:r>
                          </w:p>
                        </w:txbxContent>
                      </wps:txbx>
                      <wps:bodyPr lIns="0" tIns="0" rIns="0" bIns="0">
                        <a:noAutoFit/>
                      </wps:bodyPr>
                    </wps:wsp>
                  </a:graphicData>
                </a:graphic>
              </wp:anchor>
            </w:drawing>
          </mc:Choice>
          <mc:Fallback>
            <w:pict>
              <v:shape id="_x0000_s1054" type="#_x0000_t202" style="position:absolute;margin-left:304.69999999999999pt;margin-top:10.pt;width:88.799999999999997pt;height:35.75pt;z-index:-125829360;mso-wrap-distance-left:0;mso-wrap-distance-top:10.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A08289"/>
                          <w:spacing w:val="0"/>
                          <w:w w:val="100"/>
                          <w:position w:val="0"/>
                          <w:sz w:val="48"/>
                          <w:szCs w:val="48"/>
                        </w:rPr>
                        <w:t>YOUKU</w:t>
                      </w:r>
                    </w:p>
                    <w:p>
                      <w:pPr>
                        <w:pStyle w:val="Style40"/>
                        <w:keepNext w:val="0"/>
                        <w:keepLines w:val="0"/>
                        <w:widowControl w:val="0"/>
                        <w:shd w:val="clear" w:color="auto" w:fill="auto"/>
                        <w:bidi w:val="0"/>
                        <w:spacing w:before="0" w:after="0" w:line="240" w:lineRule="auto"/>
                        <w:ind w:left="0" w:right="0" w:firstLine="0"/>
                        <w:jc w:val="center"/>
                        <w:rPr>
                          <w:sz w:val="19"/>
                          <w:szCs w:val="19"/>
                        </w:rPr>
                      </w:pPr>
                      <w:r>
                        <w:rPr>
                          <w:color w:val="C75145"/>
                          <w:spacing w:val="0"/>
                          <w:w w:val="100"/>
                          <w:position w:val="0"/>
                          <w:sz w:val="19"/>
                          <w:szCs w:val="19"/>
                        </w:rPr>
                        <w:t>•这</w:t>
                      </w:r>
                      <w:r>
                        <w:rPr>
                          <w:color w:val="A08289"/>
                          <w:spacing w:val="0"/>
                          <w:w w:val="100"/>
                          <w:position w:val="0"/>
                          <w:sz w:val="19"/>
                          <w:szCs w:val="19"/>
                        </w:rPr>
                        <w:t>世界</w:t>
                      </w:r>
                      <w:r>
                        <w:rPr>
                          <w:color w:val="739DA7"/>
                          <w:spacing w:val="0"/>
                          <w:w w:val="100"/>
                          <w:position w:val="0"/>
                          <w:sz w:val="19"/>
                          <w:szCs w:val="19"/>
                        </w:rPr>
                        <w:t>很酰*</w:t>
                      </w:r>
                    </w:p>
                  </w:txbxContent>
                </v:textbox>
                <w10:wrap type="topAndBottom" anchorx="page"/>
              </v:shape>
            </w:pict>
          </mc:Fallback>
        </mc:AlternateContent>
      </w:r>
      <w:r>
        <mc:AlternateContent>
          <mc:Choice Requires="wps">
            <w:drawing>
              <wp:anchor distT="233680" distB="42545" distL="0" distR="0" simplePos="0" relativeHeight="125829395" behindDoc="0" locked="0" layoutInCell="1" allowOverlap="1">
                <wp:simplePos x="0" y="0"/>
                <wp:positionH relativeFrom="page">
                  <wp:posOffset>5241290</wp:posOffset>
                </wp:positionH>
                <wp:positionV relativeFrom="paragraph">
                  <wp:posOffset>233680</wp:posOffset>
                </wp:positionV>
                <wp:extent cx="1191895" cy="304800"/>
                <wp:wrapTopAndBottom/>
                <wp:docPr id="30" name="Shape 30"/>
                <a:graphic xmlns:a="http://schemas.openxmlformats.org/drawingml/2006/main">
                  <a:graphicData uri="http://schemas.microsoft.com/office/word/2010/wordprocessingShape">
                    <wps:wsp>
                      <wps:cNvSpPr txBox="1"/>
                      <wps:spPr>
                        <a:xfrm>
                          <a:ext cx="1191895"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7DA449"/>
                                <w:spacing w:val="0"/>
                                <w:w w:val="100"/>
                                <w:position w:val="0"/>
                                <w:sz w:val="40"/>
                                <w:szCs w:val="40"/>
                              </w:rPr>
                              <w:t>idlYI</w:t>
                            </w:r>
                            <w:r>
                              <w:rPr>
                                <w:rFonts w:ascii="SimHei" w:eastAsia="SimHei" w:hAnsi="SimHei" w:cs="SimHei"/>
                                <w:color w:val="7DA449"/>
                                <w:spacing w:val="0"/>
                                <w:w w:val="100"/>
                                <w:position w:val="0"/>
                                <w:sz w:val="32"/>
                                <w:szCs w:val="32"/>
                              </w:rPr>
                              <w:t>爱奇艺</w:t>
                            </w:r>
                          </w:p>
                        </w:txbxContent>
                      </wps:txbx>
                      <wps:bodyPr wrap="none" lIns="0" tIns="0" rIns="0" bIns="0">
                        <a:noAutoFit/>
                      </wps:bodyPr>
                    </wps:wsp>
                  </a:graphicData>
                </a:graphic>
              </wp:anchor>
            </w:drawing>
          </mc:Choice>
          <mc:Fallback>
            <w:pict>
              <v:shape id="_x0000_s1056" type="#_x0000_t202" style="position:absolute;margin-left:412.69999999999999pt;margin-top:18.400000000000002pt;width:93.850000000000009pt;height:24.pt;z-index:-125829358;mso-wrap-distance-left:0;mso-wrap-distance-top:18.400000000000002pt;mso-wrap-distance-right:0;mso-wrap-distance-bottom:3.35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7DA449"/>
                          <w:spacing w:val="0"/>
                          <w:w w:val="100"/>
                          <w:position w:val="0"/>
                          <w:sz w:val="40"/>
                          <w:szCs w:val="40"/>
                        </w:rPr>
                        <w:t>idlYI</w:t>
                      </w:r>
                      <w:r>
                        <w:rPr>
                          <w:rFonts w:ascii="SimHei" w:eastAsia="SimHei" w:hAnsi="SimHei" w:cs="SimHei"/>
                          <w:color w:val="7DA449"/>
                          <w:spacing w:val="0"/>
                          <w:w w:val="100"/>
                          <w:position w:val="0"/>
                          <w:sz w:val="32"/>
                          <w:szCs w:val="32"/>
                        </w:rPr>
                        <w:t>爱奇艺</w:t>
                      </w:r>
                    </w:p>
                  </w:txbxContent>
                </v:textbox>
                <w10:wrap type="topAndBottom" anchorx="page"/>
              </v:shape>
            </w:pict>
          </mc:Fallback>
        </mc:AlternateContent>
      </w:r>
    </w:p>
    <w:p>
      <w:pPr>
        <w:widowControl w:val="0"/>
        <w:spacing w:line="1" w:lineRule="exact"/>
      </w:pPr>
      <w:r>
        <mc:AlternateContent>
          <mc:Choice Requires="wps">
            <w:drawing>
              <wp:anchor distT="271780" distB="40005" distL="0" distR="0" simplePos="0" relativeHeight="125829397" behindDoc="0" locked="0" layoutInCell="1" allowOverlap="1">
                <wp:simplePos x="0" y="0"/>
                <wp:positionH relativeFrom="page">
                  <wp:posOffset>3863340</wp:posOffset>
                </wp:positionH>
                <wp:positionV relativeFrom="paragraph">
                  <wp:posOffset>271780</wp:posOffset>
                </wp:positionV>
                <wp:extent cx="1146175" cy="344170"/>
                <wp:wrapTopAndBottom/>
                <wp:docPr id="32" name="Shape 32"/>
                <a:graphic xmlns:a="http://schemas.openxmlformats.org/drawingml/2006/main">
                  <a:graphicData uri="http://schemas.microsoft.com/office/word/2010/wordprocessingShape">
                    <wps:wsp>
                      <wps:cNvSpPr txBox="1"/>
                      <wps:spPr>
                        <a:xfrm>
                          <a:ext cx="1146175" cy="3441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西俩频</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rPr>
                              <w:t xml:space="preserve">* &gt; </w:t>
                            </w:r>
                            <w:r>
                              <w:rPr>
                                <w:rFonts w:ascii="Arial" w:eastAsia="Arial" w:hAnsi="Arial" w:cs="Arial"/>
                                <w:b/>
                                <w:bCs/>
                                <w:color w:val="E91D3F"/>
                                <w:spacing w:val="0"/>
                                <w:w w:val="100"/>
                                <w:position w:val="0"/>
                                <w:sz w:val="8"/>
                                <w:szCs w:val="8"/>
                              </w:rPr>
                              <w:t xml:space="preserve">F </w:t>
                            </w:r>
                            <w:r>
                              <w:rPr>
                                <w:rFonts w:ascii="SimHei" w:eastAsia="SimHei" w:hAnsi="SimHei" w:cs="SimHei"/>
                                <w:color w:val="9CA0A4"/>
                                <w:spacing w:val="0"/>
                                <w:w w:val="100"/>
                                <w:position w:val="0"/>
                                <w:sz w:val="8"/>
                                <w:szCs w:val="8"/>
                              </w:rPr>
                              <w:t>怡都新鲜好看</w:t>
                            </w:r>
                          </w:p>
                        </w:txbxContent>
                      </wps:txbx>
                      <wps:bodyPr lIns="0" tIns="0" rIns="0" bIns="0">
                        <a:noAutoFit/>
                      </wps:bodyPr>
                    </wps:wsp>
                  </a:graphicData>
                </a:graphic>
              </wp:anchor>
            </w:drawing>
          </mc:Choice>
          <mc:Fallback>
            <w:pict>
              <v:shape id="_x0000_s1058" type="#_x0000_t202" style="position:absolute;margin-left:304.19999999999999pt;margin-top:21.400000000000002pt;width:90.25pt;height:27.100000000000001pt;z-index:-125829356;mso-wrap-distance-left:0;mso-wrap-distance-top:21.400000000000002pt;mso-wrap-distance-right:0;mso-wrap-distance-bottom:3.149999999999999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西俩频</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rPr>
                        <w:t xml:space="preserve">* &gt; </w:t>
                      </w:r>
                      <w:r>
                        <w:rPr>
                          <w:rFonts w:ascii="Arial" w:eastAsia="Arial" w:hAnsi="Arial" w:cs="Arial"/>
                          <w:b/>
                          <w:bCs/>
                          <w:color w:val="E91D3F"/>
                          <w:spacing w:val="0"/>
                          <w:w w:val="100"/>
                          <w:position w:val="0"/>
                          <w:sz w:val="8"/>
                          <w:szCs w:val="8"/>
                        </w:rPr>
                        <w:t xml:space="preserve">F </w:t>
                      </w:r>
                      <w:r>
                        <w:rPr>
                          <w:rFonts w:ascii="SimHei" w:eastAsia="SimHei" w:hAnsi="SimHei" w:cs="SimHei"/>
                          <w:color w:val="9CA0A4"/>
                          <w:spacing w:val="0"/>
                          <w:w w:val="100"/>
                          <w:position w:val="0"/>
                          <w:sz w:val="8"/>
                          <w:szCs w:val="8"/>
                        </w:rPr>
                        <w:t>怡都新鲜好看</w:t>
                      </w:r>
                    </w:p>
                  </w:txbxContent>
                </v:textbox>
                <w10:wrap type="topAndBottom" anchorx="page"/>
              </v:shape>
            </w:pict>
          </mc:Fallback>
        </mc:AlternateContent>
      </w:r>
      <w:r>
        <mc:AlternateContent>
          <mc:Choice Requires="wps">
            <w:drawing>
              <wp:anchor distT="241300" distB="0" distL="0" distR="0" simplePos="0" relativeHeight="125829399" behindDoc="0" locked="0" layoutInCell="1" allowOverlap="1">
                <wp:simplePos x="0" y="0"/>
                <wp:positionH relativeFrom="page">
                  <wp:posOffset>5238115</wp:posOffset>
                </wp:positionH>
                <wp:positionV relativeFrom="paragraph">
                  <wp:posOffset>241300</wp:posOffset>
                </wp:positionV>
                <wp:extent cx="1203960" cy="414655"/>
                <wp:wrapTopAndBottom/>
                <wp:docPr id="34" name="Shape 34"/>
                <a:graphic xmlns:a="http://schemas.openxmlformats.org/drawingml/2006/main">
                  <a:graphicData uri="http://schemas.microsoft.com/office/word/2010/wordprocessingShape">
                    <wps:wsp>
                      <wps:cNvSpPr txBox="1"/>
                      <wps:spPr>
                        <a:xfrm>
                          <a:ext cx="1203960" cy="4146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D04F28"/>
                                <w:spacing w:val="0"/>
                                <w:w w:val="100"/>
                                <w:position w:val="0"/>
                                <w:sz w:val="32"/>
                                <w:szCs w:val="32"/>
                              </w:rPr>
                              <w:t>暨</w:t>
                            </w:r>
                            <w:r>
                              <w:rPr>
                                <w:rFonts w:ascii="SimHei" w:eastAsia="SimHei" w:hAnsi="SimHei" w:cs="SimHei"/>
                                <w:color w:val="D04F28"/>
                                <w:spacing w:val="0"/>
                                <w:w w:val="100"/>
                                <w:position w:val="0"/>
                                <w:sz w:val="32"/>
                                <w:szCs w:val="32"/>
                              </w:rPr>
                              <w:t>?</w:t>
                            </w:r>
                            <w:r>
                              <w:rPr>
                                <w:rFonts w:ascii="SimHei" w:eastAsia="SimHei" w:hAnsi="SimHei" w:cs="SimHei"/>
                                <w:color w:val="494948"/>
                                <w:spacing w:val="0"/>
                                <w:w w:val="100"/>
                                <w:position w:val="0"/>
                                <w:sz w:val="32"/>
                                <w:szCs w:val="32"/>
                              </w:rPr>
                              <w:t>华数</w:t>
                            </w:r>
                            <w:r>
                              <w:rPr>
                                <w:rFonts w:ascii="Arial" w:eastAsia="Arial" w:hAnsi="Arial" w:cs="Arial"/>
                                <w:color w:val="AF6F2F"/>
                                <w:spacing w:val="0"/>
                                <w:w w:val="100"/>
                                <w:position w:val="0"/>
                              </w:rPr>
                              <w:t>M</w:t>
                            </w:r>
                          </w:p>
                          <w:p>
                            <w:pPr>
                              <w:pStyle w:val="Style2"/>
                              <w:keepNext w:val="0"/>
                              <w:keepLines w:val="0"/>
                              <w:widowControl w:val="0"/>
                              <w:shd w:val="clear" w:color="auto" w:fill="auto"/>
                              <w:bidi w:val="0"/>
                              <w:spacing w:before="0" w:after="0" w:line="180" w:lineRule="auto"/>
                              <w:ind w:left="0" w:right="0" w:firstLine="0"/>
                              <w:jc w:val="left"/>
                            </w:pPr>
                            <w:r>
                              <w:rPr>
                                <w:rFonts w:ascii="Arial" w:eastAsia="Arial" w:hAnsi="Arial" w:cs="Arial"/>
                                <w:color w:val="D6271E"/>
                                <w:spacing w:val="0"/>
                                <w:w w:val="100"/>
                                <w:position w:val="0"/>
                              </w:rPr>
                              <w:t xml:space="preserve">♦ </w:t>
                            </w:r>
                            <w:r>
                              <w:rPr>
                                <w:rFonts w:ascii="Arial" w:eastAsia="Arial" w:hAnsi="Arial" w:cs="Arial"/>
                                <w:color w:val="494948"/>
                                <w:spacing w:val="0"/>
                                <w:w w:val="100"/>
                                <w:position w:val="0"/>
                              </w:rPr>
                              <w:t>ujssuxn</w:t>
                            </w:r>
                          </w:p>
                        </w:txbxContent>
                      </wps:txbx>
                      <wps:bodyPr lIns="0" tIns="0" rIns="0" bIns="0">
                        <a:noAutoFit/>
                      </wps:bodyPr>
                    </wps:wsp>
                  </a:graphicData>
                </a:graphic>
              </wp:anchor>
            </w:drawing>
          </mc:Choice>
          <mc:Fallback>
            <w:pict>
              <v:shape id="_x0000_s1060" type="#_x0000_t202" style="position:absolute;margin-left:412.44999999999999pt;margin-top:19.pt;width:94.799999999999997pt;height:32.649999999999999pt;z-index:-125829354;mso-wrap-distance-left:0;mso-wrap-distance-top:1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D04F28"/>
                          <w:spacing w:val="0"/>
                          <w:w w:val="100"/>
                          <w:position w:val="0"/>
                          <w:sz w:val="32"/>
                          <w:szCs w:val="32"/>
                        </w:rPr>
                        <w:t>暨</w:t>
                      </w:r>
                      <w:r>
                        <w:rPr>
                          <w:rFonts w:ascii="SimHei" w:eastAsia="SimHei" w:hAnsi="SimHei" w:cs="SimHei"/>
                          <w:color w:val="D04F28"/>
                          <w:spacing w:val="0"/>
                          <w:w w:val="100"/>
                          <w:position w:val="0"/>
                          <w:sz w:val="32"/>
                          <w:szCs w:val="32"/>
                        </w:rPr>
                        <w:t>?</w:t>
                      </w:r>
                      <w:r>
                        <w:rPr>
                          <w:rFonts w:ascii="SimHei" w:eastAsia="SimHei" w:hAnsi="SimHei" w:cs="SimHei"/>
                          <w:color w:val="494948"/>
                          <w:spacing w:val="0"/>
                          <w:w w:val="100"/>
                          <w:position w:val="0"/>
                          <w:sz w:val="32"/>
                          <w:szCs w:val="32"/>
                        </w:rPr>
                        <w:t>华数</w:t>
                      </w:r>
                      <w:r>
                        <w:rPr>
                          <w:rFonts w:ascii="Arial" w:eastAsia="Arial" w:hAnsi="Arial" w:cs="Arial"/>
                          <w:color w:val="AF6F2F"/>
                          <w:spacing w:val="0"/>
                          <w:w w:val="100"/>
                          <w:position w:val="0"/>
                        </w:rPr>
                        <w:t>M</w:t>
                      </w:r>
                    </w:p>
                    <w:p>
                      <w:pPr>
                        <w:pStyle w:val="Style2"/>
                        <w:keepNext w:val="0"/>
                        <w:keepLines w:val="0"/>
                        <w:widowControl w:val="0"/>
                        <w:shd w:val="clear" w:color="auto" w:fill="auto"/>
                        <w:bidi w:val="0"/>
                        <w:spacing w:before="0" w:after="0" w:line="180" w:lineRule="auto"/>
                        <w:ind w:left="0" w:right="0" w:firstLine="0"/>
                        <w:jc w:val="left"/>
                      </w:pPr>
                      <w:r>
                        <w:rPr>
                          <w:rFonts w:ascii="Arial" w:eastAsia="Arial" w:hAnsi="Arial" w:cs="Arial"/>
                          <w:color w:val="D6271E"/>
                          <w:spacing w:val="0"/>
                          <w:w w:val="100"/>
                          <w:position w:val="0"/>
                        </w:rPr>
                        <w:t xml:space="preserve">♦ </w:t>
                      </w:r>
                      <w:r>
                        <w:rPr>
                          <w:rFonts w:ascii="Arial" w:eastAsia="Arial" w:hAnsi="Arial" w:cs="Arial"/>
                          <w:color w:val="494948"/>
                          <w:spacing w:val="0"/>
                          <w:w w:val="100"/>
                          <w:position w:val="0"/>
                        </w:rPr>
                        <w:t>ujssuxn</w:t>
                      </w:r>
                    </w:p>
                  </w:txbxContent>
                </v:textbox>
                <w10:wrap type="topAndBottom" anchorx="page"/>
              </v:shape>
            </w:pict>
          </mc:Fallback>
        </mc:AlternateContent>
      </w:r>
    </w:p>
    <w:p>
      <w:pPr>
        <w:pStyle w:val="Style40"/>
        <w:keepNext w:val="0"/>
        <w:keepLines w:val="0"/>
        <w:widowControl w:val="0"/>
        <w:numPr>
          <w:ilvl w:val="0"/>
          <w:numId w:val="9"/>
        </w:numPr>
        <w:shd w:val="clear" w:color="auto" w:fill="auto"/>
        <w:bidi w:val="0"/>
        <w:spacing w:before="0" w:after="0" w:line="472" w:lineRule="exact"/>
        <w:ind w:left="0" w:right="0" w:firstLine="440"/>
        <w:jc w:val="both"/>
      </w:pPr>
      <w:bookmarkStart w:id="111" w:name="bookmark111"/>
      <w:bookmarkEnd w:id="111"/>
      <w:r>
        <w:rPr>
          <w:b/>
          <w:bCs/>
          <w:color w:val="000000"/>
          <w:spacing w:val="0"/>
          <w:w w:val="100"/>
          <w:position w:val="0"/>
        </w:rPr>
        <w:t>稳步推进</w:t>
      </w:r>
      <w:r>
        <w:rPr>
          <w:rFonts w:ascii="Times New Roman" w:eastAsia="Times New Roman" w:hAnsi="Times New Roman" w:cs="Times New Roman"/>
          <w:b/>
          <w:bCs/>
          <w:color w:val="000000"/>
          <w:spacing w:val="0"/>
          <w:w w:val="100"/>
          <w:position w:val="0"/>
        </w:rPr>
        <w:t>IP</w:t>
      </w:r>
      <w:r>
        <w:rPr>
          <w:b/>
          <w:bCs/>
          <w:color w:val="000000"/>
          <w:spacing w:val="0"/>
          <w:w w:val="100"/>
          <w:position w:val="0"/>
        </w:rPr>
        <w:t>线下业态发展，助力品牌价值升维</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受新型冠状病毒疫情影响，</w:t>
      </w:r>
      <w:r>
        <w:rPr>
          <w:rFonts w:ascii="Times New Roman" w:eastAsia="Times New Roman" w:hAnsi="Times New Roman" w:cs="Times New Roman"/>
          <w:color w:val="000000"/>
          <w:spacing w:val="0"/>
          <w:w w:val="100"/>
          <w:position w:val="0"/>
        </w:rPr>
        <w:t>2020</w:t>
      </w:r>
      <w:r>
        <w:rPr>
          <w:color w:val="000000"/>
          <w:spacing w:val="0"/>
          <w:w w:val="100"/>
          <w:position w:val="0"/>
        </w:rPr>
        <w:t>年上半年，全球经济及金融体系受到冲击，供应链和商品生产供给不 足，世界经济增长放缓。上游企业复工复产延缓，下游终端消费需求受到挤压。但随着国内疫情的有效控 制与物流渠道的迅速恢复，终端消费需求回弹，家庭消费、亲子消费等产业迎来了后疫情时代的发展新契 机。</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报告期内，公司紧跟市场需求变化，坚持以“会说话的汤姆猫家族”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生态运营商战 略，持续通过移动应用、动漫影视业务输出优质内容扩大</w:t>
      </w:r>
      <w:r>
        <w:rPr>
          <w:rFonts w:ascii="Times New Roman" w:eastAsia="Times New Roman" w:hAnsi="Times New Roman" w:cs="Times New Roman"/>
          <w:color w:val="000000"/>
          <w:spacing w:val="0"/>
          <w:w w:val="100"/>
          <w:position w:val="0"/>
        </w:rPr>
        <w:t>IP</w:t>
      </w:r>
      <w:r>
        <w:rPr>
          <w:color w:val="000000"/>
          <w:spacing w:val="0"/>
          <w:w w:val="100"/>
          <w:position w:val="0"/>
        </w:rPr>
        <w:t>线上影响力的同时，积极布局线下室内亲子主 题乐园、主题商业综合体、</w:t>
      </w:r>
      <w:r>
        <w:rPr>
          <w:rFonts w:ascii="Times New Roman" w:eastAsia="Times New Roman" w:hAnsi="Times New Roman" w:cs="Times New Roman"/>
          <w:color w:val="000000"/>
          <w:spacing w:val="0"/>
          <w:w w:val="100"/>
          <w:position w:val="0"/>
        </w:rPr>
        <w:t>IP</w:t>
      </w:r>
      <w:r>
        <w:rPr>
          <w:color w:val="000000"/>
          <w:spacing w:val="0"/>
          <w:w w:val="100"/>
          <w:position w:val="0"/>
        </w:rPr>
        <w:t>主题酒店等新商业服务业务，以及</w:t>
      </w: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衍生品与授权业务等场景与业态，稳步 </w:t>
      </w:r>
      <w:r>
        <w:rPr>
          <w:color w:val="000000"/>
          <w:spacing w:val="0"/>
          <w:w w:val="100"/>
          <w:position w:val="0"/>
        </w:rPr>
        <w:t>推进“建设汤姆猫全栖</w:t>
      </w:r>
      <w:r>
        <w:rPr>
          <w:rFonts w:ascii="Times New Roman" w:eastAsia="Times New Roman" w:hAnsi="Times New Roman" w:cs="Times New Roman"/>
          <w:color w:val="000000"/>
          <w:spacing w:val="0"/>
          <w:w w:val="100"/>
          <w:position w:val="0"/>
        </w:rPr>
        <w:t>IP</w:t>
      </w:r>
      <w:r>
        <w:rPr>
          <w:color w:val="000000"/>
          <w:spacing w:val="0"/>
          <w:w w:val="100"/>
          <w:position w:val="0"/>
        </w:rPr>
        <w:t>生态，打造汤姆猫亲子生活品牌”的战略发展规划。</w:t>
      </w:r>
    </w:p>
    <w:p>
      <w:pPr>
        <w:pStyle w:val="Style40"/>
        <w:keepNext w:val="0"/>
        <w:keepLines w:val="0"/>
        <w:widowControl w:val="0"/>
        <w:numPr>
          <w:ilvl w:val="0"/>
          <w:numId w:val="11"/>
        </w:numPr>
        <w:shd w:val="clear" w:color="auto" w:fill="auto"/>
        <w:tabs>
          <w:tab w:pos="882" w:val="left"/>
        </w:tabs>
        <w:bidi w:val="0"/>
        <w:spacing w:before="0" w:after="0" w:line="469" w:lineRule="exact"/>
        <w:ind w:left="0" w:right="0" w:firstLine="440"/>
        <w:jc w:val="both"/>
      </w:pPr>
      <w:bookmarkStart w:id="112" w:name="bookmark112"/>
      <w:bookmarkEnd w:id="112"/>
      <w:r>
        <w:rPr>
          <w:color w:val="000000"/>
          <w:spacing w:val="0"/>
          <w:w w:val="100"/>
          <w:position w:val="0"/>
        </w:rPr>
        <w:t>落地多家</w:t>
      </w:r>
      <w:r>
        <w:rPr>
          <w:rFonts w:ascii="Times New Roman" w:eastAsia="Times New Roman" w:hAnsi="Times New Roman" w:cs="Times New Roman"/>
          <w:color w:val="000000"/>
          <w:spacing w:val="0"/>
          <w:w w:val="100"/>
          <w:position w:val="0"/>
        </w:rPr>
        <w:t>IP</w:t>
      </w:r>
      <w:r>
        <w:rPr>
          <w:color w:val="000000"/>
          <w:spacing w:val="0"/>
          <w:w w:val="100"/>
          <w:position w:val="0"/>
        </w:rPr>
        <w:t>亲子主题乐园合伙人店，形成“自营乐园</w:t>
      </w:r>
      <w:r>
        <w:rPr>
          <w:rFonts w:ascii="Times New Roman" w:eastAsia="Times New Roman" w:hAnsi="Times New Roman" w:cs="Times New Roman"/>
          <w:color w:val="000000"/>
          <w:spacing w:val="0"/>
          <w:w w:val="100"/>
          <w:position w:val="0"/>
        </w:rPr>
        <w:t>+</w:t>
      </w:r>
      <w:r>
        <w:rPr>
          <w:color w:val="000000"/>
          <w:spacing w:val="0"/>
          <w:w w:val="100"/>
          <w:position w:val="0"/>
        </w:rPr>
        <w:t>合伙制乐园”的良好经营态势</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国内新型冠状病毒疫情爆发期间，公司积极配合当地政府的防疫工作，旗下室内亲子主题乐园均采取 了临时关闭措施。随着国内疫情的有效控制，公司旗下室内亲子主题乐园陆续恢复了营业。在亲子出游需 求的稳步释放下，杭州龙湖紫荆天街、合肥保利</w:t>
      </w:r>
      <w:r>
        <w:rPr>
          <w:rFonts w:ascii="Times New Roman" w:eastAsia="Times New Roman" w:hAnsi="Times New Roman" w:cs="Times New Roman"/>
          <w:color w:val="000000"/>
          <w:spacing w:val="0"/>
          <w:w w:val="100"/>
          <w:position w:val="0"/>
        </w:rPr>
        <w:t xml:space="preserve">Mal </w:t>
      </w:r>
      <w:r>
        <w:rPr>
          <w:rFonts w:ascii="Times New Roman" w:eastAsia="Times New Roman" w:hAnsi="Times New Roman" w:cs="Times New Roman"/>
          <w:color w:val="000000"/>
          <w:spacing w:val="0"/>
          <w:w w:val="100"/>
          <w:position w:val="0"/>
        </w:rPr>
        <w:t>1</w:t>
      </w:r>
      <w:r>
        <w:rPr>
          <w:color w:val="000000"/>
          <w:spacing w:val="0"/>
          <w:w w:val="100"/>
          <w:position w:val="0"/>
        </w:rPr>
        <w:t>等室内亲子主题乐园自营门店客流数量迅速恢复至正 常水平。</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同时，随着国内疫情逐步好转，亲子娱乐消费市场需求急增，公司开始以“小步快跑，稳步推进”的 方式携手城市合伙人加速室内主题亲子乐园业务布局。报告期内，公司先后与国内多家城市合伙人达成合 作，陆续在浙江宁波、广东佛山、山东日照、杭州富阳、宁波慈溪等地新增开业了多家</w:t>
      </w:r>
      <w:r>
        <w:rPr>
          <w:rFonts w:ascii="Times New Roman" w:eastAsia="Times New Roman" w:hAnsi="Times New Roman" w:cs="Times New Roman"/>
          <w:color w:val="000000"/>
          <w:spacing w:val="0"/>
          <w:w w:val="100"/>
          <w:position w:val="0"/>
        </w:rPr>
        <w:t>IP</w:t>
      </w:r>
      <w:r>
        <w:rPr>
          <w:color w:val="000000"/>
          <w:spacing w:val="0"/>
          <w:w w:val="100"/>
          <w:position w:val="0"/>
        </w:rPr>
        <w:t>亲子主题乐园合 伙人店。依托</w:t>
      </w:r>
      <w:r>
        <w:rPr>
          <w:rFonts w:ascii="Times New Roman" w:eastAsia="Times New Roman" w:hAnsi="Times New Roman" w:cs="Times New Roman"/>
          <w:color w:val="000000"/>
          <w:spacing w:val="0"/>
          <w:w w:val="100"/>
          <w:position w:val="0"/>
        </w:rPr>
        <w:t>IP</w:t>
      </w:r>
      <w:r>
        <w:rPr>
          <w:color w:val="000000"/>
          <w:spacing w:val="0"/>
          <w:w w:val="100"/>
          <w:position w:val="0"/>
        </w:rPr>
        <w:t>巨大的影响力与亲子乐园良好的口碑效应，各地</w:t>
      </w:r>
      <w:r>
        <w:rPr>
          <w:rFonts w:ascii="Times New Roman" w:eastAsia="Times New Roman" w:hAnsi="Times New Roman" w:cs="Times New Roman"/>
          <w:color w:val="000000"/>
          <w:spacing w:val="0"/>
          <w:w w:val="100"/>
          <w:position w:val="0"/>
        </w:rPr>
        <w:t>IP</w:t>
      </w:r>
      <w:r>
        <w:rPr>
          <w:color w:val="000000"/>
          <w:spacing w:val="0"/>
          <w:w w:val="100"/>
          <w:position w:val="0"/>
        </w:rPr>
        <w:t>亲子主题乐园合伙人店开业后运营情况 良好，多家门店上榜大众点评网当地亲子乐园热门榜单前列。</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此外，公司携手其他企业打造的首个集室内外乐园、酒店、娱乐、餐饮、购物以及特色文化体验于一 体的超大型汤姆猫主题乐园项目未来将落地于广东省佛山市粤港澳大湾区腹地。未来该项目的建成将有利 于公司“会说话的汤姆猫家族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主题乐园的扩张与发展，有利于公司整体业务的提升，以及战略目标的 实现。</w:t>
      </w:r>
    </w:p>
    <w:p>
      <w:pPr>
        <w:pStyle w:val="Style40"/>
        <w:keepNext w:val="0"/>
        <w:keepLines w:val="0"/>
        <w:widowControl w:val="0"/>
        <w:numPr>
          <w:ilvl w:val="0"/>
          <w:numId w:val="11"/>
        </w:numPr>
        <w:shd w:val="clear" w:color="auto" w:fill="auto"/>
        <w:tabs>
          <w:tab w:pos="882" w:val="left"/>
        </w:tabs>
        <w:bidi w:val="0"/>
        <w:spacing w:before="0" w:after="0" w:line="469" w:lineRule="exact"/>
        <w:ind w:left="0" w:right="0" w:firstLine="440"/>
        <w:jc w:val="both"/>
      </w:pPr>
      <w:bookmarkStart w:id="113" w:name="bookmark113"/>
      <w:bookmarkEnd w:id="113"/>
      <w:r>
        <w:rPr>
          <w:rFonts w:ascii="Times New Roman" w:eastAsia="Times New Roman" w:hAnsi="Times New Roman" w:cs="Times New Roman"/>
          <w:color w:val="000000"/>
          <w:spacing w:val="0"/>
          <w:w w:val="100"/>
          <w:position w:val="0"/>
        </w:rPr>
        <w:t>IP</w:t>
      </w:r>
      <w:r>
        <w:rPr>
          <w:color w:val="000000"/>
          <w:spacing w:val="0"/>
          <w:w w:val="100"/>
          <w:position w:val="0"/>
        </w:rPr>
        <w:t>衍生品及授权业务发展良好，凸显优质</w:t>
      </w:r>
      <w:r>
        <w:rPr>
          <w:rFonts w:ascii="Times New Roman" w:eastAsia="Times New Roman" w:hAnsi="Times New Roman" w:cs="Times New Roman"/>
          <w:color w:val="000000"/>
          <w:spacing w:val="0"/>
          <w:w w:val="100"/>
          <w:position w:val="0"/>
        </w:rPr>
        <w:t>IP</w:t>
      </w:r>
      <w:r>
        <w:rPr>
          <w:color w:val="000000"/>
          <w:spacing w:val="0"/>
          <w:w w:val="100"/>
          <w:position w:val="0"/>
        </w:rPr>
        <w:t>价值</w:t>
      </w:r>
    </w:p>
    <w:p>
      <w:pPr>
        <w:pStyle w:val="Style40"/>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报告期内，公司通过自主研发及授权开发相结合的方式，目前已推出多个涵盖婴童用品、儿童玩具以 及生活家居用品等多元品类的</w:t>
      </w:r>
      <w:r>
        <w:rPr>
          <w:rFonts w:ascii="Times New Roman" w:eastAsia="Times New Roman" w:hAnsi="Times New Roman" w:cs="Times New Roman"/>
          <w:color w:val="000000"/>
          <w:spacing w:val="0"/>
          <w:w w:val="100"/>
          <w:position w:val="0"/>
        </w:rPr>
        <w:t>IP</w:t>
      </w:r>
      <w:r>
        <w:rPr>
          <w:color w:val="000000"/>
          <w:spacing w:val="0"/>
          <w:w w:val="100"/>
          <w:position w:val="0"/>
        </w:rPr>
        <w:t>衍生品，在依托主流电商渠道营销的基础上，积极开拓母婴社群、视频直 播等新媒体营销以扩大销量及品牌知名度。</w:t>
      </w:r>
    </w:p>
    <w:p>
      <w:pPr>
        <w:widowControl w:val="0"/>
        <w:jc w:val="center"/>
        <w:rPr>
          <w:sz w:val="2"/>
          <w:szCs w:val="2"/>
        </w:rPr>
      </w:pPr>
      <w:r>
        <w:drawing>
          <wp:inline>
            <wp:extent cx="5200015" cy="293814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stretch/>
                  </pic:blipFill>
                  <pic:spPr>
                    <a:xfrm>
                      <a:ext cx="5200015" cy="2938145"/>
                    </a:xfrm>
                    <a:prstGeom prst="rect"/>
                  </pic:spPr>
                </pic:pic>
              </a:graphicData>
            </a:graphic>
          </wp:inline>
        </w:drawing>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同时，报告期内，公司与阿里迅犀、童装品牌</w:t>
      </w:r>
      <w:r>
        <w:rPr>
          <w:rFonts w:ascii="Times New Roman" w:eastAsia="Times New Roman" w:hAnsi="Times New Roman" w:cs="Times New Roman"/>
          <w:color w:val="000000"/>
          <w:spacing w:val="0"/>
          <w:w w:val="100"/>
          <w:position w:val="0"/>
        </w:rPr>
        <w:t>gxg.kids</w:t>
      </w:r>
      <w:r>
        <w:rPr>
          <w:color w:val="000000"/>
          <w:spacing w:val="0"/>
          <w:w w:val="100"/>
          <w:position w:val="0"/>
        </w:rPr>
        <w:t>、</w:t>
      </w:r>
      <w:r>
        <w:rPr>
          <w:color w:val="000000"/>
          <w:spacing w:val="0"/>
          <w:w w:val="100"/>
          <w:position w:val="0"/>
        </w:rPr>
        <w:t>高端家纺品牌钱皇丝绸、知名酒店集团开元 酒店旗下多家星级酒店、华润旗下高品质购物中心万象城、远洋商业乐堤港、潮童玩具品牌米奇运动、家 居品牌</w:t>
      </w:r>
      <w:r>
        <w:rPr>
          <w:rFonts w:ascii="Times New Roman" w:eastAsia="Times New Roman" w:hAnsi="Times New Roman" w:cs="Times New Roman"/>
          <w:color w:val="000000"/>
          <w:spacing w:val="0"/>
          <w:w w:val="100"/>
          <w:position w:val="0"/>
        </w:rPr>
        <w:t>Luckysac</w:t>
      </w:r>
      <w:r>
        <w:rPr>
          <w:color w:val="000000"/>
          <w:spacing w:val="0"/>
          <w:w w:val="100"/>
          <w:position w:val="0"/>
        </w:rPr>
        <w:t>、</w:t>
      </w:r>
      <w:r>
        <w:rPr>
          <w:color w:val="000000"/>
          <w:spacing w:val="0"/>
          <w:w w:val="100"/>
          <w:position w:val="0"/>
        </w:rPr>
        <w:t>餐饮品牌</w:t>
      </w:r>
      <w:r>
        <w:rPr>
          <w:rFonts w:ascii="Times New Roman" w:eastAsia="Times New Roman" w:hAnsi="Times New Roman" w:cs="Times New Roman"/>
          <w:color w:val="000000"/>
          <w:spacing w:val="0"/>
          <w:w w:val="100"/>
          <w:position w:val="0"/>
        </w:rPr>
        <w:t>Mr.EGG</w:t>
      </w:r>
      <w:r>
        <w:rPr>
          <w:color w:val="000000"/>
          <w:spacing w:val="0"/>
          <w:w w:val="100"/>
          <w:position w:val="0"/>
        </w:rPr>
        <w:t>蛋先生、健康轻奢品牌</w:t>
      </w:r>
      <w:r>
        <w:rPr>
          <w:rFonts w:ascii="Times New Roman" w:eastAsia="Times New Roman" w:hAnsi="Times New Roman" w:cs="Times New Roman"/>
          <w:color w:val="000000"/>
          <w:spacing w:val="0"/>
          <w:w w:val="100"/>
          <w:position w:val="0"/>
        </w:rPr>
        <w:t>YAMII LIFE</w:t>
      </w:r>
      <w:r>
        <w:rPr>
          <w:color w:val="000000"/>
          <w:spacing w:val="0"/>
          <w:w w:val="100"/>
          <w:position w:val="0"/>
        </w:rPr>
        <w:t>等多个品牌商家达成了广泛的</w:t>
      </w:r>
      <w:r>
        <w:rPr>
          <w:rFonts w:ascii="Times New Roman" w:eastAsia="Times New Roman" w:hAnsi="Times New Roman" w:cs="Times New Roman"/>
          <w:color w:val="000000"/>
          <w:spacing w:val="0"/>
          <w:w w:val="100"/>
          <w:position w:val="0"/>
        </w:rPr>
        <w:t>IP</w:t>
      </w:r>
      <w:r>
        <w:rPr>
          <w:color w:val="000000"/>
          <w:spacing w:val="0"/>
          <w:w w:val="100"/>
          <w:position w:val="0"/>
        </w:rPr>
        <w:t>授 权合作，持续扩大</w:t>
      </w:r>
      <w:r>
        <w:rPr>
          <w:rFonts w:ascii="Times New Roman" w:eastAsia="Times New Roman" w:hAnsi="Times New Roman" w:cs="Times New Roman"/>
          <w:color w:val="000000"/>
          <w:spacing w:val="0"/>
          <w:w w:val="100"/>
          <w:position w:val="0"/>
        </w:rPr>
        <w:t>IP</w:t>
      </w:r>
      <w:r>
        <w:rPr>
          <w:color w:val="000000"/>
          <w:spacing w:val="0"/>
          <w:w w:val="100"/>
          <w:position w:val="0"/>
        </w:rPr>
        <w:t>生活消费场景，助力品牌商家提升商品的文化内涵与辨识度并有效促进销售转化。</w:t>
      </w:r>
    </w:p>
    <w:p>
      <w:pPr>
        <w:pStyle w:val="Style40"/>
        <w:keepNext w:val="0"/>
        <w:keepLines w:val="0"/>
        <w:widowControl w:val="0"/>
        <w:shd w:val="clear" w:color="auto" w:fill="auto"/>
        <w:bidi w:val="0"/>
        <w:spacing w:before="0" w:after="540" w:line="471" w:lineRule="exact"/>
        <w:ind w:left="0" w:right="0" w:firstLine="440"/>
        <w:jc w:val="both"/>
      </w:pPr>
      <w:r>
        <w:rPr>
          <w:color w:val="000000"/>
          <w:spacing w:val="0"/>
          <w:w w:val="100"/>
          <w:position w:val="0"/>
        </w:rPr>
        <w:t>在海外市场，公司全资子公司</w:t>
      </w:r>
      <w:r>
        <w:rPr>
          <w:rFonts w:ascii="Times New Roman" w:eastAsia="Times New Roman" w:hAnsi="Times New Roman" w:cs="Times New Roman"/>
          <w:color w:val="000000"/>
          <w:spacing w:val="0"/>
          <w:w w:val="100"/>
          <w:position w:val="0"/>
        </w:rPr>
        <w:t>Outfit7</w:t>
      </w:r>
      <w:r>
        <w:rPr>
          <w:color w:val="000000"/>
          <w:spacing w:val="0"/>
          <w:w w:val="100"/>
          <w:position w:val="0"/>
        </w:rPr>
        <w:t>公司与独立内容创作、发行和授权公司</w:t>
      </w:r>
      <w:r>
        <w:rPr>
          <w:rFonts w:ascii="Times New Roman" w:eastAsia="Times New Roman" w:hAnsi="Times New Roman" w:cs="Times New Roman"/>
          <w:color w:val="000000"/>
          <w:spacing w:val="0"/>
          <w:w w:val="100"/>
          <w:position w:val="0"/>
        </w:rPr>
        <w:t>Epic Story Media</w:t>
      </w:r>
      <w:r>
        <w:rPr>
          <w:color w:val="000000"/>
          <w:spacing w:val="0"/>
          <w:w w:val="100"/>
          <w:position w:val="0"/>
        </w:rPr>
        <w:t xml:space="preserve">签署了业 务合作协议，该公司作为授权代理商将与公司携手共同拓展“会说话的汤姆猫家族”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在美国和加拿大的 商品授权、营销授权、出版物授权等</w:t>
      </w:r>
      <w:r>
        <w:rPr>
          <w:rFonts w:ascii="Times New Roman" w:eastAsia="Times New Roman" w:hAnsi="Times New Roman" w:cs="Times New Roman"/>
          <w:color w:val="000000"/>
          <w:spacing w:val="0"/>
          <w:w w:val="100"/>
          <w:position w:val="0"/>
        </w:rPr>
        <w:t>IP</w:t>
      </w:r>
      <w:r>
        <w:rPr>
          <w:color w:val="000000"/>
          <w:spacing w:val="0"/>
          <w:w w:val="100"/>
          <w:position w:val="0"/>
        </w:rPr>
        <w:t>授权业务。</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号——上市公司从事互联网营销及数据服务相关业务》的披露要 求：</w:t>
      </w:r>
    </w:p>
    <w:p>
      <w:pPr>
        <w:pStyle w:val="Style31"/>
        <w:keepNext w:val="0"/>
        <w:keepLines w:val="0"/>
        <w:widowControl w:val="0"/>
        <w:shd w:val="clear" w:color="auto" w:fill="auto"/>
        <w:bidi w:val="0"/>
        <w:spacing w:before="0" w:after="8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）互联网营销收入整体情况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896"/>
        <w:gridCol w:w="1478"/>
        <w:gridCol w:w="1661"/>
        <w:gridCol w:w="1488"/>
        <w:gridCol w:w="1704"/>
        <w:gridCol w:w="134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互联网营销收入（广 告业务收入）合计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1,383,104,865.74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1,199,822,005.15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15.28%</w:t>
            </w:r>
          </w:p>
        </w:tc>
      </w:tr>
    </w:tbl>
    <w:p>
      <w:pPr>
        <w:pStyle w:val="Style34"/>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）广告主所处的主要行业领域</w:t>
      </w:r>
    </w:p>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行业领域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广告交易平台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1,372,159,283.59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1,191,622,507.09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10,945,582.15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8,199,498.06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33.49%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1,383,104,865.74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1,199,822,005.15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15.28%</w:t>
            </w:r>
          </w:p>
        </w:tc>
      </w:tr>
    </w:tbl>
    <w:p>
      <w:pPr>
        <w:pStyle w:val="Style34"/>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）直接类客户和代理类客户情况</w:t>
      </w:r>
    </w:p>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373"/>
        <w:gridCol w:w="1368"/>
        <w:gridCol w:w="1555"/>
        <w:gridCol w:w="1176"/>
        <w:gridCol w:w="1368"/>
        <w:gridCol w:w="1546"/>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客户类型</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客户留存率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客户数量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客户留存率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直接类客户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10,945,582.15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8,199,498.06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代理类客户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1,372,159,283.59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1,191,622,507.09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8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）其他内容</w:t>
      </w:r>
      <w:r>
        <w:br w:type="page"/>
      </w:r>
    </w:p>
    <w:p>
      <w:pPr>
        <w:pStyle w:val="Style31"/>
        <w:keepNext w:val="0"/>
        <w:keepLines w:val="0"/>
        <w:widowControl w:val="0"/>
        <w:shd w:val="clear" w:color="auto" w:fill="auto"/>
        <w:bidi w:val="0"/>
        <w:spacing w:before="0" w:after="180" w:line="240" w:lineRule="auto"/>
        <w:ind w:left="0" w:right="0" w:firstLine="0"/>
        <w:jc w:val="left"/>
      </w:pPr>
      <w:bookmarkStart w:id="114" w:name="bookmark114"/>
      <w:r>
        <w:rPr>
          <w:rFonts w:ascii="Times New Roman" w:eastAsia="Times New Roman" w:hAnsi="Times New Roman" w:cs="Times New Roman"/>
          <w:b/>
          <w:bCs/>
          <w:color w:val="000000"/>
          <w:spacing w:val="0"/>
          <w:w w:val="100"/>
          <w:position w:val="0"/>
        </w:rPr>
        <w:t>1</w:t>
      </w:r>
      <w:bookmarkEnd w:id="114"/>
      <w:r>
        <w:rPr>
          <w:b/>
          <w:bCs/>
          <w:color w:val="000000"/>
          <w:spacing w:val="0"/>
          <w:w w:val="100"/>
          <w:position w:val="0"/>
        </w:rPr>
        <w:t>、</w:t>
      </w:r>
      <w:r>
        <w:rPr>
          <w:rFonts w:ascii="Times New Roman" w:eastAsia="Times New Roman" w:hAnsi="Times New Roman" w:cs="Times New Roman"/>
          <w:b/>
          <w:bCs/>
          <w:color w:val="000000"/>
          <w:spacing w:val="0"/>
          <w:w w:val="100"/>
          <w:position w:val="0"/>
        </w:rPr>
        <w:t>2019-2020</w:t>
      </w:r>
      <w:r>
        <w:rPr>
          <w:b/>
          <w:bCs/>
          <w:color w:val="000000"/>
          <w:spacing w:val="0"/>
          <w:w w:val="100"/>
          <w:position w:val="0"/>
        </w:rPr>
        <w:t>年公司产品用户数量变化情况</w:t>
      </w:r>
    </w:p>
    <w:p>
      <w:pPr>
        <w:widowControl w:val="0"/>
        <w:jc w:val="center"/>
        <w:rPr>
          <w:sz w:val="2"/>
          <w:szCs w:val="2"/>
        </w:rPr>
      </w:pPr>
      <w:r>
        <w:drawing>
          <wp:inline>
            <wp:extent cx="4584065" cy="278574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3"/>
                    <a:stretch/>
                  </pic:blipFill>
                  <pic:spPr>
                    <a:xfrm>
                      <a:ext cx="4584065" cy="2785745"/>
                    </a:xfrm>
                    <a:prstGeom prst="rect"/>
                  </pic:spPr>
                </pic:pic>
              </a:graphicData>
            </a:graphic>
          </wp:inline>
        </w:drawing>
      </w:r>
    </w:p>
    <w:p>
      <w:pPr>
        <w:widowControl w:val="0"/>
        <w:spacing w:after="139" w:line="1" w:lineRule="exact"/>
      </w:pPr>
    </w:p>
    <w:p>
      <w:pPr>
        <w:pStyle w:val="Style2"/>
        <w:keepNext w:val="0"/>
        <w:keepLines w:val="0"/>
        <w:widowControl w:val="0"/>
        <w:shd w:val="clear" w:color="auto" w:fill="auto"/>
        <w:bidi w:val="0"/>
        <w:spacing w:before="0" w:after="80" w:line="240" w:lineRule="auto"/>
        <w:ind w:left="0" w:right="0" w:firstLine="0"/>
        <w:jc w:val="center"/>
      </w:pPr>
      <w:r>
        <w:rPr>
          <w:rFonts w:ascii="SimHei" w:eastAsia="SimHei" w:hAnsi="SimHei" w:cs="SimHei"/>
          <w:color w:val="000000"/>
          <w:spacing w:val="0"/>
          <w:w w:val="100"/>
          <w:position w:val="0"/>
        </w:rPr>
        <w:t>（图</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2019-2020</w:t>
      </w:r>
      <w:r>
        <w:rPr>
          <w:rFonts w:ascii="SimHei" w:eastAsia="SimHei" w:hAnsi="SimHei" w:cs="SimHei"/>
          <w:color w:val="000000"/>
          <w:spacing w:val="0"/>
          <w:w w:val="100"/>
          <w:position w:val="0"/>
        </w:rPr>
        <w:t>年公司产品用户数量）</w:t>
      </w:r>
    </w:p>
    <w:p>
      <w:pPr>
        <w:pStyle w:val="Style31"/>
        <w:keepNext w:val="0"/>
        <w:keepLines w:val="0"/>
        <w:widowControl w:val="0"/>
        <w:shd w:val="clear" w:color="auto" w:fill="auto"/>
        <w:bidi w:val="0"/>
        <w:spacing w:before="0" w:after="80" w:line="240" w:lineRule="auto"/>
        <w:ind w:left="0" w:right="0" w:firstLine="0"/>
        <w:jc w:val="left"/>
      </w:pPr>
      <w:bookmarkStart w:id="115" w:name="bookmark115"/>
      <w:r>
        <w:rPr>
          <w:rFonts w:ascii="Times New Roman" w:eastAsia="Times New Roman" w:hAnsi="Times New Roman" w:cs="Times New Roman"/>
          <w:b/>
          <w:bCs/>
          <w:color w:val="000000"/>
          <w:spacing w:val="0"/>
          <w:w w:val="100"/>
          <w:position w:val="0"/>
        </w:rPr>
        <w:t>2</w:t>
      </w:r>
      <w:bookmarkEnd w:id="115"/>
      <w:r>
        <w:rPr>
          <w:b/>
          <w:bCs/>
          <w:color w:val="000000"/>
          <w:spacing w:val="0"/>
          <w:w w:val="100"/>
          <w:position w:val="0"/>
        </w:rPr>
        <w:t>、</w:t>
      </w:r>
      <w:r>
        <w:rPr>
          <w:rFonts w:ascii="Times New Roman" w:eastAsia="Times New Roman" w:hAnsi="Times New Roman" w:cs="Times New Roman"/>
          <w:b/>
          <w:bCs/>
          <w:color w:val="000000"/>
          <w:spacing w:val="0"/>
          <w:w w:val="100"/>
          <w:position w:val="0"/>
        </w:rPr>
        <w:t>2019-2020</w:t>
      </w:r>
      <w:r>
        <w:rPr>
          <w:b/>
          <w:bCs/>
          <w:color w:val="000000"/>
          <w:spacing w:val="0"/>
          <w:w w:val="100"/>
          <w:position w:val="0"/>
        </w:rPr>
        <w:t>年不同计费模式下的广告收入占比情况</w:t>
      </w:r>
    </w:p>
    <w:p>
      <w:pPr>
        <w:widowControl w:val="0"/>
        <w:spacing w:line="1" w:lineRule="exact"/>
      </w:pPr>
      <w:r>
        <w:drawing>
          <wp:anchor distT="0" distB="0" distL="0" distR="0" simplePos="0" relativeHeight="125829401" behindDoc="0" locked="0" layoutInCell="1" allowOverlap="1">
            <wp:simplePos x="0" y="0"/>
            <wp:positionH relativeFrom="page">
              <wp:posOffset>1377950</wp:posOffset>
            </wp:positionH>
            <wp:positionV relativeFrom="paragraph">
              <wp:posOffset>0</wp:posOffset>
            </wp:positionV>
            <wp:extent cx="4809490" cy="251777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5"/>
                    <a:stretch/>
                  </pic:blipFill>
                  <pic:spPr>
                    <a:xfrm>
                      <a:ext cx="4809490" cy="2517775"/>
                    </a:xfrm>
                    <a:prstGeom prst="rect"/>
                  </pic:spPr>
                </pic:pic>
              </a:graphicData>
            </a:graphic>
          </wp:anchor>
        </w:drawing>
      </w:r>
    </w:p>
    <w:p>
      <w:pPr>
        <w:pStyle w:val="Style2"/>
        <w:keepNext w:val="0"/>
        <w:keepLines w:val="0"/>
        <w:widowControl w:val="0"/>
        <w:shd w:val="clear" w:color="auto" w:fill="auto"/>
        <w:bidi w:val="0"/>
        <w:spacing w:before="80" w:after="80" w:line="240" w:lineRule="auto"/>
        <w:ind w:left="0" w:right="0" w:firstLine="0"/>
        <w:jc w:val="center"/>
      </w:pPr>
      <w:r>
        <w:rPr>
          <w:rFonts w:ascii="SimHei" w:eastAsia="SimHei" w:hAnsi="SimHei" w:cs="SimHei"/>
          <w:color w:val="000000"/>
          <w:spacing w:val="0"/>
          <w:w w:val="100"/>
          <w:position w:val="0"/>
        </w:rPr>
        <w:t>（图</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2019-2020</w:t>
      </w:r>
      <w:r>
        <w:rPr>
          <w:rFonts w:ascii="SimHei" w:eastAsia="SimHei" w:hAnsi="SimHei" w:cs="SimHei"/>
          <w:color w:val="000000"/>
          <w:spacing w:val="0"/>
          <w:w w:val="100"/>
          <w:position w:val="0"/>
        </w:rPr>
        <w:t>年不同计费模式下的广告收入）</w:t>
      </w:r>
    </w:p>
    <w:p>
      <w:pPr>
        <w:pStyle w:val="Style31"/>
        <w:keepNext w:val="0"/>
        <w:keepLines w:val="0"/>
        <w:widowControl w:val="0"/>
        <w:shd w:val="clear" w:color="auto" w:fill="auto"/>
        <w:bidi w:val="0"/>
        <w:spacing w:before="0" w:after="80" w:line="240" w:lineRule="auto"/>
        <w:ind w:left="0" w:right="0" w:firstLine="0"/>
        <w:jc w:val="left"/>
      </w:pPr>
      <w:bookmarkStart w:id="116" w:name="bookmark116"/>
      <w:r>
        <w:rPr>
          <w:rFonts w:ascii="Times New Roman" w:eastAsia="Times New Roman" w:hAnsi="Times New Roman" w:cs="Times New Roman"/>
          <w:b/>
          <w:bCs/>
          <w:color w:val="000000"/>
          <w:spacing w:val="0"/>
          <w:w w:val="100"/>
          <w:position w:val="0"/>
        </w:rPr>
        <w:t>3</w:t>
      </w:r>
      <w:bookmarkEnd w:id="116"/>
      <w:r>
        <w:rPr>
          <w:b/>
          <w:bCs/>
          <w:color w:val="000000"/>
          <w:spacing w:val="0"/>
          <w:w w:val="100"/>
          <w:position w:val="0"/>
        </w:rPr>
        <w:t>、</w:t>
      </w:r>
      <w:r>
        <w:rPr>
          <w:rFonts w:ascii="Times New Roman" w:eastAsia="Times New Roman" w:hAnsi="Times New Roman" w:cs="Times New Roman"/>
          <w:b/>
          <w:bCs/>
          <w:color w:val="000000"/>
          <w:spacing w:val="0"/>
          <w:w w:val="100"/>
          <w:position w:val="0"/>
        </w:rPr>
        <w:t>2019-2020</w:t>
      </w:r>
      <w:r>
        <w:rPr>
          <w:b/>
          <w:bCs/>
          <w:color w:val="000000"/>
          <w:spacing w:val="0"/>
          <w:w w:val="100"/>
          <w:position w:val="0"/>
        </w:rPr>
        <w:t>年主要广告类型下的广告收入变化情况</w:t>
      </w:r>
    </w:p>
    <w:p>
      <w:pPr>
        <w:widowControl w:val="0"/>
        <w:spacing w:line="1" w:lineRule="exact"/>
      </w:pPr>
      <w:r>
        <mc:AlternateContent>
          <mc:Choice Requires="wps">
            <w:drawing>
              <wp:anchor distT="0" distB="1749425" distL="0" distR="0" simplePos="0" relativeHeight="125829402" behindDoc="0" locked="0" layoutInCell="1" allowOverlap="1">
                <wp:simplePos x="0" y="0"/>
                <wp:positionH relativeFrom="page">
                  <wp:posOffset>6087110</wp:posOffset>
                </wp:positionH>
                <wp:positionV relativeFrom="paragraph">
                  <wp:posOffset>0</wp:posOffset>
                </wp:positionV>
                <wp:extent cx="768350" cy="149225"/>
                <wp:wrapTopAndBottom/>
                <wp:docPr id="40" name="Shape 40"/>
                <a:graphic xmlns:a="http://schemas.openxmlformats.org/drawingml/2006/main">
                  <a:graphicData uri="http://schemas.microsoft.com/office/word/2010/wordprocessingShape">
                    <wps:wsp>
                      <wps:cNvSpPr txBox="1"/>
                      <wps:spPr>
                        <a:xfrm>
                          <a:ext cx="76835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（单位：万元）</w:t>
                            </w:r>
                          </w:p>
                        </w:txbxContent>
                      </wps:txbx>
                      <wps:bodyPr wrap="none" lIns="0" tIns="0" rIns="0" bIns="0">
                        <a:noAutoFit/>
                      </wps:bodyPr>
                    </wps:wsp>
                  </a:graphicData>
                </a:graphic>
              </wp:anchor>
            </w:drawing>
          </mc:Choice>
          <mc:Fallback>
            <w:pict>
              <v:shape id="_x0000_s1066" type="#_x0000_t202" style="position:absolute;margin-left:479.30000000000001pt;margin-top:0;width:60.5pt;height:11.75pt;z-index:-125829351;mso-wrap-distance-left:0;mso-wrap-distance-right:0;mso-wrap-distance-bottom:137.7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（单位：万元）</w:t>
                      </w:r>
                    </w:p>
                  </w:txbxContent>
                </v:textbox>
                <w10:wrap type="topAndBottom" anchorx="page"/>
              </v:shape>
            </w:pict>
          </mc:Fallback>
        </mc:AlternateContent>
      </w:r>
      <w:r>
        <w:drawing>
          <wp:anchor distT="463550" distB="0" distL="18415" distR="18415" simplePos="0" relativeHeight="125829404" behindDoc="0" locked="0" layoutInCell="1" allowOverlap="1">
            <wp:simplePos x="0" y="0"/>
            <wp:positionH relativeFrom="page">
              <wp:posOffset>1308100</wp:posOffset>
            </wp:positionH>
            <wp:positionV relativeFrom="paragraph">
              <wp:posOffset>463550</wp:posOffset>
            </wp:positionV>
            <wp:extent cx="5102225" cy="143891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7"/>
                    <a:stretch/>
                  </pic:blipFill>
                  <pic:spPr>
                    <a:xfrm>
                      <a:ext cx="5102225" cy="14389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2240915</wp:posOffset>
                </wp:positionH>
                <wp:positionV relativeFrom="paragraph">
                  <wp:posOffset>243840</wp:posOffset>
                </wp:positionV>
                <wp:extent cx="734695" cy="121920"/>
                <wp:wrapNone/>
                <wp:docPr id="44" name="Shape 44"/>
                <a:graphic xmlns:a="http://schemas.openxmlformats.org/drawingml/2006/main">
                  <a:graphicData uri="http://schemas.microsoft.com/office/word/2010/wordprocessingShape">
                    <wps:wsp>
                      <wps:cNvSpPr txBox="1"/>
                      <wps:spPr>
                        <a:xfrm>
                          <a:ext cx="73469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rPr>
                              <w:t>广告收入（万元）</w:t>
                            </w:r>
                          </w:p>
                        </w:txbxContent>
                      </wps:txbx>
                      <wps:bodyPr lIns="0" tIns="0" rIns="0" bIns="0">
                        <a:noAutoFit/>
                      </wps:bodyPr>
                    </wps:wsp>
                  </a:graphicData>
                </a:graphic>
              </wp:anchor>
            </w:drawing>
          </mc:Choice>
          <mc:Fallback>
            <w:pict>
              <v:shape id="_x0000_s1070" type="#_x0000_t202" style="position:absolute;margin-left:176.45000000000002pt;margin-top:19.199999999999999pt;width:57.850000000000001pt;height:9.5999999999999996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rPr>
                        <w:t>广告收入（万元）</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4621530</wp:posOffset>
                </wp:positionH>
                <wp:positionV relativeFrom="paragraph">
                  <wp:posOffset>253365</wp:posOffset>
                </wp:positionV>
                <wp:extent cx="740410" cy="121920"/>
                <wp:wrapNone/>
                <wp:docPr id="46" name="Shape 46"/>
                <a:graphic xmlns:a="http://schemas.openxmlformats.org/drawingml/2006/main">
                  <a:graphicData uri="http://schemas.microsoft.com/office/word/2010/wordprocessingShape">
                    <wps:wsp>
                      <wps:cNvSpPr txBox="1"/>
                      <wps:spPr>
                        <a:xfrm>
                          <a:ext cx="74041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rPr>
                              <w:t>展示次数（千次）</w:t>
                            </w:r>
                          </w:p>
                        </w:txbxContent>
                      </wps:txbx>
                      <wps:bodyPr lIns="0" tIns="0" rIns="0" bIns="0">
                        <a:noAutoFit/>
                      </wps:bodyPr>
                    </wps:wsp>
                  </a:graphicData>
                </a:graphic>
              </wp:anchor>
            </w:drawing>
          </mc:Choice>
          <mc:Fallback>
            <w:pict>
              <v:shape id="_x0000_s1072" type="#_x0000_t202" style="position:absolute;margin-left:363.90000000000003pt;margin-top:19.949999999999999pt;width:58.300000000000004pt;height:9.5999999999999996pt;z-index:251657731;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rPr>
                        <w:t>展示次数（千次）</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1289685</wp:posOffset>
                </wp:positionH>
                <wp:positionV relativeFrom="paragraph">
                  <wp:posOffset>299085</wp:posOffset>
                </wp:positionV>
                <wp:extent cx="191770" cy="88265"/>
                <wp:wrapNone/>
                <wp:docPr id="48" name="Shape 48"/>
                <a:graphic xmlns:a="http://schemas.openxmlformats.org/drawingml/2006/main">
                  <a:graphicData uri="http://schemas.microsoft.com/office/word/2010/wordprocessingShape">
                    <wps:wsp>
                      <wps:cNvSpPr txBox="1"/>
                      <wps:spPr>
                        <a:xfrm>
                          <a:ext cx="19177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60000</w:t>
                            </w:r>
                          </w:p>
                        </w:txbxContent>
                      </wps:txbx>
                      <wps:bodyPr lIns="0" tIns="0" rIns="0" bIns="0">
                        <a:noAutoFit/>
                      </wps:bodyPr>
                    </wps:wsp>
                  </a:graphicData>
                </a:graphic>
              </wp:anchor>
            </w:drawing>
          </mc:Choice>
          <mc:Fallback>
            <w:pict>
              <v:shape id="_x0000_s1074" type="#_x0000_t202" style="position:absolute;margin-left:101.55pt;margin-top:23.550000000000001pt;width:15.1pt;height:6.9500000000000002pt;z-index:251657733;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CA0A4"/>
                          <w:spacing w:val="0"/>
                          <w:w w:val="100"/>
                          <w:position w:val="0"/>
                          <w:sz w:val="8"/>
                          <w:szCs w:val="8"/>
                        </w:rPr>
                        <w:t>60000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6078220</wp:posOffset>
                </wp:positionH>
                <wp:positionV relativeFrom="paragraph">
                  <wp:posOffset>299085</wp:posOffset>
                </wp:positionV>
                <wp:extent cx="347345" cy="121920"/>
                <wp:wrapNone/>
                <wp:docPr id="50" name="Shape 50"/>
                <a:graphic xmlns:a="http://schemas.openxmlformats.org/drawingml/2006/main">
                  <a:graphicData uri="http://schemas.microsoft.com/office/word/2010/wordprocessingShape">
                    <wps:wsp>
                      <wps:cNvSpPr txBox="1"/>
                      <wps:spPr>
                        <a:xfrm>
                          <a:ext cx="34734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7E8189"/>
                                <w:spacing w:val="0"/>
                                <w:w w:val="100"/>
                                <w:position w:val="0"/>
                                <w:sz w:val="15"/>
                                <w:szCs w:val="15"/>
                              </w:rPr>
                              <w:t>i«o,ra»,i&gt;oo</w:t>
                            </w:r>
                          </w:p>
                        </w:txbxContent>
                      </wps:txbx>
                      <wps:bodyPr lIns="0" tIns="0" rIns="0" bIns="0">
                        <a:noAutoFit/>
                      </wps:bodyPr>
                    </wps:wsp>
                  </a:graphicData>
                </a:graphic>
              </wp:anchor>
            </w:drawing>
          </mc:Choice>
          <mc:Fallback>
            <w:pict>
              <v:shape id="_x0000_s1076" type="#_x0000_t202" style="position:absolute;margin-left:478.60000000000002pt;margin-top:23.550000000000001pt;width:27.350000000000001pt;height:9.5999999999999996pt;z-index:25165773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7E8189"/>
                          <w:spacing w:val="0"/>
                          <w:w w:val="100"/>
                          <w:position w:val="0"/>
                          <w:sz w:val="15"/>
                          <w:szCs w:val="15"/>
                        </w:rPr>
                        <w:t>i«o,ra»,i&gt;oo</w:t>
                      </w:r>
                    </w:p>
                  </w:txbxContent>
                </v:textbox>
                <w10:wrap anchorx="page"/>
              </v:shape>
            </w:pict>
          </mc:Fallback>
        </mc:AlternateContent>
      </w:r>
    </w:p>
    <w:p>
      <w:pPr>
        <w:pStyle w:val="Style2"/>
        <w:keepNext w:val="0"/>
        <w:keepLines w:val="0"/>
        <w:widowControl w:val="0"/>
        <w:shd w:val="clear" w:color="auto" w:fill="auto"/>
        <w:bidi w:val="0"/>
        <w:spacing w:before="80" w:after="80" w:line="240" w:lineRule="auto"/>
        <w:ind w:left="0" w:right="0" w:firstLine="0"/>
        <w:jc w:val="center"/>
      </w:pPr>
      <w:r>
        <w:rPr>
          <w:rFonts w:ascii="SimHei" w:eastAsia="SimHei" w:hAnsi="SimHei" w:cs="SimHei"/>
          <w:color w:val="000000"/>
          <w:spacing w:val="0"/>
          <w:w w:val="100"/>
          <w:position w:val="0"/>
        </w:rPr>
        <w:t>（图</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2019-2020</w:t>
      </w:r>
      <w:r>
        <w:rPr>
          <w:rFonts w:ascii="SimHei" w:eastAsia="SimHei" w:hAnsi="SimHei" w:cs="SimHei"/>
          <w:color w:val="000000"/>
          <w:spacing w:val="0"/>
          <w:w w:val="100"/>
          <w:position w:val="0"/>
        </w:rPr>
        <w:t>年主要广告类型下的广告收入）</w:t>
      </w:r>
      <w:r>
        <w:br w:type="page"/>
      </w:r>
    </w:p>
    <w:p>
      <w:pPr>
        <w:pStyle w:val="Style2"/>
        <w:keepNext w:val="0"/>
        <w:keepLines w:val="0"/>
        <w:widowControl w:val="0"/>
        <w:shd w:val="clear" w:color="auto" w:fill="auto"/>
        <w:bidi w:val="0"/>
        <w:spacing w:before="0" w:after="240" w:line="240" w:lineRule="auto"/>
        <w:ind w:left="0" w:right="0" w:firstLine="0"/>
        <w:jc w:val="left"/>
        <w:rPr>
          <w:sz w:val="18"/>
          <w:szCs w:val="18"/>
        </w:rPr>
      </w:pPr>
      <w:bookmarkStart w:id="117" w:name="bookmark117"/>
      <w:r>
        <w:rPr>
          <w:rFonts w:ascii="Times New Roman" w:eastAsia="Times New Roman" w:hAnsi="Times New Roman" w:cs="Times New Roman"/>
          <w:b/>
          <w:bCs/>
          <w:color w:val="000000"/>
          <w:spacing w:val="0"/>
          <w:w w:val="100"/>
          <w:position w:val="0"/>
          <w:sz w:val="18"/>
          <w:szCs w:val="18"/>
        </w:rPr>
        <w:t>4</w:t>
      </w:r>
      <w:bookmarkEnd w:id="117"/>
      <w:r>
        <w:rPr>
          <w:b/>
          <w:bCs/>
          <w:color w:val="000000"/>
          <w:spacing w:val="0"/>
          <w:w w:val="100"/>
          <w:position w:val="0"/>
          <w:sz w:val="18"/>
          <w:szCs w:val="18"/>
        </w:rPr>
        <w:t>、海外子公司</w:t>
      </w:r>
      <w:r>
        <w:rPr>
          <w:rFonts w:ascii="Times New Roman" w:eastAsia="Times New Roman" w:hAnsi="Times New Roman" w:cs="Times New Roman"/>
          <w:b/>
          <w:bCs/>
          <w:color w:val="000000"/>
          <w:spacing w:val="0"/>
          <w:w w:val="100"/>
          <w:position w:val="0"/>
          <w:sz w:val="18"/>
          <w:szCs w:val="18"/>
        </w:rPr>
        <w:t>Outfit? 2019-2020</w:t>
      </w:r>
      <w:r>
        <w:rPr>
          <w:b/>
          <w:bCs/>
          <w:color w:val="000000"/>
          <w:spacing w:val="0"/>
          <w:w w:val="100"/>
          <w:position w:val="0"/>
          <w:sz w:val="18"/>
          <w:szCs w:val="18"/>
        </w:rPr>
        <w:t>年经营业绩情况</w:t>
      </w:r>
    </w:p>
    <w:p>
      <w:pPr>
        <w:pStyle w:val="Style31"/>
        <w:keepNext w:val="0"/>
        <w:keepLines w:val="0"/>
        <w:widowControl w:val="0"/>
        <w:shd w:val="clear" w:color="auto" w:fill="auto"/>
        <w:bidi w:val="0"/>
        <w:spacing w:before="0" w:after="320" w:line="240" w:lineRule="auto"/>
        <w:ind w:left="0" w:right="0" w:firstLine="0"/>
        <w:jc w:val="right"/>
      </w:pPr>
      <w:r>
        <w:rPr>
          <w:b/>
          <w:bCs/>
          <w:color w:val="000000"/>
          <w:spacing w:val="0"/>
          <w:w w:val="100"/>
          <w:position w:val="0"/>
        </w:rPr>
        <w:t>（单位：万元）</w:t>
      </w:r>
    </w:p>
    <w:p>
      <w:pPr>
        <w:pStyle w:val="Style2"/>
        <w:keepNext w:val="0"/>
        <w:keepLines w:val="0"/>
        <w:widowControl w:val="0"/>
        <w:shd w:val="clear" w:color="auto" w:fill="auto"/>
        <w:bidi w:val="0"/>
        <w:spacing w:before="0" w:after="240" w:line="240" w:lineRule="auto"/>
        <w:ind w:left="0" w:right="0" w:firstLine="0"/>
        <w:jc w:val="center"/>
      </w:pPr>
      <w:r>
        <w:rPr>
          <w:b/>
          <w:bCs/>
          <w:color w:val="1E1A22"/>
          <w:spacing w:val="0"/>
          <w:w w:val="100"/>
          <w:position w:val="0"/>
        </w:rPr>
        <w:t>海外子公司</w:t>
      </w:r>
      <w:r>
        <w:rPr>
          <w:rFonts w:ascii="Times New Roman" w:eastAsia="Times New Roman" w:hAnsi="Times New Roman" w:cs="Times New Roman"/>
          <w:b/>
          <w:bCs/>
          <w:color w:val="1E1A22"/>
          <w:spacing w:val="0"/>
          <w:w w:val="100"/>
          <w:position w:val="0"/>
          <w:sz w:val="18"/>
          <w:szCs w:val="18"/>
        </w:rPr>
        <w:t>Outfit7 2019-2020</w:t>
      </w:r>
      <w:r>
        <w:rPr>
          <w:b/>
          <w:bCs/>
          <w:color w:val="1E1A22"/>
          <w:spacing w:val="0"/>
          <w:w w:val="100"/>
          <w:position w:val="0"/>
        </w:rPr>
        <w:t>年经营业绩</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7E8189"/>
          <w:spacing w:val="0"/>
          <w:w w:val="100"/>
          <w:position w:val="0"/>
          <w:sz w:val="18"/>
          <w:szCs w:val="18"/>
        </w:rPr>
        <w:t>140.000</w:t>
      </w:r>
    </w:p>
    <w:p>
      <w:pPr>
        <w:widowControl w:val="0"/>
        <w:jc w:val="center"/>
        <w:rPr>
          <w:sz w:val="2"/>
          <w:szCs w:val="2"/>
        </w:rPr>
      </w:pPr>
      <w:r>
        <w:drawing>
          <wp:inline>
            <wp:extent cx="4328160" cy="210947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9"/>
                    <a:stretch/>
                  </pic:blipFill>
                  <pic:spPr>
                    <a:xfrm>
                      <a:ext cx="4328160" cy="2109470"/>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480" w:line="240" w:lineRule="auto"/>
        <w:ind w:left="0" w:right="0" w:firstLine="0"/>
        <w:jc w:val="center"/>
      </w:pPr>
      <w:r>
        <w:rPr>
          <w:rFonts w:ascii="SimHei" w:eastAsia="SimHei" w:hAnsi="SimHei" w:cs="SimHei"/>
          <w:color w:val="000000"/>
          <w:spacing w:val="0"/>
          <w:w w:val="100"/>
          <w:position w:val="0"/>
        </w:rPr>
        <w:t>（图四海外子公司</w:t>
      </w:r>
      <w:r>
        <w:rPr>
          <w:rFonts w:ascii="Times New Roman" w:eastAsia="Times New Roman" w:hAnsi="Times New Roman" w:cs="Times New Roman"/>
          <w:color w:val="000000"/>
          <w:spacing w:val="0"/>
          <w:w w:val="100"/>
          <w:position w:val="0"/>
        </w:rPr>
        <w:t>Outfit7 2019-2020</w:t>
      </w:r>
      <w:r>
        <w:rPr>
          <w:rFonts w:ascii="SimHei" w:eastAsia="SimHei" w:hAnsi="SimHei" w:cs="SimHei"/>
          <w:color w:val="000000"/>
          <w:spacing w:val="0"/>
          <w:w w:val="100"/>
          <w:position w:val="0"/>
        </w:rPr>
        <w:t>年经营业绩情况）</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b/>
          <w:bCs/>
          <w:color w:val="000000"/>
          <w:spacing w:val="0"/>
          <w:w w:val="100"/>
          <w:position w:val="0"/>
        </w:rPr>
        <w:t>在主要广告合作平台的交易金额</w:t>
      </w:r>
    </w:p>
    <w:tbl>
      <w:tblPr>
        <w:tblOverlap w:val="never"/>
        <w:jc w:val="center"/>
        <w:tblLayout w:type="fixed"/>
      </w:tblPr>
      <w:tblGrid>
        <w:gridCol w:w="2064"/>
        <w:gridCol w:w="1882"/>
        <w:gridCol w:w="1157"/>
        <w:gridCol w:w="1013"/>
        <w:gridCol w:w="1709"/>
        <w:gridCol w:w="1805"/>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需求方平台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交易金额（万元）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占比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b/>
                <w:bCs/>
                <w:color w:val="000000"/>
                <w:spacing w:val="0"/>
                <w:w w:val="100"/>
                <w:position w:val="0"/>
                <w:sz w:val="18"/>
                <w:szCs w:val="18"/>
              </w:rPr>
              <w:t>日均成交额</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b/>
                <w:bCs/>
                <w:color w:val="000000"/>
                <w:spacing w:val="0"/>
                <w:w w:val="100"/>
                <w:position w:val="0"/>
                <w:sz w:val="18"/>
                <w:szCs w:val="18"/>
              </w:rPr>
              <w:t>成交笔数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（千笔）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日均成交笔数（千笔）</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61,636,571.10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168,867.32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18,270,788.48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50,056.95</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8,959.16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8,283,907.40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22,695.64</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7,962.88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7,733,099.73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21,186.57</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6,480.74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15,643,798.53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42,859.72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2,146.27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6,209.20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7,269,962.74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19,917.71</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14,679,691.74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40,218.33</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3,989,018.94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10,928.82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21,121,759.29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57,867.83</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注：公司不存在单一平台交易金额占交易总额</w:t>
      </w:r>
      <w:r>
        <w:rPr>
          <w:rFonts w:ascii="Times New Roman" w:eastAsia="Times New Roman" w:hAnsi="Times New Roman" w:cs="Times New Roman"/>
          <w:color w:val="000000"/>
          <w:spacing w:val="0"/>
          <w:w w:val="100"/>
          <w:position w:val="0"/>
        </w:rPr>
        <w:t>50%</w:t>
      </w:r>
      <w:r>
        <w:rPr>
          <w:color w:val="000000"/>
          <w:spacing w:val="0"/>
          <w:w w:val="100"/>
          <w:position w:val="0"/>
        </w:rPr>
        <w:t>的情形。</w:t>
      </w:r>
    </w:p>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sz w:val="24"/>
          <w:szCs w:val="24"/>
        </w:rPr>
        <w:t>二</w:t>
      </w:r>
      <w:bookmarkEnd w:id="120"/>
      <w:r>
        <w:rPr>
          <w:color w:val="000000"/>
          <w:spacing w:val="0"/>
          <w:w w:val="100"/>
          <w:position w:val="0"/>
          <w:sz w:val="24"/>
          <w:szCs w:val="24"/>
        </w:rPr>
        <w:t>、主营业务分析</w:t>
      </w:r>
      <w:bookmarkEnd w:id="118"/>
      <w:bookmarkEnd w:id="119"/>
      <w:bookmarkEnd w:id="121"/>
    </w:p>
    <w:p>
      <w:pPr>
        <w:pStyle w:val="Style36"/>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、概述</w:t>
      </w:r>
      <w:bookmarkEnd w:id="122"/>
      <w:bookmarkEnd w:id="123"/>
      <w:bookmarkEnd w:id="125"/>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参见“经营情况讨论与分析”中的“一、概述”相关内容。</w:t>
      </w:r>
      <w:r>
        <w:br w:type="page"/>
      </w:r>
    </w:p>
    <w:p>
      <w:pPr>
        <w:pStyle w:val="Style36"/>
        <w:keepNext/>
        <w:keepLines/>
        <w:widowControl w:val="0"/>
        <w:shd w:val="clear" w:color="auto" w:fill="auto"/>
        <w:bidi w:val="0"/>
        <w:spacing w:before="0" w:after="32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、收入与成本</w:t>
      </w:r>
      <w:bookmarkEnd w:id="126"/>
      <w:bookmarkEnd w:id="127"/>
      <w:bookmarkEnd w:id="129"/>
    </w:p>
    <w:p>
      <w:pPr>
        <w:pStyle w:val="Style114"/>
        <w:keepNext/>
        <w:keepLines/>
        <w:widowControl w:val="0"/>
        <w:numPr>
          <w:ilvl w:val="0"/>
          <w:numId w:val="13"/>
        </w:numPr>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营业收入构成</w:t>
      </w:r>
      <w:bookmarkEnd w:id="130"/>
      <w:bookmarkEnd w:id="131"/>
      <w:bookmarkEnd w:id="1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75"/>
        <w:gridCol w:w="1512"/>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1,807,222,572.12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1,943,031,921.37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-6.99%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移动互联网文化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1,807,222,572.12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1,530,181,300.47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412,850,620.90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1,383,104,865.74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1,199,822,005.15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游戏发行业务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233,591,505.45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205,377,198.71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新商业服务业务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62,257,378.70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117,170,594.04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授权业务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44,832,919.60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43,092,401.48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媒体影视业务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41,065,139.82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38,609,850.39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SPC</w:t>
            </w:r>
            <w:r>
              <w:rPr>
                <w:color w:val="000000"/>
                <w:spacing w:val="0"/>
                <w:w w:val="100"/>
                <w:position w:val="0"/>
                <w:sz w:val="18"/>
                <w:szCs w:val="18"/>
              </w:rPr>
              <w:t>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209,125,262.67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乙基蒽醌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97,030,599.03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42,370,762.81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32,804,009.90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29.16%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478,440,878.18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742,764,097.90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1,328,781,693.94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1,200,267,823.47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10.71%</w:t>
            </w:r>
          </w:p>
        </w:tc>
      </w:tr>
    </w:tbl>
    <w:p>
      <w:pPr>
        <w:widowControl w:val="0"/>
        <w:spacing w:after="319" w:line="1" w:lineRule="exact"/>
      </w:pPr>
    </w:p>
    <w:p>
      <w:pPr>
        <w:pStyle w:val="Style114"/>
        <w:keepNext/>
        <w:keepLines/>
        <w:widowControl w:val="0"/>
        <w:numPr>
          <w:ilvl w:val="0"/>
          <w:numId w:val="13"/>
        </w:numPr>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4"/>
      <w:bookmarkEnd w:id="135"/>
      <w:bookmarkEnd w:id="13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移动互联网文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1,807,222,572.</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398,942,946.90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1,383,104,865.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216,630,062.10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-9.11%</w:t>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3"/>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233,591,505.45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106,067,332.99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478,440,878.18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218,655,184.90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1,328,781,693.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180,287,762.00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1.94%</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4"/>
        <w:keepNext/>
        <w:keepLines/>
        <w:widowControl w:val="0"/>
        <w:numPr>
          <w:ilvl w:val="0"/>
          <w:numId w:val="15"/>
        </w:numPr>
        <w:shd w:val="clear" w:color="auto" w:fill="auto"/>
        <w:tabs>
          <w:tab w:pos="493" w:val="left"/>
        </w:tabs>
        <w:bidi w:val="0"/>
        <w:spacing w:before="0" w:after="24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公司实物销售收入是否大于劳务收入</w:t>
      </w:r>
      <w:bookmarkEnd w:id="138"/>
      <w:bookmarkEnd w:id="139"/>
      <w:bookmarkEnd w:id="141"/>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口是"否</w:t>
      </w:r>
    </w:p>
    <w:p>
      <w:pPr>
        <w:pStyle w:val="Style114"/>
        <w:keepNext/>
        <w:keepLines/>
        <w:widowControl w:val="0"/>
        <w:numPr>
          <w:ilvl w:val="0"/>
          <w:numId w:val="15"/>
        </w:numPr>
        <w:shd w:val="clear" w:color="auto" w:fill="auto"/>
        <w:tabs>
          <w:tab w:pos="493" w:val="left"/>
        </w:tabs>
        <w:bidi w:val="0"/>
        <w:spacing w:before="0" w:after="24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公司已签订的重大销售合同截至本报告期的履行情况</w:t>
      </w:r>
      <w:bookmarkEnd w:id="142"/>
      <w:bookmarkEnd w:id="143"/>
      <w:bookmarkEnd w:id="145"/>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4"/>
        <w:keepNext/>
        <w:keepLines/>
        <w:widowControl w:val="0"/>
        <w:numPr>
          <w:ilvl w:val="0"/>
          <w:numId w:val="15"/>
        </w:numPr>
        <w:shd w:val="clear" w:color="auto" w:fill="auto"/>
        <w:tabs>
          <w:tab w:pos="493" w:val="left"/>
        </w:tabs>
        <w:bidi w:val="0"/>
        <w:spacing w:before="0" w:after="24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营业成本构成</w:t>
      </w:r>
      <w:bookmarkEnd w:id="146"/>
      <w:bookmarkEnd w:id="147"/>
      <w:bookmarkEnd w:id="149"/>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070"/>
        <w:gridCol w:w="1498"/>
        <w:gridCol w:w="1622"/>
        <w:gridCol w:w="1344"/>
        <w:gridCol w:w="1589"/>
        <w:gridCol w:w="108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移动互联网文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223,577,526.33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96,216,869.08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化工行业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203,512,326.99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说明：无。</w:t>
      </w:r>
    </w:p>
    <w:p>
      <w:pPr>
        <w:pStyle w:val="Style114"/>
        <w:keepNext/>
        <w:keepLines/>
        <w:widowControl w:val="0"/>
        <w:numPr>
          <w:ilvl w:val="0"/>
          <w:numId w:val="15"/>
        </w:numPr>
        <w:shd w:val="clear" w:color="auto" w:fill="auto"/>
        <w:tabs>
          <w:tab w:pos="493" w:val="left"/>
        </w:tabs>
        <w:bidi w:val="0"/>
        <w:spacing w:before="0" w:after="38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报告期内合并范围是否发生变动</w:t>
      </w:r>
      <w:bookmarkEnd w:id="150"/>
      <w:bookmarkEnd w:id="151"/>
      <w:bookmarkEnd w:id="15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详见“第十二节、财务报告”之“八、合并范围的变更”。</w:t>
      </w:r>
    </w:p>
    <w:p>
      <w:pPr>
        <w:pStyle w:val="Style114"/>
        <w:keepNext/>
        <w:keepLines/>
        <w:widowControl w:val="0"/>
        <w:numPr>
          <w:ilvl w:val="0"/>
          <w:numId w:val="15"/>
        </w:numPr>
        <w:shd w:val="clear" w:color="auto" w:fill="auto"/>
        <w:tabs>
          <w:tab w:pos="493" w:val="left"/>
        </w:tabs>
        <w:bidi w:val="0"/>
        <w:spacing w:before="0" w:after="38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公司报告期内业务、产品或服务发生重大变化或调整有关情况</w:t>
      </w:r>
      <w:bookmarkEnd w:id="154"/>
      <w:bookmarkEnd w:id="155"/>
      <w:bookmarkEnd w:id="15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4"/>
        <w:keepNext/>
        <w:keepLines/>
        <w:widowControl w:val="0"/>
        <w:numPr>
          <w:ilvl w:val="0"/>
          <w:numId w:val="15"/>
        </w:numPr>
        <w:shd w:val="clear" w:color="auto" w:fill="auto"/>
        <w:tabs>
          <w:tab w:pos="493" w:val="left"/>
        </w:tabs>
        <w:bidi w:val="0"/>
        <w:spacing w:before="0" w:after="38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主要销售客户和主要供应商情况</w:t>
      </w:r>
      <w:bookmarkEnd w:id="158"/>
      <w:bookmarkEnd w:id="159"/>
      <w:bookmarkEnd w:id="16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915,757,589.89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593,647,052.70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89,884,590.70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85,681,998.16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80,221,315.62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66,322,632.71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915,757,589.89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50.67%</w:t>
            </w:r>
          </w:p>
        </w:tc>
      </w:tr>
    </w:tbl>
    <w:p>
      <w:pPr>
        <w:pStyle w:val="Style31"/>
        <w:keepNext w:val="0"/>
        <w:keepLines w:val="0"/>
        <w:widowControl w:val="0"/>
        <w:shd w:val="clear" w:color="auto" w:fill="auto"/>
        <w:bidi w:val="0"/>
        <w:spacing w:before="0" w:after="0" w:line="360" w:lineRule="exact"/>
        <w:ind w:left="24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60" w:line="360" w:lineRule="exact"/>
        <w:ind w:left="24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896"/>
        <w:gridCol w:w="468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149,171,355.61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52,290,831.73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34,478,233.77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30,320,242.45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16,272,366.52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15,809,681.15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149,171,355.61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37.39%</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24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60" w:line="240" w:lineRule="auto"/>
        <w:ind w:left="24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24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、费用</w:t>
      </w:r>
      <w:bookmarkEnd w:id="162"/>
      <w:bookmarkEnd w:id="163"/>
      <w:bookmarkEnd w:id="1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99,343,994.02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212,284,164.44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主要系本期将推广费用中的获客费 用计入营业成本列报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370,103,994.66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389,116,776.86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本期无重大变化</w:t>
            </w:r>
          </w:p>
        </w:tc>
      </w:tr>
    </w:tbl>
    <w:p>
      <w:pPr>
        <w:widowControl w:val="0"/>
        <w:spacing w:line="1" w:lineRule="exact"/>
      </w:pPr>
      <w:r>
        <w:br w:type="page"/>
      </w:r>
    </w:p>
    <w:tbl>
      <w:tblPr>
        <w:tblOverlap w:val="never"/>
        <w:jc w:val="center"/>
        <w:tblLayout w:type="fixed"/>
      </w:tblPr>
      <w:tblGrid>
        <w:gridCol w:w="1920"/>
        <w:gridCol w:w="1637"/>
        <w:gridCol w:w="1637"/>
        <w:gridCol w:w="1464"/>
        <w:gridCol w:w="29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116,797,843.66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148,844,424.46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主要系本期银行借款减少导致财务 费用利息支出的减少</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138,465,719.24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218,699,031.63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主要系公司上期出售化工产业，较 上年合并报表范围减少及公司部分 国内业务调整所致</w:t>
            </w:r>
          </w:p>
        </w:tc>
      </w:tr>
    </w:tbl>
    <w:p>
      <w:pPr>
        <w:widowControl w:val="0"/>
        <w:spacing w:after="2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235" w:right="0" w:firstLine="0"/>
        <w:jc w:val="left"/>
        <w:rPr>
          <w:sz w:val="20"/>
          <w:szCs w:val="20"/>
        </w:rPr>
      </w:pPr>
      <w:bookmarkStart w:id="166" w:name="bookmark16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、研发投入</w:t>
      </w:r>
      <w:bookmarkEnd w:id="166"/>
    </w:p>
    <w:tbl>
      <w:tblPr>
        <w:tblOverlap w:val="never"/>
        <w:jc w:val="center"/>
        <w:tblLayout w:type="fixed"/>
      </w:tblPr>
      <w:tblGrid>
        <w:gridCol w:w="979"/>
        <w:gridCol w:w="1166"/>
        <w:gridCol w:w="1133"/>
        <w:gridCol w:w="4718"/>
        <w:gridCol w:w="216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进展阶段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市场需求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r>
      <w:tr>
        <w:trPr>
          <w:trHeight w:val="18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 xml:space="preserve">cocos </w:t>
            </w:r>
            <w:r>
              <w:rPr>
                <w:color w:val="000000"/>
                <w:spacing w:val="0"/>
                <w:w w:val="100"/>
                <w:position w:val="0"/>
              </w:rPr>
              <w:t>引擎的休 闲游戏研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目前游戏发行行业竞争激烈，为保证公司发行业务 发展，公司利用自身发行优势，将休闲游戏作为公 司主要发行的游戏类目，决定成立“休闲游戏项目 组”开展项目研发。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IP</w:t>
            </w:r>
            <w:r>
              <w:rPr>
                <w:color w:val="000000"/>
                <w:spacing w:val="0"/>
                <w:w w:val="100"/>
                <w:position w:val="0"/>
              </w:rPr>
              <w:t>版 权的手机 游戏平台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利用游戏</w:t>
            </w:r>
            <w:r>
              <w:rPr>
                <w:rFonts w:ascii="Times New Roman" w:eastAsia="Times New Roman" w:hAnsi="Times New Roman" w:cs="Times New Roman"/>
                <w:color w:val="000000"/>
                <w:spacing w:val="0"/>
                <w:w w:val="100"/>
                <w:position w:val="0"/>
              </w:rPr>
              <w:t>IP</w:t>
            </w:r>
            <w:r>
              <w:rPr>
                <w:color w:val="000000"/>
                <w:spacing w:val="0"/>
                <w:w w:val="100"/>
                <w:position w:val="0"/>
              </w:rPr>
              <w:t>能有效降低游戏推广成本、增加用户留 存，公司决定对“基于</w:t>
            </w:r>
            <w:r>
              <w:rPr>
                <w:rFonts w:ascii="Times New Roman" w:eastAsia="Times New Roman" w:hAnsi="Times New Roman" w:cs="Times New Roman"/>
                <w:color w:val="000000"/>
                <w:spacing w:val="0"/>
                <w:w w:val="100"/>
                <w:position w:val="0"/>
              </w:rPr>
              <w:t>IP</w:t>
            </w:r>
            <w:r>
              <w:rPr>
                <w:color w:val="000000"/>
                <w:spacing w:val="0"/>
                <w:w w:val="100"/>
                <w:position w:val="0"/>
              </w:rPr>
              <w:t>版权的手机游戏研发”项 目进行研究并成立研发小组。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基于用户 画像研发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通过洞察与刻画公司所有</w:t>
            </w:r>
            <w:r>
              <w:rPr>
                <w:rFonts w:ascii="Times New Roman" w:eastAsia="Times New Roman" w:hAnsi="Times New Roman" w:cs="Times New Roman"/>
                <w:color w:val="000000"/>
                <w:spacing w:val="0"/>
                <w:w w:val="100"/>
                <w:position w:val="0"/>
              </w:rPr>
              <w:t>c</w:t>
            </w:r>
            <w:r>
              <w:rPr>
                <w:color w:val="000000"/>
                <w:spacing w:val="0"/>
                <w:w w:val="100"/>
                <w:position w:val="0"/>
              </w:rPr>
              <w:t>端用户的行为特点，形 成企业用户画像，为公司在用户精细化运营上提供 有力的数据支撑，以达到为用户提供更优质的产品 服务与体验的效果，从而提升企业用户的新增、活 跃、留存等关键指标，实现企业增长。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基于汤姆 猫英语乐 园研发项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英语教育是少儿早教刚需，在国内有庞大市场。同 时国内家庭消费能力地区差异较大，特别是下沉市 场极其重视性价比，目前常见的在线一对一教育难 以满足需求。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月完成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汤姆猫飞 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研发测试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赛车游戏拥有庞大的用户规模和市场需求。项目融 合汤姆猫品牌的部分角色、形象等内容于其中，当 产品运营上线后，还将增加更多的相关元素，加强 与</w:t>
            </w:r>
            <w:r>
              <w:rPr>
                <w:rFonts w:ascii="Times New Roman" w:eastAsia="Times New Roman" w:hAnsi="Times New Roman" w:cs="Times New Roman"/>
                <w:color w:val="000000"/>
                <w:spacing w:val="0"/>
                <w:w w:val="100"/>
                <w:position w:val="0"/>
              </w:rPr>
              <w:t>IP</w:t>
            </w:r>
            <w:r>
              <w:rPr>
                <w:color w:val="000000"/>
                <w:spacing w:val="0"/>
                <w:w w:val="100"/>
                <w:position w:val="0"/>
              </w:rPr>
              <w:t>的融合力度，扩大公司效益。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月启动测试</w:t>
            </w:r>
          </w:p>
        </w:tc>
      </w:tr>
      <w:tr>
        <w:trPr>
          <w:trHeight w:val="20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汤姆猫总 动员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电子宠物类游戏，是公司最为擅长和成功的游戏种 类，继《我的汤姆猫</w:t>
            </w:r>
            <w:r>
              <w:rPr>
                <w:rFonts w:ascii="Times New Roman" w:eastAsia="Times New Roman" w:hAnsi="Times New Roman" w:cs="Times New Roman"/>
                <w:color w:val="000000"/>
                <w:spacing w:val="0"/>
                <w:w w:val="100"/>
                <w:position w:val="0"/>
              </w:rPr>
              <w:t>2</w:t>
            </w:r>
            <w:r>
              <w:rPr>
                <w:color w:val="000000"/>
                <w:spacing w:val="0"/>
                <w:w w:val="100"/>
                <w:position w:val="0"/>
              </w:rPr>
              <w:t>》之后，公司再一次巩固了在 这一玩法类型中的行业地位，在此基础上，公司积 极探索汤姆猫</w:t>
            </w:r>
            <w:r>
              <w:rPr>
                <w:rFonts w:ascii="Times New Roman" w:eastAsia="Times New Roman" w:hAnsi="Times New Roman" w:cs="Times New Roman"/>
                <w:color w:val="000000"/>
                <w:spacing w:val="0"/>
                <w:w w:val="100"/>
                <w:position w:val="0"/>
              </w:rPr>
              <w:t>IP</w:t>
            </w:r>
            <w:r>
              <w:rPr>
                <w:color w:val="000000"/>
                <w:spacing w:val="0"/>
                <w:w w:val="100"/>
                <w:position w:val="0"/>
              </w:rPr>
              <w:t>在电子宠物类游戏中的新突破，专 注打造新一代电子宠物游戏。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月上线</w:t>
            </w:r>
          </w:p>
        </w:tc>
      </w:tr>
    </w:tbl>
    <w:p>
      <w:pPr>
        <w:widowControl w:val="0"/>
        <w:spacing w:line="1" w:lineRule="exact"/>
      </w:pPr>
      <w:r>
        <w:br w:type="page"/>
      </w:r>
    </w:p>
    <w:tbl>
      <w:tblPr>
        <w:tblOverlap w:val="never"/>
        <w:jc w:val="center"/>
        <w:tblLayout w:type="fixed"/>
      </w:tblPr>
      <w:tblGrid>
        <w:gridCol w:w="979"/>
        <w:gridCol w:w="1166"/>
        <w:gridCol w:w="1133"/>
        <w:gridCol w:w="4718"/>
        <w:gridCol w:w="2160"/>
      </w:tblGrid>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汤姆猫小 飞侠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公司的汤姆猫跑酷游戏，是公司目前最成功的非电 子宠物类游戏，在跑酷游戏细分领域中表现突出。 公司希望在跑酷游戏细分领域进一步深耕，尝试与 传统三道无尽模式跑酷游戏有所不同的飞行跑酷玩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已终止</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神王决斗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本项目是公司的新</w:t>
            </w:r>
            <w:r>
              <w:rPr>
                <w:rFonts w:ascii="Times New Roman" w:eastAsia="Times New Roman" w:hAnsi="Times New Roman" w:cs="Times New Roman"/>
                <w:color w:val="000000"/>
                <w:spacing w:val="0"/>
                <w:w w:val="100"/>
                <w:position w:val="0"/>
              </w:rPr>
              <w:t>IP</w:t>
            </w:r>
            <w:r>
              <w:rPr>
                <w:color w:val="000000"/>
                <w:spacing w:val="0"/>
                <w:w w:val="100"/>
                <w:position w:val="0"/>
              </w:rPr>
              <w:t>游戏研发项目，是一款以自走 棋为核心玩法，基于卡牌收集升级的</w:t>
            </w:r>
            <w:r>
              <w:rPr>
                <w:rFonts w:ascii="Times New Roman" w:eastAsia="Times New Roman" w:hAnsi="Times New Roman" w:cs="Times New Roman"/>
                <w:color w:val="000000"/>
                <w:spacing w:val="0"/>
                <w:w w:val="100"/>
                <w:position w:val="0"/>
              </w:rPr>
              <w:t>RPG</w:t>
            </w:r>
            <w:r>
              <w:rPr>
                <w:color w:val="000000"/>
                <w:spacing w:val="0"/>
                <w:w w:val="100"/>
                <w:position w:val="0"/>
              </w:rPr>
              <w:t>策略游戏。 玩家用户在游戏中可以不断地收集卡牌以及虚拟货 币，对其拥有的卡牌英雄进行升级，使用所拥有的 英雄进行排名布阵，并与其他玩家的阵容进行非即 时的自动化对战。该项目旨在将自走棋等策略游戏 休闲化，使得更多的用户可以以更轻松的方式游戏。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rPr>
              <w:t>2021</w:t>
            </w:r>
            <w:r>
              <w:rPr>
                <w:color w:val="000000"/>
                <w:spacing w:val="0"/>
                <w:w w:val="100"/>
                <w:position w:val="0"/>
              </w:rPr>
              <w:t>年第二季度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沼泽激战</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本项目是</w:t>
            </w:r>
            <w:r>
              <w:rPr>
                <w:rFonts w:ascii="Times New Roman" w:eastAsia="Times New Roman" w:hAnsi="Times New Roman" w:cs="Times New Roman"/>
                <w:color w:val="000000"/>
                <w:spacing w:val="0"/>
                <w:w w:val="100"/>
                <w:position w:val="0"/>
              </w:rPr>
              <w:t>Outfit7</w:t>
            </w:r>
            <w:r>
              <w:rPr>
                <w:color w:val="000000"/>
                <w:spacing w:val="0"/>
                <w:w w:val="100"/>
                <w:position w:val="0"/>
              </w:rPr>
              <w:t>公司发行的《沼泽激战</w:t>
            </w:r>
            <w:r>
              <w:rPr>
                <w:rFonts w:ascii="Times New Roman" w:eastAsia="Times New Roman" w:hAnsi="Times New Roman" w:cs="Times New Roman"/>
                <w:color w:val="000000"/>
                <w:spacing w:val="0"/>
                <w:w w:val="100"/>
                <w:position w:val="0"/>
              </w:rPr>
              <w:t>Swamp Attack</w:t>
            </w:r>
            <w:r>
              <w:rPr>
                <w:color w:val="000000"/>
                <w:spacing w:val="0"/>
                <w:w w:val="100"/>
                <w:position w:val="0"/>
              </w:rPr>
              <w:t>》</w:t>
            </w:r>
            <w:r>
              <w:rPr>
                <w:color w:val="000000"/>
                <w:spacing w:val="0"/>
                <w:w w:val="100"/>
                <w:position w:val="0"/>
              </w:rPr>
              <w:t>的续作，是一款休闲塔防射击游戏，玩法是 类似《植物大战僵尸》的策略塔防类射击，玩家作 为猎人升级武器射击并阻止不断发起攻击的沼泽怪 物，以游戏内付费购买变现为主。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rPr>
              <w:t>2021</w:t>
            </w:r>
            <w:r>
              <w:rPr>
                <w:color w:val="000000"/>
                <w:spacing w:val="0"/>
                <w:w w:val="100"/>
                <w:position w:val="0"/>
              </w:rPr>
              <w:t>年第三季度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我的安吉 拉</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本项目是公司核心产品《我的安吉拉》的续作，前 作《我的安吉拉》于</w:t>
            </w:r>
            <w:r>
              <w:rPr>
                <w:rFonts w:ascii="Times New Roman" w:eastAsia="Times New Roman" w:hAnsi="Times New Roman" w:cs="Times New Roman"/>
                <w:color w:val="000000"/>
                <w:spacing w:val="0"/>
                <w:w w:val="100"/>
                <w:position w:val="0"/>
              </w:rPr>
              <w:t>2014</w:t>
            </w:r>
            <w:r>
              <w:rPr>
                <w:color w:val="000000"/>
                <w:spacing w:val="0"/>
                <w:w w:val="100"/>
                <w:position w:val="0"/>
              </w:rPr>
              <w:t>年发行，广受全世界范围 用户的欢迎和喜爱。我的安吉拉</w:t>
            </w:r>
            <w:r>
              <w:rPr>
                <w:rFonts w:ascii="Times New Roman" w:eastAsia="Times New Roman" w:hAnsi="Times New Roman" w:cs="Times New Roman"/>
                <w:color w:val="000000"/>
                <w:spacing w:val="0"/>
                <w:w w:val="100"/>
                <w:position w:val="0"/>
              </w:rPr>
              <w:t>2</w:t>
            </w:r>
            <w:r>
              <w:rPr>
                <w:color w:val="000000"/>
                <w:spacing w:val="0"/>
                <w:w w:val="100"/>
                <w:position w:val="0"/>
              </w:rPr>
              <w:t>引入了护理、个 性化装扮、活动等等更多更丰富的功能，提高了美 术设计和动画效果，延伸了用户与安吉拉的互动方 式和互动效果，旨在为电子宠物养成类游戏的用户 提供全新的用户体验，与此同时进一步巩固公司在 电子宠物类游戏中的市场份额和地位。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rPr>
              <w:t>2021</w:t>
            </w:r>
            <w:r>
              <w:rPr>
                <w:color w:val="000000"/>
                <w:spacing w:val="0"/>
                <w:w w:val="100"/>
                <w:position w:val="0"/>
              </w:rPr>
              <w:t>年第三季度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汤姆猫跑 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本项目是公司核心产品《汤姆猫跑酷》的续作，前 作汤姆猫跑酷于</w:t>
            </w:r>
            <w:r>
              <w:rPr>
                <w:rFonts w:ascii="Times New Roman" w:eastAsia="Times New Roman" w:hAnsi="Times New Roman" w:cs="Times New Roman"/>
                <w:color w:val="000000"/>
                <w:spacing w:val="0"/>
                <w:w w:val="100"/>
                <w:position w:val="0"/>
              </w:rPr>
              <w:t>2016</w:t>
            </w:r>
            <w:r>
              <w:rPr>
                <w:color w:val="000000"/>
                <w:spacing w:val="0"/>
                <w:w w:val="100"/>
                <w:position w:val="0"/>
              </w:rPr>
              <w:t>年发行，广受跑酷玩家欢迎和 喜爱，尤其在中国市场拥有庞大的用户基础。《汤 姆猫跑酷</w:t>
            </w:r>
            <w:r>
              <w:rPr>
                <w:rFonts w:ascii="Times New Roman" w:eastAsia="Times New Roman" w:hAnsi="Times New Roman" w:cs="Times New Roman"/>
                <w:color w:val="000000"/>
                <w:spacing w:val="0"/>
                <w:w w:val="100"/>
                <w:position w:val="0"/>
              </w:rPr>
              <w:t>2</w:t>
            </w:r>
            <w:r>
              <w:rPr>
                <w:color w:val="000000"/>
                <w:spacing w:val="0"/>
                <w:w w:val="100"/>
                <w:position w:val="0"/>
              </w:rPr>
              <w:t>》将坚持以无尽跑酷核心玩法为基础，通 过多维度的玩法创新、美术风格突破来为用户玩家 提供全新的跑酷体验，从而进一步奠定公司在跑酷 类游戏中的市场份额和地位。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rPr>
              <w:t>2022</w:t>
            </w:r>
            <w:r>
              <w:rPr>
                <w:color w:val="000000"/>
                <w:spacing w:val="0"/>
                <w:w w:val="100"/>
                <w:position w:val="0"/>
              </w:rPr>
              <w:t>年第二季度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汤姆猫闯 乐园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公司在休闲类游戏中有非常大的影响力和用户基 础，为满足玩家获得更多丰富玩法的游戏需求，公 司积极探索该汤姆猫</w:t>
            </w:r>
            <w:r>
              <w:rPr>
                <w:rFonts w:ascii="Times New Roman" w:eastAsia="Times New Roman" w:hAnsi="Times New Roman" w:cs="Times New Roman"/>
                <w:color w:val="000000"/>
                <w:spacing w:val="0"/>
                <w:w w:val="100"/>
                <w:position w:val="0"/>
              </w:rPr>
              <w:t>IP</w:t>
            </w:r>
            <w:r>
              <w:rPr>
                <w:color w:val="000000"/>
                <w:spacing w:val="0"/>
                <w:w w:val="100"/>
                <w:position w:val="0"/>
              </w:rPr>
              <w:t>体系下新玩法类型的手机游 戏，以单轨道射击为核心玩法，用户在其中投掷小 弹丸以清除浣熊，障碍物和</w:t>
            </w:r>
            <w:r>
              <w:rPr>
                <w:rFonts w:ascii="Times New Roman" w:eastAsia="Times New Roman" w:hAnsi="Times New Roman" w:cs="Times New Roman"/>
                <w:color w:val="000000"/>
                <w:spacing w:val="0"/>
                <w:w w:val="100"/>
                <w:position w:val="0"/>
              </w:rPr>
              <w:t>/</w:t>
            </w:r>
            <w:r>
              <w:rPr>
                <w:color w:val="000000"/>
                <w:spacing w:val="0"/>
                <w:w w:val="100"/>
                <w:position w:val="0"/>
              </w:rPr>
              <w:t>或收集物品的路径。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rPr>
              <w:t>2022</w:t>
            </w:r>
            <w:r>
              <w:rPr>
                <w:color w:val="000000"/>
                <w:spacing w:val="0"/>
                <w:w w:val="100"/>
                <w:position w:val="0"/>
              </w:rPr>
              <w:t>年第四季度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w:t>
            </w:r>
          </w:p>
        </w:tc>
      </w:tr>
    </w:tbl>
    <w:p>
      <w:pPr>
        <w:pStyle w:val="Style34"/>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8"/>
          <w:szCs w:val="18"/>
        </w:rPr>
        <w:t>V</w:t>
      </w:r>
      <w:r>
        <w:rPr>
          <w:color w:val="000000"/>
          <w:spacing w:val="0"/>
          <w:w w:val="100"/>
          <w:position w:val="0"/>
        </w:rPr>
        <w:t>适用口不适用</w:t>
      </w:r>
    </w:p>
    <w:p>
      <w:pPr>
        <w:widowControl w:val="0"/>
        <w:spacing w:after="1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278,017,936.96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371,926,847.77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358,641,180.13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139,552,217.72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153,227,816.14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185,817,036.39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r>
        <w:rPr>
          <w:color w:val="000000"/>
          <w:spacing w:val="0"/>
          <w:w w:val="100"/>
          <w:position w:val="0"/>
        </w:rPr>
        <w:t>、现金流</w:t>
      </w:r>
      <w:bookmarkEnd w:id="167"/>
      <w:bookmarkEnd w:id="168"/>
      <w:bookmarkEnd w:id="16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2,176,554,834.86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3,063,756,859.22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1,100,716,150.48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2,000,937,469.57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1,075,838,684.38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1,062,819,389.65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4,842,387,903.38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4,810,751,717.11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5,048,783,009.74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5,237,637,340.99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-206,395,106.36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-426,885,623.88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1,801,360,927.15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6,492,200,193.35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2,895,442,900.86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7,597,164,937.50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-1,104,964,744.15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-283,309,320.18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-450,664,968.25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48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714" w:val="left"/>
        </w:tabs>
        <w:bidi w:val="0"/>
        <w:spacing w:before="0" w:after="0" w:line="480" w:lineRule="exact"/>
        <w:ind w:left="0" w:right="0" w:firstLine="380"/>
        <w:jc w:val="left"/>
      </w:pPr>
      <w:bookmarkStart w:id="170" w:name="bookmark170"/>
      <w:r>
        <w:rPr>
          <w:rFonts w:ascii="Times New Roman" w:eastAsia="Times New Roman" w:hAnsi="Times New Roman" w:cs="Times New Roman"/>
          <w:color w:val="000000"/>
          <w:spacing w:val="0"/>
          <w:w w:val="100"/>
          <w:position w:val="0"/>
        </w:rPr>
        <w:t>1</w:t>
      </w:r>
      <w:bookmarkEnd w:id="170"/>
      <w:r>
        <w:rPr>
          <w:color w:val="000000"/>
          <w:spacing w:val="0"/>
          <w:w w:val="100"/>
          <w:position w:val="0"/>
        </w:rPr>
        <w:t>、</w:t>
        <w:tab/>
        <w:t>经营活动现金流出小计同比减少</w:t>
      </w:r>
      <w:r>
        <w:rPr>
          <w:rFonts w:ascii="Times New Roman" w:eastAsia="Times New Roman" w:hAnsi="Times New Roman" w:cs="Times New Roman"/>
          <w:color w:val="000000"/>
          <w:spacing w:val="0"/>
          <w:w w:val="100"/>
          <w:position w:val="0"/>
        </w:rPr>
        <w:t>44.99%</w:t>
      </w:r>
      <w:r>
        <w:rPr>
          <w:color w:val="000000"/>
          <w:spacing w:val="0"/>
          <w:w w:val="100"/>
          <w:position w:val="0"/>
        </w:rPr>
        <w:t>,主要原因系上期化工业务剥离以及本期公司部分国内业务调整所致。</w:t>
      </w:r>
    </w:p>
    <w:p>
      <w:pPr>
        <w:pStyle w:val="Style31"/>
        <w:keepNext w:val="0"/>
        <w:keepLines w:val="0"/>
        <w:widowControl w:val="0"/>
        <w:shd w:val="clear" w:color="auto" w:fill="auto"/>
        <w:tabs>
          <w:tab w:pos="709" w:val="left"/>
        </w:tabs>
        <w:bidi w:val="0"/>
        <w:spacing w:before="0" w:after="0" w:line="480" w:lineRule="exact"/>
        <w:ind w:left="0" w:right="0" w:firstLine="380"/>
        <w:jc w:val="left"/>
      </w:pPr>
      <w:bookmarkStart w:id="171" w:name="bookmark171"/>
      <w:r>
        <w:rPr>
          <w:rFonts w:ascii="Times New Roman" w:eastAsia="Times New Roman" w:hAnsi="Times New Roman" w:cs="Times New Roman"/>
          <w:color w:val="000000"/>
          <w:spacing w:val="0"/>
          <w:w w:val="100"/>
          <w:position w:val="0"/>
        </w:rPr>
        <w:t>2</w:t>
      </w:r>
      <w:bookmarkEnd w:id="171"/>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rPr>
        <w:t>51.65%</w:t>
      </w:r>
      <w:r>
        <w:rPr>
          <w:color w:val="000000"/>
          <w:spacing w:val="0"/>
          <w:w w:val="100"/>
          <w:position w:val="0"/>
        </w:rPr>
        <w:t>,主要原因系公司本期支付拆出款、收回拆借款及收购股权支付现金 对价所致。</w:t>
      </w:r>
    </w:p>
    <w:p>
      <w:pPr>
        <w:pStyle w:val="Style31"/>
        <w:keepNext w:val="0"/>
        <w:keepLines w:val="0"/>
        <w:widowControl w:val="0"/>
        <w:shd w:val="clear" w:color="auto" w:fill="auto"/>
        <w:tabs>
          <w:tab w:pos="354" w:val="left"/>
        </w:tabs>
        <w:bidi w:val="0"/>
        <w:spacing w:before="0" w:after="0" w:line="480" w:lineRule="exact"/>
        <w:ind w:left="0" w:right="0" w:firstLine="380"/>
        <w:jc w:val="left"/>
      </w:pPr>
      <w:bookmarkStart w:id="172" w:name="bookmark172"/>
      <w:r>
        <w:rPr>
          <w:rFonts w:ascii="Times New Roman" w:eastAsia="Times New Roman" w:hAnsi="Times New Roman" w:cs="Times New Roman"/>
          <w:color w:val="000000"/>
          <w:spacing w:val="0"/>
          <w:w w:val="100"/>
          <w:position w:val="0"/>
        </w:rPr>
        <w:t>3</w:t>
      </w:r>
      <w:bookmarkEnd w:id="172"/>
      <w:r>
        <w:rPr>
          <w:color w:val="000000"/>
          <w:spacing w:val="0"/>
          <w:w w:val="100"/>
          <w:position w:val="0"/>
        </w:rPr>
        <w:t>、</w:t>
        <w:tab/>
        <w:t>筹资活动现金流入小计同比减少</w:t>
      </w:r>
      <w:r>
        <w:rPr>
          <w:rFonts w:ascii="Times New Roman" w:eastAsia="Times New Roman" w:hAnsi="Times New Roman" w:cs="Times New Roman"/>
          <w:color w:val="000000"/>
          <w:spacing w:val="0"/>
          <w:w w:val="100"/>
          <w:position w:val="0"/>
        </w:rPr>
        <w:t>72.25%</w:t>
      </w:r>
      <w:r>
        <w:rPr>
          <w:color w:val="000000"/>
          <w:spacing w:val="0"/>
          <w:w w:val="100"/>
          <w:position w:val="0"/>
        </w:rPr>
        <w:t xml:space="preserve">,主要原因系公司上期借入拆借款以及收回用于质押借款的定期存款引起上 </w:t>
      </w:r>
      <w:r>
        <w:rPr>
          <w:color w:val="000000"/>
          <w:spacing w:val="0"/>
          <w:w w:val="100"/>
          <w:position w:val="0"/>
        </w:rPr>
        <w:t>期筹资活动现金流入较大。</w:t>
      </w:r>
    </w:p>
    <w:p>
      <w:pPr>
        <w:pStyle w:val="Style31"/>
        <w:keepNext w:val="0"/>
        <w:keepLines w:val="0"/>
        <w:widowControl w:val="0"/>
        <w:shd w:val="clear" w:color="auto" w:fill="auto"/>
        <w:bidi w:val="0"/>
        <w:spacing w:before="0" w:after="220" w:line="475" w:lineRule="exact"/>
        <w:ind w:left="0" w:right="0" w:firstLine="360"/>
        <w:jc w:val="left"/>
      </w:pPr>
      <w:bookmarkStart w:id="173" w:name="bookmark173"/>
      <w:r>
        <w:rPr>
          <w:rFonts w:ascii="Times New Roman" w:eastAsia="Times New Roman" w:hAnsi="Times New Roman" w:cs="Times New Roman"/>
          <w:color w:val="000000"/>
          <w:spacing w:val="0"/>
          <w:w w:val="100"/>
          <w:position w:val="0"/>
        </w:rPr>
        <w:t>4</w:t>
      </w:r>
      <w:bookmarkEnd w:id="173"/>
      <w:r>
        <w:rPr>
          <w:color w:val="000000"/>
          <w:spacing w:val="0"/>
          <w:w w:val="100"/>
          <w:position w:val="0"/>
        </w:rPr>
        <w:t>、筹资活动现金流出小计同比减少</w:t>
      </w:r>
      <w:r>
        <w:rPr>
          <w:rFonts w:ascii="Times New Roman" w:eastAsia="Times New Roman" w:hAnsi="Times New Roman" w:cs="Times New Roman"/>
          <w:color w:val="000000"/>
          <w:spacing w:val="0"/>
          <w:w w:val="100"/>
          <w:position w:val="0"/>
        </w:rPr>
        <w:t>61.89%</w:t>
      </w:r>
      <w:r>
        <w:rPr>
          <w:color w:val="000000"/>
          <w:spacing w:val="0"/>
          <w:w w:val="100"/>
          <w:position w:val="0"/>
        </w:rPr>
        <w:t>，主要原因系公司上期归还拆借款以及支付用于质押借款的定期存款引起上 期筹资活动现金流出较大。</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三</w:t>
      </w:r>
      <w:bookmarkEnd w:id="176"/>
      <w:r>
        <w:rPr>
          <w:color w:val="000000"/>
          <w:spacing w:val="0"/>
          <w:w w:val="100"/>
          <w:position w:val="0"/>
          <w:sz w:val="24"/>
          <w:szCs w:val="24"/>
        </w:rPr>
        <w:t>、非主营业务情况</w:t>
      </w:r>
      <w:bookmarkEnd w:id="174"/>
      <w:bookmarkEnd w:id="175"/>
      <w:bookmarkEnd w:id="17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93,328,218.13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主要系业绩补偿收益、处 置长期股权投资、权益法 核算的长期股权产生的 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公允价值变动损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系其他非流动金融资产 公允价值变动收益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7,092,991.10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主要系政府补助、业绩补 偿返还股利收入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21,899,260.42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主要系非流动资产报废 损失及捐赠支出所致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信用减值损失</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（损失以号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33,307,282.04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系应收账款、其他应收款 的坏账计提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资产减值损失</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（损失以号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-39,440,632.96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主要系长期股权投资减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16,763,006.49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系各类与日常经营相关 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四</w:t>
      </w:r>
      <w:bookmarkEnd w:id="180"/>
      <w:r>
        <w:rPr>
          <w:color w:val="000000"/>
          <w:spacing w:val="0"/>
          <w:w w:val="100"/>
          <w:position w:val="0"/>
          <w:sz w:val="24"/>
          <w:szCs w:val="24"/>
        </w:rPr>
        <w:t>、资产及负债状况分析</w:t>
      </w:r>
      <w:bookmarkEnd w:id="178"/>
      <w:bookmarkEnd w:id="179"/>
      <w:bookmarkEnd w:id="181"/>
    </w:p>
    <w:p>
      <w:pPr>
        <w:pStyle w:val="Style36"/>
        <w:keepNext/>
        <w:keepLines/>
        <w:widowControl w:val="0"/>
        <w:shd w:val="clear" w:color="auto" w:fill="auto"/>
        <w:bidi w:val="0"/>
        <w:spacing w:before="0" w:after="32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占总资产</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712,331,309.</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1,000,560,61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主要系公司本期支付股权转让款导 致的货币资金减少</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216,708,115.</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372,486,483.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无重大变化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4,610,953.62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9,291,535.24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无重大变化</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246,853,896.</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系公司本期出租办公楼、商场等， 报表分类至投资性房地产列报</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851,804,674.</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129,430,163.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系本期对外投资设立参股公司导致 长期股权投资增加</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279,642,588.</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546,140,843.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系公司本期出租办公楼、商场等， 报表分类至投资性房地产列报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706,167.29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无重大变化</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739,810,151.</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684,783,097.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系公司本期增加银行借款所致</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1,663,201,25</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2,595,999,16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系公司本期归还银行借款所致</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21,178,056.8</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1,837,119,71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主要系公司本期收回资金拆借款导 致其他应收款减少</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3,647,754,55</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3,650,032,63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无重大变化</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本期计 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其他权 益工具投 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178,656,6</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-30,086,70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-289,278,446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22,024,209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118,594,422.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其他非 流动金融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34,247,77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7,443,869.</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9,732,292.13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41,494,124.8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212,904,4</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-22,642,83</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-279,546,154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22,221,723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160,088,547.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212,904,4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-279,546,154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160,088,547.</w:t>
            </w:r>
          </w:p>
        </w:tc>
      </w:tr>
    </w:tbl>
    <w:p>
      <w:pPr>
        <w:widowControl w:val="0"/>
        <w:spacing w:line="1" w:lineRule="exact"/>
      </w:pPr>
      <w:r>
        <w:br w:type="page"/>
      </w:r>
    </w:p>
    <w:tbl>
      <w:tblPr>
        <w:tblOverlap w:val="never"/>
        <w:jc w:val="center"/>
        <w:tblLayout w:type="fixed"/>
      </w:tblPr>
      <w:tblGrid>
        <w:gridCol w:w="989"/>
        <w:gridCol w:w="1013"/>
        <w:gridCol w:w="1066"/>
        <w:gridCol w:w="1190"/>
        <w:gridCol w:w="931"/>
        <w:gridCol w:w="1195"/>
        <w:gridCol w:w="1066"/>
        <w:gridCol w:w="912"/>
        <w:gridCol w:w="1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其他变动的内容</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36"/>
        <w:keepNext/>
        <w:keepLines/>
        <w:widowControl w:val="0"/>
        <w:shd w:val="clear" w:color="auto" w:fill="auto"/>
        <w:bidi w:val="0"/>
        <w:spacing w:before="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p>
      <w:pPr>
        <w:pStyle w:val="Style31"/>
        <w:keepNext w:val="0"/>
        <w:keepLines w:val="0"/>
        <w:widowControl w:val="0"/>
        <w:shd w:val="clear" w:color="auto" w:fill="auto"/>
        <w:bidi w:val="0"/>
        <w:spacing w:before="0" w:after="660" w:line="240" w:lineRule="auto"/>
        <w:ind w:left="0" w:right="0" w:firstLine="0"/>
        <w:jc w:val="both"/>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“55</w:t>
      </w:r>
      <w:r>
        <w:rPr>
          <w:color w:val="000000"/>
          <w:spacing w:val="0"/>
          <w:w w:val="100"/>
          <w:position w:val="0"/>
        </w:rPr>
        <w:t>、所有权或使用权受到限制的资产匚</w:t>
      </w:r>
    </w:p>
    <w:p>
      <w:pPr>
        <w:pStyle w:val="Style29"/>
        <w:keepNext/>
        <w:keepLines/>
        <w:widowControl w:val="0"/>
        <w:shd w:val="clear" w:color="auto" w:fill="auto"/>
        <w:bidi w:val="0"/>
        <w:spacing w:before="0" w:after="30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sz w:val="24"/>
          <w:szCs w:val="24"/>
        </w:rPr>
        <w:t>五</w:t>
      </w:r>
      <w:bookmarkEnd w:id="196"/>
      <w:r>
        <w:rPr>
          <w:color w:val="000000"/>
          <w:spacing w:val="0"/>
          <w:w w:val="100"/>
          <w:position w:val="0"/>
          <w:sz w:val="24"/>
          <w:szCs w:val="24"/>
        </w:rPr>
        <w:t>、投资状况分析</w:t>
      </w:r>
      <w:bookmarkEnd w:id="194"/>
      <w:bookmarkEnd w:id="195"/>
      <w:bookmarkEnd w:id="197"/>
    </w:p>
    <w:p>
      <w:pPr>
        <w:pStyle w:val="Style36"/>
        <w:keepNext/>
        <w:keepLines/>
        <w:widowControl w:val="0"/>
        <w:shd w:val="clear" w:color="auto" w:fill="auto"/>
        <w:bidi w:val="0"/>
        <w:spacing w:before="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、总体情况</w:t>
      </w:r>
      <w:bookmarkEnd w:id="198"/>
      <w:bookmarkEnd w:id="199"/>
      <w:bookmarkEnd w:id="201"/>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2,348,010,000.00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46,949,640.00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4901.12%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、报告期内获取的重大的股权投资情况</w:t>
      </w:r>
      <w:bookmarkEnd w:id="202"/>
      <w:bookmarkEnd w:id="203"/>
      <w:bookmarkEnd w:id="205"/>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 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合作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投资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产品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 投资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是否 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60" w:right="0" w:firstLine="0"/>
              <w:jc w:val="left"/>
              <w:rPr>
                <w:sz w:val="18"/>
                <w:szCs w:val="18"/>
              </w:rPr>
            </w:pPr>
            <w:r>
              <w:rPr>
                <w:color w:val="000000"/>
                <w:spacing w:val="0"/>
                <w:w w:val="100"/>
                <w:position w:val="0"/>
                <w:sz w:val="18"/>
                <w:szCs w:val="18"/>
              </w:rPr>
              <w:t>披露</w:t>
            </w:r>
          </w:p>
          <w:p>
            <w:pPr>
              <w:pStyle w:val="Style2"/>
              <w:keepNext w:val="0"/>
              <w:keepLines w:val="0"/>
              <w:widowControl w:val="0"/>
              <w:shd w:val="clear" w:color="auto" w:fill="auto"/>
              <w:bidi w:val="0"/>
              <w:spacing w:before="0" w:after="0" w:line="322" w:lineRule="exact"/>
              <w:ind w:left="160" w:right="0" w:firstLine="0"/>
              <w:jc w:val="left"/>
              <w:rPr>
                <w:sz w:val="18"/>
                <w:szCs w:val="18"/>
              </w:rPr>
            </w:pPr>
            <w:r>
              <w:rPr>
                <w:color w:val="000000"/>
                <w:spacing w:val="0"/>
                <w:w w:val="100"/>
                <w:position w:val="0"/>
                <w:sz w:val="18"/>
                <w:szCs w:val="18"/>
              </w:rPr>
              <w:t>日期</w:t>
            </w:r>
          </w:p>
          <w:p>
            <w:pPr>
              <w:pStyle w:val="Style2"/>
              <w:keepNext w:val="0"/>
              <w:keepLines w:val="0"/>
              <w:widowControl w:val="0"/>
              <w:shd w:val="clear" w:color="auto" w:fill="auto"/>
              <w:bidi w:val="0"/>
              <w:spacing w:before="0" w:after="0" w:line="322" w:lineRule="exact"/>
              <w:ind w:left="160" w:right="0" w:firstLine="0"/>
              <w:jc w:val="left"/>
              <w:rPr>
                <w:sz w:val="18"/>
                <w:szCs w:val="18"/>
              </w:rPr>
            </w:pPr>
            <w:r>
              <w:rPr>
                <w:color w:val="000000"/>
                <w:spacing w:val="0"/>
                <w:w w:val="100"/>
                <w:position w:val="0"/>
                <w:sz w:val="18"/>
                <w:szCs w:val="18"/>
              </w:rPr>
              <w:t>（如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披露 索引</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（如 有）</w:t>
            </w:r>
          </w:p>
        </w:tc>
      </w:tr>
      <w:tr>
        <w:trPr>
          <w:trHeight w:val="3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万锦 商贸 有限 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百 货、 酒店 用品 等销 售； 资本 投 资； 酒店 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已完 成资 产交 割手 续并 正常 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8"/>
                <w:szCs w:val="18"/>
              </w:rPr>
              <w:t>巨潮 资讯 网</w:t>
            </w:r>
          </w:p>
          <w:p>
            <w:pPr>
              <w:pStyle w:val="Style2"/>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w:t>
            </w:r>
          </w:p>
          <w:p>
            <w:pPr>
              <w:pStyle w:val="Style2"/>
              <w:keepNext w:val="0"/>
              <w:keepLines w:val="0"/>
              <w:widowControl w:val="0"/>
              <w:shd w:val="clear" w:color="auto" w:fill="auto"/>
              <w:bidi w:val="0"/>
              <w:spacing w:before="0" w:after="1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管理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服等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票务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资讯</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露天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猫产</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坤山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司设</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场所</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集团</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否</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续并</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92"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设施</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2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零售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等业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5,604.</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vMerge/>
            <w:tcBorders>
              <w:left w:val="single" w:sz="4"/>
            </w:tcBorders>
            <w:shd w:val="clear" w:color="auto" w:fill="FFFFFF"/>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w:t>
        <w:tab/>
        <w:t>报告期内正在进行的重大的非股权投资情况</w:t>
      </w:r>
      <w:bookmarkEnd w:id="206"/>
      <w:bookmarkEnd w:id="207"/>
      <w:bookmarkEnd w:id="20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w:t>
        <w:tab/>
        <w:t>以公允价值计量的金融资产</w:t>
      </w:r>
      <w:bookmarkEnd w:id="210"/>
      <w:bookmarkEnd w:id="211"/>
      <w:bookmarkEnd w:id="21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初始投</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 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292,400,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-33,965,655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-242,485,253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5,021,010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49,914,74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11,322,818.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-37,060,900.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2,611,515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110,173,8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425.41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00.72</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469,281,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-22,642,836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-279,546,154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160,088,5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、募集资金使用情况</w:t>
      </w:r>
      <w:bookmarkEnd w:id="214"/>
      <w:bookmarkEnd w:id="215"/>
      <w:bookmarkEnd w:id="21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12" w:val="left"/>
        </w:tabs>
        <w:bidi w:val="0"/>
        <w:spacing w:before="0" w:after="34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六</w:t>
      </w:r>
      <w:bookmarkEnd w:id="220"/>
      <w:r>
        <w:rPr>
          <w:color w:val="000000"/>
          <w:spacing w:val="0"/>
          <w:w w:val="100"/>
          <w:position w:val="0"/>
          <w:sz w:val="24"/>
          <w:szCs w:val="24"/>
        </w:rPr>
        <w:t>、</w:t>
        <w:tab/>
        <w:t>重大资产和股权出售</w:t>
      </w:r>
      <w:bookmarkEnd w:id="218"/>
      <w:bookmarkEnd w:id="219"/>
      <w:bookmarkEnd w:id="221"/>
    </w:p>
    <w:p>
      <w:pPr>
        <w:pStyle w:val="Style36"/>
        <w:keepNext/>
        <w:keepLines/>
        <w:widowControl w:val="0"/>
        <w:shd w:val="clear" w:color="auto" w:fill="auto"/>
        <w:tabs>
          <w:tab w:pos="407" w:val="left"/>
        </w:tabs>
        <w:bidi w:val="0"/>
        <w:spacing w:before="0" w:after="34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7" w:val="left"/>
        </w:tabs>
        <w:bidi w:val="0"/>
        <w:spacing w:before="0" w:after="34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4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w:t>
        <w:tab/>
        <w:t>主要控股参股公司分析</w:t>
      </w:r>
      <w:bookmarkEnd w:id="230"/>
      <w:bookmarkEnd w:id="231"/>
      <w:bookmarkEnd w:id="2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 s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移动应用 的研发及 发行、广告 载体服务、 视频制作 及发行等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92,777.58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842,548,17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376,329,11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1,328,781,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783,034,33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749,109,03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350"/>
        <w:gridCol w:w="3034"/>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绍兴上虞时代广场商贸有限公司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万锦商贸有限公司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上虞雷迪森万锦大酒店有限公司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霍尔果斯南瞻信息科技有限公司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星宝乐园（北京）信息科技有限公司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成都佳讯文化传播有限责任公司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金莉哲信（深圳）科技有限公司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喀什东胜傲来信息科技有限公司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河南元之荣电子科技有限公司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杭州猫衍科技有限公司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杭州集火数字科技有限公司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杭州宠觅电子商务有限公司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bl>
    <w:p>
      <w:pPr>
        <w:widowControl w:val="0"/>
        <w:spacing w:line="1" w:lineRule="exact"/>
      </w:pPr>
    </w:p>
    <w:tbl>
      <w:tblPr>
        <w:tblOverlap w:val="never"/>
        <w:jc w:val="center"/>
        <w:tblLayout w:type="fixed"/>
      </w:tblPr>
      <w:tblGrid>
        <w:gridCol w:w="3350"/>
        <w:gridCol w:w="3034"/>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杭州汉资企业管理有限公司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霍尔果斯东胜傲来文化发展有限公司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杭州芝视文化传媒有限公司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西藏哲塔科技文化有限公司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杭州傲来企业管理有限公司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绍兴上虞区金科时代潮城商贸有限公司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霍尔果斯畅玩信息科技有限公司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杭州金武门电子商务有限公司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杭州会说话家族网络科技有限公司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舟山哲信设备租赁有限公司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宁波麒瑞信息技术有限公司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广州米墅信息科技有限公司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宁波汤姆猫文化管理有限公司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上饶市麒漾信息科技有限公司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杭州金武门电子商务有限公司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、公司控制的结构化主体情况</w:t>
      </w:r>
      <w:bookmarkEnd w:id="234"/>
      <w:bookmarkEnd w:id="235"/>
      <w:bookmarkEnd w:id="23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、公司未来发展的展望</w:t>
      </w:r>
      <w:bookmarkEnd w:id="238"/>
      <w:bookmarkEnd w:id="239"/>
      <w:bookmarkEnd w:id="241"/>
    </w:p>
    <w:p>
      <w:pPr>
        <w:pStyle w:val="Style40"/>
        <w:keepNext w:val="0"/>
        <w:keepLines w:val="0"/>
        <w:widowControl w:val="0"/>
        <w:shd w:val="clear" w:color="auto" w:fill="auto"/>
        <w:bidi w:val="0"/>
        <w:spacing w:before="0" w:after="0" w:line="468" w:lineRule="exact"/>
        <w:ind w:left="0" w:right="0" w:firstLine="440"/>
        <w:jc w:val="both"/>
      </w:pPr>
      <w:bookmarkStart w:id="242" w:name="bookmark242"/>
      <w:r>
        <w:rPr>
          <w:b/>
          <w:bCs/>
          <w:color w:val="000000"/>
          <w:spacing w:val="0"/>
          <w:w w:val="100"/>
          <w:position w:val="0"/>
        </w:rPr>
        <w:t>（</w:t>
      </w:r>
      <w:bookmarkEnd w:id="242"/>
      <w:r>
        <w:rPr>
          <w:b/>
          <w:bCs/>
          <w:color w:val="000000"/>
          <w:spacing w:val="0"/>
          <w:w w:val="100"/>
          <w:position w:val="0"/>
        </w:rPr>
        <w:t>一）公司主营业务行业发展趋势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公司主营移动互联网文化业务以“会说话的汤姆猫家族”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 xml:space="preserve">为中心点展开。聚焦当下文化消费市场， </w:t>
      </w:r>
      <w:r>
        <w:rPr>
          <w:rFonts w:ascii="Times New Roman" w:eastAsia="Times New Roman" w:hAnsi="Times New Roman" w:cs="Times New Roman"/>
          <w:color w:val="000000"/>
          <w:spacing w:val="0"/>
          <w:w w:val="100"/>
          <w:position w:val="0"/>
        </w:rPr>
        <w:t>IP</w:t>
      </w:r>
      <w:r>
        <w:rPr>
          <w:color w:val="000000"/>
          <w:spacing w:val="0"/>
          <w:w w:val="100"/>
          <w:position w:val="0"/>
        </w:rPr>
        <w:t>S</w:t>
      </w:r>
      <w:r>
        <w:rPr>
          <w:color w:val="000000"/>
          <w:spacing w:val="0"/>
          <w:w w:val="100"/>
          <w:position w:val="0"/>
        </w:rPr>
        <w:t>是绕不过的关键词，文化</w:t>
      </w:r>
      <w:r>
        <w:rPr>
          <w:rFonts w:ascii="Times New Roman" w:eastAsia="Times New Roman" w:hAnsi="Times New Roman" w:cs="Times New Roman"/>
          <w:color w:val="000000"/>
          <w:spacing w:val="0"/>
          <w:w w:val="100"/>
          <w:position w:val="0"/>
        </w:rPr>
        <w:t>IP</w:t>
      </w:r>
      <w:r>
        <w:rPr>
          <w:color w:val="000000"/>
          <w:spacing w:val="0"/>
          <w:w w:val="100"/>
          <w:position w:val="0"/>
        </w:rPr>
        <w:t>的打造成为文化产业各领域高速增长的重要引擎。文化</w:t>
      </w:r>
      <w:r>
        <w:rPr>
          <w:rFonts w:ascii="Times New Roman" w:eastAsia="Times New Roman" w:hAnsi="Times New Roman" w:cs="Times New Roman"/>
          <w:color w:val="000000"/>
          <w:spacing w:val="0"/>
          <w:w w:val="100"/>
          <w:position w:val="0"/>
        </w:rPr>
        <w:t>IP</w:t>
      </w:r>
      <w:r>
        <w:rPr>
          <w:color w:val="000000"/>
          <w:spacing w:val="0"/>
          <w:w w:val="100"/>
          <w:position w:val="0"/>
        </w:rPr>
        <w:t>具有三个维度， 首先，其外在具有高辨识度的特征；其次，它又有性格，好玩有趣，个性鲜明；再次，</w:t>
      </w:r>
      <w:r>
        <w:rPr>
          <w:rFonts w:ascii="Times New Roman" w:eastAsia="Times New Roman" w:hAnsi="Times New Roman" w:cs="Times New Roman"/>
          <w:color w:val="000000"/>
          <w:spacing w:val="0"/>
          <w:w w:val="100"/>
          <w:position w:val="0"/>
        </w:rPr>
        <w:t>IP</w:t>
      </w:r>
      <w:r>
        <w:rPr>
          <w:color w:val="000000"/>
          <w:spacing w:val="0"/>
          <w:w w:val="100"/>
          <w:position w:val="0"/>
        </w:rPr>
        <w:t>的长久能力还是 在内核，它还必须有自己的态度、观点和价值观。</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从消费者角度看，文化</w:t>
      </w:r>
      <w:r>
        <w:rPr>
          <w:rFonts w:ascii="Times New Roman" w:eastAsia="Times New Roman" w:hAnsi="Times New Roman" w:cs="Times New Roman"/>
          <w:color w:val="000000"/>
          <w:spacing w:val="0"/>
          <w:w w:val="100"/>
          <w:position w:val="0"/>
        </w:rPr>
        <w:t>IP</w:t>
      </w:r>
      <w:r>
        <w:rPr>
          <w:color w:val="000000"/>
          <w:spacing w:val="0"/>
          <w:w w:val="100"/>
          <w:position w:val="0"/>
        </w:rPr>
        <w:t>代表着某一类标签、文化现象，可以引起兴趣，用户的追捧可能转化为消费 行为；从运营商角度看，文化</w:t>
      </w:r>
      <w:r>
        <w:rPr>
          <w:rFonts w:ascii="Times New Roman" w:eastAsia="Times New Roman" w:hAnsi="Times New Roman" w:cs="Times New Roman"/>
          <w:color w:val="000000"/>
          <w:spacing w:val="0"/>
          <w:w w:val="100"/>
          <w:position w:val="0"/>
        </w:rPr>
        <w:t>IP</w:t>
      </w:r>
      <w:r>
        <w:rPr>
          <w:color w:val="000000"/>
          <w:spacing w:val="0"/>
          <w:w w:val="100"/>
          <w:position w:val="0"/>
        </w:rPr>
        <w:t>代表着某一个品牌、无形资产，可以通过商业化运营、产业化融合，转化 为消费品，实现价值变现。文化</w:t>
      </w:r>
      <w:r>
        <w:rPr>
          <w:rFonts w:ascii="Times New Roman" w:eastAsia="Times New Roman" w:hAnsi="Times New Roman" w:cs="Times New Roman"/>
          <w:color w:val="000000"/>
          <w:spacing w:val="0"/>
          <w:w w:val="100"/>
          <w:position w:val="0"/>
        </w:rPr>
        <w:t>IP</w:t>
      </w:r>
      <w:r>
        <w:rPr>
          <w:color w:val="000000"/>
          <w:spacing w:val="0"/>
          <w:w w:val="100"/>
          <w:position w:val="0"/>
        </w:rPr>
        <w:t>通过优质的原创内容聚合初代粉丝，并通过衍生为影视剧、游戏、</w:t>
      </w:r>
      <w:r>
        <w:rPr>
          <w:rFonts w:ascii="Times New Roman" w:eastAsia="Times New Roman" w:hAnsi="Times New Roman" w:cs="Times New Roman"/>
          <w:color w:val="000000"/>
          <w:spacing w:val="0"/>
          <w:w w:val="100"/>
          <w:position w:val="0"/>
        </w:rPr>
        <w:t>IP</w:t>
      </w:r>
      <w:r>
        <w:rPr>
          <w:color w:val="000000"/>
          <w:spacing w:val="0"/>
          <w:w w:val="100"/>
          <w:position w:val="0"/>
        </w:rPr>
        <w:t>衍 生品等方式几何级扩大粉丝群体的方式，带来大量经济效益，形成与原始文化</w:t>
      </w:r>
      <w:r>
        <w:rPr>
          <w:rFonts w:ascii="Times New Roman" w:eastAsia="Times New Roman" w:hAnsi="Times New Roman" w:cs="Times New Roman"/>
          <w:color w:val="000000"/>
          <w:spacing w:val="0"/>
          <w:w w:val="100"/>
          <w:position w:val="0"/>
        </w:rPr>
        <w:t>IP</w:t>
      </w:r>
      <w:r>
        <w:rPr>
          <w:color w:val="000000"/>
          <w:spacing w:val="0"/>
          <w:w w:val="100"/>
          <w:position w:val="0"/>
        </w:rPr>
        <w:t>相互支撑、相互融合的生 态链条。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从文化</w:t>
      </w:r>
      <w:r>
        <w:rPr>
          <w:rFonts w:ascii="Times New Roman" w:eastAsia="Times New Roman" w:hAnsi="Times New Roman" w:cs="Times New Roman"/>
          <w:color w:val="000000"/>
          <w:spacing w:val="0"/>
          <w:w w:val="100"/>
          <w:position w:val="0"/>
        </w:rPr>
        <w:t>IP</w:t>
      </w:r>
      <w:r>
        <w:rPr>
          <w:color w:val="000000"/>
          <w:spacing w:val="0"/>
          <w:w w:val="100"/>
          <w:position w:val="0"/>
        </w:rPr>
        <w:t>未来发展的趋势来看，首先，政策支持力度的加大，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日十三届全国人大四次会议 </w:t>
      </w:r>
      <w:r>
        <w:rPr>
          <w:color w:val="000000"/>
          <w:spacing w:val="0"/>
          <w:w w:val="100"/>
          <w:position w:val="0"/>
        </w:rPr>
        <w:t>表决通过了《关于国民经济和社会发展第十四个五年规划和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年远景目标纲要的决议》，纲要中再次提 到“实施文化产业数字化战略，加快发展新型文化企业、文化业态、文化消费模式，壮大数字创意、网络 视听、数字出版、数字娱乐、线上演播等产业。”这给文化行业的高质量发展带来了前所未有的契机。其 次，相关法律法规对知识产权保护力度的进一步提升，社会整体对知识产权保护意识的充分觉醒，将为文 化</w:t>
      </w:r>
      <w:r>
        <w:rPr>
          <w:rFonts w:ascii="Times New Roman" w:eastAsia="Times New Roman" w:hAnsi="Times New Roman" w:cs="Times New Roman"/>
          <w:color w:val="000000"/>
          <w:spacing w:val="0"/>
          <w:w w:val="100"/>
          <w:position w:val="0"/>
        </w:rPr>
        <w:t>IP</w:t>
      </w:r>
      <w:r>
        <w:rPr>
          <w:color w:val="000000"/>
          <w:spacing w:val="0"/>
          <w:w w:val="100"/>
          <w:position w:val="0"/>
        </w:rPr>
        <w:t>产业发展创造更好的条件。文化</w:t>
      </w:r>
      <w:r>
        <w:rPr>
          <w:rFonts w:ascii="Times New Roman" w:eastAsia="Times New Roman" w:hAnsi="Times New Roman" w:cs="Times New Roman"/>
          <w:color w:val="000000"/>
          <w:spacing w:val="0"/>
          <w:w w:val="100"/>
          <w:position w:val="0"/>
        </w:rPr>
        <w:t>IP</w:t>
      </w:r>
      <w:r>
        <w:rPr>
          <w:color w:val="000000"/>
          <w:spacing w:val="0"/>
          <w:w w:val="100"/>
          <w:position w:val="0"/>
        </w:rPr>
        <w:t>开发运营的立体化、专业化程度在加深，</w:t>
      </w:r>
      <w:r>
        <w:rPr>
          <w:rFonts w:ascii="Times New Roman" w:eastAsia="Times New Roman" w:hAnsi="Times New Roman" w:cs="Times New Roman"/>
          <w:color w:val="000000"/>
          <w:spacing w:val="0"/>
          <w:w w:val="100"/>
          <w:position w:val="0"/>
        </w:rPr>
        <w:t>IP</w:t>
      </w:r>
      <w:r>
        <w:rPr>
          <w:color w:val="000000"/>
          <w:spacing w:val="0"/>
          <w:w w:val="100"/>
          <w:position w:val="0"/>
        </w:rPr>
        <w:t>在多个生活领域触达用 户，实现深度变现，促进消费再升级。再次，文化</w:t>
      </w:r>
      <w:r>
        <w:rPr>
          <w:rFonts w:ascii="Times New Roman" w:eastAsia="Times New Roman" w:hAnsi="Times New Roman" w:cs="Times New Roman"/>
          <w:color w:val="000000"/>
          <w:spacing w:val="0"/>
          <w:w w:val="100"/>
          <w:position w:val="0"/>
        </w:rPr>
        <w:t>IP</w:t>
      </w:r>
      <w:r>
        <w:rPr>
          <w:color w:val="000000"/>
          <w:spacing w:val="0"/>
          <w:w w:val="100"/>
          <w:position w:val="0"/>
        </w:rPr>
        <w:t>主流市场和小众市场呈现分化趋势，头部</w:t>
      </w:r>
      <w:r>
        <w:rPr>
          <w:rFonts w:ascii="Times New Roman" w:eastAsia="Times New Roman" w:hAnsi="Times New Roman" w:cs="Times New Roman"/>
          <w:color w:val="000000"/>
          <w:spacing w:val="0"/>
          <w:w w:val="100"/>
          <w:position w:val="0"/>
        </w:rPr>
        <w:t>IP</w:t>
      </w:r>
      <w:r>
        <w:rPr>
          <w:color w:val="000000"/>
          <w:spacing w:val="0"/>
          <w:w w:val="100"/>
          <w:position w:val="0"/>
        </w:rPr>
        <w:t>势能越来 越大的同时也出现了更多的细分市场，细分市场中聚集了很多高质量的文化</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由于其受众为特定群体, “粉丝”忠诚度更高。最后，新科技技术将对文化</w:t>
      </w:r>
      <w:r>
        <w:rPr>
          <w:rFonts w:ascii="Times New Roman" w:eastAsia="Times New Roman" w:hAnsi="Times New Roman" w:cs="Times New Roman"/>
          <w:color w:val="000000"/>
          <w:spacing w:val="0"/>
          <w:w w:val="100"/>
          <w:position w:val="0"/>
        </w:rPr>
        <w:t>IP</w:t>
      </w:r>
      <w:r>
        <w:rPr>
          <w:color w:val="000000"/>
          <w:spacing w:val="0"/>
          <w:w w:val="100"/>
          <w:position w:val="0"/>
        </w:rPr>
        <w:t>行业产生重大的影响，文化</w:t>
      </w:r>
      <w:r>
        <w:rPr>
          <w:rFonts w:ascii="Times New Roman" w:eastAsia="Times New Roman" w:hAnsi="Times New Roman" w:cs="Times New Roman"/>
          <w:color w:val="000000"/>
          <w:spacing w:val="0"/>
          <w:w w:val="100"/>
          <w:position w:val="0"/>
        </w:rPr>
        <w:t>IP</w:t>
      </w:r>
      <w:r>
        <w:rPr>
          <w:color w:val="000000"/>
          <w:spacing w:val="0"/>
          <w:w w:val="100"/>
          <w:position w:val="0"/>
        </w:rPr>
        <w:t>与新的人工智能技术、 大数据分析、区块链技术的结合，对</w:t>
      </w:r>
      <w:r>
        <w:rPr>
          <w:rFonts w:ascii="Times New Roman" w:eastAsia="Times New Roman" w:hAnsi="Times New Roman" w:cs="Times New Roman"/>
          <w:color w:val="000000"/>
          <w:spacing w:val="0"/>
          <w:w w:val="100"/>
          <w:position w:val="0"/>
        </w:rPr>
        <w:t>IP</w:t>
      </w:r>
      <w:r>
        <w:rPr>
          <w:color w:val="000000"/>
          <w:spacing w:val="0"/>
          <w:w w:val="100"/>
          <w:position w:val="0"/>
        </w:rPr>
        <w:t>的开发运营将产生革命性影响。</w:t>
      </w:r>
    </w:p>
    <w:p>
      <w:pPr>
        <w:pStyle w:val="Style40"/>
        <w:keepNext w:val="0"/>
        <w:keepLines w:val="0"/>
        <w:widowControl w:val="0"/>
        <w:shd w:val="clear" w:color="auto" w:fill="auto"/>
        <w:bidi w:val="0"/>
        <w:spacing w:before="0" w:after="0" w:line="469" w:lineRule="exact"/>
        <w:ind w:left="0" w:right="0" w:firstLine="440"/>
        <w:jc w:val="both"/>
      </w:pPr>
      <w:bookmarkStart w:id="243" w:name="bookmark243"/>
      <w:r>
        <w:rPr>
          <w:b/>
          <w:bCs/>
          <w:color w:val="000000"/>
          <w:spacing w:val="0"/>
          <w:w w:val="100"/>
          <w:position w:val="0"/>
        </w:rPr>
        <w:t>（</w:t>
      </w:r>
      <w:bookmarkEnd w:id="243"/>
      <w:r>
        <w:rPr>
          <w:b/>
          <w:bCs/>
          <w:color w:val="000000"/>
          <w:spacing w:val="0"/>
          <w:w w:val="100"/>
          <w:position w:val="0"/>
        </w:rPr>
        <w:t>二）公司未来战略及经营计划</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公司践行“国际化生态型移动互联网企业”的发展战略，围绕“会说话的汤姆猫家族”知名</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形成</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“点线面”的业务发展模式，具体如下：</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“点”：以“会说话的汤姆猫家族”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为中心点。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“线”：线上通过移动互联网应用、动画、大电影等</w:t>
      </w:r>
      <w:r>
        <w:rPr>
          <w:rFonts w:ascii="Times New Roman" w:eastAsia="Times New Roman" w:hAnsi="Times New Roman" w:cs="Times New Roman"/>
          <w:color w:val="000000"/>
          <w:spacing w:val="0"/>
          <w:w w:val="100"/>
          <w:position w:val="0"/>
        </w:rPr>
        <w:t>IP</w:t>
      </w:r>
      <w:r>
        <w:rPr>
          <w:color w:val="000000"/>
          <w:spacing w:val="0"/>
          <w:w w:val="100"/>
          <w:position w:val="0"/>
        </w:rPr>
        <w:t>内容制作发行，提升用户流量，实现广告和游戏 变现；线下通过与阿里巴巴、起步股份等公司的战略合作，授权众多优质品牌厂商，生产出各种类型的汤 姆猫</w:t>
      </w:r>
      <w:r>
        <w:rPr>
          <w:rFonts w:ascii="Times New Roman" w:eastAsia="Times New Roman" w:hAnsi="Times New Roman" w:cs="Times New Roman"/>
          <w:color w:val="000000"/>
          <w:spacing w:val="0"/>
          <w:w w:val="100"/>
          <w:position w:val="0"/>
        </w:rPr>
        <w:t>IP</w:t>
      </w:r>
      <w:r>
        <w:rPr>
          <w:color w:val="000000"/>
          <w:spacing w:val="0"/>
          <w:w w:val="100"/>
          <w:position w:val="0"/>
        </w:rPr>
        <w:t>衍生品系列，通过电子商务和汤姆猫乐园、专卖店等渠道，触达用户，实现</w:t>
      </w:r>
      <w:r>
        <w:rPr>
          <w:rFonts w:ascii="Times New Roman" w:eastAsia="Times New Roman" w:hAnsi="Times New Roman" w:cs="Times New Roman"/>
          <w:color w:val="000000"/>
          <w:spacing w:val="0"/>
          <w:w w:val="100"/>
          <w:position w:val="0"/>
        </w:rPr>
        <w:t>IP</w:t>
      </w:r>
      <w:r>
        <w:rPr>
          <w:color w:val="000000"/>
          <w:spacing w:val="0"/>
          <w:w w:val="100"/>
          <w:position w:val="0"/>
        </w:rPr>
        <w:t>的落地和深入变现。</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“面”：围绕海量粉丝用户，形成内容和营销、线上和线下、虚拟和实物、娱乐和教育等方面交织而 成的</w:t>
      </w:r>
      <w:r>
        <w:rPr>
          <w:rFonts w:ascii="Times New Roman" w:eastAsia="Times New Roman" w:hAnsi="Times New Roman" w:cs="Times New Roman"/>
          <w:color w:val="000000"/>
          <w:spacing w:val="0"/>
          <w:w w:val="100"/>
          <w:position w:val="0"/>
        </w:rPr>
        <w:t>IP</w:t>
      </w:r>
      <w:r>
        <w:rPr>
          <w:color w:val="000000"/>
          <w:spacing w:val="0"/>
          <w:w w:val="100"/>
          <w:position w:val="0"/>
        </w:rPr>
        <w:t>生态系统。</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未来，公司仍将致力于成为世界知名的全栖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生态运营商，打通线上线下业务布局。线上移动应用方 面，持续推出</w:t>
      </w:r>
      <w:r>
        <w:rPr>
          <w:rFonts w:ascii="Times New Roman" w:eastAsia="Times New Roman" w:hAnsi="Times New Roman" w:cs="Times New Roman"/>
          <w:color w:val="000000"/>
          <w:spacing w:val="0"/>
          <w:w w:val="100"/>
          <w:position w:val="0"/>
        </w:rPr>
        <w:t>S</w:t>
      </w:r>
      <w:r>
        <w:rPr>
          <w:color w:val="000000"/>
          <w:spacing w:val="0"/>
          <w:w w:val="100"/>
          <w:position w:val="0"/>
        </w:rPr>
        <w:t>级大</w:t>
      </w:r>
      <w:r>
        <w:rPr>
          <w:rFonts w:ascii="Times New Roman" w:eastAsia="Times New Roman" w:hAnsi="Times New Roman" w:cs="Times New Roman"/>
          <w:color w:val="000000"/>
          <w:spacing w:val="0"/>
          <w:w w:val="100"/>
          <w:position w:val="0"/>
        </w:rPr>
        <w:t>DAU</w:t>
      </w:r>
      <w:r>
        <w:rPr>
          <w:color w:val="000000"/>
          <w:spacing w:val="0"/>
          <w:w w:val="100"/>
          <w:position w:val="0"/>
        </w:rPr>
        <w:t xml:space="preserve">产品，覆盖更多用户，开发中度游戏，积极利用流量和用户红利，加深变现；争 取持续开发更多优质动画片，持续制作便于快速传播的短视频内容；培养和精细运营粉丝社群，鼓励用户 </w:t>
      </w:r>
      <w:r>
        <w:rPr>
          <w:rFonts w:ascii="Times New Roman" w:eastAsia="Times New Roman" w:hAnsi="Times New Roman" w:cs="Times New Roman"/>
          <w:color w:val="000000"/>
          <w:spacing w:val="0"/>
          <w:w w:val="100"/>
          <w:position w:val="0"/>
        </w:rPr>
        <w:t>UGC</w:t>
      </w:r>
      <w:r>
        <w:rPr>
          <w:color w:val="000000"/>
          <w:spacing w:val="0"/>
          <w:w w:val="100"/>
          <w:position w:val="0"/>
        </w:rPr>
        <w:t xml:space="preserve">参与，建立和用户之间深入的情感羁绊；与大制片商合作，联合拍摄“会说话的汤姆猫家族”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大电 影，全球同步发行，拉动整个</w:t>
      </w:r>
      <w:r>
        <w:rPr>
          <w:rFonts w:ascii="Times New Roman" w:eastAsia="Times New Roman" w:hAnsi="Times New Roman" w:cs="Times New Roman"/>
          <w:color w:val="000000"/>
          <w:spacing w:val="0"/>
          <w:w w:val="100"/>
          <w:position w:val="0"/>
        </w:rPr>
        <w:t>IP</w:t>
      </w:r>
      <w:r>
        <w:rPr>
          <w:color w:val="000000"/>
          <w:spacing w:val="0"/>
          <w:w w:val="100"/>
          <w:position w:val="0"/>
        </w:rPr>
        <w:t>体系的注意力和流量；将</w:t>
      </w:r>
      <w:r>
        <w:rPr>
          <w:rFonts w:ascii="Times New Roman" w:eastAsia="Times New Roman" w:hAnsi="Times New Roman" w:cs="Times New Roman"/>
          <w:color w:val="000000"/>
          <w:spacing w:val="0"/>
          <w:w w:val="100"/>
          <w:position w:val="0"/>
        </w:rPr>
        <w:t>IP</w:t>
      </w:r>
      <w:r>
        <w:rPr>
          <w:color w:val="000000"/>
          <w:spacing w:val="0"/>
          <w:w w:val="100"/>
          <w:position w:val="0"/>
        </w:rPr>
        <w:t>孵化系统打造完善，持续地为汤姆猫家族孵化 增添新的</w:t>
      </w:r>
      <w:r>
        <w:rPr>
          <w:rFonts w:ascii="Times New Roman" w:eastAsia="Times New Roman" w:hAnsi="Times New Roman" w:cs="Times New Roman"/>
          <w:color w:val="000000"/>
          <w:spacing w:val="0"/>
          <w:w w:val="100"/>
          <w:position w:val="0"/>
        </w:rPr>
        <w:t>IP</w:t>
      </w:r>
      <w:r>
        <w:rPr>
          <w:color w:val="000000"/>
          <w:spacing w:val="0"/>
          <w:w w:val="100"/>
          <w:position w:val="0"/>
        </w:rPr>
        <w:t>角色，形成更强大的</w:t>
      </w:r>
      <w:r>
        <w:rPr>
          <w:rFonts w:ascii="Times New Roman" w:eastAsia="Times New Roman" w:hAnsi="Times New Roman" w:cs="Times New Roman"/>
          <w:color w:val="000000"/>
          <w:spacing w:val="0"/>
          <w:w w:val="100"/>
          <w:position w:val="0"/>
        </w:rPr>
        <w:t>IP</w:t>
      </w:r>
      <w:r>
        <w:rPr>
          <w:color w:val="000000"/>
          <w:spacing w:val="0"/>
          <w:w w:val="100"/>
          <w:position w:val="0"/>
        </w:rPr>
        <w:t>集群。</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衍生品业务方面，通过授权优质商户，开发各类“会说话的汤姆猫家族”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系列衍生品，定位在年 轻用户和儿童用户两条产品方向，持续扩大衍生品</w:t>
      </w:r>
      <w:r>
        <w:rPr>
          <w:rFonts w:ascii="Times New Roman" w:eastAsia="Times New Roman" w:hAnsi="Times New Roman" w:cs="Times New Roman"/>
          <w:color w:val="000000"/>
          <w:spacing w:val="0"/>
          <w:w w:val="100"/>
          <w:position w:val="0"/>
        </w:rPr>
        <w:t>SKU</w:t>
      </w:r>
      <w:r>
        <w:rPr>
          <w:color w:val="000000"/>
          <w:spacing w:val="0"/>
          <w:w w:val="100"/>
          <w:position w:val="0"/>
        </w:rPr>
        <w:t>；</w:t>
      </w:r>
      <w:r>
        <w:rPr>
          <w:color w:val="000000"/>
          <w:spacing w:val="0"/>
          <w:w w:val="100"/>
          <w:position w:val="0"/>
        </w:rPr>
        <w:t>在天猫、淘宝等电子商务平台，搭建“会说话的 汤姆猫”超级旗舰店，与阿里巴巴合作进行策划、品宣、导流，打通电子商务销售变现的通道，争取</w:t>
      </w:r>
      <w:r>
        <w:rPr>
          <w:rFonts w:ascii="Times New Roman" w:eastAsia="Times New Roman" w:hAnsi="Times New Roman" w:cs="Times New Roman"/>
          <w:color w:val="000000"/>
          <w:spacing w:val="0"/>
          <w:w w:val="100"/>
          <w:position w:val="0"/>
        </w:rPr>
        <w:t>IP</w:t>
      </w:r>
      <w:r>
        <w:rPr>
          <w:color w:val="000000"/>
          <w:spacing w:val="0"/>
          <w:w w:val="100"/>
          <w:position w:val="0"/>
        </w:rPr>
        <w:t>系 列衍生品遍布众多国家地区的电子商务渠道，形成强势的“汤姆猫亲子生活品牌”。</w:t>
      </w:r>
      <w:r>
        <w:rPr>
          <w:rFonts w:ascii="Times New Roman" w:eastAsia="Times New Roman" w:hAnsi="Times New Roman" w:cs="Times New Roman"/>
          <w:color w:val="000000"/>
          <w:spacing w:val="0"/>
          <w:w w:val="100"/>
          <w:position w:val="0"/>
        </w:rPr>
        <w:t>IP</w:t>
      </w:r>
      <w:r>
        <w:rPr>
          <w:color w:val="000000"/>
          <w:spacing w:val="0"/>
          <w:w w:val="100"/>
          <w:position w:val="0"/>
        </w:rPr>
        <w:t>亲子主题乐园业务方 面，公司继续践行“全国城市合伙人”计划，同时积极提升国内各大城市地区的扩张，完善室内和室外形 式的亲子乐园的布局。基于"会说话的汤姆猫家族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品牌为核心，以''中国品牌”接棒"中国制造</w:t>
      </w:r>
      <w:r>
        <w:rPr>
          <w:color w:val="000000"/>
          <w:spacing w:val="0"/>
          <w:w w:val="100"/>
          <w:position w:val="0"/>
        </w:rPr>
        <w:t>”，</w:t>
      </w:r>
      <w:r>
        <w:rPr>
          <w:color w:val="000000"/>
          <w:spacing w:val="0"/>
          <w:w w:val="100"/>
          <w:position w:val="0"/>
        </w:rPr>
        <w:t>以</w:t>
      </w:r>
    </w:p>
    <w:p>
      <w:pPr>
        <w:pStyle w:val="Style120"/>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w:t>
      </w:r>
      <w:r>
        <w:rPr>
          <w:color w:val="000000"/>
          <w:spacing w:val="0"/>
          <w:w w:val="100"/>
          <w:position w:val="0"/>
        </w:rPr>
        <w:t>Brand from China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代替</w:t>
      </w:r>
      <w:r>
        <w:rPr>
          <w:rFonts w:ascii="SimSun" w:eastAsia="SimSun" w:hAnsi="SimSun" w:cs="SimSun"/>
          <w:color w:val="000000"/>
          <w:spacing w:val="0"/>
          <w:w w:val="100"/>
          <w:position w:val="0"/>
        </w:rPr>
        <w:t>"</w:t>
      </w:r>
      <w:r>
        <w:rPr>
          <w:color w:val="000000"/>
          <w:spacing w:val="0"/>
          <w:w w:val="100"/>
          <w:position w:val="0"/>
        </w:rPr>
        <w:t>Made in China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走出中国，走向全球。</w:t>
      </w:r>
    </w:p>
    <w:p>
      <w:pPr>
        <w:pStyle w:val="Style40"/>
        <w:keepNext w:val="0"/>
        <w:keepLines w:val="0"/>
        <w:widowControl w:val="0"/>
        <w:shd w:val="clear" w:color="auto" w:fill="auto"/>
        <w:bidi w:val="0"/>
        <w:spacing w:before="0" w:after="0" w:line="469" w:lineRule="exact"/>
        <w:ind w:left="0" w:right="0" w:firstLine="440"/>
        <w:jc w:val="left"/>
      </w:pPr>
      <w:bookmarkStart w:id="244" w:name="bookmark244"/>
      <w:r>
        <w:rPr>
          <w:b/>
          <w:bCs/>
          <w:color w:val="000000"/>
          <w:spacing w:val="0"/>
          <w:w w:val="100"/>
          <w:position w:val="0"/>
        </w:rPr>
        <w:t>（</w:t>
      </w:r>
      <w:bookmarkEnd w:id="244"/>
      <w:r>
        <w:rPr>
          <w:b/>
          <w:bCs/>
          <w:color w:val="000000"/>
          <w:spacing w:val="0"/>
          <w:w w:val="100"/>
          <w:position w:val="0"/>
        </w:rPr>
        <w:t>三）公司主要经营风险情况</w:t>
      </w:r>
    </w:p>
    <w:p>
      <w:pPr>
        <w:pStyle w:val="Style40"/>
        <w:keepNext w:val="0"/>
        <w:keepLines w:val="0"/>
        <w:widowControl w:val="0"/>
        <w:shd w:val="clear" w:color="auto" w:fill="auto"/>
        <w:tabs>
          <w:tab w:pos="767" w:val="left"/>
        </w:tabs>
        <w:bidi w:val="0"/>
        <w:spacing w:before="0" w:after="0" w:line="469" w:lineRule="exact"/>
        <w:ind w:left="0" w:right="0" w:firstLine="440"/>
        <w:jc w:val="left"/>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行业政策风险</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公司是一家专业从事移动互联网应用开发、专注于家庭娱乐教育的全球著名的移动互联网高科技企 业，公司业务主要分布在美国、中国、英国、俄罗斯、巴西等全球市场，虽然公司移动应用开发、运营的 主要国家并没有针对移动互联网行业建立专门的监管体制，但在经营过程中仍需遵守税收、网络信息服务、 数据隐私等其他方面的法律法规。随着近年来国内移动互联网应用行业游戏版号总量控制、版号审核趋严 等宏观政策环境的影响，公司在国内的非“会说话的汤姆猫家族”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的移动互联网应用发行业务开展受到 制约。如果未来行业政策影响继续加大，将存在影响公司国内相关业务开展的不利影响。</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针对上述风险，公司将聘请专业的法律、财务人员并建立完备的内部控制制度，同时密切关注主要海 外市场的政策变化情况，根据最新的政策变化情况及时调整经营战略，未来将继续强调聚焦“会说话的汤 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 xml:space="preserve">生态运营商发展战略，非“会说话的汤姆猫家族”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相关业务逐渐边缘化。</w:t>
      </w:r>
    </w:p>
    <w:p>
      <w:pPr>
        <w:pStyle w:val="Style40"/>
        <w:keepNext w:val="0"/>
        <w:keepLines w:val="0"/>
        <w:widowControl w:val="0"/>
        <w:shd w:val="clear" w:color="auto" w:fill="auto"/>
        <w:tabs>
          <w:tab w:pos="786" w:val="left"/>
        </w:tabs>
        <w:bidi w:val="0"/>
        <w:spacing w:before="0" w:after="0" w:line="469" w:lineRule="exact"/>
        <w:ind w:left="0" w:right="0" w:firstLine="440"/>
        <w:jc w:val="left"/>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市场竞争风险</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目前，随着互联网的快速发展，行业竞争日趋激烈，移动互联网应用产品大量增加，同质化现象日益 严重。如果公司不能及时响应市场变化，快速组织并调动资源持续不断地进行新产品和新技术研发，或公 司对市场需求的理解出现偏差，新产品和新技术与市场需求不符，将导致公司失去竞争优势，行业地位、 市场份额可能下降，对未来业绩的持续增长产生不利影响。</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针对上述风险，公司将及时关注市场变化，了解市场需求的转变，坚持精品化开发策略，持续推出高 质量内容，提升产品的用户体验，同时积极打造</w:t>
      </w:r>
      <w:r>
        <w:rPr>
          <w:rFonts w:ascii="Times New Roman" w:eastAsia="Times New Roman" w:hAnsi="Times New Roman" w:cs="Times New Roman"/>
          <w:color w:val="000000"/>
          <w:spacing w:val="0"/>
          <w:w w:val="100"/>
          <w:position w:val="0"/>
        </w:rPr>
        <w:t>IP</w:t>
      </w:r>
      <w:r>
        <w:rPr>
          <w:color w:val="000000"/>
          <w:spacing w:val="0"/>
          <w:w w:val="100"/>
          <w:position w:val="0"/>
        </w:rPr>
        <w:t>生态产业链，提高用户变现。</w:t>
      </w:r>
    </w:p>
    <w:p>
      <w:pPr>
        <w:pStyle w:val="Style40"/>
        <w:keepNext w:val="0"/>
        <w:keepLines w:val="0"/>
        <w:widowControl w:val="0"/>
        <w:shd w:val="clear" w:color="auto" w:fill="auto"/>
        <w:tabs>
          <w:tab w:pos="786" w:val="left"/>
        </w:tabs>
        <w:bidi w:val="0"/>
        <w:spacing w:before="0" w:after="0" w:line="469" w:lineRule="exact"/>
        <w:ind w:left="0" w:right="0" w:firstLine="440"/>
        <w:jc w:val="left"/>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核心人才流失风险</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互联网公司的主要资源是核心管理人员和核心技术人员。公司的管理团队和核心人员均在行业从业多 年，具有较强的产品开发及商务谈判能力，丰富的市场开拓、客户服务、运营维护经验和稳定的渠道资源。 始终保持一支优秀的核心人员团队，是公司历史上取得成功的关键因素之一。若公司的发展和人才政策无 法持续吸引和保留发展所需的管理及技术人才，则将对上市公司经营造成不利影响。</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针对上述风险，公司对于专业人才的培养和挖掘工作极其重视，搭建了平台化的人才管理机制，通过 多种方式激励优秀员工，同时给予其更大的研发空间和创作自由度。公司通过与核心人员签订协议及创造 良好的工作环境、创建良好企业文化的方式来保持核心技术和管理人员的稳定。</w:t>
      </w:r>
      <w:r>
        <w:br w:type="page"/>
      </w:r>
    </w:p>
    <w:p>
      <w:pPr>
        <w:pStyle w:val="Style29"/>
        <w:keepNext/>
        <w:keepLines/>
        <w:widowControl w:val="0"/>
        <w:shd w:val="clear" w:color="auto" w:fill="auto"/>
        <w:bidi w:val="0"/>
        <w:spacing w:before="0" w:after="34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十、接待调研、沟通、采访等活动登记表</w:t>
      </w:r>
      <w:bookmarkEnd w:id="248"/>
      <w:bookmarkEnd w:id="249"/>
      <w:bookmarkEnd w:id="250"/>
    </w:p>
    <w:p>
      <w:pPr>
        <w:pStyle w:val="Style36"/>
        <w:keepNext/>
        <w:keepLines/>
        <w:widowControl w:val="0"/>
        <w:shd w:val="clear" w:color="auto" w:fill="auto"/>
        <w:bidi w:val="0"/>
        <w:spacing w:before="0" w:after="34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、报告期内接待调研、沟通、采访等活动登记表</w:t>
      </w:r>
      <w:bookmarkEnd w:id="251"/>
      <w:bookmarkEnd w:id="252"/>
      <w:bookmarkEnd w:id="254"/>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027"/>
        <w:gridCol w:w="1032"/>
        <w:gridCol w:w="1387"/>
        <w:gridCol w:w="1733"/>
        <w:gridCol w:w="1296"/>
        <w:gridCol w:w="18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调研的基本情况索</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引</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公司会议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中信证券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王冠然， 前海开源基金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谭荐 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公司会议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南方基金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汪径尘。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公司会议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华宝基金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李竹君。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东吴证券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张良卫、 周良玖，嘉实基金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吴越、李帅、王子 建，太平人寿保险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杨华，农银人寿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 晓雷，平安保险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 勇等机构。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东吴证券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张良卫、 周良玖，民生证券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刘欣、张昱，国泰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了公司整体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tc>
      </w:tr>
    </w:tbl>
    <w:p>
      <w:pPr>
        <w:widowControl w:val="0"/>
        <w:spacing w:line="1" w:lineRule="exact"/>
      </w:pPr>
      <w:r>
        <w:br w:type="page"/>
      </w:r>
    </w:p>
    <w:tbl>
      <w:tblPr>
        <w:tblOverlap w:val="never"/>
        <w:jc w:val="center"/>
        <w:tblLayout w:type="fixed"/>
      </w:tblPr>
      <w:tblGrid>
        <w:gridCol w:w="1301"/>
        <w:gridCol w:w="1027"/>
        <w:gridCol w:w="1032"/>
        <w:gridCol w:w="1387"/>
        <w:gridCol w:w="1733"/>
        <w:gridCol w:w="1296"/>
        <w:gridCol w:w="1805"/>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谷超、曾彪， 泰达宏利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邱楠宇、 师静、孟杰，华夏 久盈资产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周武、王 雷、肖瑞东，汇添 富基金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郑乐凯、胡 昕炜、杨瑨、刘伟 林、吴江宏、马翔 等机构。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经营情况，并 就调研机构 关心的问题 进行了问答 交流。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嘉实基金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王子建， 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陈雨薇， 南方基金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汪径尘， 华宝基金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李竹君、 夏林锋等机构。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民生证券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刘欣、张 昱，建信基金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王誉 锦、崔宇硕。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国盛证券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顾晟、马 继愈、尤鑫，东吴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朱冰兵，兴业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王茜，复霈投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易申申，阳光资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李恩国，湘财基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尤鑫，易方达基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章强，华夏久盈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肖桂东，中融汇信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刘帅等机构。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华夏基金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李凡、顾 先锋，汇添富基金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谭自强，天弘基金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张宇，农银汇理基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韩林，上海光大 证券资产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孙相绪等 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bl>
    <w:p>
      <w:pPr>
        <w:widowControl w:val="0"/>
        <w:spacing w:line="1" w:lineRule="exact"/>
      </w:pPr>
      <w:r>
        <w:br w:type="page"/>
      </w:r>
    </w:p>
    <w:tbl>
      <w:tblPr>
        <w:tblOverlap w:val="never"/>
        <w:jc w:val="center"/>
        <w:tblLayout w:type="fixed"/>
      </w:tblPr>
      <w:tblGrid>
        <w:gridCol w:w="1301"/>
        <w:gridCol w:w="1027"/>
        <w:gridCol w:w="1032"/>
        <w:gridCol w:w="1387"/>
        <w:gridCol w:w="1733"/>
        <w:gridCol w:w="1296"/>
        <w:gridCol w:w="1805"/>
      </w:tblGrid>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光大证券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孔蓉，横 琴人寿保险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蔡晟， 中再资产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毛文杰， 中欧基金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王颖，平 安资产管理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张良， 中银国际证券资管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陆莎莎，前海人寿 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韩硕果，共青 城辰泰投资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温震宇 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中信建投证券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杨艾 莉，信诚基金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胡喆、 邹伟。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曹名长、 王健、冯炉丹、王 颖等机构。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长江养老保险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朱勇 胜，中国人寿资产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杨琳，中国人寿养 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贺宝华，上 海海通证券资产管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刘牧忱，国元证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杨军，农银汇理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公晓晖、张燕等机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李诣然， 诺安基金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丁云波， 华安基金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张杰伟， 光大永明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余江，银 河基金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冯敏。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bl>
    <w:p>
      <w:pPr>
        <w:widowControl w:val="0"/>
        <w:spacing w:line="1" w:lineRule="exact"/>
      </w:pPr>
      <w:r>
        <w:br w:type="page"/>
      </w:r>
    </w:p>
    <w:tbl>
      <w:tblPr>
        <w:tblOverlap w:val="never"/>
        <w:jc w:val="center"/>
        <w:tblLayout w:type="fixed"/>
      </w:tblPr>
      <w:tblGrid>
        <w:gridCol w:w="1301"/>
        <w:gridCol w:w="1027"/>
        <w:gridCol w:w="1032"/>
        <w:gridCol w:w="1387"/>
        <w:gridCol w:w="1733"/>
        <w:gridCol w:w="1296"/>
        <w:gridCol w:w="1805"/>
      </w:tblGrid>
      <w:tr>
        <w:trPr>
          <w:trHeight w:val="3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中信证券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王冠然，</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Neuberger Berman- Fan Liu</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China Alpha-Ivy Men</w:t>
            </w:r>
            <w:r>
              <w:rPr>
                <w:color w:val="000000"/>
                <w:spacing w:val="0"/>
                <w:w w:val="100"/>
                <w:position w:val="0"/>
                <w:sz w:val="18"/>
                <w:szCs w:val="18"/>
              </w:rPr>
              <w:t>，</w:t>
            </w:r>
            <w:r>
              <w:rPr>
                <w:color w:val="000000"/>
                <w:spacing w:val="0"/>
                <w:w w:val="100"/>
                <w:position w:val="0"/>
                <w:sz w:val="18"/>
                <w:szCs w:val="18"/>
              </w:rPr>
              <w:t>中 信资管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于质冰，融 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林清源，平 安大华基金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翟森， 沛沛投资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孙思维， 煜德投资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程跃，宝 盈基金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曾梦雅等机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安信基金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沈明辉， 浙江巴沃资产管理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戚丽雅， 长江养老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朱勇胜， 浙江省兴合集团有 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傅雷， 星石投资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杨英等机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傅一帆， 工银瑞信基金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马丽 娜，国泰基金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谷 超，交银施罗德基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王青雷，人保资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张海波等机构。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 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汇添富基金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郑乐 凯，华宝兴业基金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李竹君、夏林锋、 卢毅，长城基金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 维维，建信基金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 荔媛，融通基金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赵 林博等机构。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公司应投资 者要求介绍 了公司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年度公司经 营情况，并就 调研机构关 心的问题进 行了问答交 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2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中银基金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杨雷，中 信保诚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胡喆，坤为 地投资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田冰莹，务 聚投资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朱一峰，融 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赵琳博等机 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了公司整体 经营情况，并 就调研机构 关心的问题 进行了问答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bl>
    <w:p>
      <w:pPr>
        <w:widowControl w:val="0"/>
        <w:spacing w:line="1" w:lineRule="exact"/>
      </w:pPr>
      <w:r>
        <w:br w:type="page"/>
      </w:r>
    </w:p>
    <w:tbl>
      <w:tblPr>
        <w:tblOverlap w:val="never"/>
        <w:jc w:val="center"/>
        <w:tblLayout w:type="fixed"/>
      </w:tblPr>
      <w:tblGrid>
        <w:gridCol w:w="1301"/>
        <w:gridCol w:w="1027"/>
        <w:gridCol w:w="1032"/>
        <w:gridCol w:w="1387"/>
        <w:gridCol w:w="1733"/>
        <w:gridCol w:w="1296"/>
        <w:gridCol w:w="18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交流。</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网络远程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公司采用网 络远程的方 式举行了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年度网 上业绩说明 会并参加了 浙江辖区上 市公司投资 者网上集体 接待日活动， 公司就投资 者关注的公 司经营情况 问题进行了 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公司会议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国元证券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李典、路 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公司应投资 者要求介绍 了公司战略 及公司业务 发展等情况， 并就调研机 构关心的问 题进行了问 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公司会议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国信证券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张衡，新 时代证券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马笑，云 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黄恒超、龙 华明，上海盈月投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钱炜程，胤狮投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蒋孙雪烨等机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公司应投资 者要求介绍 了公司战略 及公司业务 发展等情况， 并就调研机 构关心的问 题进行了问 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8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金鹰基金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姜斌宇， 融通基金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薛冀颖， 进门财经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刘梦连， 国信证券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张衡、夏 妍、高博文等机构。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公司应投资 者要求介绍 了公司战略 及公司业务 发展等情况， 并就调研机 构关心的问 题进行了问 答交流。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bl>
    <w:p>
      <w:pPr>
        <w:widowControl w:val="0"/>
        <w:spacing w:line="1" w:lineRule="exact"/>
      </w:pPr>
      <w:r>
        <w:br w:type="page"/>
      </w:r>
    </w:p>
    <w:tbl>
      <w:tblPr>
        <w:tblOverlap w:val="never"/>
        <w:jc w:val="center"/>
        <w:tblLayout w:type="fixed"/>
      </w:tblPr>
      <w:tblGrid>
        <w:gridCol w:w="1301"/>
        <w:gridCol w:w="1027"/>
        <w:gridCol w:w="1032"/>
        <w:gridCol w:w="1387"/>
        <w:gridCol w:w="1733"/>
        <w:gridCol w:w="1296"/>
        <w:gridCol w:w="1805"/>
      </w:tblGrid>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中国守正基金管理</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(香港)有限公司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吴钰衍，中信建投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杨艾莉。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公司应投资 者要求介绍 了公司战略 及公司业务 发展等情况， 并就调研机 构关心的问 题进行了问 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公司会议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民生证券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张昱，西 南证券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杭爱，国金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刘显荣，新时 代证券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马笑，澳创 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卞志海，致道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闫亚洲，国元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路璐。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公司介绍了 公司战略及 公司上半年 业务发展情 况，并就调研 机构关心的 问题进行了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李诣然， 永赢基金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王浩聿， 柏乔投资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楼俊薇， 上海通治资产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仲志 富，睿信投资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李婷， 德邻众福投资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张鑫 辉，前海太行资产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徐平龙，钉铃资产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吴雨静，上海圣手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沈致远。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公司介绍了 公司战略及 公司上半年 业务发展情 况，并就调研 机构关心的 问题进行了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东方证券资管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谢贻 辉，天弘基金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洪明 华，国泰基金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王浩， 泰信基金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何俊春， 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周磊，南 方基金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雷嘉源等机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公司介绍了 公司战略及 公司业务发 展情况，并就 调研机构关 心的问题进 行了问答交 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东吴基金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彭韵思， 浦银安盛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范军，常 春藤资产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缪晟，泰 信基金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钱鑫，同泰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杨喆，创新投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黄雪雨，国盛证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顾晟、马继愈。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公司介绍了 公司战略及 公司业务发 展情况，并就 调研机构关 心的问题进 行了问答交 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上的公司调研信 息。</w:t>
            </w:r>
          </w:p>
        </w:tc>
      </w:tr>
    </w:tbl>
    <w:p>
      <w:pPr>
        <w:widowControl w:val="0"/>
        <w:spacing w:line="1" w:lineRule="exact"/>
      </w:pPr>
      <w:r>
        <w:br w:type="page"/>
      </w:r>
    </w:p>
    <w:tbl>
      <w:tblPr>
        <w:tblOverlap w:val="never"/>
        <w:jc w:val="center"/>
        <w:tblLayout w:type="fixed"/>
      </w:tblPr>
      <w:tblGrid>
        <w:gridCol w:w="1301"/>
        <w:gridCol w:w="1027"/>
        <w:gridCol w:w="1032"/>
        <w:gridCol w:w="1387"/>
        <w:gridCol w:w="1733"/>
        <w:gridCol w:w="1296"/>
        <w:gridCol w:w="1805"/>
      </w:tblGrid>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方正证券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王丽颖、 汪寅生，中天国富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梁昭晋。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公司介绍了 公司战略及 公司业务发 展情况，并就 调研机构关 心的问题进 行了问答交 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 n</w:t>
            </w:r>
            <w:r>
              <w:rPr>
                <w:color w:val="000000"/>
                <w:spacing w:val="0"/>
                <w:w w:val="100"/>
                <w:position w:val="0"/>
                <w:sz w:val="18"/>
                <w:szCs w:val="18"/>
              </w:rPr>
              <w:t>)</w:t>
            </w:r>
            <w:r>
              <w:rPr>
                <w:color w:val="000000"/>
                <w:spacing w:val="0"/>
                <w:w w:val="100"/>
                <w:position w:val="0"/>
                <w:sz w:val="18"/>
                <w:szCs w:val="18"/>
              </w:rPr>
              <w:t>上的公司调研信 息。</w:t>
            </w:r>
          </w:p>
        </w:tc>
      </w:tr>
    </w:tbl>
    <w:p>
      <w:pPr>
        <w:sectPr>
          <w:footnotePr>
            <w:pos w:val="pageBottom"/>
            <w:numFmt w:val="decimal"/>
            <w:numRestart w:val="continuous"/>
          </w:footnotePr>
          <w:pgSz w:w="11900" w:h="16840"/>
          <w:pgMar w:top="1302" w:right="872" w:bottom="1436" w:left="872" w:header="0" w:footer="3" w:gutter="0"/>
          <w:cols w:space="720"/>
          <w:noEndnote/>
          <w:rtlGutter w:val="0"/>
          <w:docGrid w:linePitch="360"/>
        </w:sectPr>
      </w:pPr>
    </w:p>
    <w:p>
      <w:pPr>
        <w:pStyle w:val="Style12"/>
        <w:keepNext/>
        <w:keepLines/>
        <w:widowControl w:val="0"/>
        <w:shd w:val="clear" w:color="auto" w:fill="auto"/>
        <w:bidi w:val="0"/>
        <w:spacing w:before="620" w:line="240" w:lineRule="auto"/>
        <w:ind w:left="0" w:right="0" w:firstLine="0"/>
        <w:jc w:val="center"/>
      </w:pPr>
      <w:bookmarkStart w:id="255" w:name="bookmark255"/>
      <w:bookmarkStart w:id="256" w:name="bookmark256"/>
      <w:bookmarkStart w:id="257" w:name="bookmark257"/>
      <w:bookmarkStart w:id="258" w:name="bookmark258"/>
      <w:r>
        <w:rPr>
          <w:color w:val="000000"/>
          <w:spacing w:val="0"/>
          <w:w w:val="100"/>
          <w:position w:val="0"/>
        </w:rPr>
        <w:t>第五节重要事项</w:t>
      </w:r>
      <w:bookmarkEnd w:id="256"/>
      <w:bookmarkEnd w:id="257"/>
      <w:bookmarkEnd w:id="258"/>
      <w:bookmarkEnd w:id="255"/>
    </w:p>
    <w:p>
      <w:pPr>
        <w:pStyle w:val="Style29"/>
        <w:keepNext/>
        <w:keepLines/>
        <w:widowControl w:val="0"/>
        <w:shd w:val="clear" w:color="auto" w:fill="auto"/>
        <w:bidi w:val="0"/>
        <w:spacing w:before="0" w:after="4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一</w:t>
      </w:r>
      <w:bookmarkEnd w:id="261"/>
      <w:r>
        <w:rPr>
          <w:color w:val="000000"/>
          <w:spacing w:val="0"/>
          <w:w w:val="100"/>
          <w:position w:val="0"/>
          <w:sz w:val="24"/>
          <w:szCs w:val="24"/>
        </w:rPr>
        <w:t>、公司普通股利润分配及资本公积金转增股本情况</w:t>
      </w:r>
      <w:bookmarkEnd w:id="259"/>
      <w:bookmarkEnd w:id="260"/>
      <w:bookmarkEnd w:id="262"/>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469"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sz w:val="18"/>
          <w:szCs w:val="18"/>
        </w:rPr>
        <w:t>0</w:t>
      </w:r>
      <w:r>
        <w:rPr>
          <w:color w:val="000000"/>
          <w:spacing w:val="0"/>
          <w:w w:val="100"/>
          <w:position w:val="0"/>
        </w:rPr>
        <w:t>召开第三届董事会第三十七次会议及第三届监事会第二十次会议，并于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年年度股东大会，分别审议通过了《关于公司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年度拟不进行利润分配的议案》，经天健会计师事务所（特殊普通合伙） 审计，公司</w:t>
      </w:r>
      <w:r>
        <w:rPr>
          <w:rFonts w:ascii="Times New Roman" w:eastAsia="Times New Roman" w:hAnsi="Times New Roman" w:cs="Times New Roman"/>
          <w:color w:val="000000"/>
          <w:spacing w:val="0"/>
          <w:w w:val="100"/>
          <w:position w:val="0"/>
        </w:rPr>
        <w:t>2019</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rPr>
        <w:t>-2,779,681,214.9</w:t>
      </w:r>
      <w:r>
        <w:rPr>
          <w:rFonts w:ascii="Times New Roman" w:eastAsia="Times New Roman" w:hAnsi="Times New Roman" w:cs="Times New Roman"/>
          <w:color w:val="000000"/>
          <w:spacing w:val="0"/>
          <w:w w:val="100"/>
          <w:position w:val="0"/>
        </w:rPr>
        <w:t>2</w:t>
      </w:r>
      <w:r>
        <w:rPr>
          <w:color w:val="000000"/>
          <w:spacing w:val="0"/>
          <w:w w:val="100"/>
          <w:position w:val="0"/>
        </w:rPr>
        <w:t>元，母公司净利润为</w:t>
      </w:r>
      <w:r>
        <w:rPr>
          <w:rFonts w:ascii="Times New Roman" w:eastAsia="Times New Roman" w:hAnsi="Times New Roman" w:cs="Times New Roman"/>
          <w:color w:val="000000"/>
          <w:spacing w:val="0"/>
          <w:w w:val="100"/>
          <w:position w:val="0"/>
        </w:rPr>
        <w:t>-2,350,797,443.05</w:t>
      </w:r>
      <w:r>
        <w:rPr>
          <w:color w:val="000000"/>
          <w:spacing w:val="0"/>
          <w:w w:val="100"/>
          <w:position w:val="0"/>
        </w:rPr>
        <w:t>元；截至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日，公司合并报表可供分配利润为</w:t>
      </w:r>
      <w:r>
        <w:rPr>
          <w:rFonts w:ascii="Times New Roman" w:eastAsia="Times New Roman" w:hAnsi="Times New Roman" w:cs="Times New Roman"/>
          <w:color w:val="000000"/>
          <w:spacing w:val="0"/>
          <w:w w:val="100"/>
          <w:position w:val="0"/>
        </w:rPr>
        <w:t>-1,424,471,594.62</w:t>
      </w:r>
      <w:r>
        <w:rPr>
          <w:color w:val="000000"/>
          <w:spacing w:val="0"/>
          <w:w w:val="100"/>
          <w:position w:val="0"/>
        </w:rPr>
        <w:t>元，母公司可供分配利润为</w:t>
      </w:r>
      <w:r>
        <w:rPr>
          <w:rFonts w:ascii="Times New Roman" w:eastAsia="Times New Roman" w:hAnsi="Times New Roman" w:cs="Times New Roman"/>
          <w:color w:val="000000"/>
          <w:spacing w:val="0"/>
          <w:w w:val="100"/>
          <w:position w:val="0"/>
        </w:rPr>
        <w:t>-2,193,395,676.91</w:t>
      </w:r>
      <w:r>
        <w:rPr>
          <w:color w:val="000000"/>
          <w:spacing w:val="0"/>
          <w:w w:val="100"/>
          <w:position w:val="0"/>
        </w:rPr>
        <w:t>元。根据《中华人民 共和国公司法》、中国证监会《关于进一步落实上市公司现金分红有关事项的通知》、《上市公司监管指引第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 现金分红》等有关规定及《公司章程》、《公司未来三年</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年）股东回报规划》的相关规定，结合公司目前实际情 况，公司拟定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年度不派发现金红利，不送红股，不以资本公积金转增股本，剩余未分配利润 结转至以后年度分配。</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1"/>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公司报告期利润分配预案及资本公积金转增股本预案与公司章程和分红管理办法等的相关规定一致 口是□否</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原因：</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年度不派发现金红利，不送红股，不以资本公积金转增股本，剩余未分配利润结转 至以后年度分配。主要原因如下：</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根据《公司章程》及《公司未来三年</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年）股东回报规划》，公司在综合分析生产经营情况、盈利能力、社会 资金成本、外部融资环境等因素的基础上，充分考虑公司所处行业特点、发展所处阶段、未来盈利规模、现金流量状况、项 目投资资金需求、银行信贷及债权融资环境等情况，建立对投资者持续、稳定、科学的回报机制，保持利润分配政策的连续 性和稳定性；实行积极、持续、稳定的利润分配政策。公司利润分配的具体条件为：（</w:t>
      </w:r>
      <w:r>
        <w:rPr>
          <w:rFonts w:ascii="Times New Roman" w:eastAsia="Times New Roman" w:hAnsi="Times New Roman" w:cs="Times New Roman"/>
          <w:color w:val="000000"/>
          <w:spacing w:val="0"/>
          <w:w w:val="100"/>
          <w:position w:val="0"/>
        </w:rPr>
        <w:t>1</w:t>
      </w:r>
      <w:r>
        <w:rPr>
          <w:color w:val="000000"/>
          <w:spacing w:val="0"/>
          <w:w w:val="100"/>
          <w:position w:val="0"/>
        </w:rPr>
        <w:t xml:space="preserve">）现金分红条件。在当年盈利且累计 </w:t>
      </w:r>
      <w:r>
        <w:rPr>
          <w:color w:val="000000"/>
          <w:spacing w:val="0"/>
          <w:w w:val="100"/>
          <w:position w:val="0"/>
        </w:rPr>
        <w:t>未分配利润为正的情况下，原则上每年度进行一次现金分红。同时，公司最近三年以现金方式累计分配的利润不少于最近三 年实现的年均可分配利润的百分之三十。（</w:t>
      </w:r>
      <w:r>
        <w:rPr>
          <w:rFonts w:ascii="Times New Roman" w:eastAsia="Times New Roman" w:hAnsi="Times New Roman" w:cs="Times New Roman"/>
          <w:color w:val="000000"/>
          <w:spacing w:val="0"/>
          <w:w w:val="100"/>
          <w:position w:val="0"/>
        </w:rPr>
        <w:t>2</w:t>
      </w:r>
      <w:r>
        <w:rPr>
          <w:color w:val="000000"/>
          <w:spacing w:val="0"/>
          <w:w w:val="100"/>
          <w:position w:val="0"/>
        </w:rPr>
        <w:t>）发放现金方式分配股利的条件。需同时满足：</w:t>
      </w:r>
      <w:r>
        <w:rPr>
          <w:rFonts w:ascii="Times New Roman" w:eastAsia="Times New Roman" w:hAnsi="Times New Roman" w:cs="Times New Roman"/>
          <w:color w:val="000000"/>
          <w:spacing w:val="0"/>
          <w:w w:val="100"/>
          <w:position w:val="0"/>
        </w:rPr>
        <w:t>1</w:t>
      </w:r>
      <w:r>
        <w:rPr>
          <w:color w:val="000000"/>
          <w:spacing w:val="0"/>
          <w:w w:val="100"/>
          <w:position w:val="0"/>
        </w:rPr>
        <w:t>）公司该年度或半年度实现的 可供分配的净利润（即公司弥补亏损、提取公积金后剩余的净利润）为正值，实施现金分红不会影响公司后续持续经营；</w:t>
      </w:r>
      <w:r>
        <w:rPr>
          <w:rFonts w:ascii="Times New Roman" w:eastAsia="Times New Roman" w:hAnsi="Times New Roman" w:cs="Times New Roman"/>
          <w:color w:val="000000"/>
          <w:spacing w:val="0"/>
          <w:w w:val="100"/>
          <w:position w:val="0"/>
        </w:rPr>
        <w:t>2</w:t>
      </w:r>
      <w:r>
        <w:rPr>
          <w:color w:val="000000"/>
          <w:spacing w:val="0"/>
          <w:w w:val="100"/>
          <w:position w:val="0"/>
        </w:rPr>
        <w:t>） 公司累计可供分配利润为正值；</w:t>
      </w:r>
      <w:r>
        <w:rPr>
          <w:rFonts w:ascii="Times New Roman" w:eastAsia="Times New Roman" w:hAnsi="Times New Roman" w:cs="Times New Roman"/>
          <w:color w:val="000000"/>
          <w:spacing w:val="0"/>
          <w:w w:val="100"/>
          <w:position w:val="0"/>
        </w:rPr>
        <w:t>3</w:t>
      </w:r>
      <w:r>
        <w:rPr>
          <w:color w:val="000000"/>
          <w:spacing w:val="0"/>
          <w:w w:val="100"/>
          <w:position w:val="0"/>
        </w:rPr>
        <w:t>）公司无重大投资计划或重大现金支出等事项发生（募集资金项目除外）。（</w:t>
      </w:r>
      <w:r>
        <w:rPr>
          <w:rFonts w:ascii="Times New Roman" w:eastAsia="Times New Roman" w:hAnsi="Times New Roman" w:cs="Times New Roman"/>
          <w:color w:val="000000"/>
          <w:spacing w:val="0"/>
          <w:w w:val="100"/>
          <w:position w:val="0"/>
        </w:rPr>
        <w:t>3</w:t>
      </w:r>
      <w:r>
        <w:rPr>
          <w:color w:val="000000"/>
          <w:spacing w:val="0"/>
          <w:w w:val="100"/>
          <w:position w:val="0"/>
        </w:rPr>
        <w:t>）发放股票方 式分配股利的条件。在公司经营情况良好，并且董事会认为发放股票股利有利于公司全体股东整体利益时，可以在确保足额 现金股利分配的前提下，提出股票股利分配预案。公司采用股票股利进行利润分配的，应当充分考虑发放股票股利后的总股 本是否与公司目前的经营规模、盈利增长速度、每股净资产的摊薄等相适用，以确保利润分配方案符合全体股东的整体利益 和长远利益。</w:t>
      </w:r>
    </w:p>
    <w:p>
      <w:pPr>
        <w:pStyle w:val="Style31"/>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鉴于公司</w:t>
      </w:r>
      <w:r>
        <w:rPr>
          <w:rFonts w:ascii="Times New Roman" w:eastAsia="Times New Roman" w:hAnsi="Times New Roman" w:cs="Times New Roman"/>
          <w:color w:val="000000"/>
          <w:spacing w:val="0"/>
          <w:w w:val="100"/>
          <w:position w:val="0"/>
        </w:rPr>
        <w:t>2019</w:t>
      </w:r>
      <w:r>
        <w:rPr>
          <w:color w:val="000000"/>
          <w:spacing w:val="0"/>
          <w:w w:val="100"/>
          <w:position w:val="0"/>
        </w:rPr>
        <w:t>年度实现的归属于母公司的可分配利润为负值，依据上述规定，考虑公司目前经营发展的实际情况，为保 障公司未来发展的现金需要，经董事会、监事会及股东大会审议通过，公司</w:t>
      </w:r>
      <w:r>
        <w:rPr>
          <w:rFonts w:ascii="Times New Roman" w:eastAsia="Times New Roman" w:hAnsi="Times New Roman" w:cs="Times New Roman"/>
          <w:color w:val="000000"/>
          <w:spacing w:val="0"/>
          <w:w w:val="100"/>
          <w:position w:val="0"/>
        </w:rPr>
        <w:t>2019</w:t>
      </w:r>
      <w:r>
        <w:rPr>
          <w:color w:val="000000"/>
          <w:spacing w:val="0"/>
          <w:w w:val="100"/>
          <w:position w:val="0"/>
        </w:rPr>
        <w:t>年度不进行利润分配。</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3,477,894,939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年度利润分配预案为：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年度不派发现金红利，不送红股，不以资本公积金转增股本，剩余未分配利 润结转至以后年度分配。该次权益分派方案已经公司董事会、监事会审议通过，独立董事对该事项发表了目前同意的独 立意见，方案符合《公司章程》的规定，已充分保护中小投资者的合法权益。</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634" w:val="left"/>
        </w:tabs>
        <w:bidi w:val="0"/>
        <w:spacing w:before="0" w:after="0" w:line="469" w:lineRule="exact"/>
        <w:ind w:left="0" w:right="0" w:firstLine="360"/>
        <w:jc w:val="both"/>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年年度权益分派方案情况</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以公司总股本剔除当时已回购股份后的</w:t>
      </w:r>
      <w:r>
        <w:rPr>
          <w:rFonts w:ascii="Times New Roman" w:eastAsia="Times New Roman" w:hAnsi="Times New Roman" w:cs="Times New Roman"/>
          <w:color w:val="000000"/>
          <w:spacing w:val="0"/>
          <w:w w:val="100"/>
          <w:position w:val="0"/>
        </w:rPr>
        <w:t>1,961,027,995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.661467</w:t>
      </w:r>
      <w:r>
        <w:rPr>
          <w:color w:val="000000"/>
          <w:spacing w:val="0"/>
          <w:w w:val="100"/>
          <w:position w:val="0"/>
        </w:rPr>
        <w:t>元人民币现金；同时以资 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8.01779</w:t>
      </w:r>
      <w:r>
        <w:rPr>
          <w:rFonts w:ascii="Times New Roman" w:eastAsia="Times New Roman" w:hAnsi="Times New Roman" w:cs="Times New Roman"/>
          <w:color w:val="000000"/>
          <w:spacing w:val="0"/>
          <w:w w:val="100"/>
          <w:position w:val="0"/>
        </w:rPr>
        <w:t>0</w:t>
      </w:r>
      <w:r>
        <w:rPr>
          <w:color w:val="000000"/>
          <w:spacing w:val="0"/>
          <w:w w:val="100"/>
          <w:position w:val="0"/>
        </w:rPr>
        <w:t>股。合计派发现金股利为人民币不超过</w:t>
      </w:r>
      <w:r>
        <w:rPr>
          <w:rFonts w:ascii="Times New Roman" w:eastAsia="Times New Roman" w:hAnsi="Times New Roman" w:cs="Times New Roman"/>
          <w:color w:val="000000"/>
          <w:spacing w:val="0"/>
          <w:w w:val="100"/>
          <w:position w:val="0"/>
        </w:rPr>
        <w:t>129,715,673.67</w:t>
      </w:r>
      <w:r>
        <w:rPr>
          <w:color w:val="000000"/>
          <w:spacing w:val="0"/>
          <w:w w:val="100"/>
          <w:position w:val="0"/>
        </w:rPr>
        <w:t>元（含税），合计转增股份数 量为</w:t>
      </w:r>
      <w:r>
        <w:rPr>
          <w:rFonts w:ascii="Times New Roman" w:eastAsia="Times New Roman" w:hAnsi="Times New Roman" w:cs="Times New Roman"/>
          <w:color w:val="000000"/>
          <w:spacing w:val="0"/>
          <w:w w:val="100"/>
          <w:position w:val="0"/>
        </w:rPr>
        <w:t>1,572,311,064</w:t>
      </w:r>
      <w:r>
        <w:rPr>
          <w:color w:val="000000"/>
          <w:spacing w:val="0"/>
          <w:w w:val="100"/>
          <w:position w:val="0"/>
        </w:rPr>
        <w:t>股。该次权益分派股权登记日为：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31"/>
        <w:keepNext w:val="0"/>
        <w:keepLines w:val="0"/>
        <w:widowControl w:val="0"/>
        <w:shd w:val="clear" w:color="auto" w:fill="auto"/>
        <w:tabs>
          <w:tab w:pos="649" w:val="left"/>
        </w:tabs>
        <w:bidi w:val="0"/>
        <w:spacing w:before="0" w:after="0" w:line="469" w:lineRule="exact"/>
        <w:ind w:left="0" w:right="0" w:firstLine="360"/>
        <w:jc w:val="both"/>
      </w:pPr>
      <w:bookmarkStart w:id="264" w:name="bookmark264"/>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年年度权益分派方案情况</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根据中国证监会《关于进一步落实上市公司现金分红有关事项的通知》、《上市公司监管指引第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号一一上市公司现金分 红》等有关规定及《公司章程》的相关规定，结合公司目前实际情况，公司拟定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2019</w:t>
      </w:r>
      <w:r>
        <w:rPr>
          <w:color w:val="000000"/>
          <w:spacing w:val="0"/>
          <w:w w:val="100"/>
          <w:position w:val="0"/>
        </w:rPr>
        <w:t>年度不派发 现金红利，不送红股，不以资本公积金转增股本。</w:t>
      </w:r>
    </w:p>
    <w:p>
      <w:pPr>
        <w:pStyle w:val="Style31"/>
        <w:keepNext w:val="0"/>
        <w:keepLines w:val="0"/>
        <w:widowControl w:val="0"/>
        <w:shd w:val="clear" w:color="auto" w:fill="auto"/>
        <w:bidi w:val="0"/>
        <w:spacing w:before="0" w:after="0" w:line="469" w:lineRule="exact"/>
        <w:ind w:left="0" w:right="0" w:firstLine="360"/>
        <w:jc w:val="left"/>
      </w:pPr>
      <w:bookmarkStart w:id="265" w:name="bookmark265"/>
      <w:r>
        <w:rPr>
          <w:rFonts w:ascii="Times New Roman" w:eastAsia="Times New Roman" w:hAnsi="Times New Roman" w:cs="Times New Roman"/>
          <w:color w:val="000000"/>
          <w:spacing w:val="0"/>
          <w:w w:val="100"/>
          <w:position w:val="0"/>
        </w:rPr>
        <w:t>3</w:t>
      </w:r>
      <w:bookmarkEnd w:id="26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年年度权益分派方案情况</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根据《中华人民共和国公司法》、中国证监会《关于进一步落实上市公司现金分红有关事项的通知》、《上市公司监管指 引第</w:t>
      </w:r>
      <w:r>
        <w:rPr>
          <w:rFonts w:ascii="Times New Roman" w:eastAsia="Times New Roman" w:hAnsi="Times New Roman" w:cs="Times New Roman"/>
          <w:color w:val="000000"/>
          <w:spacing w:val="0"/>
          <w:w w:val="100"/>
          <w:position w:val="0"/>
        </w:rPr>
        <w:t>3</w:t>
      </w:r>
      <w:r>
        <w:rPr>
          <w:color w:val="000000"/>
          <w:spacing w:val="0"/>
          <w:w w:val="100"/>
          <w:position w:val="0"/>
        </w:rPr>
        <w:t>号一一上市公司现金分红》等有关规定及《公司章程》、《公司未来三年</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年）股东回报规划》的相关规定， 结合公司目前实际情况，公司拟定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年度不派发现金红利，不送红股，不以资本公积金转增股 本，剩余未分配利润结转至以后年度分配。</w:t>
      </w:r>
    </w:p>
    <w:p>
      <w:pPr>
        <w:pStyle w:val="Style31"/>
        <w:keepNext w:val="0"/>
        <w:keepLines w:val="0"/>
        <w:widowControl w:val="0"/>
        <w:shd w:val="clear" w:color="auto" w:fill="auto"/>
        <w:bidi w:val="0"/>
        <w:spacing w:before="0" w:after="220" w:line="469" w:lineRule="exact"/>
        <w:ind w:left="0" w:right="0" w:firstLine="0"/>
        <w:jc w:val="both"/>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1"/>
        <w:gridCol w:w="1003"/>
        <w:gridCol w:w="1200"/>
        <w:gridCol w:w="1363"/>
        <w:gridCol w:w="970"/>
        <w:gridCol w:w="1382"/>
        <w:gridCol w:w="1066"/>
        <w:gridCol w:w="154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现金分红 金额（含 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以其他方 式（如回 购股份） 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140" w:right="0" w:firstLine="0"/>
              <w:jc w:val="both"/>
              <w:rPr>
                <w:sz w:val="18"/>
                <w:szCs w:val="18"/>
              </w:rPr>
            </w:pPr>
            <w:r>
              <w:rPr>
                <w:color w:val="000000"/>
                <w:spacing w:val="0"/>
                <w:w w:val="100"/>
                <w:position w:val="0"/>
                <w:sz w:val="18"/>
                <w:szCs w:val="18"/>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现金分红 总额（含其</w:t>
            </w:r>
          </w:p>
          <w:p>
            <w:pPr>
              <w:pStyle w:val="Style2"/>
              <w:keepNext w:val="0"/>
              <w:keepLines w:val="0"/>
              <w:widowControl w:val="0"/>
              <w:shd w:val="clear" w:color="auto" w:fill="auto"/>
              <w:bidi w:val="0"/>
              <w:spacing w:before="0" w:after="0" w:line="331" w:lineRule="exact"/>
              <w:ind w:left="0" w:right="0" w:firstLine="140"/>
              <w:jc w:val="left"/>
              <w:rPr>
                <w:sz w:val="18"/>
                <w:szCs w:val="18"/>
              </w:rPr>
            </w:pPr>
            <w:r>
              <w:rPr>
                <w:color w:val="000000"/>
                <w:spacing w:val="0"/>
                <w:w w:val="100"/>
                <w:position w:val="0"/>
                <w:sz w:val="18"/>
                <w:szCs w:val="18"/>
              </w:rPr>
              <w:t>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现金分红总额 （含其他方式） 占合并报表中归 属于上市公司普 通股股东的净利 润的比率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752,917,670.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-2,809,092,3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108,772,9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108,772,96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129,715,6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853,725,907.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41,714,28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171,429,96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pgSz w:w="11900" w:h="16840"/>
          <w:pgMar w:top="1306" w:right="1042" w:bottom="1349" w:left="109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二</w:t>
      </w:r>
      <w:bookmarkEnd w:id="268"/>
      <w:r>
        <w:rPr>
          <w:color w:val="000000"/>
          <w:spacing w:val="0"/>
          <w:w w:val="100"/>
          <w:position w:val="0"/>
          <w:sz w:val="24"/>
          <w:szCs w:val="24"/>
        </w:rPr>
        <w:t>、承诺事项履行情况</w:t>
      </w:r>
      <w:bookmarkEnd w:id="266"/>
      <w:bookmarkEnd w:id="267"/>
      <w:bookmarkEnd w:id="269"/>
    </w:p>
    <w:p>
      <w:pPr>
        <w:pStyle w:val="Style36"/>
        <w:keepNext/>
        <w:keepLines/>
        <w:widowControl w:val="0"/>
        <w:shd w:val="clear" w:color="auto" w:fill="auto"/>
        <w:bidi w:val="0"/>
        <w:spacing w:before="0" w:after="34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、公司实际控制人、股东、关联方、收购人以及公司等承诺相关方在报告期内履行完毕及截至报告期末尚未履行完毕的承诺事项</w:t>
      </w:r>
      <w:bookmarkEnd w:id="270"/>
      <w:bookmarkEnd w:id="271"/>
      <w:bookmarkEnd w:id="273"/>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89"/>
        <w:gridCol w:w="1493"/>
        <w:gridCol w:w="1018"/>
        <w:gridCol w:w="7330"/>
        <w:gridCol w:w="950"/>
        <w:gridCol w:w="1118"/>
        <w:gridCol w:w="10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资产重组 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本人通过本次交易取得的上市公司股份自发行结束之日起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个月内不转让或者委托他人 管理。本次交易完成后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个月内如上市公司股票连续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个交易日的收盘价低于发行价，或 者交易完成后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个月期末收盘价低于发行价的，本人因本次交易获得的公司股票锁定期自动 延长至少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个月。本人基于通过本次交易取得的上市公司股份因分配股票股利、资本公积转 增等情形衍生取得的股份亦遵守上述股份锁定安排。若上述股份锁定承诺与监管机构的最新 监管意见不符，则根据监管机构的最新监管意见进行股份锁定。股份锁定期满后，股份转让 按照相关法律法规、中国证监会、深圳证券交易所的相关规定执行。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本人授权上市公司直 接办理本人通过本次交易取得的上市公司股份的锁定手续。本人违反股份锁定承诺的，应将 违反承诺转让所持上市公司股份对应的所得款项上缴上市公司。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正常履行 中</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本人通过本次交易取得的上市公司股份自发行结束之日起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个月内不转让或者委托他人 管理。本人基于通过本次交易取得的上市公司股份因分配股票股利、资本公积转增等情形衍 生取得的股份亦遵守上述股份锁定安排。若上述股份锁定承诺与监管机构的最新监管意见不 符，则根据监管机构的最新监管意见进行股份锁定。股份锁定期满后，股份转让按照相关法 律法规、中国证监会、深圳证券交易所的相关规定执行。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本人授权上市公司直接办理本人 通过本次交易取得的上市公司股份的锁定手续。本人违反股份锁定承诺的，应将违反承诺转 让所持上市公司股份对应的所得款项上缴上市公司。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王健先生尚 在中国证监 会立案调查 期间，该部 分股份无法 预计解除限 售日期。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正常履行 中</w:t>
            </w:r>
          </w:p>
        </w:tc>
      </w:tr>
      <w:tr>
        <w:trPr>
          <w:trHeight w:val="22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绍兴上虞朱雀股 权投资合伙企业</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深圳霖枫投资咨 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徐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中信建投资 本管理有限公司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股份限售 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本人通过本次交易所获上市公司股份自该等股份登记至本企业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 人名下之日起，至自该等股份上市之日起第</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个月届满之日止的期间内不转让或者委托他 人管理。本企业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本人基于通过本次交易取得的上市公司股份因分配股票股利、资本 公积转增等情形衍生取得的股份亦遵守上述股份锁定安排。若上述股份锁定承诺与监管机构 的最新监管意见不符，则根据监管机构的最新监管意见进行股份锁定。股份锁定期满后，股 份转让按照相关法律法规、中国证监会、深圳证券交易所的相关规定执行。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本人授权上市公司直接办理本企业通过本次交易取得的上市公司股份的锁定手续。本企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截至本报 告披露日 已履行完 毕</w:t>
            </w:r>
          </w:p>
        </w:tc>
      </w:tr>
    </w:tbl>
    <w:p>
      <w:pPr>
        <w:spacing w:lineRule="exact" w:line="1"/>
        <w:rPr>
          <w:sz w:val="2"/>
          <w:szCs w:val="2"/>
        </w:rPr>
      </w:pPr>
      <w:r>
        <w:br w:type="page"/>
      </w:r>
    </w:p>
    <w:tbl>
      <w:tblPr>
        <w:tblOverlap w:val="never"/>
        <w:jc w:val="center"/>
        <w:tblLayout w:type="fixed"/>
      </w:tblPr>
      <w:tblGrid>
        <w:gridCol w:w="989"/>
        <w:gridCol w:w="1493"/>
        <w:gridCol w:w="1018"/>
        <w:gridCol w:w="7330"/>
        <w:gridCol w:w="950"/>
        <w:gridCol w:w="1118"/>
        <w:gridCol w:w="1080"/>
      </w:tblGrid>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一绍兴上虞杭天 股权投资合伙企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本人违反股份锁定承诺的，应将违反承诺转让所持上市公司股份对应的所得款项 上缴上市公司。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7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及补偿安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（一）业绩承诺：根据上市公司与朱志刚及王健签署的《业绩补偿协议》的约定，朱志刚和 王健作为利润补偿义务人，承诺</w:t>
            </w:r>
            <w:r>
              <w:rPr>
                <w:rFonts w:ascii="Times New Roman" w:eastAsia="Times New Roman" w:hAnsi="Times New Roman" w:cs="Times New Roman"/>
                <w:color w:val="000000"/>
                <w:spacing w:val="0"/>
                <w:w w:val="100"/>
                <w:position w:val="0"/>
                <w:sz w:val="18"/>
                <w:szCs w:val="18"/>
              </w:rPr>
              <w:t>Outfit?</w:t>
            </w:r>
            <w:r>
              <w:rPr>
                <w:color w:val="000000"/>
                <w:spacing w:val="0"/>
                <w:w w:val="100"/>
                <w:position w:val="0"/>
                <w:sz w:val="18"/>
                <w:szCs w:val="18"/>
              </w:rPr>
              <w:t>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年度实现的扣除非 经常性损益后归属于母公司股东的净利润分别不低于</w:t>
            </w:r>
            <w:r>
              <w:rPr>
                <w:rFonts w:ascii="Times New Roman" w:eastAsia="Times New Roman" w:hAnsi="Times New Roman" w:cs="Times New Roman"/>
                <w:color w:val="000000"/>
                <w:spacing w:val="0"/>
                <w:w w:val="100"/>
                <w:position w:val="0"/>
                <w:sz w:val="18"/>
                <w:szCs w:val="18"/>
              </w:rPr>
              <w:t>7,809.04</w:t>
            </w:r>
            <w:r>
              <w:rPr>
                <w:color w:val="000000"/>
                <w:spacing w:val="0"/>
                <w:w w:val="100"/>
                <w:position w:val="0"/>
                <w:sz w:val="18"/>
                <w:szCs w:val="18"/>
              </w:rPr>
              <w:t>万欧元、</w:t>
            </w:r>
            <w:r>
              <w:rPr>
                <w:rFonts w:ascii="Times New Roman" w:eastAsia="Times New Roman" w:hAnsi="Times New Roman" w:cs="Times New Roman"/>
                <w:color w:val="000000"/>
                <w:spacing w:val="0"/>
                <w:w w:val="100"/>
                <w:position w:val="0"/>
                <w:sz w:val="18"/>
                <w:szCs w:val="18"/>
              </w:rPr>
              <w:t>9,286.68</w:t>
            </w:r>
            <w:r>
              <w:rPr>
                <w:color w:val="000000"/>
                <w:spacing w:val="0"/>
                <w:w w:val="100"/>
                <w:position w:val="0"/>
                <w:sz w:val="18"/>
                <w:szCs w:val="18"/>
              </w:rPr>
              <w:t xml:space="preserve">万欧元和 </w:t>
            </w:r>
            <w:r>
              <w:rPr>
                <w:rFonts w:ascii="Times New Roman" w:eastAsia="Times New Roman" w:hAnsi="Times New Roman" w:cs="Times New Roman"/>
                <w:color w:val="000000"/>
                <w:spacing w:val="0"/>
                <w:w w:val="100"/>
                <w:position w:val="0"/>
                <w:sz w:val="18"/>
                <w:szCs w:val="18"/>
              </w:rPr>
              <w:t>10,975.80</w:t>
            </w:r>
            <w:r>
              <w:rPr>
                <w:color w:val="000000"/>
                <w:spacing w:val="0"/>
                <w:w w:val="100"/>
                <w:position w:val="0"/>
                <w:sz w:val="18"/>
                <w:szCs w:val="18"/>
              </w:rPr>
              <w:t>万欧元。（二）补偿安排：本次交易实施完毕后，若</w:t>
            </w:r>
            <w:r>
              <w:rPr>
                <w:rFonts w:ascii="Times New Roman" w:eastAsia="Times New Roman" w:hAnsi="Times New Roman" w:cs="Times New Roman"/>
                <w:color w:val="000000"/>
                <w:spacing w:val="0"/>
                <w:w w:val="100"/>
                <w:position w:val="0"/>
                <w:sz w:val="18"/>
                <w:szCs w:val="18"/>
              </w:rPr>
              <w:t>Outfit?</w:t>
            </w:r>
            <w:r>
              <w:rPr>
                <w:color w:val="000000"/>
                <w:spacing w:val="0"/>
                <w:w w:val="100"/>
                <w:position w:val="0"/>
                <w:sz w:val="18"/>
                <w:szCs w:val="18"/>
              </w:rPr>
              <w:t>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年度内未能实现承诺净利润的，朱志刚、王健同意按照协议的约定就</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实 现净利润不承诺净利润的部分进行补偿。具体补偿方式如下：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、补偿时间：若</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 xml:space="preserve">在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年度内的任一会计年度未能实现承诺净利润（即实现净利润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承诺净利润），则朱志刚、王健应在当期即根据本条约定向上市公司进行补偿。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、补偿金额： 补偿义务人应优先以补偿义务人通过本次购买资产而取得的上市公司股份进行补偿，前述股 份不足补偿的，由补偿义务人以从二级市场购买或其他合法方式取得的金科文化股份进行补 偿。上市公司应在协议约定的期限内，依据下述公式计算并确定补偿义务人需补偿的股份数 量：当期应补偿的股份数量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（截至当期期末</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累计承诺扣非净利润总和一截至当期期 末</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累计实现扣非净利润总和）+业绩承诺期内</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累计承诺扣非净利润总和</w:t>
            </w:r>
            <w:r>
              <w:rPr>
                <w:color w:val="000000"/>
                <w:spacing w:val="0"/>
                <w:w w:val="100"/>
                <w:position w:val="0"/>
                <w:sz w:val="18"/>
                <w:szCs w:val="18"/>
              </w:rPr>
              <w:t>X</w:t>
            </w:r>
            <w:r>
              <w:rPr>
                <w:color w:val="000000"/>
                <w:spacing w:val="0"/>
                <w:w w:val="100"/>
                <w:position w:val="0"/>
                <w:sz w:val="18"/>
                <w:szCs w:val="18"/>
              </w:rPr>
              <w:t>补 偿义务人各自取得的交易对价+发行价格一业绩承诺期内累积已补偿股份数。如依据前述公 式计算出的当期应补偿总金额小于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取值，已经补偿的股份不冲回。</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、补偿方式： 上市公司在业绩承诺期内实施转增或股票股利分配的，则补偿股份数量相应调整为：补偿股 份数量（调整后）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当年应补偿股份数</w:t>
            </w:r>
            <w:r>
              <w:rPr>
                <w:color w:val="000000"/>
                <w:spacing w:val="0"/>
                <w:w w:val="100"/>
                <w:position w:val="0"/>
                <w:sz w:val="18"/>
                <w:szCs w:val="18"/>
              </w:rPr>
              <w:t xml:space="preserve">X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+转增或送股比例）。补偿义务人就补偿股份数 所获得的已分配现金股利应向上市公司作相应返还，计算公式为：返还金额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截至补偿前每 股已获得的现金股利</w:t>
            </w:r>
            <w:r>
              <w:rPr>
                <w:color w:val="000000"/>
                <w:spacing w:val="0"/>
                <w:w w:val="100"/>
                <w:position w:val="0"/>
                <w:sz w:val="18"/>
                <w:szCs w:val="18"/>
              </w:rPr>
              <w:t>X</w:t>
            </w:r>
            <w:r>
              <w:rPr>
                <w:color w:val="000000"/>
                <w:spacing w:val="0"/>
                <w:w w:val="100"/>
                <w:position w:val="0"/>
                <w:sz w:val="18"/>
                <w:szCs w:val="18"/>
              </w:rPr>
              <w:t>当年应补偿股份数量。在计算得出并确定补偿义务人当年需补偿的股 份数量后，根据计算得出的补偿义务人需补偿的股份将由上市公司在该会计年度《专项审核 报告》公开披露后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个工作日内以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元总价回购并注销。上市公司董事会、股东大会在审 议相关议案时，关联董事、关联股东需回避表决。（三）资产减值测试：在上市公司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年度报告出具后</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个工作日内，聘请具有证券期货业务资格的会计师事务所对</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出具</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《减值测试报告》（减值测试的截止时间为业绩承诺期末）。除非法律有强制性规定，否则《减 值测试报告》采取的估值方法应与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资产评估报告》保持一致。如</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期末减值 额</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评估值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业绩承诺期限内补偿义务人已补偿股份总数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补偿义务人认购股份总数， 则补偿义务人应优先以补偿义务人通过本次购买资产而取得的上市公司股份进行补偿，前述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已履行完 毕</w:t>
            </w:r>
          </w:p>
        </w:tc>
      </w:tr>
    </w:tbl>
    <w:p>
      <w:pPr>
        <w:spacing w:lineRule="exact" w:line="1"/>
        <w:rPr>
          <w:sz w:val="2"/>
          <w:szCs w:val="2"/>
        </w:rPr>
      </w:pPr>
      <w:r>
        <w:br w:type="page"/>
      </w:r>
    </w:p>
    <w:tbl>
      <w:tblPr>
        <w:tblOverlap w:val="never"/>
        <w:jc w:val="center"/>
        <w:tblLayout w:type="fixed"/>
      </w:tblPr>
      <w:tblGrid>
        <w:gridCol w:w="1498"/>
        <w:gridCol w:w="1018"/>
        <w:gridCol w:w="7330"/>
        <w:gridCol w:w="950"/>
        <w:gridCol w:w="1118"/>
        <w:gridCol w:w="1080"/>
      </w:tblGrid>
      <w:tr>
        <w:trPr>
          <w:trHeight w:val="3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股份不足补偿的，由补偿义务人以从二级市场购买或其他合法方式取得的甲方股份进行补 偿。因</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减值应补偿的股份数的计算公式为：补偿义务人应补偿的股份数</w:t>
            </w:r>
            <w:r>
              <w:rPr>
                <w:rFonts w:ascii="Times New Roman" w:eastAsia="Times New Roman" w:hAnsi="Times New Roman" w:cs="Times New Roman"/>
                <w:color w:val="000000"/>
                <w:spacing w:val="0"/>
                <w:w w:val="100"/>
                <w:position w:val="0"/>
                <w:sz w:val="18"/>
                <w:szCs w:val="18"/>
              </w:rPr>
              <w:t>=Outfit7</w:t>
            </w:r>
            <w:r>
              <w:rPr>
                <w:color w:val="000000"/>
                <w:spacing w:val="0"/>
                <w:w w:val="100"/>
                <w:position w:val="0"/>
                <w:sz w:val="18"/>
                <w:szCs w:val="18"/>
              </w:rPr>
              <w:t>期 末减值额</w:t>
            </w:r>
            <w:r>
              <w:rPr>
                <w:color w:val="000000"/>
                <w:spacing w:val="0"/>
                <w:w w:val="100"/>
                <w:position w:val="0"/>
                <w:sz w:val="18"/>
                <w:szCs w:val="18"/>
              </w:rPr>
              <w:t>X</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X</w:t>
            </w:r>
            <w:r>
              <w:rPr>
                <w:color w:val="000000"/>
                <w:spacing w:val="0"/>
                <w:w w:val="100"/>
                <w:position w:val="0"/>
                <w:sz w:val="18"/>
                <w:szCs w:val="18"/>
              </w:rPr>
              <w:t>补偿义务人各自取得的交易对价+杭州逗宝的交易价格+发行价格一业 绩承诺期内补偿义务人已补偿股份总数。上市公司在减值测试期间实施转增或股票股利分配 的，则补偿股份数量相应调整为：补偿股份数量（调整后）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当年应补偿股份数</w:t>
            </w:r>
            <w:r>
              <w:rPr>
                <w:color w:val="000000"/>
                <w:spacing w:val="0"/>
                <w:w w:val="100"/>
                <w:position w:val="0"/>
                <w:sz w:val="18"/>
                <w:szCs w:val="18"/>
              </w:rPr>
              <w:t xml:space="preserve">X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+转 增或送股比例）。补偿义务人就减值测试补偿股份数所获得的已分配现金股利应向上市公司 作相应返还，计算公式为：返还金额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截至补偿前每股已获得的现金股利</w:t>
            </w:r>
            <w:r>
              <w:rPr>
                <w:color w:val="000000"/>
                <w:spacing w:val="0"/>
                <w:w w:val="100"/>
                <w:position w:val="0"/>
                <w:sz w:val="18"/>
                <w:szCs w:val="18"/>
              </w:rPr>
              <w:t>X</w:t>
            </w:r>
            <w:r>
              <w:rPr>
                <w:color w:val="000000"/>
                <w:spacing w:val="0"/>
                <w:w w:val="100"/>
                <w:position w:val="0"/>
                <w:sz w:val="18"/>
                <w:szCs w:val="18"/>
              </w:rPr>
              <w:t>当年应补偿股份 数量。在计算得出并确定补偿义务人因减值需补偿的股份数量后，根据本条计算得出的补偿 义务人需补偿的股份将由上市公司在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年会计年度《专项审核报告》公开披露后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个工 作日内以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元总价回购并注销。上市公司董事会、股东大会在审议相关议案时，关联董事、 关联股东需回避表决。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如本次交易所提供或披露的信息涉嫌虚假记载、误导性陈述或者重大遗漏，被司法机关立案 侦查或者被中国证监会立案调查的，在形成调查结论以前，本方承诺不转让在上市公司拥有 权益的股份，并承诺于收到立案稽查通知的两个交易日内将暂停转让的书面申请和股票账户 提交上市公司董事会，由上市公司董事会代为向证券交易所和登记结算公司申请锁定；如本 方未在两个交易日内提交锁定申请,本方授权上市公司董事会核实后直接向证券交易所和登 记结算公司报送本方的身份信息和账户信息并申请锁定;上市公司董事会未向证券交易所和 登记结算公司报送本方的身份信息和账户信息的，本方授权证券交易所和登记结算公司直接 锁定相关股份。如调查结论发现存在违法违规情节，本方承诺锁定股份自愿用于相关投资者 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正常履行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关于同业 竞争、关 联交易、 资金占用 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5" w:val="left"/>
              </w:tabs>
              <w:bidi w:val="0"/>
              <w:spacing w:before="0" w:after="0" w:line="313" w:lineRule="exact"/>
              <w:ind w:left="0" w:right="0" w:firstLine="0"/>
              <w:jc w:val="both"/>
              <w:rPr>
                <w:sz w:val="18"/>
                <w:szCs w:val="18"/>
              </w:rPr>
            </w:pPr>
            <w:r>
              <w:rPr>
                <w:color w:val="000000"/>
                <w:spacing w:val="0"/>
                <w:w w:val="100"/>
                <w:position w:val="0"/>
                <w:sz w:val="18"/>
                <w:szCs w:val="18"/>
              </w:rPr>
              <w:t>一、</w:t>
              <w:tab/>
              <w:t>本承诺函签署后至本方直接和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或间接持有浙江金科股票期间及本方在杭州哲信（包括 其分公司、参股子公司）任职期间及离职后两年内，本方及本方直接或间接控制的企业：不 得从事与浙江金科、杭州哲信主营业务存在竞争关系的业务，包括但不限于在与浙江金科、 杭州哲信存在竞争关系的单位担任董事、监事、高级管理人员或其他主要管理人员；不得自 己生产、经营与浙江金科、杭州哲信主营业务有竞争关系的产品；在杭州哲信的经营管理人 员终止与杭州哲信的聘任关系或劳动关系后的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个月内，不得雇佣或试图雇佣或招揽该人 员；不得诱使、劝诱或试图影响杭州哲信的任何经营管理人员终止与杭州哲信的雇佣关系。</w:t>
            </w:r>
          </w:p>
          <w:p>
            <w:pPr>
              <w:pStyle w:val="Style2"/>
              <w:keepNext w:val="0"/>
              <w:keepLines w:val="0"/>
              <w:widowControl w:val="0"/>
              <w:shd w:val="clear" w:color="auto" w:fill="auto"/>
              <w:tabs>
                <w:tab w:pos="365" w:val="left"/>
              </w:tabs>
              <w:bidi w:val="0"/>
              <w:spacing w:before="0" w:after="0" w:line="313" w:lineRule="exact"/>
              <w:ind w:left="0" w:right="0" w:firstLine="0"/>
              <w:jc w:val="both"/>
              <w:rPr>
                <w:sz w:val="18"/>
                <w:szCs w:val="18"/>
              </w:rPr>
            </w:pPr>
            <w:r>
              <w:rPr>
                <w:color w:val="000000"/>
                <w:spacing w:val="0"/>
                <w:w w:val="100"/>
                <w:position w:val="0"/>
                <w:sz w:val="18"/>
                <w:szCs w:val="18"/>
              </w:rPr>
              <w:t>二、</w:t>
              <w:tab/>
              <w:t>本承诺函签署后至本方直接和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或间接持有浙江金科股票期间及本方在杭州哲信（包括 其分公司、参股子公司）任职期间及离职后两年内，如本方及本方直接或间接控制的企业， 与浙江金科及其下属控股子公司主营业务产生竞争，则本方及上述主体将采取包括但不限于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正常履行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bl>
    <w:p>
      <w:pPr>
        <w:spacing w:lineRule="exact" w:line="1"/>
        <w:rPr>
          <w:sz w:val="2"/>
          <w:szCs w:val="2"/>
        </w:rPr>
      </w:pPr>
      <w:r>
        <w:br w:type="page"/>
      </w:r>
    </w:p>
    <w:tbl>
      <w:tblPr>
        <w:tblOverlap w:val="never"/>
        <w:jc w:val="center"/>
        <w:tblLayout w:type="fixed"/>
      </w:tblPr>
      <w:tblGrid>
        <w:gridCol w:w="989"/>
        <w:gridCol w:w="1493"/>
        <w:gridCol w:w="1018"/>
        <w:gridCol w:w="7330"/>
        <w:gridCol w:w="950"/>
        <w:gridCol w:w="1118"/>
        <w:gridCol w:w="1080"/>
      </w:tblGrid>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停止经营产生竞争的业务、将产生竞争的业务纳入浙江金科或者转让给无关联关系第三方等 合法方式，使本方及上述主体不再从事与浙江金科及其下属公司主营业务相同或类似的业 务，以避免同业竞争。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金科控股集团有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）本方拟长期持有公司股份，并严格遵守关于股份锁定期的承诺。（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）如果在锁定期满 后，本方拟减持公司股份的，将认真遵守中国证监会、证券交易所关于股东减持的相关规定， 结合公司稳定股价、开展经营、资本运作的需要，审慎制定股份减持计划，在该部分股份锁 定期满后逐步减持。（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）本方减持行为将通过竞价交易、大宗交易等中国证监会、证券交易 所认可的方式进行。（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）如在锁定期满后两年内减持的，减持价格不低于公司首次公开发行 </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股股票的发行价（本次发行后发生权益分派、公积金转增股本、配股等情况的，发行价进 行相应的除权除息处理）；如在锁定期满两年后减持的，按照市场价格减持。（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）公司首次 公开发行股票上市后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个月内，若公司股票连续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个交易日的收盘价均低于发行价，或者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个月期末收盘价低于发行价，所持有公司股票的锁定期限自动延长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个月（本次发 行后发生权益分派、公积金转增股本、配股等情况的，发行价进行相应的除权除息处理）。</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）本方在减持时，会提前将减持意向和拟减持数量等信息以书面方式通知公司，并由公 司及时予以公告，自公司公告之日起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个交易日后，方可减持公司股份。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正常履行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473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金科控股集团有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浙江金 科过氧化物股份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朱志 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、本次发行上市后公司的利润分配政策：根据本次公开发行股票并上市后将生效的《公司 章程（草案）》，有关股利分配的主要规定如下：（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）公司的利润分配应重视对投资者的合理 投资回报，并兼顾公司的可持续发展；（</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）公司利润分配政策应保持连续性和稳定性，公司 根据生产经营情况、投资规划和长期发展等确需要调整利润分配政策的，调整后的利润分配 政策应以股权权益保护为出发点，不得违反中国证监会和证券交易所的有关规定。有关调整 利润分配政策的议案，需要事先征求独立董事及监事会意见，并经公司董事会审议后提交公 司股东大会批准；（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）公司董事会审议利润分配政策、利润分配方案的议案时，应取得全体 独立董事三分之二以上同意；公司股东大会审议利润分配政策、利润分配方案的议案时，应 充分听取公众投资者的意见；（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）公司可以采取现金或者股票方式分配股利，积极推行现金 分配的方式，可以进行中期现金分红；（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）在满足公司正常生产经营对资金需求的情况下， 公司应当优先采取现金方式分配股利；（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）若公司当年进行利润分配，则以现金形式累计分 配的利润不少于当年实现的可供分配利润的百分之二十；（</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）公司最近三年以现金方式累计 分配的利润不少于最近三年实现的年均可分配利润的百分之四十；（</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）年度公司盈利但董事 会未做出现金利润分配预案的，应当在年度报告中披露未分红的原因及未用于分红的资金留 存公司的用途，独立董事应当对此发表独立意见；（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）公司最近三年以现金方式累计分配的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正常履行 中</w:t>
            </w:r>
          </w:p>
        </w:tc>
      </w:tr>
    </w:tbl>
    <w:p>
      <w:pPr>
        <w:spacing w:lineRule="exact" w:line="1"/>
        <w:rPr>
          <w:sz w:val="2"/>
          <w:szCs w:val="2"/>
        </w:rPr>
      </w:pPr>
      <w:r>
        <w:br w:type="page"/>
      </w:r>
    </w:p>
    <w:tbl>
      <w:tblPr>
        <w:tblOverlap w:val="never"/>
        <w:jc w:val="center"/>
        <w:tblLayout w:type="fixed"/>
      </w:tblPr>
      <w:tblGrid>
        <w:gridCol w:w="989"/>
        <w:gridCol w:w="1493"/>
        <w:gridCol w:w="1018"/>
        <w:gridCol w:w="7330"/>
        <w:gridCol w:w="950"/>
        <w:gridCol w:w="1118"/>
        <w:gridCol w:w="1080"/>
      </w:tblGrid>
      <w:tr>
        <w:trPr>
          <w:trHeight w:val="91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利润少于最近三年实现的年均可分配利润的百分之三十的，不得向社会公众增发新股、发行 可转换公司债券或向原有股东配售股份；（</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）股东违规占用公司资金的，公司应当扣减该 股东本应分配的现金红利，以偿还其占用的资金。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、本次发行上市后子公司的利润分配政 策：本公司子公司浙江金科双氧水有限公司和浙江金科日化原料有限公司《公司章程》均有 明确的分红条款规定，保证了公司利润分配政策的连续性和稳定性。浙江金科双氧水有限公 司《公司章程》第十九条规定：</w:t>
            </w:r>
            <w:r>
              <w:rPr>
                <w:color w:val="000000"/>
                <w:spacing w:val="0"/>
                <w:w w:val="100"/>
                <w:position w:val="0"/>
                <w:sz w:val="18"/>
                <w:szCs w:val="18"/>
              </w:rPr>
              <w:t>"</w:t>
            </w:r>
            <w:r>
              <w:rPr>
                <w:color w:val="000000"/>
                <w:spacing w:val="0"/>
                <w:w w:val="100"/>
                <w:position w:val="0"/>
                <w:sz w:val="18"/>
                <w:szCs w:val="18"/>
              </w:rPr>
              <w:t>在公司盈利年度，公司当年分配给股东的利润不少于公司 弥补亏损和提取公积金后所余利润的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。”浙江金科日化原料有限公司《公司章程》第十 六条规定：“在公司盈利年度，公司当年分配给股东的利润不少于公司弥补亏损和提取公积 金后所余利润的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、利润分配的具体规划：为进一步细化《公司章程（草案）》中关 于利润分配政策的条款，增强公司利润分配决策的透明度和可操作性，便于股东对公司经营 和分配进行监督，公司在充分考虑全体股东的利益，并根据公司的经营业绩、现金流量、财 务状况、业务开展状况和发展前景及相关其他重要因素，对本次发行完成后的股利分配政策 进行了积极、稳妥的规划，具体分红回报规划如下：（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）股东回报规划制定考虑因素公司着 眼于长远和可持续发展，综合考虑企业实际情况、发展目标，建立对投资者持续、稳定、科 学的回报规划与机制，从而对股利分配作出指定性安排，以保证股利分配的连续性和稳定性。</w:t>
            </w:r>
          </w:p>
          <w:p>
            <w:pPr>
              <w:pStyle w:val="Style2"/>
              <w:keepNext w:val="0"/>
              <w:keepLines w:val="0"/>
              <w:widowControl w:val="0"/>
              <w:shd w:val="clear" w:color="auto" w:fill="auto"/>
              <w:tabs>
                <w:tab w:pos="355" w:val="left"/>
              </w:tabs>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股东回报规划制定原则公司股东回报规划应充分考虑和听取股东（特别是公众投资者）、 独立董事和外部监事的意见，在满足公司正常生产经营对资金需求的情况下，坚持现金分红 为主的基本原则，每年现金分红的比例不低于当年实现可供分配利润的百分之二十，或者最 近三年以现金方式累计分配的利润不少于最近三年实现的年均可分配利润的百分之四十。</w:t>
            </w:r>
          </w:p>
          <w:p>
            <w:pPr>
              <w:pStyle w:val="Style2"/>
              <w:keepNext w:val="0"/>
              <w:keepLines w:val="0"/>
              <w:widowControl w:val="0"/>
              <w:shd w:val="clear" w:color="auto" w:fill="auto"/>
              <w:tabs>
                <w:tab w:pos="451" w:val="left"/>
              </w:tabs>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股东回报规划制定周期和相关决策机制公司至少每五年重新审阅一次《股东分红回报 规划》，根据股东（特别是公众投资者）、独立董事和外部监事的意见对公司正在实施的股利 分配政策作出适当且必要的修改，确定该时段的股东回报计划。并由公司董事会结合具体经 营数据，充分考虑公司盈利规模、现金流量状况、发展阶段及当期资金需求，并结合股东（特 别是公众投资者）、独立董事和外部监事的意见制定年度或中期分红方案，并经股东大会表 决通过后实施。（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2012-2016</w:t>
            </w:r>
            <w:r>
              <w:rPr>
                <w:color w:val="000000"/>
                <w:spacing w:val="0"/>
                <w:w w:val="100"/>
                <w:position w:val="0"/>
                <w:sz w:val="18"/>
                <w:szCs w:val="18"/>
              </w:rPr>
              <w:t>年度股东分红回报计划</w:t>
            </w:r>
            <w:r>
              <w:rPr>
                <w:rFonts w:ascii="Times New Roman" w:eastAsia="Times New Roman" w:hAnsi="Times New Roman" w:cs="Times New Roman"/>
                <w:color w:val="000000"/>
                <w:spacing w:val="0"/>
                <w:w w:val="100"/>
                <w:position w:val="0"/>
                <w:sz w:val="18"/>
                <w:szCs w:val="18"/>
              </w:rPr>
              <w:t>2012-2016</w:t>
            </w:r>
            <w:r>
              <w:rPr>
                <w:color w:val="000000"/>
                <w:spacing w:val="0"/>
                <w:w w:val="100"/>
                <w:position w:val="0"/>
                <w:sz w:val="18"/>
                <w:szCs w:val="18"/>
              </w:rPr>
              <w:t>年是公司谋求上市，实现 跨越式发展目标的重要时期，公司该时期的发展与股东的鼎力相助密不可分。为此，公司计 划将为股东提供足额投资回报。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、控股股东和实际控制人关于上市后利润分配的承诺公司 控股股东和实际控制人承诺:未来公司股东大会根据公司章程的规定通过利润分配具体方案 时，本方表示同意并将投赞成票。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一、避免同业竞争的承诺本公司控股股东金科控股、实际控制人朱志刚承诺：（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）本方控制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正常履行</w:t>
            </w:r>
          </w:p>
        </w:tc>
      </w:tr>
    </w:tbl>
    <w:p>
      <w:pPr>
        <w:sectPr>
          <w:headerReference w:type="default" r:id="rId31"/>
          <w:footerReference w:type="default" r:id="rId32"/>
          <w:footnotePr>
            <w:pos w:val="pageBottom"/>
            <w:numFmt w:val="decimal"/>
            <w:numRestart w:val="continuous"/>
          </w:footnotePr>
          <w:pgSz w:w="16840" w:h="11900" w:orient="landscape"/>
          <w:pgMar w:top="1104" w:right="1328" w:bottom="1211" w:left="1534" w:header="0" w:footer="3" w:gutter="0"/>
          <w:cols w:space="720"/>
          <w:noEndnote/>
          <w:rtlGutter w:val="0"/>
          <w:docGrid w:linePitch="360"/>
        </w:sectPr>
      </w:pPr>
    </w:p>
    <w:p>
      <w:pPr>
        <w:pStyle w:val="Style31"/>
        <w:keepNext w:val="0"/>
        <w:keepLines w:val="0"/>
        <w:framePr w:w="1157" w:h="264" w:wrap="none" w:hAnchor="page" w:x="2527" w:y="26"/>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rPr>
        <w:t>;</w:t>
      </w:r>
      <w:r>
        <w:rPr>
          <w:color w:val="000000"/>
          <w:spacing w:val="0"/>
          <w:w w:val="100"/>
          <w:position w:val="0"/>
        </w:rPr>
        <w:t>朱志刚</w:t>
      </w:r>
    </w:p>
    <w:p>
      <w:pPr>
        <w:pStyle w:val="Style31"/>
        <w:keepNext w:val="0"/>
        <w:keepLines w:val="0"/>
        <w:framePr w:w="763" w:h="1565" w:wrap="none" w:hAnchor="page" w:x="4005" w:y="-37"/>
        <w:widowControl w:val="0"/>
        <w:shd w:val="clear" w:color="auto" w:fill="auto"/>
        <w:bidi w:val="0"/>
        <w:spacing w:before="0" w:after="0" w:line="310" w:lineRule="exact"/>
        <w:ind w:left="0" w:right="0" w:firstLine="0"/>
        <w:jc w:val="both"/>
      </w:pPr>
      <w:r>
        <w:rPr>
          <w:color w:val="000000"/>
          <w:spacing w:val="0"/>
          <w:w w:val="100"/>
          <w:position w:val="0"/>
        </w:rPr>
        <w:t>竞争、关 联交易、 资金占用 方面的承 诺</w:t>
      </w:r>
    </w:p>
    <w:p>
      <w:pPr>
        <w:pStyle w:val="Style31"/>
        <w:keepNext w:val="0"/>
        <w:keepLines w:val="0"/>
        <w:framePr w:w="7248" w:h="9408" w:wrap="none" w:hAnchor="page" w:x="5018" w:y="-37"/>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的企业（浙江金科过氧化物股份有限公司及其子公司除外）目前并没有以任何形式从事或参 与与浙江金科过氧化物股份有限公司及其子公司主营业务构成或可能构成直接或间接竞争 关系的业务或活动；（</w:t>
      </w:r>
      <w:r>
        <w:rPr>
          <w:rFonts w:ascii="Times New Roman" w:eastAsia="Times New Roman" w:hAnsi="Times New Roman" w:cs="Times New Roman"/>
          <w:color w:val="000000"/>
          <w:spacing w:val="0"/>
          <w:w w:val="100"/>
          <w:position w:val="0"/>
        </w:rPr>
        <w:t>2</w:t>
      </w:r>
      <w:r>
        <w:rPr>
          <w:color w:val="000000"/>
          <w:spacing w:val="0"/>
          <w:w w:val="100"/>
          <w:position w:val="0"/>
        </w:rPr>
        <w:t>）本方依照中国法律法规被确认为浙江金科过氧化物股份有限公司实 际控制人、控股股东期间，本方保证本方及本方实际控制的除浙江金科过氧化物股份有限公 司及其子公司以外的其他企业将不会在中国境内或境外以任何方式（包括但不限于单独经 营、通过合资经营或拥有另一公司或企业的股权及其它权益）直接或间接从事或参与任何与 浙江金科过氧化物股份有限公司及其子公司构成竞争的任何业务或活动，不以任何方式从事 或参与任何与浙江金科过氧化物股份有限公司及其子公司业务相同、相似或可能取代浙江金 科过氧化物股份有限公司及其子公司业务的活动；（</w:t>
      </w:r>
      <w:r>
        <w:rPr>
          <w:rFonts w:ascii="Times New Roman" w:eastAsia="Times New Roman" w:hAnsi="Times New Roman" w:cs="Times New Roman"/>
          <w:color w:val="000000"/>
          <w:spacing w:val="0"/>
          <w:w w:val="100"/>
          <w:position w:val="0"/>
        </w:rPr>
        <w:t>3</w:t>
      </w:r>
      <w:r>
        <w:rPr>
          <w:color w:val="000000"/>
          <w:spacing w:val="0"/>
          <w:w w:val="100"/>
          <w:position w:val="0"/>
        </w:rPr>
        <w:t>）本方如从任何第三方获得的商业机会 与浙江金科过氧化物股份有限公司及其子公司经营的业务有竞争或可能竞争，则本方将立即 通知浙江金科过氧化物股份有限公司，并将该商业机会让予浙江金科过氧化物股份有限公司 或其子公司；（</w:t>
      </w:r>
      <w:r>
        <w:rPr>
          <w:rFonts w:ascii="Times New Roman" w:eastAsia="Times New Roman" w:hAnsi="Times New Roman" w:cs="Times New Roman"/>
          <w:color w:val="000000"/>
          <w:spacing w:val="0"/>
          <w:w w:val="100"/>
          <w:position w:val="0"/>
        </w:rPr>
        <w:t>4</w:t>
      </w:r>
      <w:r>
        <w:rPr>
          <w:color w:val="000000"/>
          <w:spacing w:val="0"/>
          <w:w w:val="100"/>
          <w:position w:val="0"/>
        </w:rPr>
        <w:t>）本方承诺不利用任何方式从事影响或可能影响浙江金科过氧化物股份有限 公司及其子公司经营、发展的业务或活动。二、规范和减少关联交易的承诺本公司控股股东 金科控股、实际控制人朱志刚承诺：（</w:t>
      </w:r>
      <w:r>
        <w:rPr>
          <w:rFonts w:ascii="Times New Roman" w:eastAsia="Times New Roman" w:hAnsi="Times New Roman" w:cs="Times New Roman"/>
          <w:color w:val="000000"/>
          <w:spacing w:val="0"/>
          <w:w w:val="100"/>
          <w:position w:val="0"/>
        </w:rPr>
        <w:t>1</w:t>
      </w:r>
      <w:r>
        <w:rPr>
          <w:color w:val="000000"/>
          <w:spacing w:val="0"/>
          <w:w w:val="100"/>
          <w:position w:val="0"/>
        </w:rPr>
        <w:t>）本方将严格按照《公司法》等法律法规以及股份公 司《公司章程（草案）》等有关规定行使股东权利；（</w:t>
      </w:r>
      <w:r>
        <w:rPr>
          <w:rFonts w:ascii="Times New Roman" w:eastAsia="Times New Roman" w:hAnsi="Times New Roman" w:cs="Times New Roman"/>
          <w:color w:val="000000"/>
          <w:spacing w:val="0"/>
          <w:w w:val="100"/>
          <w:position w:val="0"/>
        </w:rPr>
        <w:t>2</w:t>
      </w:r>
      <w:r>
        <w:rPr>
          <w:color w:val="000000"/>
          <w:spacing w:val="0"/>
          <w:w w:val="100"/>
          <w:position w:val="0"/>
        </w:rPr>
        <w:t>）在股东大会对有关涉及本方事项的 关联交易进行表决时，履行回避表决的义务；（</w:t>
      </w:r>
      <w:r>
        <w:rPr>
          <w:rFonts w:ascii="Times New Roman" w:eastAsia="Times New Roman" w:hAnsi="Times New Roman" w:cs="Times New Roman"/>
          <w:color w:val="000000"/>
          <w:spacing w:val="0"/>
          <w:w w:val="100"/>
          <w:position w:val="0"/>
        </w:rPr>
        <w:t>3</w:t>
      </w:r>
      <w:r>
        <w:rPr>
          <w:color w:val="000000"/>
          <w:spacing w:val="0"/>
          <w:w w:val="100"/>
          <w:position w:val="0"/>
        </w:rPr>
        <w:t>）在任何情况下，不要求股份公司向本方提 供任何形式的担保；（</w:t>
      </w:r>
      <w:r>
        <w:rPr>
          <w:rFonts w:ascii="Times New Roman" w:eastAsia="Times New Roman" w:hAnsi="Times New Roman" w:cs="Times New Roman"/>
          <w:color w:val="000000"/>
          <w:spacing w:val="0"/>
          <w:w w:val="100"/>
          <w:position w:val="0"/>
        </w:rPr>
        <w:t>4</w:t>
      </w:r>
      <w:r>
        <w:rPr>
          <w:color w:val="000000"/>
          <w:spacing w:val="0"/>
          <w:w w:val="100"/>
          <w:position w:val="0"/>
        </w:rPr>
        <w:t>）在双方的关联交易上，严格遵循市场原则，尽量避免不必要的关联 交易发生；（</w:t>
      </w:r>
      <w:r>
        <w:rPr>
          <w:rFonts w:ascii="Times New Roman" w:eastAsia="Times New Roman" w:hAnsi="Times New Roman" w:cs="Times New Roman"/>
          <w:color w:val="000000"/>
          <w:spacing w:val="0"/>
          <w:w w:val="100"/>
          <w:position w:val="0"/>
        </w:rPr>
        <w:t>5</w:t>
      </w:r>
      <w:r>
        <w:rPr>
          <w:color w:val="000000"/>
          <w:spacing w:val="0"/>
          <w:w w:val="100"/>
          <w:position w:val="0"/>
        </w:rPr>
        <w:t>）对于无法避免或者有合理原因而发生的关联交易，将遵循市场公正、公平、 公开的原则，并依法签订协议，履行合法程序，按照股份公司《公司章程（草案）》、有关法 律法规和《深圳证券交易所创业板股票上市规则》等有关规定履行信息披露义务和办理有关 审议程序，保证不通过关联交易损害股份公司及其他股东的合法权益。三、避免资金占用的 承诺本公司控股股东金科控股、实际控制人朱志刚承诺：（</w:t>
      </w:r>
      <w:r>
        <w:rPr>
          <w:rFonts w:ascii="Times New Roman" w:eastAsia="Times New Roman" w:hAnsi="Times New Roman" w:cs="Times New Roman"/>
          <w:color w:val="000000"/>
          <w:spacing w:val="0"/>
          <w:w w:val="100"/>
          <w:position w:val="0"/>
        </w:rPr>
        <w:t>1</w:t>
      </w:r>
      <w:r>
        <w:rPr>
          <w:color w:val="000000"/>
          <w:spacing w:val="0"/>
          <w:w w:val="100"/>
          <w:position w:val="0"/>
        </w:rPr>
        <w:t>）严格限制朱志刚、金科控股及 其控制的其他关联方与发行人在发生经营性资金往来中占用资金，不要求发行人为其垫支工 资、福利、保险、广告等期间费用，也不互相代为承担成本和其他支出；（</w:t>
      </w:r>
      <w:r>
        <w:rPr>
          <w:rFonts w:ascii="Times New Roman" w:eastAsia="Times New Roman" w:hAnsi="Times New Roman" w:cs="Times New Roman"/>
          <w:color w:val="000000"/>
          <w:spacing w:val="0"/>
          <w:w w:val="100"/>
          <w:position w:val="0"/>
        </w:rPr>
        <w:t>2</w:t>
      </w:r>
      <w:r>
        <w:rPr>
          <w:color w:val="000000"/>
          <w:spacing w:val="0"/>
          <w:w w:val="100"/>
          <w:position w:val="0"/>
        </w:rPr>
        <w:t>）不得利用控股 股东及实际控制人身份要求发行人以下列方式将资金直接或间接地提供给金科控股、朱志刚 及其控制的其他关联方使用：①有偿或无偿地拆借公司的资金给金科控股、朱志刚及其控制 的其他关联方使用；②通过银行或非银行金融机构向金科控股、朱志刚及其控制的其他关联 方提供委托贷款；③委托金科控股、朱志刚及其控制的其他关联方进行投资活动；④为金科 控股、朱志刚及其控制的其他关联方开具没有真实交易背景的商业承兑汇票;⑤代金科控股、 朱志刚及其控制的其他关联方偿还债务。（</w:t>
      </w:r>
      <w:r>
        <w:rPr>
          <w:rFonts w:ascii="Times New Roman" w:eastAsia="Times New Roman" w:hAnsi="Times New Roman" w:cs="Times New Roman"/>
          <w:color w:val="000000"/>
          <w:spacing w:val="0"/>
          <w:w w:val="100"/>
          <w:position w:val="0"/>
        </w:rPr>
        <w:t>3</w:t>
      </w:r>
      <w:r>
        <w:rPr>
          <w:color w:val="000000"/>
          <w:spacing w:val="0"/>
          <w:w w:val="100"/>
          <w:position w:val="0"/>
        </w:rPr>
        <w:t>）如果本方及本方控制的企业违反上述承诺，与</w:t>
      </w:r>
    </w:p>
    <w:p>
      <w:pPr>
        <w:pStyle w:val="Style128"/>
        <w:keepNext w:val="0"/>
        <w:keepLines w:val="0"/>
        <w:framePr w:w="672" w:h="557" w:wrap="none" w:hAnchor="page" w:x="12347" w:y="26"/>
        <w:widowControl w:val="0"/>
        <w:shd w:val="clear" w:color="auto" w:fill="auto"/>
        <w:bidi w:val="0"/>
        <w:spacing w:before="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31"/>
        <w:keepNext w:val="0"/>
        <w:keepLines w:val="0"/>
        <w:framePr w:w="672" w:h="557" w:wrap="none" w:hAnchor="page" w:x="12347" w:y="26"/>
        <w:widowControl w:val="0"/>
        <w:shd w:val="clear" w:color="auto" w:fill="auto"/>
        <w:bidi w:val="0"/>
        <w:spacing w:before="0" w:after="0" w:line="240" w:lineRule="auto"/>
        <w:ind w:left="0" w:right="0" w:firstLine="0"/>
        <w:jc w:val="left"/>
      </w:pP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pgSz w:w="16840" w:h="11900" w:orient="landscape"/>
          <w:pgMar w:top="1149" w:right="1456" w:bottom="1154" w:left="2526" w:header="0" w:footer="3" w:gutter="0"/>
          <w:cols w:space="720"/>
          <w:noEndnote/>
          <w:rtlGutter w:val="0"/>
          <w:docGrid w:linePitch="360"/>
        </w:sectPr>
      </w:pPr>
    </w:p>
    <w:tbl>
      <w:tblPr>
        <w:tblOverlap w:val="never"/>
        <w:jc w:val="center"/>
        <w:tblLayout w:type="fixed"/>
      </w:tblPr>
      <w:tblGrid>
        <w:gridCol w:w="1498"/>
        <w:gridCol w:w="1018"/>
        <w:gridCol w:w="7330"/>
        <w:gridCol w:w="950"/>
        <w:gridCol w:w="1118"/>
        <w:gridCol w:w="1080"/>
      </w:tblGrid>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发行人发生非经营性资金往来，需在持有发行人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以上的股东要求时立即返还资金；视情 节轻重由责任人向发行人或其子公司缴纳</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元以上</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元以下的罚款;性质严重的， 报送司法机关追究刑事责任。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浙江金科过氧化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本次发行完成后可能会摊薄股东的即期回报，为保护中小投资者的合法权益，本公司将采取 的相关措施如下：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、保障本次发行募集资金安全和有效使用，提高未来股东回报；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、加快 区域战略布局，提升公司竞争力；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、优化投资回报机制。为保障中小投资者合法利益，本 公司作出承诺如下：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、在坚持每年以现金方式分配的利润应不低于当年实现的可分配利润 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的现金分红政策的基础上，提高现金分红水平，在公司本次发行完成当年及发行后 第一个会计年度和第二个会计年度，公司计划每股现金分红不低于发行前一年度水平。若本 次发行后公司股票发生转增或者送股等除权事项的，每股现金股利水平相应进行调整。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若上述承诺未能得到有效履行，本公司将在股东大会及中国证监会指定的披露媒体上公开说 明未履行的具体原因并向股东和社会公众投资者道歉。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正常履行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本公司实际控制人朱志刚承诺：在发行人上市后，若由于发行人及其子公司在上市前的经营 活动中存在应缴未缴的社会保险和住房公积金而被有关政府部门要求补缴或者处罚，将赔偿 发行人及其全资子公司由此产生的全部损失。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正常履行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44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丁宁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杜志平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葛 敏海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金科控股 集团有限公司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梁百其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马贵翔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毛军勇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魏洪涛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吴剑波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项丰标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姚勇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章金龙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章 伟新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浙江金科 过氧化物股份有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朱志刚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竺素娥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、如非因不可抗力原因导致未能履行公开承诺事项的，公司及公司控股股东、实际控制人、 董事、监事、高级管理人员需提出新的承诺（相关承诺需按法律、法规、公司章程的规定履 行相关审批程序）并接受如下约束措施，直至新的承诺履行完毕或相应补救措施实施完毕：</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）公司将在股东大会及中国证监会指定的披露媒体上公开说明未履行的具体原因并向股 东和社会公众投资者道歉；不得进行公开再融资；对公司该等未履行承诺的行为负有个人责 任的董事、监事、高级管理人员调减或停发薪酬或津贴；不得批准董事、监事、高级管理人 员的主动离职申请，但可以进行职务变更。（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）控股股东将在股东大会及中国证监会指定的 披露媒体上公开说明未履行的具体原因并向股东和社会公众投资者道歉;不得转让公司股份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但因被强制执行、为履行保护投资者利益承诺等必须转股的情形除外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；暂不领取公司利润 分配中归属于控股股东的部分；如果因未履行相关承诺事项而获得收益的，所获收益归公司 所有。（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）实际控制人朱志刚以及公司董事、监事、高级管理人员将不得转让公司股份（但 因被强制执行、为履行保护投资者利益承诺等必须转股的情形除外）；暂不领取公司利润分 配中归属于本人的部分；可以职务变更但不得主动要求离职；主动申请调减或停发薪酬或津 贴；如果因未履行相关承诺事项而获得收益的，所获收益归公司所有。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、如因不可抗力原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正常履行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bl>
    <w:p>
      <w:pPr>
        <w:widowControl w:val="0"/>
        <w:spacing w:line="1" w:lineRule="exact"/>
      </w:pPr>
      <w:r>
        <w:br w:type="page"/>
      </w:r>
    </w:p>
    <w:tbl>
      <w:tblPr>
        <w:tblOverlap w:val="never"/>
        <w:jc w:val="center"/>
        <w:tblLayout w:type="fixed"/>
      </w:tblPr>
      <w:tblGrid>
        <w:gridCol w:w="989"/>
        <w:gridCol w:w="1493"/>
        <w:gridCol w:w="1018"/>
        <w:gridCol w:w="7330"/>
        <w:gridCol w:w="950"/>
        <w:gridCol w:w="1118"/>
        <w:gridCol w:w="1080"/>
      </w:tblGrid>
      <w:tr>
        <w:trPr>
          <w:trHeight w:val="16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因导致未能履行公开承诺事项的，公司及公司控股股东、实际控制人、董事、监事、高级管 理人员需提出新的承诺（相关承诺需按法律、法规、公司章程的规定履行相关审批程序）并 接受如下约束措施，直至新的承诺履行完毕或相应补救措施实施完毕：（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）在股东大会及中 国证监会指定的披露媒体上公开说明未履行的具体原因。（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）尽快研究将投资者利益损失降 低到最小的处理方案，尽可能地保护本公司投资者利益。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承诺是否 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21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如承诺超 期未履行 完毕的， 应当详细 说明未完 成履行的 具体原因 及下一步 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、公司资产或项目存在盈利预测，且报告期仍处在盈利预测期间，公司就资产或项目达到原盈利预测及其原因做出说明</w:t>
      </w:r>
      <w:bookmarkEnd w:id="274"/>
      <w:bookmarkEnd w:id="275"/>
      <w:bookmarkEnd w:id="277"/>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6840" w:h="11900" w:orient="landscape"/>
          <w:pgMar w:top="1126" w:right="1176" w:bottom="1410" w:left="166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12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、控股股东及其关联方对上市公司的非经营性占用资金情况</w:t>
      </w:r>
      <w:bookmarkEnd w:id="278"/>
      <w:bookmarkEnd w:id="279"/>
      <w:bookmarkEnd w:id="281"/>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34"/>
        <w:gridCol w:w="629"/>
        <w:gridCol w:w="634"/>
        <w:gridCol w:w="667"/>
        <w:gridCol w:w="734"/>
        <w:gridCol w:w="629"/>
        <w:gridCol w:w="624"/>
        <w:gridCol w:w="677"/>
        <w:gridCol w:w="960"/>
        <w:gridCol w:w="816"/>
        <w:gridCol w:w="811"/>
        <w:gridCol w:w="763"/>
        <w:gridCol w:w="99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股东 或关 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占用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发生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 期偿 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占最近一 期经审计 净资产的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截至年 报披露 日余额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预计偿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预计偿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预计偿还 时间(月 份)</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金科 控股 集团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80" w:line="331" w:lineRule="exact"/>
              <w:ind w:left="0" w:right="0" w:firstLine="0"/>
              <w:jc w:val="left"/>
              <w:rPr>
                <w:sz w:val="18"/>
                <w:szCs w:val="18"/>
              </w:rPr>
            </w:pPr>
            <w:r>
              <w:rPr>
                <w:color w:val="000000"/>
                <w:spacing w:val="0"/>
                <w:w w:val="100"/>
                <w:position w:val="0"/>
                <w:sz w:val="18"/>
                <w:szCs w:val="18"/>
              </w:rPr>
              <w:t>年至</w:t>
            </w:r>
          </w:p>
          <w:p>
            <w:pPr>
              <w:pStyle w:val="Style2"/>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资金 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47.30</w:t>
            </w:r>
          </w:p>
          <w:p>
            <w:pPr>
              <w:pStyle w:val="Style2"/>
              <w:keepNext w:val="0"/>
              <w:keepLines w:val="0"/>
              <w:widowControl w:val="0"/>
              <w:shd w:val="clear" w:color="auto" w:fill="auto"/>
              <w:bidi w:val="0"/>
              <w:spacing w:before="0" w:after="8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 xml:space="preserve">年 </w:t>
            </w:r>
            <w:r>
              <w:rPr>
                <w:color w:val="000000"/>
                <w:spacing w:val="0"/>
                <w:w w:val="100"/>
                <w:position w:val="0"/>
                <w:sz w:val="18"/>
                <w:szCs w:val="18"/>
              </w:rPr>
              <w:t>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8"/>
                <w:szCs w:val="18"/>
              </w:rPr>
              <w:t>4</w:t>
            </w:r>
            <w:r>
              <w:rPr>
                <w:color w:val="000000"/>
                <w:spacing w:val="0"/>
                <w:w w:val="100"/>
                <w:position w:val="0"/>
                <w:sz w:val="18"/>
                <w:szCs w:val="18"/>
              </w:rPr>
              <w:t>日</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金科 控股 集团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因同 一控 制下 企业 合并 追溯 重 述， 而纳 入的 往来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21,45</w:t>
            </w:r>
          </w:p>
          <w:p>
            <w:pPr>
              <w:pStyle w:val="Style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w:t>
            </w:r>
          </w:p>
          <w:p>
            <w:pPr>
              <w:pStyle w:val="Style2"/>
              <w:keepNext w:val="0"/>
              <w:keepLines w:val="0"/>
              <w:widowControl w:val="0"/>
              <w:shd w:val="clear" w:color="auto" w:fill="auto"/>
              <w:bidi w:val="0"/>
              <w:spacing w:before="0" w:after="10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0.47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现金清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万锦商贸 合并日， 即</w:t>
            </w:r>
            <w:r>
              <w:rPr>
                <w:color w:val="000000"/>
                <w:spacing w:val="0"/>
                <w:w w:val="100"/>
                <w:position w:val="0"/>
                <w:sz w:val="18"/>
                <w:szCs w:val="18"/>
              </w:rPr>
              <w:t>2020</w:t>
            </w:r>
            <w:r>
              <w:rPr>
                <w:color w:val="000000"/>
                <w:spacing w:val="0"/>
                <w:w w:val="100"/>
                <w:position w:val="0"/>
                <w:sz w:val="18"/>
                <w:szCs w:val="18"/>
              </w:rPr>
              <w:t xml:space="preserve">年 </w:t>
            </w:r>
            <w:r>
              <w:rPr>
                <w:color w:val="000000"/>
                <w:spacing w:val="0"/>
                <w:w w:val="100"/>
                <w:position w:val="0"/>
                <w:sz w:val="18"/>
                <w:szCs w:val="18"/>
              </w:rPr>
              <w:t>8</w:t>
            </w:r>
            <w:r>
              <w:rPr>
                <w:color w:val="000000"/>
                <w:spacing w:val="0"/>
                <w:w w:val="100"/>
                <w:position w:val="0"/>
                <w:sz w:val="18"/>
                <w:szCs w:val="18"/>
              </w:rPr>
              <w:t>月</w:t>
            </w:r>
            <w:r>
              <w:rPr>
                <w:color w:val="000000"/>
                <w:spacing w:val="0"/>
                <w:w w:val="100"/>
                <w:position w:val="0"/>
                <w:sz w:val="18"/>
                <w:szCs w:val="18"/>
              </w:rPr>
              <w:t>11</w:t>
            </w:r>
            <w:r>
              <w:rPr>
                <w:color w:val="000000"/>
                <w:spacing w:val="0"/>
                <w:w w:val="100"/>
                <w:position w:val="0"/>
                <w:sz w:val="18"/>
                <w:szCs w:val="18"/>
              </w:rPr>
              <w:t>日 前</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686"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当期新增大股东及其 附属企业非经营性资 金占用情况的原因、 责任人追究及董事会 拟定采取措施的情况 说明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年度新增占用金额包括：</w:t>
            </w:r>
          </w:p>
          <w:p>
            <w:pPr>
              <w:pStyle w:val="Style2"/>
              <w:keepNext w:val="0"/>
              <w:keepLines w:val="0"/>
              <w:widowControl w:val="0"/>
              <w:numPr>
                <w:ilvl w:val="0"/>
                <w:numId w:val="17"/>
              </w:numPr>
              <w:shd w:val="clear" w:color="auto" w:fill="auto"/>
              <w:tabs>
                <w:tab w:pos="446" w:val="left"/>
              </w:tabs>
              <w:bidi w:val="0"/>
              <w:spacing w:before="0" w:after="40" w:line="307" w:lineRule="exact"/>
              <w:ind w:left="0" w:right="0" w:firstLine="0"/>
              <w:jc w:val="both"/>
              <w:rPr>
                <w:sz w:val="18"/>
                <w:szCs w:val="18"/>
              </w:rPr>
            </w:pPr>
            <w:r>
              <w:rPr>
                <w:color w:val="000000"/>
                <w:spacing w:val="0"/>
                <w:w w:val="100"/>
                <w:position w:val="0"/>
                <w:sz w:val="18"/>
                <w:szCs w:val="18"/>
              </w:rPr>
              <w:t>金科控股通过第三方供应商往来款的方式占用公司自有资金的本金</w:t>
            </w:r>
            <w:r>
              <w:rPr>
                <w:rFonts w:ascii="Times New Roman" w:eastAsia="Times New Roman" w:hAnsi="Times New Roman" w:cs="Times New Roman"/>
                <w:color w:val="000000"/>
                <w:spacing w:val="0"/>
                <w:w w:val="100"/>
                <w:position w:val="0"/>
                <w:sz w:val="18"/>
                <w:szCs w:val="18"/>
              </w:rPr>
              <w:t>297,747.51</w:t>
            </w:r>
            <w:r>
              <w:rPr>
                <w:color w:val="000000"/>
                <w:spacing w:val="0"/>
                <w:w w:val="100"/>
                <w:position w:val="0"/>
                <w:sz w:val="18"/>
                <w:szCs w:val="18"/>
              </w:rPr>
              <w:t>万元，以及 针对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年期初本金及本期新增资金占用本金而应向金科控股收取的资金占用利息</w:t>
            </w:r>
            <w:r>
              <w:rPr>
                <w:rFonts w:ascii="Times New Roman" w:eastAsia="Times New Roman" w:hAnsi="Times New Roman" w:cs="Times New Roman"/>
                <w:color w:val="000000"/>
                <w:spacing w:val="0"/>
                <w:w w:val="100"/>
                <w:position w:val="0"/>
                <w:sz w:val="18"/>
                <w:szCs w:val="18"/>
              </w:rPr>
              <w:t>4,918.11</w:t>
            </w:r>
            <w:r>
              <w:rPr>
                <w:color w:val="000000"/>
                <w:spacing w:val="0"/>
                <w:w w:val="100"/>
                <w:position w:val="0"/>
                <w:sz w:val="18"/>
                <w:szCs w:val="18"/>
              </w:rPr>
              <w:t>万 元，合计</w:t>
            </w:r>
            <w:r>
              <w:rPr>
                <w:rFonts w:ascii="Times New Roman" w:eastAsia="Times New Roman" w:hAnsi="Times New Roman" w:cs="Times New Roman"/>
                <w:color w:val="000000"/>
                <w:spacing w:val="0"/>
                <w:w w:val="100"/>
                <w:position w:val="0"/>
                <w:sz w:val="18"/>
                <w:szCs w:val="18"/>
              </w:rPr>
              <w:t>302,665.62</w:t>
            </w:r>
            <w:r>
              <w:rPr>
                <w:color w:val="000000"/>
                <w:spacing w:val="0"/>
                <w:w w:val="100"/>
                <w:position w:val="0"/>
                <w:sz w:val="18"/>
                <w:szCs w:val="18"/>
              </w:rPr>
              <w:t>万元；</w:t>
            </w:r>
          </w:p>
          <w:p>
            <w:pPr>
              <w:pStyle w:val="Style2"/>
              <w:keepNext w:val="0"/>
              <w:keepLines w:val="0"/>
              <w:widowControl w:val="0"/>
              <w:numPr>
                <w:ilvl w:val="0"/>
                <w:numId w:val="17"/>
              </w:numPr>
              <w:shd w:val="clear" w:color="auto" w:fill="auto"/>
              <w:tabs>
                <w:tab w:pos="456" w:val="left"/>
              </w:tabs>
              <w:bidi w:val="0"/>
              <w:spacing w:before="0" w:after="40" w:line="312" w:lineRule="exact"/>
              <w:ind w:left="0" w:right="0" w:firstLine="0"/>
              <w:jc w:val="both"/>
              <w:rPr>
                <w:sz w:val="18"/>
                <w:szCs w:val="18"/>
              </w:rPr>
            </w:pPr>
            <w:r>
              <w:rPr>
                <w:color w:val="000000"/>
                <w:spacing w:val="0"/>
                <w:w w:val="100"/>
                <w:position w:val="0"/>
                <w:sz w:val="18"/>
                <w:szCs w:val="18"/>
              </w:rPr>
              <w:t>因上述同一控制下企业合并追溯重述，而形成金科控股对公司之子公司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年度新增资 金占用</w:t>
            </w:r>
            <w:r>
              <w:rPr>
                <w:rFonts w:ascii="Times New Roman" w:eastAsia="Times New Roman" w:hAnsi="Times New Roman" w:cs="Times New Roman"/>
                <w:color w:val="000000"/>
                <w:spacing w:val="0"/>
                <w:w w:val="100"/>
                <w:position w:val="0"/>
                <w:sz w:val="18"/>
                <w:szCs w:val="18"/>
              </w:rPr>
              <w:t>921.21</w:t>
            </w:r>
            <w:r>
              <w:rPr>
                <w:color w:val="000000"/>
                <w:spacing w:val="0"/>
                <w:w w:val="100"/>
                <w:position w:val="0"/>
                <w:sz w:val="18"/>
                <w:szCs w:val="18"/>
              </w:rPr>
              <w:t>万元，以及针对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年期初本金及本期新增资金占用本金而应向金科控股收取 的资金占用利息</w:t>
            </w:r>
            <w:r>
              <w:rPr>
                <w:rFonts w:ascii="Times New Roman" w:eastAsia="Times New Roman" w:hAnsi="Times New Roman" w:cs="Times New Roman"/>
                <w:color w:val="000000"/>
                <w:spacing w:val="0"/>
                <w:w w:val="100"/>
                <w:position w:val="0"/>
                <w:sz w:val="18"/>
                <w:szCs w:val="18"/>
              </w:rPr>
              <w:t>361.61</w:t>
            </w:r>
            <w:r>
              <w:rPr>
                <w:color w:val="000000"/>
                <w:spacing w:val="0"/>
                <w:w w:val="100"/>
                <w:position w:val="0"/>
                <w:sz w:val="18"/>
                <w:szCs w:val="18"/>
              </w:rPr>
              <w:t>万元，合计</w:t>
            </w:r>
            <w:r>
              <w:rPr>
                <w:rFonts w:ascii="Times New Roman" w:eastAsia="Times New Roman" w:hAnsi="Times New Roman" w:cs="Times New Roman"/>
                <w:color w:val="000000"/>
                <w:spacing w:val="0"/>
                <w:w w:val="100"/>
                <w:position w:val="0"/>
                <w:sz w:val="18"/>
                <w:szCs w:val="18"/>
              </w:rPr>
              <w:t>1,282.82</w:t>
            </w:r>
            <w:r>
              <w:rPr>
                <w:color w:val="000000"/>
                <w:spacing w:val="0"/>
                <w:w w:val="100"/>
                <w:position w:val="0"/>
                <w:sz w:val="18"/>
                <w:szCs w:val="18"/>
              </w:rPr>
              <w:t>万元。</w:t>
            </w:r>
          </w:p>
          <w:p>
            <w:pPr>
              <w:pStyle w:val="Style2"/>
              <w:keepNext w:val="0"/>
              <w:keepLines w:val="0"/>
              <w:widowControl w:val="0"/>
              <w:shd w:val="clear" w:color="auto" w:fill="auto"/>
              <w:tabs>
                <w:tab w:pos="278"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公司董事会采取的措施：</w:t>
            </w:r>
          </w:p>
          <w:p>
            <w:pPr>
              <w:pStyle w:val="Style2"/>
              <w:keepNext w:val="0"/>
              <w:keepLines w:val="0"/>
              <w:widowControl w:val="0"/>
              <w:numPr>
                <w:ilvl w:val="0"/>
                <w:numId w:val="19"/>
              </w:numPr>
              <w:shd w:val="clear" w:color="auto" w:fill="auto"/>
              <w:tabs>
                <w:tab w:pos="418" w:val="left"/>
              </w:tabs>
              <w:bidi w:val="0"/>
              <w:spacing w:before="0" w:after="40" w:line="312" w:lineRule="exact"/>
              <w:ind w:left="0" w:right="0" w:firstLine="0"/>
              <w:jc w:val="both"/>
              <w:rPr>
                <w:sz w:val="18"/>
                <w:szCs w:val="18"/>
              </w:rPr>
            </w:pPr>
            <w:r>
              <w:rPr>
                <w:color w:val="000000"/>
                <w:spacing w:val="0"/>
                <w:w w:val="100"/>
                <w:position w:val="0"/>
                <w:sz w:val="18"/>
                <w:szCs w:val="18"/>
              </w:rPr>
              <w:t>针对金科控股通过第三方供应商往来方式占用的公司自有资金，公司已于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日向金科控股收回全部占用资金本金及利息，解决了上述关联方非经营性资金占用问题；</w:t>
            </w:r>
          </w:p>
          <w:p>
            <w:pPr>
              <w:pStyle w:val="Style2"/>
              <w:keepNext w:val="0"/>
              <w:keepLines w:val="0"/>
              <w:widowControl w:val="0"/>
              <w:numPr>
                <w:ilvl w:val="0"/>
                <w:numId w:val="19"/>
              </w:numPr>
              <w:shd w:val="clear" w:color="auto" w:fill="auto"/>
              <w:tabs>
                <w:tab w:pos="341" w:val="left"/>
              </w:tabs>
              <w:bidi w:val="0"/>
              <w:spacing w:before="0" w:after="40" w:line="312" w:lineRule="exact"/>
              <w:ind w:left="0" w:right="0" w:firstLine="0"/>
              <w:jc w:val="both"/>
              <w:rPr>
                <w:sz w:val="18"/>
                <w:szCs w:val="18"/>
              </w:rPr>
            </w:pPr>
            <w:r>
              <w:rPr>
                <w:color w:val="000000"/>
                <w:spacing w:val="0"/>
                <w:w w:val="100"/>
                <w:position w:val="0"/>
                <w:sz w:val="18"/>
                <w:szCs w:val="18"/>
              </w:rPr>
              <w:t>针对因同一控制下企业合并追溯重述而纳入披露范围的万锦商贸应收金科控股非经营性资</w:t>
            </w:r>
          </w:p>
        </w:tc>
      </w:tr>
    </w:tbl>
    <w:p>
      <w:pPr>
        <w:widowControl w:val="0"/>
        <w:spacing w:line="1" w:lineRule="exact"/>
      </w:pPr>
    </w:p>
    <w:tbl>
      <w:tblPr>
        <w:tblOverlap w:val="never"/>
        <w:jc w:val="center"/>
        <w:tblLayout w:type="fixed"/>
      </w:tblPr>
      <w:tblGrid>
        <w:gridCol w:w="1896"/>
        <w:gridCol w:w="7680"/>
      </w:tblGrid>
      <w:tr>
        <w:trPr>
          <w:trHeight w:val="13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金往来款，已于合并日即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日前，向金科控股收回全部非经营性往来资金本金及 利息，解决了上述关联方非经营性资金占用问题；</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）完善公司包括但不限于资金管理、关联交易、信息披露等内部控制制度，进一步加强公司 治理和规范运作，提高信息披露水平，杜绝再出现任何形式的关联方资金占用情况。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未能按计划清偿非经 营性资金占用的原 因、责任追究情况及 董事会拟定采取的措 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注册会计师对资金占 用的专项审核意见的 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10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注册会计师对资金占 用的专项审核意见的 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披露网站：巨潮资讯网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公告名称：《关于浙江金科文化产业股份有限公司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年度关联方非经营性资金占用清偿情况 的专项报告》（信会师报字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ZF10583</w:t>
            </w:r>
            <w:r>
              <w:rPr>
                <w:color w:val="000000"/>
                <w:spacing w:val="0"/>
                <w:w w:val="100"/>
                <w:position w:val="0"/>
                <w:sz w:val="18"/>
                <w:szCs w:val="18"/>
              </w:rPr>
              <w:t>号）</w:t>
            </w:r>
          </w:p>
        </w:tc>
      </w:tr>
    </w:tbl>
    <w:p>
      <w:pPr>
        <w:pStyle w:val="Style34"/>
        <w:keepNext w:val="0"/>
        <w:keepLines w:val="0"/>
        <w:widowControl w:val="0"/>
        <w:shd w:val="clear" w:color="auto" w:fill="auto"/>
        <w:bidi w:val="0"/>
        <w:spacing w:before="0" w:after="0" w:line="307" w:lineRule="exact"/>
        <w:ind w:left="0" w:right="0" w:firstLine="0"/>
        <w:jc w:val="left"/>
        <w:rPr>
          <w:sz w:val="20"/>
          <w:szCs w:val="20"/>
        </w:rPr>
      </w:pPr>
      <w:bookmarkStart w:id="282" w:name="bookmark282"/>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年期初余额包括：公司控股股东金科控股集团有限公司（以下简称“金科控股”）通过第三方供应 商往来款的方式占用公司自有资金的本金</w:t>
      </w:r>
      <w:r>
        <w:rPr>
          <w:rFonts w:ascii="Times New Roman" w:eastAsia="Times New Roman" w:hAnsi="Times New Roman" w:cs="Times New Roman"/>
          <w:color w:val="000000"/>
          <w:spacing w:val="0"/>
          <w:w w:val="100"/>
          <w:position w:val="0"/>
          <w:sz w:val="20"/>
          <w:szCs w:val="20"/>
        </w:rPr>
        <w:t>154,860.31</w:t>
      </w:r>
      <w:r>
        <w:rPr>
          <w:color w:val="000000"/>
          <w:spacing w:val="0"/>
          <w:w w:val="100"/>
          <w:position w:val="0"/>
          <w:sz w:val="20"/>
          <w:szCs w:val="20"/>
        </w:rPr>
        <w:t>万元及截至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日应收利息</w:t>
      </w:r>
      <w:r>
        <w:rPr>
          <w:rFonts w:ascii="Times New Roman" w:eastAsia="Times New Roman" w:hAnsi="Times New Roman" w:cs="Times New Roman"/>
          <w:color w:val="000000"/>
          <w:spacing w:val="0"/>
          <w:w w:val="100"/>
          <w:position w:val="0"/>
          <w:sz w:val="20"/>
          <w:szCs w:val="20"/>
        </w:rPr>
        <w:t>6,486.99</w:t>
      </w:r>
      <w:r>
        <w:rPr>
          <w:color w:val="000000"/>
          <w:spacing w:val="0"/>
          <w:w w:val="100"/>
          <w:position w:val="0"/>
          <w:sz w:val="20"/>
          <w:szCs w:val="20"/>
        </w:rPr>
        <w:t>万元；</w:t>
      </w:r>
      <w:bookmarkEnd w:id="282"/>
    </w:p>
    <w:p>
      <w:pPr>
        <w:pStyle w:val="Style40"/>
        <w:keepNext w:val="0"/>
        <w:keepLines w:val="0"/>
        <w:widowControl w:val="0"/>
        <w:shd w:val="clear" w:color="auto" w:fill="auto"/>
        <w:bidi w:val="0"/>
        <w:spacing w:before="0" w:after="320" w:line="314" w:lineRule="exact"/>
        <w:ind w:left="0" w:right="0" w:firstLine="0"/>
        <w:jc w:val="left"/>
      </w:pPr>
      <w:bookmarkStart w:id="283" w:name="bookmark283"/>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年期初余额包括：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日，公司以同一控制下企业合并方式收购金科控股子公司万锦商 贸有限公司（以下简称</w:t>
      </w:r>
      <w:r>
        <w:rPr>
          <w:color w:val="000000"/>
          <w:spacing w:val="0"/>
          <w:w w:val="100"/>
          <w:position w:val="0"/>
        </w:rPr>
        <w:t>"</w:t>
      </w:r>
      <w:r>
        <w:rPr>
          <w:color w:val="000000"/>
          <w:spacing w:val="0"/>
          <w:w w:val="100"/>
          <w:position w:val="0"/>
        </w:rPr>
        <w:t>万锦商贸”）全部股权，故将万锦商贸纳入公司合并范围；截至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金科控股因向万锦商贸拆借资金等形成关联方非经营性资金占用本息余额</w:t>
      </w:r>
      <w:r>
        <w:rPr>
          <w:rFonts w:ascii="Times New Roman" w:eastAsia="Times New Roman" w:hAnsi="Times New Roman" w:cs="Times New Roman"/>
          <w:color w:val="000000"/>
          <w:spacing w:val="0"/>
          <w:w w:val="100"/>
          <w:position w:val="0"/>
        </w:rPr>
        <w:t>21,455.49</w:t>
      </w:r>
      <w:r>
        <w:rPr>
          <w:color w:val="000000"/>
          <w:spacing w:val="0"/>
          <w:w w:val="100"/>
          <w:position w:val="0"/>
        </w:rPr>
        <w:t>万元，导致因按照同一控制 下企业合并追溯重述的会计处理,而形成金科控股对公司之子公司万锦商贸</w:t>
      </w:r>
      <w:r>
        <w:rPr>
          <w:rFonts w:ascii="Times New Roman" w:eastAsia="Times New Roman" w:hAnsi="Times New Roman" w:cs="Times New Roman"/>
          <w:color w:val="000000"/>
          <w:spacing w:val="0"/>
          <w:w w:val="100"/>
          <w:position w:val="0"/>
        </w:rPr>
        <w:t>2020</w:t>
      </w:r>
      <w:r>
        <w:rPr>
          <w:color w:val="000000"/>
          <w:spacing w:val="0"/>
          <w:w w:val="100"/>
          <w:position w:val="0"/>
        </w:rPr>
        <w:t>年期初的非经营占用</w:t>
      </w:r>
      <w:r>
        <w:rPr>
          <w:rFonts w:ascii="Times New Roman" w:eastAsia="Times New Roman" w:hAnsi="Times New Roman" w:cs="Times New Roman"/>
          <w:color w:val="000000"/>
          <w:spacing w:val="0"/>
          <w:w w:val="100"/>
          <w:position w:val="0"/>
        </w:rPr>
        <w:t xml:space="preserve">21,455.49 </w:t>
      </w:r>
      <w:r>
        <w:rPr>
          <w:color w:val="000000"/>
          <w:spacing w:val="0"/>
          <w:w w:val="100"/>
          <w:position w:val="0"/>
        </w:rPr>
        <w:t>万元。</w:t>
      </w:r>
      <w:bookmarkEnd w:id="283"/>
    </w:p>
    <w:p>
      <w:pPr>
        <w:pStyle w:val="Style29"/>
        <w:keepNext/>
        <w:keepLines/>
        <w:widowControl w:val="0"/>
        <w:shd w:val="clear" w:color="auto" w:fill="auto"/>
        <w:tabs>
          <w:tab w:pos="480" w:val="left"/>
        </w:tabs>
        <w:bidi w:val="0"/>
        <w:spacing w:before="0" w:after="160" w:line="322"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董事会对最近一期“非标准审计报告”相关情况的说明</w:t>
      </w:r>
      <w:bookmarkEnd w:id="284"/>
      <w:bookmarkEnd w:id="285"/>
      <w:bookmarkEnd w:id="287"/>
    </w:p>
    <w:p>
      <w:pPr>
        <w:pStyle w:val="Style31"/>
        <w:keepNext w:val="0"/>
        <w:keepLines w:val="0"/>
        <w:widowControl w:val="0"/>
        <w:shd w:val="clear" w:color="auto" w:fill="auto"/>
        <w:bidi w:val="0"/>
        <w:spacing w:before="0" w:after="320" w:line="39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04" w:val="left"/>
        </w:tabs>
        <w:bidi w:val="0"/>
        <w:spacing w:before="0" w:after="160" w:line="322"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董事会、监事会、独立董事（如有）对会计师事务所本报告期“非标准审计报告”的说 明</w:t>
      </w:r>
      <w:bookmarkEnd w:id="288"/>
      <w:bookmarkEnd w:id="289"/>
      <w:bookmarkEnd w:id="291"/>
    </w:p>
    <w:p>
      <w:pPr>
        <w:pStyle w:val="Style31"/>
        <w:keepNext w:val="0"/>
        <w:keepLines w:val="0"/>
        <w:widowControl w:val="0"/>
        <w:shd w:val="clear" w:color="auto" w:fill="auto"/>
        <w:bidi w:val="0"/>
        <w:spacing w:before="0" w:after="320" w:line="39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04" w:val="left"/>
        </w:tabs>
        <w:bidi w:val="0"/>
        <w:spacing w:before="0" w:after="160" w:line="322"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董事会关于报告期会计政策、会计估计变更或重大会计差错更正的说明</w:t>
      </w:r>
      <w:bookmarkEnd w:id="292"/>
      <w:bookmarkEnd w:id="293"/>
      <w:bookmarkEnd w:id="295"/>
    </w:p>
    <w:p>
      <w:pPr>
        <w:pStyle w:val="Style31"/>
        <w:keepNext w:val="0"/>
        <w:keepLines w:val="0"/>
        <w:widowControl w:val="0"/>
        <w:shd w:val="clear" w:color="auto" w:fill="auto"/>
        <w:bidi w:val="0"/>
        <w:spacing w:before="0" w:after="0" w:line="39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日召开第四届董事会第三次会议、第四届监事会第三次会议，分别审议通过了《关 于会计政策变更的议案》，公司根据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日财政部修订并发布的《关于修订印发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号一一收入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号，以下简称“新收入准则”），并要求在境内外同时上市的企业以及 在境外上市并采用国际财务报告准则或企业会计准则编制财务报表的企业，自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 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日起施行。公司 </w:t>
      </w:r>
      <w:r>
        <w:rPr>
          <w:color w:val="000000"/>
          <w:spacing w:val="0"/>
          <w:w w:val="100"/>
          <w:position w:val="0"/>
        </w:rPr>
        <w:t>自报告期初开始施行上述新收入准则，除上述会计政策变更外，其他未变更部分，仍按照财政部前期颁布 的《企业会计准则一一基本准则》和各项具体会计准则、企业会计准则应用指南、企业会计准则解释公告 以及其他相关规定执行。</w:t>
      </w:r>
    </w:p>
    <w:p>
      <w:pPr>
        <w:pStyle w:val="Style40"/>
        <w:keepNext w:val="0"/>
        <w:keepLines w:val="0"/>
        <w:widowControl w:val="0"/>
        <w:shd w:val="clear" w:color="auto" w:fill="auto"/>
        <w:bidi w:val="0"/>
        <w:spacing w:before="0" w:after="420" w:line="470" w:lineRule="exact"/>
        <w:ind w:left="0" w:right="0" w:firstLine="460"/>
        <w:jc w:val="both"/>
      </w:pPr>
      <w:r>
        <w:rPr>
          <w:color w:val="000000"/>
          <w:spacing w:val="0"/>
          <w:w w:val="100"/>
          <w:position w:val="0"/>
        </w:rPr>
        <w:t>本次会计政策变更是公司根据财政部修订及颁布的企业会计准则进行的合理变更，符合相关法律、法 规、规范性文件、《企业会计准则一一基本准则》及《公司章程》的规定，能够更加客观公正地反映公司 财务状况和经营成果，为投资者提供更可靠、更准确的会计信息，不会对公司的财务报表产生重大影响。</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360" w:line="469" w:lineRule="exact"/>
        <w:ind w:left="0" w:right="0" w:firstLine="460"/>
        <w:jc w:val="both"/>
      </w:pPr>
      <w:r>
        <w:rPr>
          <w:color w:val="000000"/>
          <w:spacing w:val="0"/>
          <w:w w:val="100"/>
          <w:position w:val="0"/>
        </w:rPr>
        <w:t>详见本报告“第十二节财务报告”之“八、合并范围的变更”。</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w:t>
        <w:tab/>
        <w:t>聘任、解聘会计师事务所情况</w:t>
      </w:r>
      <w:bookmarkEnd w:id="300"/>
      <w:bookmarkEnd w:id="301"/>
      <w:bookmarkEnd w:id="303"/>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蔡畅、王昌功、陶凌雪</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r>
    </w:tbl>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是否改聘会计师事务所</w:t>
      </w:r>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口是"否</w:t>
      </w:r>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9"/>
        <w:keepNext/>
        <w:keepLines/>
        <w:widowControl w:val="0"/>
        <w:shd w:val="clear" w:color="auto" w:fill="auto"/>
        <w:bidi w:val="0"/>
        <w:spacing w:before="0" w:after="22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九</w:t>
      </w:r>
      <w:bookmarkEnd w:id="306"/>
      <w:r>
        <w:rPr>
          <w:color w:val="000000"/>
          <w:spacing w:val="0"/>
          <w:w w:val="100"/>
          <w:position w:val="0"/>
          <w:sz w:val="24"/>
          <w:szCs w:val="24"/>
        </w:rPr>
        <w:t>、年度报告披露后面临退市情况</w:t>
      </w:r>
      <w:bookmarkEnd w:id="304"/>
      <w:bookmarkEnd w:id="305"/>
      <w:bookmarkEnd w:id="307"/>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十、破产重整相关事项</w:t>
      </w:r>
      <w:bookmarkEnd w:id="308"/>
      <w:bookmarkEnd w:id="309"/>
      <w:bookmarkEnd w:id="310"/>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十一、重大诉讼、仲裁事项</w:t>
      </w:r>
      <w:bookmarkEnd w:id="311"/>
      <w:bookmarkEnd w:id="312"/>
      <w:bookmarkEnd w:id="313"/>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59"/>
        <w:gridCol w:w="1085"/>
        <w:gridCol w:w="1262"/>
        <w:gridCol w:w="955"/>
        <w:gridCol w:w="1392"/>
        <w:gridCol w:w="1267"/>
        <w:gridCol w:w="1080"/>
        <w:gridCol w:w="108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涉案金额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是否形成预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bl>
    <w:p>
      <w:pPr>
        <w:widowControl w:val="0"/>
        <w:spacing w:line="1" w:lineRule="exact"/>
      </w:pPr>
      <w:r>
        <w:br w:type="page"/>
      </w:r>
    </w:p>
    <w:tbl>
      <w:tblPr>
        <w:tblOverlap w:val="never"/>
        <w:jc w:val="center"/>
        <w:tblLayout w:type="fixed"/>
      </w:tblPr>
      <w:tblGrid>
        <w:gridCol w:w="1459"/>
        <w:gridCol w:w="1085"/>
        <w:gridCol w:w="1262"/>
        <w:gridCol w:w="955"/>
        <w:gridCol w:w="1392"/>
        <w:gridCol w:w="1267"/>
        <w:gridCol w:w="1080"/>
        <w:gridCol w:w="108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决执行情况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未达到重大诉 讼披露标准的 其他诉讼（仲 裁）案件汇总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公司严格 按照审理 进度正常 推进各案 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公司严格按照 诉讼（仲裁）审 理结果执行。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公司严格按 照诉讼（仲 裁）审理结果 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十二、处罚及整改情况</w:t>
      </w:r>
      <w:bookmarkEnd w:id="314"/>
      <w:bookmarkEnd w:id="315"/>
      <w:bookmarkEnd w:id="316"/>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78"/>
        <w:gridCol w:w="1363"/>
        <w:gridCol w:w="1368"/>
        <w:gridCol w:w="1368"/>
        <w:gridCol w:w="1363"/>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披露索引</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浙江金科文化 产业股份有限 公司、王健、 魏洪涛、秦海 娟、张维璋、 金科控股集团 有限公司、朱 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年至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月，公司 存在控股股东 及其关联方非 经营性占用公 司资金情况。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被有权机关调 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被浙江证监局 出具警示函的 监督管理措 施，并记入证 券期货市场诚 信档案。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sz w:val="18"/>
                <w:szCs w:val="18"/>
              </w:rPr>
              <w:t>）</w:t>
            </w:r>
            <w:r>
              <w:rPr>
                <w:color w:val="000000"/>
                <w:spacing w:val="0"/>
                <w:w w:val="100"/>
                <w:position w:val="0"/>
                <w:sz w:val="18"/>
                <w:szCs w:val="18"/>
              </w:rPr>
              <w:t>《关于 收到浙江证监 局</w:t>
            </w:r>
            <w:r>
              <w:rPr>
                <w:color w:val="000000"/>
                <w:spacing w:val="0"/>
                <w:w w:val="100"/>
                <w:position w:val="0"/>
                <w:sz w:val="18"/>
                <w:szCs w:val="18"/>
              </w:rPr>
              <w:t>〈</w:t>
            </w:r>
            <w:r>
              <w:rPr>
                <w:color w:val="000000"/>
                <w:spacing w:val="0"/>
                <w:w w:val="100"/>
                <w:position w:val="0"/>
                <w:sz w:val="18"/>
                <w:szCs w:val="18"/>
              </w:rPr>
              <w:t>行政监管 措施决定书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 xml:space="preserve">的公告》（公告 编号： </w:t>
            </w:r>
            <w:r>
              <w:rPr>
                <w:rFonts w:ascii="Times New Roman" w:eastAsia="Times New Roman" w:hAnsi="Times New Roman" w:cs="Times New Roman"/>
                <w:color w:val="000000"/>
                <w:spacing w:val="0"/>
                <w:w w:val="100"/>
                <w:position w:val="0"/>
                <w:sz w:val="18"/>
                <w:szCs w:val="18"/>
              </w:rPr>
              <w:t>2020-116</w:t>
            </w:r>
            <w:r>
              <w:rPr>
                <w:color w:val="000000"/>
                <w:spacing w:val="0"/>
                <w:w w:val="100"/>
                <w:position w:val="0"/>
                <w:sz w:val="18"/>
                <w:szCs w:val="18"/>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日，王健先生 因强制平仓以 集中竞价方式 减持，属于违 规减持行为。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被深圳证券交 易所给予通报 批评的处分。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31" w:lineRule="exact"/>
              <w:ind w:left="0" w:right="0" w:firstLine="0"/>
              <w:jc w:val="left"/>
              <w:rPr>
                <w:sz w:val="18"/>
                <w:szCs w:val="18"/>
              </w:rPr>
            </w:pPr>
            <w:r>
              <w:rPr>
                <w:color w:val="000000"/>
                <w:spacing w:val="0"/>
                <w:w w:val="100"/>
                <w:position w:val="0"/>
                <w:sz w:val="18"/>
                <w:szCs w:val="18"/>
              </w:rPr>
              <w:t>深圳证券交易 所官网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www.szse.cn</w:t>
            </w:r>
          </w:p>
          <w:p>
            <w:pPr>
              <w:pStyle w:val="Style2"/>
              <w:keepNext w:val="0"/>
              <w:keepLines w:val="0"/>
              <w:widowControl w:val="0"/>
              <w:shd w:val="clear" w:color="auto" w:fill="auto"/>
              <w:bidi w:val="0"/>
              <w:spacing w:before="0" w:after="80" w:line="331" w:lineRule="exact"/>
              <w:ind w:left="0" w:right="0" w:firstLine="0"/>
              <w:jc w:val="left"/>
              <w:rPr>
                <w:sz w:val="18"/>
                <w:szCs w:val="18"/>
              </w:rPr>
            </w:pPr>
            <w:r>
              <w:rPr>
                <w:color w:val="000000"/>
                <w:spacing w:val="0"/>
                <w:w w:val="100"/>
                <w:position w:val="0"/>
                <w:sz w:val="18"/>
                <w:szCs w:val="18"/>
              </w:rPr>
              <w:t>）</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王健先生因</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月期 间减持公司股 票涉嫌内幕交 易，被中国证 监会立案调 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被中国证监会 立案调查或行 政处罚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尚无调查结 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sz w:val="18"/>
                <w:szCs w:val="18"/>
              </w:rPr>
              <w:t>）</w:t>
            </w:r>
            <w:r>
              <w:rPr>
                <w:color w:val="000000"/>
                <w:spacing w:val="0"/>
                <w:w w:val="100"/>
                <w:position w:val="0"/>
                <w:sz w:val="18"/>
                <w:szCs w:val="18"/>
              </w:rPr>
              <w:t>《关于 王健先生收到 调查通知书的 公告》（公告编 号：</w:t>
            </w:r>
            <w:r>
              <w:rPr>
                <w:rFonts w:ascii="Times New Roman" w:eastAsia="Times New Roman" w:hAnsi="Times New Roman" w:cs="Times New Roman"/>
                <w:color w:val="000000"/>
                <w:spacing w:val="0"/>
                <w:w w:val="100"/>
                <w:position w:val="0"/>
                <w:sz w:val="18"/>
                <w:szCs w:val="18"/>
              </w:rPr>
              <w:t>2020-141</w:t>
            </w:r>
            <w:r>
              <w:rPr>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整改情况说明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日，浙江证监局向公司下发《关于对浙江金科文化产业股份有限公司及相关人员采取出 具警示函措施的决定》〔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82</w:t>
      </w:r>
      <w:r>
        <w:rPr>
          <w:color w:val="000000"/>
          <w:spacing w:val="0"/>
          <w:w w:val="100"/>
          <w:position w:val="0"/>
        </w:rPr>
        <w:t>号），决定对公司采取出具警示函的监管措施，并记入证券期货市场诚 信档案。要求公司应充分吸取教训，全面提高合规意识，采取切实有效措施杜绝此类违规行为再次发生， 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日前向其提交书面整改报告。</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月，公司存在控股股东及其关联方未经 </w:t>
      </w:r>
      <w:r>
        <w:rPr>
          <w:color w:val="000000"/>
          <w:spacing w:val="0"/>
          <w:w w:val="100"/>
          <w:position w:val="0"/>
        </w:rPr>
        <w:t>审议程序违规占用上市公司资金。自公司自查发现控股股东违规占用上市公司资金事项后，控股股东于第 一时间出具了归还占用资金的承诺；为保障上市公司及全体股东的合法权益，公司持续保持与控股股东的 密切沟通、联系，及时、充分了解其归还资金的进展情况并及时对外披露，督促其尽早实施还款计划。截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日，控股股东已向上市公司归还全部资金占用款项及其利息。根据浙江证监局的要求，公司 按期进行了整改并采取了如下整改措施：</w:t>
      </w:r>
    </w:p>
    <w:p>
      <w:pPr>
        <w:pStyle w:val="Style40"/>
        <w:keepNext w:val="0"/>
        <w:keepLines w:val="0"/>
        <w:widowControl w:val="0"/>
        <w:shd w:val="clear" w:color="auto" w:fill="auto"/>
        <w:tabs>
          <w:tab w:pos="1020" w:val="left"/>
        </w:tabs>
        <w:bidi w:val="0"/>
        <w:spacing w:before="0" w:after="0" w:line="469" w:lineRule="exact"/>
        <w:ind w:left="0" w:right="0" w:firstLine="440"/>
        <w:jc w:val="left"/>
      </w:pPr>
      <w:bookmarkStart w:id="317" w:name="bookmark317"/>
      <w:r>
        <w:rPr>
          <w:color w:val="000000"/>
          <w:spacing w:val="0"/>
          <w:w w:val="100"/>
          <w:position w:val="0"/>
        </w:rPr>
        <w:t>（</w:t>
      </w:r>
      <w:bookmarkEnd w:id="317"/>
      <w:r>
        <w:rPr>
          <w:color w:val="000000"/>
          <w:spacing w:val="0"/>
          <w:w w:val="100"/>
          <w:position w:val="0"/>
        </w:rPr>
        <w:t>一）</w:t>
        <w:tab/>
        <w:t>清理全部资金占用情形</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经公司严格自查并与控股股东确认，公司已清理完成与控股股东及其关联方的全部资金占用情形。</w:t>
      </w:r>
    </w:p>
    <w:p>
      <w:pPr>
        <w:pStyle w:val="Style40"/>
        <w:keepNext w:val="0"/>
        <w:keepLines w:val="0"/>
        <w:widowControl w:val="0"/>
        <w:shd w:val="clear" w:color="auto" w:fill="auto"/>
        <w:tabs>
          <w:tab w:pos="1020" w:val="left"/>
        </w:tabs>
        <w:bidi w:val="0"/>
        <w:spacing w:before="0" w:after="0" w:line="469" w:lineRule="exact"/>
        <w:ind w:left="0" w:right="0" w:firstLine="440"/>
        <w:jc w:val="left"/>
      </w:pPr>
      <w:bookmarkStart w:id="318" w:name="bookmark318"/>
      <w:r>
        <w:rPr>
          <w:color w:val="000000"/>
          <w:spacing w:val="0"/>
          <w:w w:val="100"/>
          <w:position w:val="0"/>
        </w:rPr>
        <w:t>（</w:t>
      </w:r>
      <w:bookmarkEnd w:id="318"/>
      <w:r>
        <w:rPr>
          <w:color w:val="000000"/>
          <w:spacing w:val="0"/>
          <w:w w:val="100"/>
          <w:position w:val="0"/>
        </w:rPr>
        <w:t>二）</w:t>
        <w:tab/>
        <w:t>全面提升公司治理水平</w:t>
      </w:r>
    </w:p>
    <w:p>
      <w:pPr>
        <w:pStyle w:val="Style4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上市公司将严格按照《深圳证券交易所创业板股票上市规则》、《深圳证券交易所创业板上市公司规范 运作指引》等规则的要求，进一步健全以股东大会、董事会、监事会和管理层为主体的公司治理组织架构, 全面提升公司治理水平，切实维护公司和全体股东的合法权益。</w:t>
      </w:r>
    </w:p>
    <w:p>
      <w:pPr>
        <w:pStyle w:val="Style40"/>
        <w:keepNext w:val="0"/>
        <w:keepLines w:val="0"/>
        <w:widowControl w:val="0"/>
        <w:shd w:val="clear" w:color="auto" w:fill="auto"/>
        <w:tabs>
          <w:tab w:pos="790" w:val="left"/>
        </w:tabs>
        <w:bidi w:val="0"/>
        <w:spacing w:before="0" w:after="0"/>
        <w:ind w:left="0" w:right="0" w:firstLine="440"/>
        <w:jc w:val="both"/>
      </w:pPr>
      <w:bookmarkStart w:id="319" w:name="bookmark319"/>
      <w:r>
        <w:rPr>
          <w:rFonts w:ascii="Times New Roman" w:eastAsia="Times New Roman" w:hAnsi="Times New Roman" w:cs="Times New Roman"/>
          <w:color w:val="000000"/>
          <w:spacing w:val="0"/>
          <w:w w:val="100"/>
          <w:position w:val="0"/>
        </w:rPr>
        <w:t>1</w:t>
      </w:r>
      <w:bookmarkEnd w:id="319"/>
      <w:r>
        <w:rPr>
          <w:color w:val="000000"/>
          <w:spacing w:val="0"/>
          <w:w w:val="100"/>
          <w:position w:val="0"/>
        </w:rPr>
        <w:t>、</w:t>
        <w:tab/>
        <w:t>完善关联交易、资金往来决策程序，强化内控制度的执行</w:t>
      </w:r>
    </w:p>
    <w:p>
      <w:pPr>
        <w:pStyle w:val="Style40"/>
        <w:keepNext w:val="0"/>
        <w:keepLines w:val="0"/>
        <w:widowControl w:val="0"/>
        <w:shd w:val="clear" w:color="auto" w:fill="auto"/>
        <w:tabs>
          <w:tab w:pos="1008" w:val="left"/>
        </w:tabs>
        <w:bidi w:val="0"/>
        <w:spacing w:before="0" w:after="0" w:line="469" w:lineRule="exact"/>
        <w:ind w:left="0" w:right="0" w:firstLine="440"/>
        <w:jc w:val="left"/>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rPr>
        <w:t>1</w:t>
      </w:r>
      <w:r>
        <w:rPr>
          <w:color w:val="000000"/>
          <w:spacing w:val="0"/>
          <w:w w:val="100"/>
          <w:position w:val="0"/>
        </w:rPr>
        <w:t>）</w:t>
        <w:tab/>
        <w:t>上市公司财务部门已逐步推进完善财务管理体系，认真梳理资金付款制度，特别是统筹上市公 司所有运营资金的全局观、计划性；完善关联交易的决策流程与对外资金支付的审批流程；完善上市公司 及子公司的资金使用审批程序，明确责任，加强内部风险管理。上市公司内审部门也将切实按照规定履行 内部审计职责，定期检查对货币资金的内控制度执行的有效性，切实防范关联方资金占用行为的再次发生, 保证上市公司的规范运作。</w:t>
      </w:r>
    </w:p>
    <w:p>
      <w:pPr>
        <w:pStyle w:val="Style40"/>
        <w:keepNext w:val="0"/>
        <w:keepLines w:val="0"/>
        <w:widowControl w:val="0"/>
        <w:shd w:val="clear" w:color="auto" w:fill="auto"/>
        <w:tabs>
          <w:tab w:pos="1008" w:val="left"/>
        </w:tabs>
        <w:bidi w:val="0"/>
        <w:spacing w:before="0" w:after="0" w:line="469" w:lineRule="exact"/>
        <w:ind w:left="0" w:right="0" w:firstLine="440"/>
        <w:jc w:val="left"/>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rPr>
        <w:t>2</w:t>
      </w:r>
      <w:r>
        <w:rPr>
          <w:color w:val="000000"/>
          <w:spacing w:val="0"/>
          <w:w w:val="100"/>
          <w:position w:val="0"/>
        </w:rPr>
        <w:t>）</w:t>
        <w:tab/>
        <w:t>上市公司将进一步加强对子公司的管理和监督，特别是加强对子公司的财务管控，对于各越权 及违规行为等重大事项须及时汇报公司管理层以及财务部门、法务部门和内审部门等相关部门。</w:t>
      </w:r>
    </w:p>
    <w:p>
      <w:pPr>
        <w:pStyle w:val="Style40"/>
        <w:keepNext w:val="0"/>
        <w:keepLines w:val="0"/>
        <w:widowControl w:val="0"/>
        <w:shd w:val="clear" w:color="auto" w:fill="auto"/>
        <w:tabs>
          <w:tab w:pos="1008" w:val="left"/>
        </w:tabs>
        <w:bidi w:val="0"/>
        <w:spacing w:before="0" w:after="200" w:line="469" w:lineRule="exact"/>
        <w:ind w:left="0" w:right="0" w:firstLine="44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3</w:t>
      </w:r>
      <w:r>
        <w:rPr>
          <w:color w:val="000000"/>
          <w:spacing w:val="0"/>
          <w:w w:val="100"/>
          <w:position w:val="0"/>
        </w:rPr>
        <w:t>）</w:t>
        <w:tab/>
        <w:t>上市公司将以推进公司内控制度建设为契机，强化集团化管控，推进上市公司及子公司的内控 体系建设，进一步完善上市公司的内部控制体系。</w:t>
      </w:r>
    </w:p>
    <w:p>
      <w:pPr>
        <w:pStyle w:val="Style40"/>
        <w:keepNext w:val="0"/>
        <w:keepLines w:val="0"/>
        <w:widowControl w:val="0"/>
        <w:shd w:val="clear" w:color="auto" w:fill="auto"/>
        <w:tabs>
          <w:tab w:pos="809" w:val="left"/>
        </w:tabs>
        <w:bidi w:val="0"/>
        <w:spacing w:before="0" w:after="0"/>
        <w:ind w:left="0" w:right="0" w:firstLine="440"/>
        <w:jc w:val="left"/>
      </w:pPr>
      <w:bookmarkStart w:id="323" w:name="bookmark323"/>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加强财务管理，规范会计核算，确保财务报告真实、准确、完整</w:t>
      </w:r>
    </w:p>
    <w:p>
      <w:pPr>
        <w:pStyle w:val="Style40"/>
        <w:keepNext w:val="0"/>
        <w:keepLines w:val="0"/>
        <w:widowControl w:val="0"/>
        <w:shd w:val="clear" w:color="auto" w:fill="auto"/>
        <w:tabs>
          <w:tab w:pos="1012" w:val="left"/>
        </w:tabs>
        <w:bidi w:val="0"/>
        <w:spacing w:before="0" w:after="0" w:line="469" w:lineRule="exact"/>
        <w:ind w:left="0" w:right="0" w:firstLine="44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1</w:t>
      </w:r>
      <w:r>
        <w:rPr>
          <w:color w:val="000000"/>
          <w:spacing w:val="0"/>
          <w:w w:val="100"/>
          <w:position w:val="0"/>
        </w:rPr>
        <w:t>）</w:t>
        <w:tab/>
        <w:t>上市公司财务部门和内部审计部门将认真学习《公开发行证券的公司信息披露编报规则第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年修订）》、《企业会计准则》等相关规定，加强提升财务整体管理素质， 规范财务会计核算，并将在今后的定期报告、财务报告编制工作中加强审核。</w:t>
      </w:r>
    </w:p>
    <w:p>
      <w:pPr>
        <w:pStyle w:val="Style40"/>
        <w:keepNext w:val="0"/>
        <w:keepLines w:val="0"/>
        <w:widowControl w:val="0"/>
        <w:shd w:val="clear" w:color="auto" w:fill="auto"/>
        <w:tabs>
          <w:tab w:pos="1008" w:val="left"/>
        </w:tabs>
        <w:bidi w:val="0"/>
        <w:spacing w:before="0" w:after="0" w:line="469" w:lineRule="exact"/>
        <w:ind w:left="0" w:right="0" w:firstLine="44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2</w:t>
      </w:r>
      <w:r>
        <w:rPr>
          <w:color w:val="000000"/>
          <w:spacing w:val="0"/>
          <w:w w:val="100"/>
          <w:position w:val="0"/>
        </w:rPr>
        <w:t>）</w:t>
        <w:tab/>
        <w:t>上市公司将联合年审会计师事务所对关联方占用公司资金情况进行定期梳理和认真分析，坚决 杜绝上述问题的再次发生。</w:t>
      </w:r>
    </w:p>
    <w:p>
      <w:pPr>
        <w:pStyle w:val="Style40"/>
        <w:keepNext w:val="0"/>
        <w:keepLines w:val="0"/>
        <w:widowControl w:val="0"/>
        <w:shd w:val="clear" w:color="auto" w:fill="auto"/>
        <w:tabs>
          <w:tab w:pos="984" w:val="left"/>
        </w:tabs>
        <w:bidi w:val="0"/>
        <w:spacing w:before="0" w:after="0" w:line="469" w:lineRule="exact"/>
        <w:ind w:left="0" w:right="0" w:firstLine="44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3</w:t>
      </w:r>
      <w:r>
        <w:rPr>
          <w:color w:val="000000"/>
          <w:spacing w:val="0"/>
          <w:w w:val="100"/>
          <w:position w:val="0"/>
        </w:rPr>
        <w:t>）</w:t>
        <w:tab/>
        <w:t>上市公司相关部门要切实落实信息传递沟通机制，重要事项要确保事先报告董事会、监事会， 以保证公司能及时、准确、完整地披露公司情况。</w:t>
      </w:r>
    </w:p>
    <w:p>
      <w:pPr>
        <w:pStyle w:val="Style40"/>
        <w:keepNext w:val="0"/>
        <w:keepLines w:val="0"/>
        <w:widowControl w:val="0"/>
        <w:shd w:val="clear" w:color="auto" w:fill="auto"/>
        <w:tabs>
          <w:tab w:pos="1020" w:val="left"/>
        </w:tabs>
        <w:bidi w:val="0"/>
        <w:spacing w:before="0" w:after="100" w:line="469" w:lineRule="exact"/>
        <w:ind w:left="0" w:right="0" w:firstLine="440"/>
        <w:jc w:val="left"/>
      </w:pPr>
      <w:bookmarkStart w:id="327" w:name="bookmark327"/>
      <w:r>
        <w:rPr>
          <w:color w:val="000000"/>
          <w:spacing w:val="0"/>
          <w:w w:val="100"/>
          <w:position w:val="0"/>
        </w:rPr>
        <w:t>（</w:t>
      </w:r>
      <w:bookmarkEnd w:id="327"/>
      <w:r>
        <w:rPr>
          <w:color w:val="000000"/>
          <w:spacing w:val="0"/>
          <w:w w:val="100"/>
          <w:position w:val="0"/>
        </w:rPr>
        <w:t>三）</w:t>
        <w:tab/>
        <w:t>优化信息披露内部管理流程，及时、准确履行信息披露义务，切实提高信息披露质量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上市公司将通过各种形式每年不少于两次组织相关部门与人员认真学习《上市公司信息披露管理办 法》、《深圳证券交易所创业板股票上市规则》、《深圳证券交易所创业板上市公司规范运作指引》等规则， 全面要求上市公司各部门及各子公司落实公司三会各项制度及《信息披露管理制度》、《重大信息报告制度》 等内部管理制度，加强并优化公司信息披露内部管理流程，同时把制度的执行情况纳入部门与相关责任人 的年终考核范围，力图通过各种方式方法进一步提高公司信息披露工作的质量。</w:t>
      </w:r>
    </w:p>
    <w:p>
      <w:pPr>
        <w:pStyle w:val="Style40"/>
        <w:keepNext w:val="0"/>
        <w:keepLines w:val="0"/>
        <w:widowControl w:val="0"/>
        <w:shd w:val="clear" w:color="auto" w:fill="auto"/>
        <w:bidi w:val="0"/>
        <w:spacing w:before="0" w:after="0" w:line="469" w:lineRule="exact"/>
        <w:ind w:left="0" w:right="0" w:firstLine="440"/>
        <w:jc w:val="both"/>
      </w:pPr>
      <w:bookmarkStart w:id="328" w:name="bookmark328"/>
      <w:r>
        <w:rPr>
          <w:color w:val="000000"/>
          <w:spacing w:val="0"/>
          <w:w w:val="100"/>
          <w:position w:val="0"/>
        </w:rPr>
        <w:t>（</w:t>
      </w:r>
      <w:bookmarkEnd w:id="328"/>
      <w:r>
        <w:rPr>
          <w:color w:val="000000"/>
          <w:spacing w:val="0"/>
          <w:w w:val="100"/>
          <w:position w:val="0"/>
        </w:rPr>
        <w:t>四）加强信息披露法律法规和会计准则的学习，强化诚信规范意识，提高公司规范运作水平</w:t>
      </w:r>
    </w:p>
    <w:p>
      <w:pPr>
        <w:pStyle w:val="Style40"/>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上市公司证券部将组织董事、监事、高级管理人员、子公司负责人及相关人员进一步学习包括《中华 人民共和国公司法》、《中华人民共和国证券法》、《上市公司信息披露管理办法》、《深圳证券交易所创业板 股票上市规则》、《深圳证券交易所创业板上市公司规范运作指引》等在内的法律法规以及相关《企业会计 准则》，强化公司及下属控股子公司信息披露责任意识，加强对关联交易审批程序和信息披露的相关规定 的认识，提高对关联交易事项敏感性。今后还将定期不定期开展证券法律法规、信息披露、规范运作等相 关知识培训。</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20"/>
        <w:gridCol w:w="4008"/>
        <w:gridCol w:w="1157"/>
        <w:gridCol w:w="1176"/>
        <w:gridCol w:w="132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董事、监事、高级管 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 的股东名称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违规买卖公司股票的具体情况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涉嫌违规所 得收益收回 的时间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涉嫌违规所 得收益收回 的金额（元）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董事会采取的 问责措施</w:t>
            </w:r>
          </w:p>
        </w:tc>
      </w:tr>
      <w:tr>
        <w:trPr>
          <w:trHeight w:val="38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、王健先生在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 xml:space="preserve">日期间，因强制平 仓以集中竞价方式分别减持金科文化股票 </w:t>
            </w:r>
            <w:r>
              <w:rPr>
                <w:rFonts w:ascii="Times New Roman" w:eastAsia="Times New Roman" w:hAnsi="Times New Roman" w:cs="Times New Roman"/>
                <w:color w:val="000000"/>
                <w:spacing w:val="0"/>
                <w:w w:val="100"/>
                <w:position w:val="0"/>
                <w:sz w:val="18"/>
                <w:szCs w:val="18"/>
              </w:rPr>
              <w:t>17,378,354</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5,155,951</w:t>
            </w:r>
            <w:r>
              <w:rPr>
                <w:color w:val="000000"/>
                <w:spacing w:val="0"/>
                <w:w w:val="100"/>
                <w:position w:val="0"/>
                <w:sz w:val="18"/>
                <w:szCs w:val="18"/>
              </w:rPr>
              <w:t>股，占公司总股本的比 例分别为</w:t>
            </w:r>
            <w:r>
              <w:rPr>
                <w:rFonts w:ascii="Times New Roman" w:eastAsia="Times New Roman" w:hAnsi="Times New Roman" w:cs="Times New Roman"/>
                <w:color w:val="000000"/>
                <w:spacing w:val="0"/>
                <w:w w:val="100"/>
                <w:position w:val="0"/>
                <w:sz w:val="18"/>
                <w:szCs w:val="18"/>
              </w:rPr>
              <w:t>0.49%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color w:val="000000"/>
                <w:spacing w:val="0"/>
                <w:w w:val="100"/>
                <w:position w:val="0"/>
                <w:sz w:val="18"/>
                <w:szCs w:val="18"/>
              </w:rPr>
              <w:t>，涉及金额合计约</w:t>
            </w:r>
            <w:r>
              <w:rPr>
                <w:rFonts w:ascii="Times New Roman" w:eastAsia="Times New Roman" w:hAnsi="Times New Roman" w:cs="Times New Roman"/>
                <w:color w:val="000000"/>
                <w:spacing w:val="0"/>
                <w:w w:val="100"/>
                <w:position w:val="0"/>
                <w:sz w:val="18"/>
                <w:szCs w:val="18"/>
              </w:rPr>
              <w:t xml:space="preserve">5,799 </w:t>
            </w:r>
            <w:r>
              <w:rPr>
                <w:color w:val="000000"/>
                <w:spacing w:val="0"/>
                <w:w w:val="100"/>
                <w:position w:val="0"/>
                <w:sz w:val="18"/>
                <w:szCs w:val="18"/>
              </w:rPr>
              <w:t>万元。上述减持行为发生在公司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年半年度报 告、第三季度报告披露前三十日内，构成敏感期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日，王健先生因强制平 仓以集中竞价方式减持金科文化股票</w:t>
            </w:r>
            <w:r>
              <w:rPr>
                <w:rFonts w:ascii="Times New Roman" w:eastAsia="Times New Roman" w:hAnsi="Times New Roman" w:cs="Times New Roman"/>
                <w:color w:val="000000"/>
                <w:spacing w:val="0"/>
                <w:w w:val="100"/>
                <w:position w:val="0"/>
                <w:sz w:val="18"/>
                <w:szCs w:val="18"/>
              </w:rPr>
              <w:t>1,124.13</w:t>
            </w:r>
            <w:r>
              <w:rPr>
                <w:color w:val="000000"/>
                <w:spacing w:val="0"/>
                <w:w w:val="100"/>
                <w:position w:val="0"/>
                <w:sz w:val="18"/>
                <w:szCs w:val="18"/>
              </w:rPr>
              <w:t>万 股，占金科文化总股本的比例为</w:t>
            </w:r>
            <w:r>
              <w:rPr>
                <w:rFonts w:ascii="Times New Roman" w:eastAsia="Times New Roman" w:hAnsi="Times New Roman" w:cs="Times New Roman"/>
                <w:color w:val="000000"/>
                <w:spacing w:val="0"/>
                <w:w w:val="100"/>
                <w:position w:val="0"/>
                <w:sz w:val="18"/>
                <w:szCs w:val="18"/>
              </w:rPr>
              <w:t>0.32%</w:t>
            </w:r>
            <w:r>
              <w:rPr>
                <w:color w:val="000000"/>
                <w:spacing w:val="0"/>
                <w:w w:val="100"/>
                <w:position w:val="0"/>
                <w:sz w:val="18"/>
                <w:szCs w:val="18"/>
              </w:rPr>
              <w:t>，涉及金 额为</w:t>
            </w:r>
            <w:r>
              <w:rPr>
                <w:rFonts w:ascii="Times New Roman" w:eastAsia="Times New Roman" w:hAnsi="Times New Roman" w:cs="Times New Roman"/>
                <w:color w:val="000000"/>
                <w:spacing w:val="0"/>
                <w:w w:val="100"/>
                <w:position w:val="0"/>
                <w:sz w:val="18"/>
                <w:szCs w:val="18"/>
              </w:rPr>
              <w:t>4,823</w:t>
            </w:r>
            <w:r>
              <w:rPr>
                <w:color w:val="000000"/>
                <w:spacing w:val="0"/>
                <w:w w:val="100"/>
                <w:position w:val="0"/>
                <w:sz w:val="18"/>
                <w:szCs w:val="18"/>
              </w:rPr>
              <w:t xml:space="preserve">万元，上述减持行为发生在金科文化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年业绩快报披露前十日内。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督促当事人加 强法律法规学 习，及时履行 告知及信息披 露义务，督促 其加强与质权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债权人沟 通协商工作， 避免再次出现 该类情况。</w:t>
            </w:r>
          </w:p>
        </w:tc>
      </w:tr>
    </w:tbl>
    <w:p>
      <w:pPr>
        <w:widowControl w:val="0"/>
        <w:spacing w:after="299" w:line="1" w:lineRule="exact"/>
      </w:pPr>
    </w:p>
    <w:p>
      <w:pPr>
        <w:pStyle w:val="Style29"/>
        <w:keepNext/>
        <w:keepLines/>
        <w:widowControl w:val="0"/>
        <w:shd w:val="clear" w:color="auto" w:fill="auto"/>
        <w:bidi w:val="0"/>
        <w:spacing w:before="0" w:after="10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十三、公司及其控股股东、实际控制人的诚信状况</w:t>
      </w:r>
      <w:bookmarkEnd w:id="329"/>
      <w:bookmarkEnd w:id="330"/>
      <w:bookmarkEnd w:id="331"/>
    </w:p>
    <w:p>
      <w:pPr>
        <w:pStyle w:val="Style31"/>
        <w:keepNext w:val="0"/>
        <w:keepLines w:val="0"/>
        <w:widowControl w:val="0"/>
        <w:shd w:val="clear" w:color="auto" w:fill="auto"/>
        <w:bidi w:val="0"/>
        <w:spacing w:before="0" w:after="0" w:line="47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截至本报告期末，公司及公司控股股东、实际控制人诚信状况良好，不存在未履行法院生效判决、所 负数额较大的债务到期未清偿等情况。</w:t>
      </w:r>
      <w:r>
        <w:br w:type="page"/>
      </w:r>
    </w:p>
    <w:p>
      <w:pPr>
        <w:pStyle w:val="Style29"/>
        <w:keepNext/>
        <w:keepLines/>
        <w:widowControl w:val="0"/>
        <w:shd w:val="clear" w:color="auto" w:fill="auto"/>
        <w:bidi w:val="0"/>
        <w:spacing w:before="0" w:after="34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十四、公司股权激励计划、员工持股计划或其他员工激励措施的实施情况</w:t>
      </w:r>
      <w:bookmarkEnd w:id="332"/>
      <w:bookmarkEnd w:id="333"/>
      <w:bookmarkEnd w:id="334"/>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4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十五、重大关联交易</w:t>
      </w:r>
      <w:bookmarkEnd w:id="335"/>
      <w:bookmarkEnd w:id="336"/>
      <w:bookmarkEnd w:id="337"/>
    </w:p>
    <w:p>
      <w:pPr>
        <w:pStyle w:val="Style36"/>
        <w:keepNext/>
        <w:keepLines/>
        <w:widowControl w:val="0"/>
        <w:shd w:val="clear" w:color="auto" w:fill="auto"/>
        <w:bidi w:val="0"/>
        <w:spacing w:before="0" w:after="34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、与日常经营相关的关联交易</w:t>
      </w:r>
      <w:bookmarkEnd w:id="338"/>
      <w:bookmarkEnd w:id="339"/>
      <w:bookmarkEnd w:id="34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公司报告期内与关联方发生的日常经营相关的关联交易情况详见本报告“第十二节财务报告”之“十 二关联方及关联交易、</w:t>
      </w:r>
    </w:p>
    <w:p>
      <w:pPr>
        <w:pStyle w:val="Style36"/>
        <w:keepNext/>
        <w:keepLines/>
        <w:widowControl w:val="0"/>
        <w:shd w:val="clear" w:color="auto" w:fill="auto"/>
        <w:bidi w:val="0"/>
        <w:spacing w:before="0" w:after="120" w:line="492"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、资产或股权收购、出售发生的关联交易</w:t>
      </w:r>
      <w:bookmarkEnd w:id="342"/>
      <w:bookmarkEnd w:id="343"/>
      <w:bookmarkEnd w:id="345"/>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line="1" w:lineRule="exact"/>
      </w:pPr>
      <w:r>
        <mc:AlternateContent>
          <mc:Choice Requires="wps">
            <w:drawing>
              <wp:anchor distT="0" distB="0" distL="0" distR="0" simplePos="0" relativeHeight="125829405" behindDoc="0" locked="0" layoutInCell="1" allowOverlap="1">
                <wp:simplePos x="0" y="0"/>
                <wp:positionH relativeFrom="page">
                  <wp:posOffset>716915</wp:posOffset>
                </wp:positionH>
                <wp:positionV relativeFrom="paragraph">
                  <wp:posOffset>0</wp:posOffset>
                </wp:positionV>
                <wp:extent cx="3051175" cy="5300345"/>
                <wp:wrapTopAndBottom/>
                <wp:docPr id="58" name="Shape 58"/>
                <a:graphic xmlns:a="http://schemas.openxmlformats.org/drawingml/2006/main">
                  <a:graphicData uri="http://schemas.microsoft.com/office/word/2010/wordprocessingShape">
                    <wps:wsp>
                      <wps:cNvSpPr txBox="1"/>
                      <wps:spPr>
                        <a:xfrm>
                          <a:ext cx="3051175" cy="5300345"/>
                        </a:xfrm>
                        <a:prstGeom prst="rect"/>
                        <a:noFill/>
                      </wps:spPr>
                      <wps:txbx>
                        <w:txbxContent>
                          <w:tbl>
                            <w:tblPr>
                              <w:tblOverlap w:val="never"/>
                              <w:jc w:val="left"/>
                              <w:tblLayout w:type="fixed"/>
                            </w:tblPr>
                            <w:tblGrid>
                              <w:gridCol w:w="854"/>
                              <w:gridCol w:w="754"/>
                              <w:gridCol w:w="797"/>
                              <w:gridCol w:w="802"/>
                              <w:gridCol w:w="797"/>
                              <w:gridCol w:w="802"/>
                            </w:tblGrid>
                            <w:tr>
                              <w:trPr>
                                <w:tblHeade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180" w:firstLine="0"/>
                                    <w:jc w:val="right"/>
                                    <w:rPr>
                                      <w:sz w:val="18"/>
                                      <w:szCs w:val="18"/>
                                    </w:rPr>
                                  </w:pPr>
                                  <w:r>
                                    <w:rPr>
                                      <w:color w:val="000000"/>
                                      <w:spacing w:val="0"/>
                                      <w:w w:val="100"/>
                                      <w:position w:val="0"/>
                                      <w:sz w:val="18"/>
                                      <w:szCs w:val="18"/>
                                    </w:rPr>
                                    <w:t>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 易定价 原则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转让资 产的账 面价值</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（万 元）</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金科控 股集团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 控股 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收购公 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公司以 自有或 自筹资 金收购 金科控 股集团 有限公 司持有 的万锦 商贸有 限公司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交易价 格以具 有证券 期货从 业资格 的评估 机构出 具的评 估价值 为依 据，并 经公司 与金科 控股集 团有限 公司协 商一致 后确定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989"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转让价格与账面价值或评估价值差异 较大的原因（如有）</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公司聘请了银信资产 收购股权所涉及的万 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）沪第</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56.450000000000003pt;margin-top:0;width:240.25pt;height:417.35000000000002pt;z-index:-125829348;mso-wrap-distance-left:0;mso-wrap-distance-right:0;mso-position-horizontal-relative:page" filled="f" stroked="f">
                <v:textbox inset="0,0,0,0">
                  <w:txbxContent>
                    <w:tbl>
                      <w:tblPr>
                        <w:tblOverlap w:val="never"/>
                        <w:jc w:val="left"/>
                        <w:tblLayout w:type="fixed"/>
                      </w:tblPr>
                      <w:tblGrid>
                        <w:gridCol w:w="854"/>
                        <w:gridCol w:w="754"/>
                        <w:gridCol w:w="797"/>
                        <w:gridCol w:w="802"/>
                        <w:gridCol w:w="797"/>
                        <w:gridCol w:w="802"/>
                      </w:tblGrid>
                      <w:tr>
                        <w:trPr>
                          <w:tblHeade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180" w:firstLine="0"/>
                              <w:jc w:val="right"/>
                              <w:rPr>
                                <w:sz w:val="18"/>
                                <w:szCs w:val="18"/>
                              </w:rPr>
                            </w:pPr>
                            <w:r>
                              <w:rPr>
                                <w:color w:val="000000"/>
                                <w:spacing w:val="0"/>
                                <w:w w:val="100"/>
                                <w:position w:val="0"/>
                                <w:sz w:val="18"/>
                                <w:szCs w:val="18"/>
                              </w:rPr>
                              <w:t>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 易定价 原则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转让资 产的账 面价值</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（万 元）</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金科控 股集团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 控股 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收购公 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公司以 自有或 自筹资 金收购 金科控 股集团 有限公 司持有 的万锦 商贸有 限公司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交易价 格以具 有证券 期货从 业资格 的评估 机构出 具的评 估价值 为依 据，并 经公司 与金科 控股集 团有限 公司协 商一致 后确定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989"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转让价格与账面价值或评估价值差异 较大的原因（如有）</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公司聘请了银信资产 收购股权所涉及的万 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）沪第</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07" behindDoc="0" locked="0" layoutInCell="1" allowOverlap="1">
                <wp:simplePos x="0" y="0"/>
                <wp:positionH relativeFrom="page">
                  <wp:posOffset>3758565</wp:posOffset>
                </wp:positionH>
                <wp:positionV relativeFrom="paragraph">
                  <wp:posOffset>0</wp:posOffset>
                </wp:positionV>
                <wp:extent cx="3041650" cy="5300345"/>
                <wp:wrapTopAndBottom/>
                <wp:docPr id="60" name="Shape 60"/>
                <a:graphic xmlns:a="http://schemas.openxmlformats.org/drawingml/2006/main">
                  <a:graphicData uri="http://schemas.microsoft.com/office/word/2010/wordprocessingShape">
                    <wps:wsp>
                      <wps:cNvSpPr txBox="1"/>
                      <wps:spPr>
                        <a:xfrm>
                          <a:ext cx="3041650" cy="5300345"/>
                        </a:xfrm>
                        <a:prstGeom prst="rect"/>
                        <a:noFill/>
                      </wps:spPr>
                      <wps:txbx>
                        <w:txbxContent>
                          <w:tbl>
                            <w:tblPr>
                              <w:tblOverlap w:val="never"/>
                              <w:jc w:val="left"/>
                              <w:tblLayout w:type="fixed"/>
                            </w:tblPr>
                            <w:tblGrid>
                              <w:gridCol w:w="806"/>
                              <w:gridCol w:w="797"/>
                              <w:gridCol w:w="797"/>
                              <w:gridCol w:w="797"/>
                              <w:gridCol w:w="797"/>
                              <w:gridCol w:w="797"/>
                            </w:tblGrid>
                            <w:tr>
                              <w:trPr>
                                <w:tblHeade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转让资 产的评 估价值</w:t>
                                  </w:r>
                                </w:p>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转让价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交易损 益（万</w:t>
                                  </w:r>
                                </w:p>
                                <w:p>
                                  <w:pPr>
                                    <w:pStyle w:val="Style2"/>
                                    <w:keepNext w:val="0"/>
                                    <w:keepLines w:val="0"/>
                                    <w:widowControl w:val="0"/>
                                    <w:shd w:val="clear" w:color="auto" w:fill="auto"/>
                                    <w:bidi w:val="0"/>
                                    <w:spacing w:before="0" w:after="0" w:line="293" w:lineRule="exact"/>
                                    <w:ind w:left="0" w:right="0" w:firstLine="22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披露索 引</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166,32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 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8"/>
                                      <w:szCs w:val="18"/>
                                    </w:rPr>
                                    <w:t xml:space="preserve">）《关于 收购资 产暨关 联交易 的公 告》（公 告编 </w:t>
                                  </w:r>
                                  <w:r>
                                    <w:rPr>
                                      <w:color w:val="000000"/>
                                      <w:spacing w:val="0"/>
                                      <w:w w:val="100"/>
                                      <w:position w:val="0"/>
                                      <w:sz w:val="13"/>
                                      <w:szCs w:val="13"/>
                                      <w:vertAlign w:val="subscript"/>
                                    </w:rPr>
                                    <w:t xml:space="preserve">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w:t>
                                  </w:r>
                                </w:p>
                              </w:tc>
                            </w:tr>
                            <w:tr>
                              <w:trPr>
                                <w:trHeight w:val="989" w:hRule="exact"/>
                              </w:trPr>
                              <w:tc>
                                <w:tcPr>
                                  <w:gridSpan w:val="6"/>
                                  <w:tcBorders>
                                    <w:top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产评估有限公司对收购的资产进行了评估，由其出具了《拟 万锦商贸有限公司股东全部权益价值资产评估报告》（银信评 </w:t>
                                  </w:r>
                                  <w:r>
                                    <w:rPr>
                                      <w:rFonts w:ascii="Times New Roman" w:eastAsia="Times New Roman" w:hAnsi="Times New Roman" w:cs="Times New Roman"/>
                                      <w:color w:val="000000"/>
                                      <w:spacing w:val="0"/>
                                      <w:w w:val="100"/>
                                      <w:position w:val="0"/>
                                      <w:sz w:val="18"/>
                                      <w:szCs w:val="18"/>
                                    </w:rPr>
                                    <w:t>0839</w:t>
                                  </w:r>
                                  <w:r>
                                    <w:rPr>
                                      <w:color w:val="000000"/>
                                      <w:spacing w:val="0"/>
                                      <w:w w:val="100"/>
                                      <w:position w:val="0"/>
                                      <w:sz w:val="18"/>
                                      <w:szCs w:val="18"/>
                                    </w:rPr>
                                    <w:t>号），本次评估增值主要系万锦商贸有限公司全资子公</w:t>
                                  </w:r>
                                </w:p>
                              </w:tc>
                            </w:tr>
                          </w:tbl>
                          <w:p>
                            <w:pPr>
                              <w:widowControl w:val="0"/>
                              <w:spacing w:line="1" w:lineRule="exact"/>
                            </w:pPr>
                          </w:p>
                        </w:txbxContent>
                      </wps:txbx>
                      <wps:bodyPr lIns="0" tIns="0" rIns="0" bIns="0">
                        <a:noAutoFit/>
                      </wps:bodyPr>
                    </wps:wsp>
                  </a:graphicData>
                </a:graphic>
              </wp:anchor>
            </w:drawing>
          </mc:Choice>
          <mc:Fallback>
            <w:pict>
              <v:shape id="_x0000_s1086" type="#_x0000_t202" style="position:absolute;margin-left:295.94999999999999pt;margin-top:0;width:239.5pt;height:417.35000000000002pt;z-index:-125829346;mso-wrap-distance-left:0;mso-wrap-distance-right:0;mso-position-horizontal-relative:page" filled="f" stroked="f">
                <v:textbox inset="0,0,0,0">
                  <w:txbxContent>
                    <w:tbl>
                      <w:tblPr>
                        <w:tblOverlap w:val="never"/>
                        <w:jc w:val="left"/>
                        <w:tblLayout w:type="fixed"/>
                      </w:tblPr>
                      <w:tblGrid>
                        <w:gridCol w:w="806"/>
                        <w:gridCol w:w="797"/>
                        <w:gridCol w:w="797"/>
                        <w:gridCol w:w="797"/>
                        <w:gridCol w:w="797"/>
                        <w:gridCol w:w="797"/>
                      </w:tblGrid>
                      <w:tr>
                        <w:trPr>
                          <w:tblHeade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转让资 产的评 估价值</w:t>
                            </w:r>
                          </w:p>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转让价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交易损 益（万</w:t>
                            </w:r>
                          </w:p>
                          <w:p>
                            <w:pPr>
                              <w:pStyle w:val="Style2"/>
                              <w:keepNext w:val="0"/>
                              <w:keepLines w:val="0"/>
                              <w:widowControl w:val="0"/>
                              <w:shd w:val="clear" w:color="auto" w:fill="auto"/>
                              <w:bidi w:val="0"/>
                              <w:spacing w:before="0" w:after="0" w:line="293" w:lineRule="exact"/>
                              <w:ind w:left="0" w:right="0" w:firstLine="22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披露索 引</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166,32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 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8"/>
                                <w:szCs w:val="18"/>
                              </w:rPr>
                              <w:t xml:space="preserve">）《关于 收购资 产暨关 联交易 的公 告》（公 告编 </w:t>
                            </w:r>
                            <w:r>
                              <w:rPr>
                                <w:color w:val="000000"/>
                                <w:spacing w:val="0"/>
                                <w:w w:val="100"/>
                                <w:position w:val="0"/>
                                <w:sz w:val="13"/>
                                <w:szCs w:val="13"/>
                                <w:vertAlign w:val="subscript"/>
                              </w:rPr>
                              <w:t xml:space="preserve">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w:t>
                            </w:r>
                          </w:p>
                        </w:tc>
                      </w:tr>
                      <w:tr>
                        <w:trPr>
                          <w:trHeight w:val="989" w:hRule="exact"/>
                        </w:trPr>
                        <w:tc>
                          <w:tcPr>
                            <w:gridSpan w:val="6"/>
                            <w:tcBorders>
                              <w:top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产评估有限公司对收购的资产进行了评估，由其出具了《拟 万锦商贸有限公司股东全部权益价值资产评估报告》（银信评 </w:t>
                            </w:r>
                            <w:r>
                              <w:rPr>
                                <w:rFonts w:ascii="Times New Roman" w:eastAsia="Times New Roman" w:hAnsi="Times New Roman" w:cs="Times New Roman"/>
                                <w:color w:val="000000"/>
                                <w:spacing w:val="0"/>
                                <w:w w:val="100"/>
                                <w:position w:val="0"/>
                                <w:sz w:val="18"/>
                                <w:szCs w:val="18"/>
                              </w:rPr>
                              <w:t>0839</w:t>
                            </w:r>
                            <w:r>
                              <w:rPr>
                                <w:color w:val="000000"/>
                                <w:spacing w:val="0"/>
                                <w:w w:val="100"/>
                                <w:position w:val="0"/>
                                <w:sz w:val="18"/>
                                <w:szCs w:val="18"/>
                              </w:rPr>
                              <w:t>号），本次评估增值主要系万锦商贸有限公司全资子公</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3206"/>
        <w:gridCol w:w="6374"/>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司绍兴上虞雷迪森万锦大酒店有限公司和绍兴上虞时代广场商贸有限公司的商 业用途房地产评估增值。委估房地产均为钢混结构，地处浙东新商都一浙江 省绍兴市上虞区</w:t>
            </w:r>
            <w:r>
              <w:rPr>
                <w:rFonts w:ascii="Times New Roman" w:eastAsia="Times New Roman" w:hAnsi="Times New Roman" w:cs="Times New Roman"/>
                <w:color w:val="000000"/>
                <w:spacing w:val="0"/>
                <w:w w:val="100"/>
                <w:position w:val="0"/>
                <w:sz w:val="18"/>
                <w:szCs w:val="18"/>
              </w:rPr>
              <w:t>CBD</w:t>
            </w:r>
            <w:r>
              <w:rPr>
                <w:color w:val="000000"/>
                <w:spacing w:val="0"/>
                <w:w w:val="100"/>
                <w:position w:val="0"/>
                <w:sz w:val="18"/>
                <w:szCs w:val="18"/>
              </w:rPr>
              <w:t>核心地带，区位优势大，人口流动集中，比邻著名的省级 旅游度假区曹娥江旅游度假区，未来会结合世界级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w:t>
            </w:r>
            <w:r>
              <w:rPr>
                <w:color w:val="000000"/>
                <w:spacing w:val="0"/>
                <w:w w:val="100"/>
                <w:position w:val="0"/>
                <w:sz w:val="18"/>
                <w:szCs w:val="18"/>
              </w:rPr>
              <w:t>会说话的汤姆猫”，建设 成为“会说话的汤姆猫”主题商业、办公、居住、旅店、展览、餐饮、会议、 文娱等城市生活空间。本次采用市场法和收益法对其价值进行评估，体现了区 域优势及未来商业综合体的规划对该房产价值的影响。此外由于委估房产建造 时间较早，账面价值仅反映该房地产的历史成本，未考虑房地产市场发展及委 估房地产的商业价值上涨因素，故造成评估增值。</w:t>
            </w:r>
          </w:p>
        </w:tc>
      </w:tr>
      <w:tr>
        <w:trPr>
          <w:trHeight w:val="52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对公司经营成果与财务状况的影响情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46" w:val="left"/>
              </w:tabs>
              <w:bidi w:val="0"/>
              <w:spacing w:before="0" w:after="40" w:line="312" w:lineRule="exact"/>
              <w:ind w:left="0" w:right="0" w:firstLine="0"/>
              <w:jc w:val="left"/>
              <w:rPr>
                <w:sz w:val="18"/>
                <w:szCs w:val="18"/>
              </w:rPr>
            </w:pPr>
            <w:r>
              <w:rPr>
                <w:color w:val="000000"/>
                <w:spacing w:val="0"/>
                <w:w w:val="100"/>
                <w:position w:val="0"/>
                <w:sz w:val="18"/>
                <w:szCs w:val="18"/>
              </w:rPr>
              <w:t>（一）</w:t>
              <w:tab/>
              <w:t>有利于提升公司资产质量</w:t>
            </w:r>
          </w:p>
          <w:p>
            <w:pPr>
              <w:pStyle w:val="Style2"/>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18"/>
                <w:szCs w:val="18"/>
              </w:rPr>
              <w:t>通过本次交易，公司将注入优质的酒店和商业综合体资产，用于建设“会说话 的汤姆猫”主题商业综合体，进一步提升上市公司的资产质量。本次交易有利 于公司优化资源配置和业务结构，有助于推动公司全面落实全栖</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生态战略， 提升公司后续发展的市场空间、盈利能力和综合竞争力。</w:t>
            </w:r>
          </w:p>
          <w:p>
            <w:pPr>
              <w:pStyle w:val="Style2"/>
              <w:keepNext w:val="0"/>
              <w:keepLines w:val="0"/>
              <w:widowControl w:val="0"/>
              <w:shd w:val="clear" w:color="auto" w:fill="auto"/>
              <w:tabs>
                <w:tab w:pos="446" w:val="left"/>
              </w:tabs>
              <w:bidi w:val="0"/>
              <w:spacing w:before="0" w:after="40" w:line="312" w:lineRule="exact"/>
              <w:ind w:left="0" w:right="0" w:firstLine="0"/>
              <w:jc w:val="both"/>
              <w:rPr>
                <w:sz w:val="18"/>
                <w:szCs w:val="18"/>
              </w:rPr>
            </w:pPr>
            <w:r>
              <w:rPr>
                <w:color w:val="000000"/>
                <w:spacing w:val="0"/>
                <w:w w:val="100"/>
                <w:position w:val="0"/>
                <w:sz w:val="18"/>
                <w:szCs w:val="18"/>
              </w:rPr>
              <w:t>（二）</w:t>
              <w:tab/>
              <w:t>有利于增强公司线上线下业务协同效应</w:t>
            </w:r>
          </w:p>
          <w:p>
            <w:pPr>
              <w:pStyle w:val="Style2"/>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万锦商贸有限公司旗下的酒店和综合商业体等优质资产与公司</w:t>
            </w:r>
            <w:r>
              <w:rPr>
                <w:color w:val="000000"/>
                <w:spacing w:val="0"/>
                <w:w w:val="100"/>
                <w:position w:val="0"/>
                <w:sz w:val="18"/>
                <w:szCs w:val="18"/>
              </w:rPr>
              <w:t>"</w:t>
            </w:r>
            <w:r>
              <w:rPr>
                <w:color w:val="000000"/>
                <w:spacing w:val="0"/>
                <w:w w:val="100"/>
                <w:position w:val="0"/>
                <w:sz w:val="18"/>
                <w:szCs w:val="18"/>
              </w:rPr>
              <w:t xml:space="preserve">会说话的汤姆 猫家族” </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的结合，可以令消费者更加身临其境地体验</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魅力，实现线下流量 反哺线上流量，进一步增强线上线下业务的协同效应。本次交易将有效拓展公 司</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变现渠道，提升</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变现能力，扩大公司营业收入和创收想象空间，进一 步提升公司泛娱乐平台的价值和综合实力。</w:t>
            </w:r>
          </w:p>
          <w:p>
            <w:pPr>
              <w:pStyle w:val="Style2"/>
              <w:keepNext w:val="0"/>
              <w:keepLines w:val="0"/>
              <w:widowControl w:val="0"/>
              <w:shd w:val="clear" w:color="auto" w:fill="auto"/>
              <w:tabs>
                <w:tab w:pos="442" w:val="left"/>
              </w:tabs>
              <w:bidi w:val="0"/>
              <w:spacing w:before="0" w:after="40" w:line="312" w:lineRule="exact"/>
              <w:ind w:left="0" w:right="0" w:firstLine="0"/>
              <w:jc w:val="left"/>
              <w:rPr>
                <w:sz w:val="18"/>
                <w:szCs w:val="18"/>
              </w:rPr>
            </w:pPr>
            <w:r>
              <w:rPr>
                <w:color w:val="000000"/>
                <w:spacing w:val="0"/>
                <w:w w:val="100"/>
                <w:position w:val="0"/>
                <w:sz w:val="18"/>
                <w:szCs w:val="18"/>
              </w:rPr>
              <w:t>（三）</w:t>
              <w:tab/>
              <w:t>对公司财务状况和经营成果的影响</w:t>
            </w:r>
          </w:p>
          <w:p>
            <w:pPr>
              <w:pStyle w:val="Style2"/>
              <w:keepNext w:val="0"/>
              <w:keepLines w:val="0"/>
              <w:widowControl w:val="0"/>
              <w:shd w:val="clear" w:color="auto" w:fill="auto"/>
              <w:bidi w:val="0"/>
              <w:spacing w:before="0" w:after="40" w:line="310" w:lineRule="exact"/>
              <w:ind w:left="0" w:right="0" w:firstLine="0"/>
              <w:jc w:val="both"/>
              <w:rPr>
                <w:sz w:val="18"/>
                <w:szCs w:val="18"/>
              </w:rPr>
            </w:pPr>
            <w:r>
              <w:rPr>
                <w:color w:val="000000"/>
                <w:spacing w:val="0"/>
                <w:w w:val="100"/>
                <w:position w:val="0"/>
                <w:sz w:val="18"/>
                <w:szCs w:val="18"/>
              </w:rPr>
              <w:t>通过本次交易，公司财务状况和经营成果短期内不会产生重大影响。但在本次 交易完成后，公司将对酒店和综合商业体进行一定的建设改造，拓展公司</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产 业链，进一步提升公司</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线下品牌知名度，深化公司</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变现，提升公司盈利 能力，进而对公司财务状况和经营成果产生积极影响。</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如相关交易涉及业绩约定的，报告期内 的业绩实现情况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widowControl w:val="0"/>
        <w:spacing w:after="29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w:t>
        <w:tab/>
        <w:t>其他重大关联交易</w:t>
      </w:r>
      <w:bookmarkEnd w:id="354"/>
      <w:bookmarkEnd w:id="355"/>
      <w:bookmarkEnd w:id="35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日召开第三届董事会第三十七次会议，于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年年度股东大 </w:t>
      </w:r>
      <w:r>
        <w:rPr>
          <w:color w:val="000000"/>
          <w:spacing w:val="0"/>
          <w:w w:val="100"/>
          <w:position w:val="0"/>
        </w:rPr>
        <w:t>会，分别审议通过了《关于公司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年度日常关联交易预计的议案》，公司独立董事事先认可了上述日常 关联交易事项，并对该事项发表了明确同意的独立意见。上述关联交易已在临时报告中披露，后续进展情 况无变化。公司报告期内与关联方发生的日常经营相关的关联交易情况详见本报告“第十二节财务报告” 之“十二关联方及关联交易”。</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634"/>
        <w:gridCol w:w="2482"/>
        <w:gridCol w:w="34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临时公告披露网站名称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年度日常关联交易预计的公告》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rPr>
                <w:color w:val="000000"/>
                <w:spacing w:val="0"/>
                <w:w w:val="100"/>
                <w:position w:val="0"/>
                <w:sz w:val="18"/>
                <w:szCs w:val="18"/>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十六、重大合同及其履行情况</w:t>
      </w:r>
      <w:bookmarkEnd w:id="358"/>
      <w:bookmarkEnd w:id="359"/>
      <w:bookmarkEnd w:id="360"/>
    </w:p>
    <w:p>
      <w:pPr>
        <w:pStyle w:val="Style36"/>
        <w:keepNext/>
        <w:keepLines/>
        <w:widowControl w:val="0"/>
        <w:shd w:val="clear" w:color="auto" w:fill="auto"/>
        <w:tabs>
          <w:tab w:pos="373"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114"/>
        <w:keepNext/>
        <w:keepLines/>
        <w:widowControl w:val="0"/>
        <w:shd w:val="clear" w:color="auto" w:fill="auto"/>
        <w:tabs>
          <w:tab w:pos="493"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公司报告期不存在托管情况。</w:t>
      </w:r>
    </w:p>
    <w:p>
      <w:pPr>
        <w:pStyle w:val="Style114"/>
        <w:keepNext/>
        <w:keepLines/>
        <w:widowControl w:val="0"/>
        <w:shd w:val="clear" w:color="auto" w:fill="auto"/>
        <w:tabs>
          <w:tab w:pos="493"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公司报告期不存在承包情况。</w:t>
      </w:r>
    </w:p>
    <w:p>
      <w:pPr>
        <w:pStyle w:val="Style114"/>
        <w:keepNext/>
        <w:keepLines/>
        <w:widowControl w:val="0"/>
        <w:shd w:val="clear" w:color="auto" w:fill="auto"/>
        <w:tabs>
          <w:tab w:pos="493" w:val="left"/>
        </w:tabs>
        <w:bidi w:val="0"/>
        <w:spacing w:before="0" w:after="420" w:line="240" w:lineRule="auto"/>
        <w:ind w:left="0" w:right="0" w:firstLine="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14"/>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1"/>
      <w:bookmarkEnd w:id="382"/>
      <w:bookmarkEnd w:id="384"/>
    </w:p>
    <w:p>
      <w:pPr>
        <w:pStyle w:val="Style34"/>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714"/>
        <w:gridCol w:w="941"/>
        <w:gridCol w:w="912"/>
        <w:gridCol w:w="1296"/>
        <w:gridCol w:w="1061"/>
        <w:gridCol w:w="1037"/>
        <w:gridCol w:w="1051"/>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是否为 关联方 担保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浙江时代金泰环保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连带责任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主债务履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714"/>
        <w:gridCol w:w="941"/>
        <w:gridCol w:w="912"/>
        <w:gridCol w:w="1296"/>
        <w:gridCol w:w="1061"/>
        <w:gridCol w:w="1037"/>
        <w:gridCol w:w="1051"/>
        <w:gridCol w:w="787"/>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保证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浙江时代金泰环保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浙江时代金泰环保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浙江时代金泰环保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浙江时代金泰环保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浙江时代金泰环保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浙江时代金泰环保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湖州吉昌化学有限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金科控股集团有限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连带责任 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浙江飞达环保材料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浙江飞达环保材料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绍兴上虞金泰泳池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绍兴上虞金泰泳池 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714"/>
        <w:gridCol w:w="936"/>
        <w:gridCol w:w="912"/>
        <w:gridCol w:w="1301"/>
        <w:gridCol w:w="1056"/>
        <w:gridCol w:w="1042"/>
        <w:gridCol w:w="1046"/>
        <w:gridCol w:w="787"/>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报告期内审批的对外担保额度 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44,718.46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报告期内对外担保实际 发生额合计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172,968.46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报告期末已审批的对外担保额 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124,718.46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报告期末实际对外担保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82,119.06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是否履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是否为 关联方 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联合好运集团控股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293,620.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主债务履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浙江金科汤姆猫投 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主债务履 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浙江汤姆猫文化发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主债务履 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报告期内审批对子公司担保额 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报告期内对子公司担保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156,467.10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报告期末已审批的对子公司担 保额度合计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293,620.50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报告期末对子公司实际 担保余额合计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156,467.10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是否为 关联方 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44,718.46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报告期内担保实际发生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329,435.56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418,338.96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报告期末实际担保余额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238,586.16</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r>
              <w:rPr>
                <w:color w:val="000000"/>
                <w:spacing w:val="0"/>
                <w:w w:val="100"/>
                <w:position w:val="0"/>
                <w:sz w:val="18"/>
                <w:szCs w:val="18"/>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的被担保对象提供的债 务担保余额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167,377.10</w:t>
            </w:r>
          </w:p>
        </w:tc>
      </w:tr>
      <w:tr>
        <w:trPr>
          <w:trHeight w:val="40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101,246.44</w:t>
            </w:r>
          </w:p>
        </w:tc>
      </w:tr>
    </w:tbl>
    <w:p>
      <w:pPr>
        <w:widowControl w:val="0"/>
        <w:spacing w:line="1" w:lineRule="exact"/>
      </w:pPr>
    </w:p>
    <w:tbl>
      <w:tblPr>
        <w:tblOverlap w:val="never"/>
        <w:jc w:val="center"/>
        <w:tblLayout w:type="fixed"/>
      </w:tblPr>
      <w:tblGrid>
        <w:gridCol w:w="4862"/>
        <w:gridCol w:w="4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279,174.54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对未到期担保，报告期内已发生担保责任或可能承担连带清 偿责任的情况说明（如有）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1"/>
        <w:keepNext w:val="0"/>
        <w:keepLines w:val="0"/>
        <w:widowControl w:val="0"/>
        <w:shd w:val="clear" w:color="auto" w:fill="auto"/>
        <w:bidi w:val="0"/>
        <w:spacing w:before="0" w:after="340" w:line="313" w:lineRule="exact"/>
        <w:ind w:left="0" w:right="0" w:firstLine="0"/>
        <w:jc w:val="left"/>
      </w:pPr>
      <w:r>
        <w:rPr>
          <w:color w:val="000000"/>
          <w:spacing w:val="0"/>
          <w:w w:val="100"/>
          <w:position w:val="0"/>
        </w:rPr>
        <w:t>采用复合方式担保的具体情况说明：子公司联合好运集团控股有限公司银行借款由公司作为保证人，提供保证担保；以子公 司</w:t>
      </w:r>
      <w:r>
        <w:rPr>
          <w:rFonts w:ascii="Times New Roman" w:eastAsia="Times New Roman" w:hAnsi="Times New Roman" w:cs="Times New Roman"/>
          <w:color w:val="000000"/>
          <w:spacing w:val="0"/>
          <w:w w:val="100"/>
          <w:position w:val="0"/>
        </w:rPr>
        <w:t>Outfit? Investments Limited</w:t>
      </w:r>
      <w:r>
        <w:rPr>
          <w:color w:val="000000"/>
          <w:spacing w:val="0"/>
          <w:w w:val="100"/>
          <w:position w:val="0"/>
        </w:rPr>
        <w:t xml:space="preserve">^ </w:t>
      </w:r>
      <w:r>
        <w:rPr>
          <w:rFonts w:ascii="Times New Roman" w:eastAsia="Times New Roman" w:hAnsi="Times New Roman" w:cs="Times New Roman"/>
          <w:color w:val="000000"/>
          <w:spacing w:val="0"/>
          <w:w w:val="100"/>
          <w:position w:val="0"/>
        </w:rPr>
        <w:t>Outfit7 Limited</w:t>
      </w:r>
      <w:r>
        <w:rPr>
          <w:color w:val="000000"/>
          <w:spacing w:val="0"/>
          <w:w w:val="100"/>
          <w:position w:val="0"/>
        </w:rPr>
        <w:t>、</w:t>
      </w:r>
      <w:r>
        <w:rPr>
          <w:color w:val="000000"/>
          <w:spacing w:val="0"/>
          <w:w w:val="100"/>
          <w:position w:val="0"/>
        </w:rPr>
        <w:t>联合好运集团控股有限公司等境外公司之</w:t>
      </w:r>
      <w:r>
        <w:rPr>
          <w:rFonts w:ascii="Times New Roman" w:eastAsia="Times New Roman" w:hAnsi="Times New Roman" w:cs="Times New Roman"/>
          <w:color w:val="000000"/>
          <w:spacing w:val="0"/>
          <w:w w:val="100"/>
          <w:position w:val="0"/>
        </w:rPr>
        <w:t>100%</w:t>
      </w:r>
      <w:r>
        <w:rPr>
          <w:color w:val="000000"/>
          <w:spacing w:val="0"/>
          <w:w w:val="100"/>
          <w:position w:val="0"/>
        </w:rPr>
        <w:t>股权，为上述借款提供质押 担保；以联合好运集团控股有限公司、</w:t>
      </w:r>
      <w:r>
        <w:rPr>
          <w:rFonts w:ascii="Times New Roman" w:eastAsia="Times New Roman" w:hAnsi="Times New Roman" w:cs="Times New Roman"/>
          <w:color w:val="000000"/>
          <w:spacing w:val="0"/>
          <w:w w:val="100"/>
          <w:position w:val="0"/>
        </w:rPr>
        <w:t>Lily Technology Co., Ltd</w:t>
      </w:r>
      <w:r>
        <w:rPr>
          <w:color w:val="000000"/>
          <w:spacing w:val="0"/>
          <w:w w:val="100"/>
          <w:position w:val="0"/>
        </w:rPr>
        <w:t>、</w:t>
      </w:r>
      <w:r>
        <w:rPr>
          <w:rFonts w:ascii="Times New Roman" w:eastAsia="Times New Roman" w:hAnsi="Times New Roman" w:cs="Times New Roman"/>
          <w:color w:val="000000"/>
          <w:spacing w:val="0"/>
          <w:w w:val="100"/>
          <w:position w:val="0"/>
        </w:rPr>
        <w:t>Ryuki Technology Co., Ltd,</w:t>
      </w:r>
      <w:r>
        <w:rPr>
          <w:color w:val="000000"/>
          <w:spacing w:val="0"/>
          <w:w w:val="100"/>
          <w:position w:val="0"/>
        </w:rPr>
        <w:t>之银行账户，为上述借款提供质 押担保；以联合好运集团控股有限公司、</w:t>
      </w:r>
      <w:r>
        <w:rPr>
          <w:rFonts w:ascii="Times New Roman" w:eastAsia="Times New Roman" w:hAnsi="Times New Roman" w:cs="Times New Roman"/>
          <w:color w:val="000000"/>
          <w:spacing w:val="0"/>
          <w:w w:val="100"/>
          <w:position w:val="0"/>
        </w:rPr>
        <w:t>Outfit? Limited</w:t>
      </w:r>
      <w:r>
        <w:rPr>
          <w:color w:val="000000"/>
          <w:spacing w:val="0"/>
          <w:w w:val="100"/>
          <w:position w:val="0"/>
        </w:rPr>
        <w:t>之相关资产或权利，为上述借款提供抵押担保。（以上外币折算均 采用资产负债表日的美元对人民币中间价折算）。</w:t>
      </w:r>
    </w:p>
    <w:p>
      <w:pPr>
        <w:pStyle w:val="Style114"/>
        <w:keepNext/>
        <w:keepLines/>
        <w:widowControl w:val="0"/>
        <w:shd w:val="clear" w:color="auto" w:fill="auto"/>
        <w:bidi w:val="0"/>
        <w:spacing w:before="0" w:after="24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5"/>
      <w:bookmarkEnd w:id="386"/>
      <w:bookmarkEnd w:id="388"/>
    </w:p>
    <w:p>
      <w:pPr>
        <w:pStyle w:val="Style31"/>
        <w:keepNext w:val="0"/>
        <w:keepLines w:val="0"/>
        <w:widowControl w:val="0"/>
        <w:shd w:val="clear" w:color="auto" w:fill="auto"/>
        <w:bidi w:val="0"/>
        <w:spacing w:before="0" w:after="2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公司报告期无违规对外担保情况。</w:t>
      </w:r>
    </w:p>
    <w:p>
      <w:pPr>
        <w:pStyle w:val="Style36"/>
        <w:keepNext/>
        <w:keepLines/>
        <w:widowControl w:val="0"/>
        <w:shd w:val="clear" w:color="auto" w:fill="auto"/>
        <w:tabs>
          <w:tab w:pos="378" w:val="left"/>
        </w:tabs>
        <w:bidi w:val="0"/>
        <w:spacing w:before="0" w:after="24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日常经营重大合同</w:t>
      </w:r>
      <w:bookmarkEnd w:id="389"/>
      <w:bookmarkEnd w:id="390"/>
      <w:bookmarkEnd w:id="392"/>
    </w:p>
    <w:p>
      <w:pPr>
        <w:pStyle w:val="Style31"/>
        <w:keepNext w:val="0"/>
        <w:keepLines w:val="0"/>
        <w:widowControl w:val="0"/>
        <w:shd w:val="clear" w:color="auto" w:fill="auto"/>
        <w:bidi w:val="0"/>
        <w:spacing w:before="0" w:after="3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w:t>
        <w:tab/>
        <w:t>委托他人进行现金资产管理情况</w:t>
      </w:r>
      <w:bookmarkEnd w:id="393"/>
      <w:bookmarkEnd w:id="394"/>
      <w:bookmarkEnd w:id="396"/>
    </w:p>
    <w:p>
      <w:pPr>
        <w:pStyle w:val="Style114"/>
        <w:keepNext/>
        <w:keepLines/>
        <w:widowControl w:val="0"/>
        <w:shd w:val="clear" w:color="auto" w:fill="auto"/>
        <w:tabs>
          <w:tab w:pos="493" w:val="left"/>
        </w:tabs>
        <w:bidi w:val="0"/>
        <w:spacing w:before="0" w:after="240" w:line="240" w:lineRule="auto"/>
        <w:ind w:left="0" w:right="0" w:firstLine="0"/>
        <w:jc w:val="both"/>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7"/>
      <w:bookmarkEnd w:id="398"/>
      <w:bookmarkEnd w:id="400"/>
    </w:p>
    <w:p>
      <w:pPr>
        <w:pStyle w:val="Style31"/>
        <w:keepNext w:val="0"/>
        <w:keepLines w:val="0"/>
        <w:widowControl w:val="0"/>
        <w:shd w:val="clear" w:color="auto" w:fill="auto"/>
        <w:bidi w:val="0"/>
        <w:spacing w:before="0" w:after="2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公司报告期不存在委托理财。</w:t>
      </w:r>
    </w:p>
    <w:p>
      <w:pPr>
        <w:pStyle w:val="Style114"/>
        <w:keepNext/>
        <w:keepLines/>
        <w:widowControl w:val="0"/>
        <w:shd w:val="clear" w:color="auto" w:fill="auto"/>
        <w:tabs>
          <w:tab w:pos="493" w:val="left"/>
        </w:tabs>
        <w:bidi w:val="0"/>
        <w:spacing w:before="0" w:after="240" w:line="240" w:lineRule="auto"/>
        <w:ind w:left="0" w:right="0" w:firstLine="0"/>
        <w:jc w:val="both"/>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1"/>
      <w:bookmarkEnd w:id="402"/>
      <w:bookmarkEnd w:id="404"/>
    </w:p>
    <w:p>
      <w:pPr>
        <w:pStyle w:val="Style31"/>
        <w:keepNext w:val="0"/>
        <w:keepLines w:val="0"/>
        <w:widowControl w:val="0"/>
        <w:shd w:val="clear" w:color="auto" w:fill="auto"/>
        <w:bidi w:val="0"/>
        <w:spacing w:before="0" w:after="2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24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5</w:t>
      </w:r>
      <w:bookmarkEnd w:id="407"/>
      <w:r>
        <w:rPr>
          <w:color w:val="000000"/>
          <w:spacing w:val="0"/>
          <w:w w:val="100"/>
          <w:position w:val="0"/>
        </w:rPr>
        <w:t>、</w:t>
        <w:tab/>
        <w:t>其他重大合同</w:t>
      </w:r>
      <w:bookmarkEnd w:id="405"/>
      <w:bookmarkEnd w:id="406"/>
      <w:bookmarkEnd w:id="408"/>
    </w:p>
    <w:p>
      <w:pPr>
        <w:pStyle w:val="Style31"/>
        <w:keepNext w:val="0"/>
        <w:keepLines w:val="0"/>
        <w:widowControl w:val="0"/>
        <w:shd w:val="clear" w:color="auto" w:fill="auto"/>
        <w:bidi w:val="0"/>
        <w:spacing w:before="0" w:after="2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after="34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十七、社会责任情况</w:t>
      </w:r>
      <w:bookmarkEnd w:id="409"/>
      <w:bookmarkEnd w:id="410"/>
      <w:bookmarkEnd w:id="411"/>
    </w:p>
    <w:p>
      <w:pPr>
        <w:pStyle w:val="Style36"/>
        <w:keepNext/>
        <w:keepLines/>
        <w:widowControl w:val="0"/>
        <w:shd w:val="clear" w:color="auto" w:fill="auto"/>
        <w:bidi w:val="0"/>
        <w:spacing w:before="0" w:after="42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、履行社会责任情况</w:t>
      </w:r>
      <w:bookmarkEnd w:id="412"/>
      <w:bookmarkEnd w:id="413"/>
      <w:bookmarkEnd w:id="415"/>
    </w:p>
    <w:p>
      <w:pPr>
        <w:pStyle w:val="Style40"/>
        <w:keepNext w:val="0"/>
        <w:keepLines w:val="0"/>
        <w:widowControl w:val="0"/>
        <w:shd w:val="clear" w:color="auto" w:fill="auto"/>
        <w:bidi w:val="0"/>
        <w:spacing w:before="0" w:after="300" w:line="240" w:lineRule="auto"/>
        <w:ind w:left="0" w:right="0" w:firstLine="560"/>
        <w:jc w:val="both"/>
      </w:pPr>
      <w:bookmarkStart w:id="416" w:name="bookmark416"/>
      <w:r>
        <w:rPr>
          <w:rFonts w:ascii="Times New Roman" w:eastAsia="Times New Roman" w:hAnsi="Times New Roman" w:cs="Times New Roman"/>
          <w:color w:val="000000"/>
          <w:spacing w:val="0"/>
          <w:w w:val="100"/>
          <w:position w:val="0"/>
        </w:rPr>
        <w:t>（</w:t>
      </w:r>
      <w:bookmarkEnd w:id="416"/>
      <w:r>
        <w:rPr>
          <w:rFonts w:ascii="Times New Roman" w:eastAsia="Times New Roman" w:hAnsi="Times New Roman" w:cs="Times New Roman"/>
          <w:color w:val="000000"/>
          <w:spacing w:val="0"/>
          <w:w w:val="100"/>
          <w:position w:val="0"/>
        </w:rPr>
        <w:t>1</w:t>
      </w:r>
      <w:r>
        <w:rPr>
          <w:color w:val="000000"/>
          <w:spacing w:val="0"/>
          <w:w w:val="100"/>
          <w:position w:val="0"/>
        </w:rPr>
        <w:t>）公司履行社会责任的宗旨和理念</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公司自成立以来，在自身的企业文化和价值取向的指引下，在积极努力创造价值的同时，一直坚持履 行对社会的责任，公司秉承“寓教于乐，智创家庭幸福”的理念，以诚实和正直作为处事的原则，赞赏相 互的信任和尊重，鼓励员工队伍的多元化和对多文化的认同，保护和关心我们的社区和周围的环境，发扬 中华优秀文化，弘扬社会主义核心价值观。</w:t>
      </w:r>
    </w:p>
    <w:p>
      <w:pPr>
        <w:pStyle w:val="Style40"/>
        <w:keepNext w:val="0"/>
        <w:keepLines w:val="0"/>
        <w:widowControl w:val="0"/>
        <w:shd w:val="clear" w:color="auto" w:fill="auto"/>
        <w:tabs>
          <w:tab w:pos="863" w:val="left"/>
        </w:tabs>
        <w:bidi w:val="0"/>
        <w:spacing w:before="0" w:after="0" w:line="468" w:lineRule="exact"/>
        <w:ind w:left="0" w:right="0" w:firstLine="440"/>
        <w:jc w:val="both"/>
      </w:pPr>
      <w:bookmarkStart w:id="417" w:name="bookmark417"/>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w:t>
        <w:tab/>
        <w:t>股东和债权人权益保护</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公司严格按照坚持《公司法》、《证券法》、《创业板股票上市规则》等法律法规、部门规章、规范性文 件和公司章程的规定，坚持规范运作，真实、准确、完整、及时公平地向所有股东进行信息披露；依法召 开股东大会，积极主动地采取网络投票等方式扩大股东参与股东大会的比例，不断完善内控体系和法人治 理结构，以维护全体股东，特别是中小股东的利益。同时，通过网上业绩说明会、投资者电话、传真、电 子邮箱和投资者关系互动平台、接待投资者现场调研等多种方式与投资者进行沟通交流，建立良好的互动 平台。</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公司财务政策稳健，资产、资金安全，且严格按照与债权人签订的合同履行债务，做好与债权人的交 流沟通，保持良好的沟通协作关系，以降低自身的经营风险和财务风险，在维护股东利益的同时兼顾债权 人的利益。</w:t>
      </w:r>
    </w:p>
    <w:p>
      <w:pPr>
        <w:pStyle w:val="Style40"/>
        <w:keepNext w:val="0"/>
        <w:keepLines w:val="0"/>
        <w:widowControl w:val="0"/>
        <w:shd w:val="clear" w:color="auto" w:fill="auto"/>
        <w:tabs>
          <w:tab w:pos="863" w:val="left"/>
        </w:tabs>
        <w:bidi w:val="0"/>
        <w:spacing w:before="0" w:after="0" w:line="468" w:lineRule="exact"/>
        <w:ind w:left="0" w:right="0" w:firstLine="440"/>
        <w:jc w:val="both"/>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rPr>
        <w:t>3</w:t>
      </w:r>
      <w:r>
        <w:rPr>
          <w:color w:val="000000"/>
          <w:spacing w:val="0"/>
          <w:w w:val="100"/>
          <w:position w:val="0"/>
        </w:rPr>
        <w:t>）</w:t>
        <w:tab/>
        <w:t>职工权益保护</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公司致力于为员工创造一个积极的、有利于创新的氛围和工作环境，鼓励团队合作，最大发挥每个员 工的潜能，培养和鼓励员工个人专业技能的发展，鼓励员工创新与变革，积极发现并奖励员工杰出的表现, 为员工提供有竞争力的薪资和福利，并培育持续的双向沟通，提供持续的建设性评价。公司亦严格遵守《劳 动法》和《劳动合同法》，依法保护职工的合法权益。所有员工均按照国家和地方有关法律法规与公司签 订《劳动合同》。公司严格按照国家规定和标准为员工提供福利保障，按照国家规定为员工缴纳社会保险, 法定福利的缴纳比例及缴纳基数依据国家相关规定执行。</w:t>
      </w:r>
    </w:p>
    <w:p>
      <w:pPr>
        <w:pStyle w:val="Style40"/>
        <w:keepNext w:val="0"/>
        <w:keepLines w:val="0"/>
        <w:widowControl w:val="0"/>
        <w:shd w:val="clear" w:color="auto" w:fill="auto"/>
        <w:tabs>
          <w:tab w:pos="863" w:val="left"/>
        </w:tabs>
        <w:bidi w:val="0"/>
        <w:spacing w:before="0" w:after="0" w:line="468" w:lineRule="exact"/>
        <w:ind w:left="0" w:right="0" w:firstLine="440"/>
        <w:jc w:val="both"/>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rPr>
        <w:t>4</w:t>
      </w:r>
      <w:r>
        <w:rPr>
          <w:color w:val="000000"/>
          <w:spacing w:val="0"/>
          <w:w w:val="100"/>
          <w:position w:val="0"/>
        </w:rPr>
        <w:t>）</w:t>
        <w:tab/>
        <w:t>供应商、客户和消费者权益保护</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公司拥有一支年轻、富有创造力的经营管理团队，优秀的团队为客户提供专业、及时、多语种的沟通。 让客户感到满意，理解客户的远景和战略，持续提高我们的产品、服务和价值，预见并满足客户的需要， 建立有效的客户和供应商联盟是我们对客户的责任，在这样的基础上，我们与供应商、客户和消费者之间 保持长期良好的合作关系，充分尊重并保护供应商、客户和消费者的合法权益。</w:t>
      </w:r>
    </w:p>
    <w:p>
      <w:pPr>
        <w:pStyle w:val="Style40"/>
        <w:keepNext w:val="0"/>
        <w:keepLines w:val="0"/>
        <w:widowControl w:val="0"/>
        <w:shd w:val="clear" w:color="auto" w:fill="auto"/>
        <w:tabs>
          <w:tab w:pos="863" w:val="left"/>
        </w:tabs>
        <w:bidi w:val="0"/>
        <w:spacing w:before="0" w:after="0" w:line="468" w:lineRule="exact"/>
        <w:ind w:left="0" w:right="0" w:firstLine="440"/>
        <w:jc w:val="both"/>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rPr>
        <w:t>5</w:t>
      </w:r>
      <w:r>
        <w:rPr>
          <w:color w:val="000000"/>
          <w:spacing w:val="0"/>
          <w:w w:val="100"/>
          <w:position w:val="0"/>
        </w:rPr>
        <w:t>）</w:t>
        <w:tab/>
        <w:t>新冠肺炎病毒疫情防控工作</w:t>
      </w:r>
    </w:p>
    <w:p>
      <w:pPr>
        <w:pStyle w:val="Style4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报告期内，国内外爆发了新冠肺炎病毒疫情，公司相应作出了疫情防控工作，为国际社会共同抵御新 冠肺炎病毒作出了贡献。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日，公司海外子公司</w:t>
      </w:r>
      <w:r>
        <w:rPr>
          <w:rFonts w:ascii="Times New Roman" w:eastAsia="Times New Roman" w:hAnsi="Times New Roman" w:cs="Times New Roman"/>
          <w:color w:val="000000"/>
          <w:spacing w:val="0"/>
          <w:w w:val="100"/>
          <w:position w:val="0"/>
        </w:rPr>
        <w:t>Ekipa2</w:t>
      </w:r>
      <w:r>
        <w:rPr>
          <w:color w:val="000000"/>
          <w:spacing w:val="0"/>
          <w:w w:val="100"/>
          <w:position w:val="0"/>
        </w:rPr>
        <w:t>向斯洛文尼亚三家新冠患者救治医院提供 首批</w:t>
      </w:r>
      <w:r>
        <w:rPr>
          <w:rFonts w:ascii="Times New Roman" w:eastAsia="Times New Roman" w:hAnsi="Times New Roman" w:cs="Times New Roman"/>
          <w:color w:val="000000"/>
          <w:spacing w:val="0"/>
          <w:w w:val="100"/>
          <w:position w:val="0"/>
        </w:rPr>
        <w:t>10</w:t>
      </w:r>
      <w:r>
        <w:rPr>
          <w:color w:val="000000"/>
          <w:spacing w:val="0"/>
          <w:w w:val="100"/>
          <w:position w:val="0"/>
        </w:rPr>
        <w:t>万欧元的资金援助；</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日，在中国外交部、商务部、斯洛文尼亚驻中国大使馆、中国驻斯洛文尼 </w:t>
      </w:r>
      <w:r>
        <w:rPr>
          <w:color w:val="000000"/>
          <w:spacing w:val="0"/>
          <w:w w:val="100"/>
          <w:position w:val="0"/>
        </w:rPr>
        <w:t>亚大使馆、青岛市人民政府外事办公室等多方协助之下，公司捐赠</w:t>
      </w:r>
      <w:r>
        <w:rPr>
          <w:rFonts w:ascii="Times New Roman" w:eastAsia="Times New Roman" w:hAnsi="Times New Roman" w:cs="Times New Roman"/>
          <w:color w:val="000000"/>
          <w:spacing w:val="0"/>
          <w:w w:val="100"/>
          <w:position w:val="0"/>
        </w:rPr>
        <w:t>10</w:t>
      </w:r>
      <w:r>
        <w:rPr>
          <w:color w:val="000000"/>
          <w:spacing w:val="0"/>
          <w:w w:val="100"/>
          <w:position w:val="0"/>
        </w:rPr>
        <w:t>万只一次性医用口罩、</w:t>
      </w:r>
      <w:r>
        <w:rPr>
          <w:rFonts w:ascii="Times New Roman" w:eastAsia="Times New Roman" w:hAnsi="Times New Roman" w:cs="Times New Roman"/>
          <w:color w:val="000000"/>
          <w:spacing w:val="0"/>
          <w:w w:val="100"/>
          <w:position w:val="0"/>
        </w:rPr>
        <w:t>2</w:t>
      </w:r>
      <w:r>
        <w:rPr>
          <w:color w:val="000000"/>
          <w:spacing w:val="0"/>
          <w:w w:val="100"/>
          <w:position w:val="0"/>
        </w:rPr>
        <w:t>万只</w:t>
      </w:r>
      <w:r>
        <w:rPr>
          <w:rFonts w:ascii="Times New Roman" w:eastAsia="Times New Roman" w:hAnsi="Times New Roman" w:cs="Times New Roman"/>
          <w:color w:val="000000"/>
          <w:spacing w:val="0"/>
          <w:w w:val="100"/>
          <w:position w:val="0"/>
        </w:rPr>
        <w:t>KN95</w:t>
      </w:r>
      <w:r>
        <w:rPr>
          <w:color w:val="000000"/>
          <w:spacing w:val="0"/>
          <w:w w:val="100"/>
          <w:position w:val="0"/>
        </w:rPr>
        <w:t>防 护口罩运往斯洛文尼亚首都。</w:t>
      </w:r>
    </w:p>
    <w:p>
      <w:pPr>
        <w:pStyle w:val="Style36"/>
        <w:keepNext/>
        <w:keepLines/>
        <w:widowControl w:val="0"/>
        <w:shd w:val="clear" w:color="auto" w:fill="auto"/>
        <w:tabs>
          <w:tab w:pos="378" w:val="left"/>
        </w:tabs>
        <w:bidi w:val="0"/>
        <w:spacing w:before="0" w:after="120" w:line="492"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w:t>
        <w:tab/>
        <w:t>履行精准扶贫社会责任情况</w:t>
      </w:r>
      <w:bookmarkEnd w:id="421"/>
      <w:bookmarkEnd w:id="422"/>
      <w:bookmarkEnd w:id="42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120" w:line="492"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w:t>
        <w:tab/>
        <w:t>环境保护相关的情况</w:t>
      </w:r>
      <w:bookmarkEnd w:id="425"/>
      <w:bookmarkEnd w:id="426"/>
      <w:bookmarkEnd w:id="42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口是"不适用</w:t>
      </w:r>
    </w:p>
    <w:p>
      <w:pPr>
        <w:pStyle w:val="Style40"/>
        <w:keepNext w:val="0"/>
        <w:keepLines w:val="0"/>
        <w:widowControl w:val="0"/>
        <w:shd w:val="clear" w:color="auto" w:fill="auto"/>
        <w:bidi w:val="0"/>
        <w:spacing w:before="0" w:after="420" w:line="470" w:lineRule="exact"/>
        <w:ind w:left="0" w:right="0" w:firstLine="520"/>
        <w:jc w:val="left"/>
      </w:pPr>
      <w:r>
        <w:rPr>
          <w:color w:val="000000"/>
          <w:spacing w:val="0"/>
          <w:w w:val="100"/>
          <w:position w:val="0"/>
        </w:rPr>
        <w:t>公司及子公司均不属于重点排污单位。</w:t>
      </w:r>
    </w:p>
    <w:p>
      <w:pPr>
        <w:pStyle w:val="Style29"/>
        <w:keepNext/>
        <w:keepLines/>
        <w:widowControl w:val="0"/>
        <w:shd w:val="clear" w:color="auto" w:fill="auto"/>
        <w:bidi w:val="0"/>
        <w:spacing w:before="0" w:after="34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十八、其他重大事项的说明</w:t>
      </w:r>
      <w:bookmarkEnd w:id="429"/>
      <w:bookmarkEnd w:id="430"/>
      <w:bookmarkEnd w:id="431"/>
    </w:p>
    <w:p>
      <w:pPr>
        <w:pStyle w:val="Style34"/>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677"/>
        <w:gridCol w:w="1704"/>
        <w:gridCol w:w="4651"/>
        <w:gridCol w:w="2832"/>
      </w:tblGrid>
      <w:tr>
        <w:trPr>
          <w:trHeight w:val="5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公告文件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披露网址</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《关于变更公司副总经理的公告》（公告编号：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http://www. cninfo .com. cn/ </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《关于调整部分高级管理人员及证券事务代表的公告》</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http://www. cninfo .com. cn/ </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《关于完成公司董事会、监事会换届选举暨聘任高级管理 人员、证券事务代表的公告》（公告编号：</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《关于监事辞职及提名监事候选人的公告》（公告编号：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《关于对外投资的公告》（公告编号：</w:t>
            </w:r>
            <w:r>
              <w:rPr>
                <w:rFonts w:ascii="Times New Roman" w:eastAsia="Times New Roman" w:hAnsi="Times New Roman" w:cs="Times New Roman"/>
                <w:color w:val="000000"/>
                <w:spacing w:val="0"/>
                <w:w w:val="100"/>
                <w:position w:val="0"/>
                <w:sz w:val="18"/>
                <w:szCs w:val="18"/>
              </w:rPr>
              <w:t>2020-103</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《关于拟变更董事及聘任副总经理的公告》（公告编号：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2020-128</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关于重大资产重组业绩承诺实现情况及业绩补偿方案暨 回购注销对应补偿股份的公告》（公告编号：</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《关于公司非经营性资金占用情况的自查说明》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关于解决资金占用事项的进展暨占用资金归还完毕的公 告。（公告编号:</w:t>
            </w:r>
            <w:r>
              <w:rPr>
                <w:rFonts w:ascii="Times New Roman" w:eastAsia="Times New Roman" w:hAnsi="Times New Roman" w:cs="Times New Roman"/>
                <w:color w:val="000000"/>
                <w:spacing w:val="0"/>
                <w:w w:val="100"/>
                <w:position w:val="0"/>
                <w:sz w:val="18"/>
                <w:szCs w:val="18"/>
              </w:rPr>
              <w:t>2020-104</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十九、公司子公司重大事项</w:t>
      </w:r>
      <w:bookmarkEnd w:id="432"/>
      <w:bookmarkEnd w:id="433"/>
      <w:bookmarkEnd w:id="43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435" w:name="bookmark435"/>
      <w:bookmarkStart w:id="436" w:name="bookmark436"/>
      <w:bookmarkStart w:id="437" w:name="bookmark437"/>
      <w:bookmarkStart w:id="438" w:name="bookmark438"/>
      <w:r>
        <w:rPr>
          <w:color w:val="000000"/>
          <w:spacing w:val="0"/>
          <w:w w:val="100"/>
          <w:position w:val="0"/>
        </w:rPr>
        <w:t>第六节股份变动及股东情况</w:t>
      </w:r>
      <w:bookmarkEnd w:id="436"/>
      <w:bookmarkEnd w:id="437"/>
      <w:bookmarkEnd w:id="438"/>
      <w:bookmarkEnd w:id="435"/>
    </w:p>
    <w:p>
      <w:pPr>
        <w:pStyle w:val="Style29"/>
        <w:keepNext/>
        <w:keepLines/>
        <w:widowControl w:val="0"/>
        <w:shd w:val="clear" w:color="auto" w:fill="auto"/>
        <w:bidi w:val="0"/>
        <w:spacing w:before="0" w:after="3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一</w:t>
      </w:r>
      <w:bookmarkEnd w:id="441"/>
      <w:r>
        <w:rPr>
          <w:color w:val="000000"/>
          <w:spacing w:val="0"/>
          <w:w w:val="100"/>
          <w:position w:val="0"/>
          <w:sz w:val="24"/>
          <w:szCs w:val="24"/>
        </w:rPr>
        <w:t>、股份变动情况</w:t>
      </w:r>
      <w:bookmarkEnd w:id="439"/>
      <w:bookmarkEnd w:id="440"/>
      <w:bookmarkEnd w:id="442"/>
    </w:p>
    <w:p>
      <w:pPr>
        <w:pStyle w:val="Style36"/>
        <w:keepNext/>
        <w:keepLines/>
        <w:widowControl w:val="0"/>
        <w:shd w:val="clear" w:color="auto" w:fill="auto"/>
        <w:bidi w:val="0"/>
        <w:spacing w:before="0" w:after="34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、股份变动情况</w:t>
      </w:r>
      <w:bookmarkEnd w:id="443"/>
      <w:bookmarkEnd w:id="444"/>
      <w:bookmarkEnd w:id="4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73,143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73,143</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0,236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777,26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2,907</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14,576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37,796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14,576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37,796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44,059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日召开了第三届董事会第三十七次会议，并于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w:t>
      </w:r>
      <w:r>
        <w:rPr>
          <w:rFonts w:ascii="Times New Roman" w:eastAsia="Times New Roman" w:hAnsi="Times New Roman" w:cs="Times New Roman"/>
          <w:color w:val="000000"/>
          <w:spacing w:val="0"/>
          <w:w w:val="100"/>
          <w:position w:val="0"/>
        </w:rPr>
        <w:t>2019</w:t>
      </w:r>
      <w:r>
        <w:rPr>
          <w:color w:val="000000"/>
          <w:spacing w:val="0"/>
          <w:w w:val="100"/>
          <w:position w:val="0"/>
        </w:rPr>
        <w:t>年年度股</w:t>
      </w:r>
    </w:p>
    <w:p>
      <w:pPr>
        <w:pStyle w:val="Style40"/>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东大会，分别审议通过了《关于重大资产重组业绩承诺实现情况及业绩补偿方案暨回购注销对应补偿股份 </w:t>
      </w:r>
      <w:r>
        <w:rPr>
          <w:color w:val="000000"/>
          <w:spacing w:val="0"/>
          <w:w w:val="100"/>
          <w:position w:val="0"/>
        </w:rPr>
        <w:t>的议案》及其他相关议案，公司计划回购注销股东朱志刚先生和王健先生因重大资产重组业绩承诺未实现 及重组标的资产减值而需补偿的股份，并收回相应股份的现金红利。公司于报告期内完成了上述股份回购 注销事项，此外报告期内存在公司部分董监高在期初因高管可减持额度重新计算、期中进行股份托管单元 转托管、离职高管限售期到期解禁等情况，综合导致公司限售与无限售股本结构发生变动。</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469"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公司于报告期内完成了公司关于重大资产重组业绩承诺实现情况及业绩补偿方案暨回购注销对应补 偿股份事项，上述股份变动事项已经公司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日召开的第三届董事会第三十七次会议，以及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年年度股东大会审议通过，并在股份变更完成后及时办理了变更公司注册资本的工 商变更登记手续。</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公司在报告期内完成了关于重大资产重组业绩承诺实现情况及业绩补偿方案暨回购注销对应补偿股 份事项，上述方案的实施导致公司股本结构产生变化，从而对报告期内的基本每股收益、稀释每股收益、 归属于公司普通股的每股净资产等财务指标产生同比例变动影响，具体财务指标数据详见本报告“第十二 节、财务报告”中的相关章节。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00" w:line="48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34"/>
        <w:keepNext w:val="0"/>
        <w:keepLines w:val="0"/>
        <w:widowControl w:val="0"/>
        <w:shd w:val="clear" w:color="auto" w:fill="auto"/>
        <w:bidi w:val="0"/>
        <w:spacing w:before="0" w:after="0" w:line="469" w:lineRule="exact"/>
        <w:ind w:left="0" w:right="0" w:firstLine="0"/>
        <w:jc w:val="distribute"/>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本期增加限售股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本期解除限售股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拟解除限售 日期</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475,534,556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82,062,353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393,472,203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年定向 增发股份限 售 </w:t>
            </w:r>
            <w:r>
              <w:rPr>
                <w:rFonts w:ascii="Times New Roman" w:eastAsia="Times New Roman" w:hAnsi="Times New Roman" w:cs="Times New Roman"/>
                <w:color w:val="000000"/>
                <w:spacing w:val="0"/>
                <w:w w:val="100"/>
                <w:position w:val="0"/>
                <w:sz w:val="18"/>
                <w:szCs w:val="18"/>
              </w:rPr>
              <w:t xml:space="preserve">112,924,866 </w:t>
            </w:r>
            <w:r>
              <w:rPr>
                <w:color w:val="000000"/>
                <w:spacing w:val="0"/>
                <w:w w:val="100"/>
                <w:position w:val="0"/>
                <w:sz w:val="18"/>
                <w:szCs w:val="18"/>
              </w:rPr>
              <w:t>股；高管锁</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王健先生持 有的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 定向增发限 售股份因目 前尚在中国</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0"/>
        <w:gridCol w:w="121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定股份</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280,547,337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证监会立案 调查期间， 暂无法解除 限售；高管 锁定股份解 除限售在其 任职期内遵 守相关限售 规定。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绍兴上虞朱 雀股权投资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351,238,162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351,238,162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年定向 增发股份限 售</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351,238,162 </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317,721,528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381,021,407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年定向 增发股份限 售 </w:t>
            </w:r>
            <w:r>
              <w:rPr>
                <w:rFonts w:ascii="Times New Roman" w:eastAsia="Times New Roman" w:hAnsi="Times New Roman" w:cs="Times New Roman"/>
                <w:color w:val="000000"/>
                <w:spacing w:val="0"/>
                <w:w w:val="100"/>
                <w:position w:val="0"/>
                <w:sz w:val="18"/>
                <w:szCs w:val="18"/>
              </w:rPr>
              <w:t xml:space="preserve">99,058,306 </w:t>
            </w:r>
            <w:r>
              <w:rPr>
                <w:color w:val="000000"/>
                <w:spacing w:val="0"/>
                <w:w w:val="100"/>
                <w:position w:val="0"/>
                <w:sz w:val="18"/>
                <w:szCs w:val="18"/>
              </w:rPr>
              <w:t xml:space="preserve">股；高管锁 定股份 </w:t>
            </w:r>
            <w:r>
              <w:rPr>
                <w:rFonts w:ascii="Times New Roman" w:eastAsia="Times New Roman" w:hAnsi="Times New Roman" w:cs="Times New Roman"/>
                <w:color w:val="000000"/>
                <w:spacing w:val="0"/>
                <w:w w:val="100"/>
                <w:position w:val="0"/>
                <w:sz w:val="18"/>
                <w:szCs w:val="18"/>
              </w:rPr>
              <w:t xml:space="preserve">281,963,101 </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年定向 增发限售股 份拟于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 解除限售； 高管锁定股 份解除限售 在其任职期 内遵守相关 限售规定。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深圳霖枫投 资咨询有限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年定向 增发股份限 售 </w:t>
            </w:r>
            <w:r>
              <w:rPr>
                <w:rFonts w:ascii="Times New Roman" w:eastAsia="Times New Roman" w:hAnsi="Times New Roman" w:cs="Times New Roman"/>
                <w:color w:val="000000"/>
                <w:spacing w:val="0"/>
                <w:w w:val="100"/>
                <w:position w:val="0"/>
                <w:sz w:val="18"/>
                <w:szCs w:val="18"/>
              </w:rPr>
              <w:t xml:space="preserve">62,736,037 </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中信建投资 本管理有限 公司一绍兴 上虞杭天股 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年定向 增发股份限 售 </w:t>
            </w:r>
            <w:r>
              <w:rPr>
                <w:rFonts w:ascii="Times New Roman" w:eastAsia="Times New Roman" w:hAnsi="Times New Roman" w:cs="Times New Roman"/>
                <w:color w:val="000000"/>
                <w:spacing w:val="0"/>
                <w:w w:val="100"/>
                <w:position w:val="0"/>
                <w:sz w:val="18"/>
                <w:szCs w:val="18"/>
              </w:rPr>
              <w:t xml:space="preserve">62,736,037 </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魏洪涛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3,573,299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 xml:space="preserve">因高管离职 锁定股份 </w:t>
            </w:r>
            <w:r>
              <w:rPr>
                <w:rFonts w:ascii="Times New Roman" w:eastAsia="Times New Roman" w:hAnsi="Times New Roman" w:cs="Times New Roman"/>
                <w:color w:val="000000"/>
                <w:spacing w:val="0"/>
                <w:w w:val="100"/>
                <w:position w:val="0"/>
                <w:sz w:val="18"/>
                <w:szCs w:val="18"/>
              </w:rPr>
              <w:t xml:space="preserve">2,679,974 </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因高管离职 锁定股份将 在相关规定 的股份锁定 期满后解除 限售。</w:t>
            </w:r>
          </w:p>
        </w:tc>
      </w:tr>
    </w:tbl>
    <w:p>
      <w:pPr>
        <w:widowControl w:val="0"/>
        <w:spacing w:line="1" w:lineRule="exact"/>
      </w:pPr>
    </w:p>
    <w:tbl>
      <w:tblPr>
        <w:tblOverlap w:val="never"/>
        <w:jc w:val="center"/>
        <w:tblLayout w:type="fixed"/>
      </w:tblPr>
      <w:tblGrid>
        <w:gridCol w:w="1214"/>
        <w:gridCol w:w="1488"/>
        <w:gridCol w:w="1488"/>
        <w:gridCol w:w="1488"/>
        <w:gridCol w:w="1488"/>
        <w:gridCol w:w="1200"/>
        <w:gridCol w:w="121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年定向 增发股份限 售 </w:t>
            </w:r>
            <w:r>
              <w:rPr>
                <w:rFonts w:ascii="Times New Roman" w:eastAsia="Times New Roman" w:hAnsi="Times New Roman" w:cs="Times New Roman"/>
                <w:color w:val="000000"/>
                <w:spacing w:val="0"/>
                <w:w w:val="100"/>
                <w:position w:val="0"/>
                <w:sz w:val="18"/>
                <w:szCs w:val="18"/>
              </w:rPr>
              <w:t xml:space="preserve">83,648 </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高管锁定股 份</w:t>
            </w:r>
            <w:r>
              <w:rPr>
                <w:rFonts w:ascii="Times New Roman" w:eastAsia="Times New Roman" w:hAnsi="Times New Roman" w:cs="Times New Roman"/>
                <w:color w:val="000000"/>
                <w:spacing w:val="0"/>
                <w:w w:val="100"/>
                <w:position w:val="0"/>
                <w:sz w:val="18"/>
                <w:szCs w:val="18"/>
              </w:rPr>
              <w:t>5,675</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高管锁定股 份在其任职 期内遵守相 关限售规 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陈国良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1,273,629,483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63,299,879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82,956,219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1,253,973,143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tabs>
          <w:tab w:pos="512" w:val="left"/>
        </w:tabs>
        <w:bidi w:val="0"/>
        <w:spacing w:before="0" w:after="12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w:t>
        <w:tab/>
        <w:t>证券发行与上市情况</w:t>
      </w:r>
      <w:bookmarkEnd w:id="451"/>
      <w:bookmarkEnd w:id="452"/>
      <w:bookmarkEnd w:id="454"/>
    </w:p>
    <w:p>
      <w:pPr>
        <w:pStyle w:val="Style36"/>
        <w:keepNext/>
        <w:keepLines/>
        <w:widowControl w:val="0"/>
        <w:shd w:val="clear" w:color="auto" w:fill="auto"/>
        <w:tabs>
          <w:tab w:pos="384" w:val="left"/>
        </w:tabs>
        <w:bidi w:val="0"/>
        <w:spacing w:before="0" w:line="469" w:lineRule="exact"/>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w:t>
        <w:tab/>
        <w:t>报告期内证券发行（不含优先股）情况</w:t>
      </w:r>
      <w:bookmarkEnd w:id="455"/>
      <w:bookmarkEnd w:id="456"/>
      <w:bookmarkEnd w:id="45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4" w:val="left"/>
        </w:tabs>
        <w:bidi w:val="0"/>
        <w:spacing w:before="0" w:line="469" w:lineRule="exact"/>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公司股份总数及股东结构的变动、公司资产和负债结构的变动情况说明</w:t>
      </w:r>
      <w:bookmarkEnd w:id="459"/>
      <w:bookmarkEnd w:id="460"/>
      <w:bookmarkEnd w:id="46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日召开了第三届董事会第三十七次会议，并于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w:t>
      </w:r>
      <w:r>
        <w:rPr>
          <w:rFonts w:ascii="Times New Roman" w:eastAsia="Times New Roman" w:hAnsi="Times New Roman" w:cs="Times New Roman"/>
          <w:color w:val="000000"/>
          <w:spacing w:val="0"/>
          <w:w w:val="100"/>
          <w:position w:val="0"/>
        </w:rPr>
        <w:t>2019</w:t>
      </w:r>
      <w:r>
        <w:rPr>
          <w:color w:val="000000"/>
          <w:spacing w:val="0"/>
          <w:w w:val="100"/>
          <w:position w:val="0"/>
        </w:rPr>
        <w:t>年年度股 东大会，分别审议通过了《关于重大资产重组业绩承诺实现情况及业绩补偿方案暨回购注销对应补偿股份 的议案》及其他相关议案，公司计划回购注销股东朱志刚先生和王健先生因重大资产重组业绩承诺未实现 及重组标的资产减值而需补偿的股份，并收回相应股份的现金红利。公司于报告期内完成了上述股份回购 注销事项，公司分别回购注销了朱志刚先生和王健先生业绩补偿股份</w:t>
      </w:r>
      <w:r>
        <w:rPr>
          <w:rFonts w:ascii="Times New Roman" w:eastAsia="Times New Roman" w:hAnsi="Times New Roman" w:cs="Times New Roman"/>
          <w:color w:val="000000"/>
          <w:spacing w:val="0"/>
          <w:w w:val="100"/>
          <w:position w:val="0"/>
        </w:rPr>
        <w:t>13,866,560</w:t>
      </w:r>
      <w:r>
        <w:rPr>
          <w:color w:val="000000"/>
          <w:spacing w:val="0"/>
          <w:w w:val="100"/>
          <w:position w:val="0"/>
        </w:rPr>
        <w:t>股，合计</w:t>
      </w:r>
      <w:r>
        <w:rPr>
          <w:rFonts w:ascii="Times New Roman" w:eastAsia="Times New Roman" w:hAnsi="Times New Roman" w:cs="Times New Roman"/>
          <w:color w:val="000000"/>
          <w:spacing w:val="0"/>
          <w:w w:val="100"/>
          <w:position w:val="0"/>
        </w:rPr>
        <w:t>27,733,120</w:t>
      </w:r>
      <w:r>
        <w:rPr>
          <w:color w:val="000000"/>
          <w:spacing w:val="0"/>
          <w:w w:val="100"/>
          <w:position w:val="0"/>
        </w:rPr>
        <w:t xml:space="preserve">股，同 时公司已分别收回朱志刚先生和王健先生应返还的现金红利。截至报告期末，公司总股本变更为 </w:t>
      </w:r>
      <w:r>
        <w:rPr>
          <w:rFonts w:ascii="Times New Roman" w:eastAsia="Times New Roman" w:hAnsi="Times New Roman" w:cs="Times New Roman"/>
          <w:color w:val="000000"/>
          <w:spacing w:val="0"/>
          <w:w w:val="100"/>
          <w:position w:val="0"/>
        </w:rPr>
        <w:t>3,515,810,939</w:t>
      </w:r>
      <w:r>
        <w:rPr>
          <w:color w:val="000000"/>
          <w:spacing w:val="0"/>
          <w:w w:val="100"/>
          <w:position w:val="0"/>
        </w:rPr>
        <w:t>股（其中含公司以集中竞价交易方式回购的社会公众股</w:t>
      </w:r>
      <w:r>
        <w:rPr>
          <w:rFonts w:ascii="Times New Roman" w:eastAsia="Times New Roman" w:hAnsi="Times New Roman" w:cs="Times New Roman"/>
          <w:color w:val="000000"/>
          <w:spacing w:val="0"/>
          <w:w w:val="100"/>
          <w:position w:val="0"/>
        </w:rPr>
        <w:t>37,916,000</w:t>
      </w:r>
      <w:r>
        <w:rPr>
          <w:color w:val="000000"/>
          <w:spacing w:val="0"/>
          <w:w w:val="100"/>
          <w:position w:val="0"/>
        </w:rPr>
        <w:t>股）。上述公司总股本变动 对公司资产和负债的变动情况详见本报告“第十二节、财务报告”中的相关章节。</w:t>
      </w:r>
    </w:p>
    <w:p>
      <w:pPr>
        <w:pStyle w:val="Style36"/>
        <w:keepNext/>
        <w:keepLines/>
        <w:widowControl w:val="0"/>
        <w:shd w:val="clear" w:color="auto" w:fill="auto"/>
        <w:tabs>
          <w:tab w:pos="384" w:val="left"/>
        </w:tabs>
        <w:bidi w:val="0"/>
        <w:spacing w:before="0" w:line="469" w:lineRule="exact"/>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现存的内部职工股情况</w:t>
      </w:r>
      <w:bookmarkEnd w:id="463"/>
      <w:bookmarkEnd w:id="464"/>
      <w:bookmarkEnd w:id="46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12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三</w:t>
      </w:r>
      <w:bookmarkEnd w:id="469"/>
      <w:r>
        <w:rPr>
          <w:color w:val="000000"/>
          <w:spacing w:val="0"/>
          <w:w w:val="100"/>
          <w:position w:val="0"/>
          <w:sz w:val="24"/>
          <w:szCs w:val="24"/>
        </w:rPr>
        <w:t>、</w:t>
        <w:tab/>
        <w:t>股东和实际控制人情况</w:t>
      </w:r>
      <w:bookmarkEnd w:id="467"/>
      <w:bookmarkEnd w:id="468"/>
      <w:bookmarkEnd w:id="470"/>
    </w:p>
    <w:p>
      <w:pPr>
        <w:pStyle w:val="Style36"/>
        <w:keepNext/>
        <w:keepLines/>
        <w:widowControl w:val="0"/>
        <w:shd w:val="clear" w:color="auto" w:fill="auto"/>
        <w:bidi w:val="0"/>
        <w:spacing w:before="0" w:line="469" w:lineRule="exact"/>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、公司股东数量及持股情况</w:t>
      </w:r>
      <w:bookmarkEnd w:id="471"/>
      <w:bookmarkEnd w:id="472"/>
      <w:bookmarkEnd w:id="474"/>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05"/>
        <w:gridCol w:w="1200"/>
        <w:gridCol w:w="926"/>
        <w:gridCol w:w="1066"/>
        <w:gridCol w:w="1061"/>
        <w:gridCol w:w="1066"/>
        <w:gridCol w:w="926"/>
        <w:gridCol w:w="1066"/>
        <w:gridCol w:w="106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报告期末普 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106,504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107,009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报告期末 表决权恢 复的优先 股股东总 数（如有）</w:t>
            </w:r>
          </w:p>
          <w:p>
            <w:pPr>
              <w:pStyle w:val="Style2"/>
              <w:keepNext w:val="0"/>
              <w:keepLines w:val="0"/>
              <w:widowControl w:val="0"/>
              <w:shd w:val="clear" w:color="auto" w:fill="auto"/>
              <w:bidi w:val="0"/>
              <w:spacing w:before="0" w:after="80" w:line="316" w:lineRule="exact"/>
              <w:ind w:left="0" w:right="0" w:firstLine="0"/>
              <w:jc w:val="both"/>
              <w:rPr>
                <w:sz w:val="18"/>
                <w:szCs w:val="18"/>
              </w:rPr>
            </w:pPr>
            <w:r>
              <w:rPr>
                <w:color w:val="000000"/>
                <w:spacing w:val="0"/>
                <w:w w:val="100"/>
                <w:position w:val="0"/>
                <w:sz w:val="18"/>
                <w:szCs w:val="18"/>
              </w:rPr>
              <w:t>（参见注</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 售条件的 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持有无</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936" w:hRule="exact"/>
        </w:trPr>
        <w:tc>
          <w:tcPr>
            <w:tcBorders>
              <w:left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240"/>
              <w:jc w:val="left"/>
              <w:rPr>
                <w:sz w:val="18"/>
                <w:szCs w:val="18"/>
              </w:rPr>
            </w:pPr>
            <w:r>
              <w:rPr>
                <w:color w:val="000000"/>
                <w:spacing w:val="0"/>
                <w:w w:val="100"/>
                <w:position w:val="0"/>
                <w:sz w:val="18"/>
                <w:szCs w:val="18"/>
              </w:rPr>
              <w:t>股东名称</w:t>
            </w:r>
          </w:p>
        </w:tc>
        <w:tc>
          <w:tcPr>
            <w:tcBorders>
              <w:left w:val="single" w:sz="4"/>
            </w:tcBorders>
            <w:shd w:val="clear" w:color="auto" w:fill="D3D3D3"/>
            <w:vAlign w:val="top"/>
          </w:tcPr>
          <w:p>
            <w:pPr>
              <w:pStyle w:val="Style2"/>
              <w:keepNext w:val="0"/>
              <w:keepLines w:val="0"/>
              <w:widowControl w:val="0"/>
              <w:shd w:val="clear" w:color="auto" w:fill="auto"/>
              <w:bidi w:val="0"/>
              <w:spacing w:before="160" w:after="0" w:line="240" w:lineRule="auto"/>
              <w:ind w:left="0" w:right="0" w:firstLine="240"/>
              <w:jc w:val="left"/>
              <w:rPr>
                <w:sz w:val="18"/>
                <w:szCs w:val="18"/>
              </w:rPr>
            </w:pPr>
            <w:r>
              <w:rPr>
                <w:color w:val="000000"/>
                <w:spacing w:val="0"/>
                <w:w w:val="100"/>
                <w:position w:val="0"/>
                <w:sz w:val="18"/>
                <w:szCs w:val="18"/>
              </w:rPr>
              <w:t>股东性质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报告期末 持股数量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限售条</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件的股</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数量</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金科控股集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515,475,46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515,475,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513,223,84</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团有限公司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393,509,49</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-14960885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393,472,20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393,498,97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381,021,40</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-42607298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381,021,40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366,802,61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绍兴上虞朱 雀股权投资 合伙企业</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351,238,16</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351,238,16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351,154,51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绍兴上虞艾 泽拉思投资 管理合伙企 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98,427,669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-72703652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86,577,669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深圳霖枫投 资咨询有限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62,736,037</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中信建投资 本管理有限 公司一绍兴 上虞杭天股 权投资合伙 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香港中央结</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60,966,982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全国社保基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40,109,995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200"/>
        <w:gridCol w:w="926"/>
        <w:gridCol w:w="1066"/>
        <w:gridCol w:w="1061"/>
        <w:gridCol w:w="1066"/>
        <w:gridCol w:w="926"/>
        <w:gridCol w:w="1066"/>
        <w:gridCol w:w="106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金六零四组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陈伟明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13,866,600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 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 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公司控股股东金科控股集团有限公司为公司实际控制人朱志刚先生控制的企业，双方存在 一致行动关系。此外的其他股东，公司未知股东间是否存在关联关系或一致行动人关系。</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 决权、放弃表决权情况的说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515,475,460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515,475,46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绍兴上虞艾泽拉思投资管理 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98,427,669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98,427,669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60,966,982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60,966,982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全国社保基金六零四组合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40,109,995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40,109,995</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陈伟明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13,870,000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中国农业银行股份有限公司 一中证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交易型开放式指 数证券投资基金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11,560,862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11,560,862</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浙江盈迈资产管理有限公司 一盈迈财子一号证券私募投 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5,580,000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上海天倚道投资管理有限公 司一天倚道昕弘成长</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号 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法国兴业银行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4,017,912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4,017,912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黄兴荣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3,889,500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3,889,500</w:t>
            </w:r>
          </w:p>
        </w:tc>
      </w:tr>
      <w:tr>
        <w:trPr>
          <w:trHeight w:val="365" w:hRule="exact"/>
        </w:trPr>
        <w:tc>
          <w:tcPr>
            <w:gridSpan w:val="2"/>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w:t>
            </w:r>
          </w:p>
        </w:tc>
        <w:tc>
          <w:tcPr>
            <w:gridSpan w:val="7"/>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公司控股股东金科控股集团有限公司为公司实际控制人朱志刚先生控制的企业，双方存在</w:t>
            </w:r>
          </w:p>
        </w:tc>
      </w:tr>
    </w:tbl>
    <w:p>
      <w:pPr>
        <w:widowControl w:val="0"/>
        <w:spacing w:line="1" w:lineRule="exact"/>
      </w:pPr>
      <w:r>
        <w:br w:type="page"/>
      </w:r>
    </w:p>
    <w:tbl>
      <w:tblPr>
        <w:tblOverlap w:val="never"/>
        <w:jc w:val="center"/>
        <w:tblLayout w:type="fixed"/>
      </w:tblPr>
      <w:tblGrid>
        <w:gridCol w:w="2405"/>
        <w:gridCol w:w="717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 间关联关系或一致行动的说 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一致行动关系。此外的其他股东，公司未知股东间是否存在关联关系或一致行动人关系。</w:t>
            </w:r>
          </w:p>
        </w:tc>
      </w:tr>
      <w:tr>
        <w:trPr>
          <w:trHeight w:val="20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股东浙江盈迈资产管理有限公司一盈迈财子一号证券私募投资基金通过东兴证券股份 有限公司客户信用交易担保证券账户持有公司股份</w:t>
            </w:r>
            <w:r>
              <w:rPr>
                <w:rFonts w:ascii="Times New Roman" w:eastAsia="Times New Roman" w:hAnsi="Times New Roman" w:cs="Times New Roman"/>
                <w:color w:val="000000"/>
                <w:spacing w:val="0"/>
                <w:w w:val="100"/>
                <w:position w:val="0"/>
                <w:sz w:val="18"/>
                <w:szCs w:val="18"/>
              </w:rPr>
              <w:t>5,580,000</w:t>
            </w:r>
            <w:r>
              <w:rPr>
                <w:color w:val="000000"/>
                <w:spacing w:val="0"/>
                <w:w w:val="100"/>
                <w:position w:val="0"/>
                <w:sz w:val="18"/>
                <w:szCs w:val="18"/>
              </w:rPr>
              <w:t>股，未通过普通证券账户持 有公司股份。</w:t>
            </w:r>
          </w:p>
          <w:p>
            <w:pPr>
              <w:pStyle w:val="Style2"/>
              <w:keepNext w:val="0"/>
              <w:keepLines w:val="0"/>
              <w:widowControl w:val="0"/>
              <w:shd w:val="clear" w:color="auto" w:fill="auto"/>
              <w:tabs>
                <w:tab w:pos="216" w:val="left"/>
              </w:tabs>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股东上海天倚道投资管理有限公司一天倚道昕弘成长</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号私募证券投资基金通过申万 宏源证券有限公司客户信用交易担保证券账户持有公司股份</w:t>
            </w:r>
            <w:r>
              <w:rPr>
                <w:rFonts w:ascii="Times New Roman" w:eastAsia="Times New Roman" w:hAnsi="Times New Roman" w:cs="Times New Roman"/>
                <w:color w:val="000000"/>
                <w:spacing w:val="0"/>
                <w:w w:val="100"/>
                <w:position w:val="0"/>
                <w:sz w:val="18"/>
                <w:szCs w:val="18"/>
              </w:rPr>
              <w:t>5,300,000</w:t>
            </w:r>
            <w:r>
              <w:rPr>
                <w:color w:val="000000"/>
                <w:spacing w:val="0"/>
                <w:w w:val="100"/>
                <w:position w:val="0"/>
                <w:sz w:val="18"/>
                <w:szCs w:val="18"/>
              </w:rPr>
              <w:t>股，未通过普通证 券账户持有公司股份。</w:t>
            </w:r>
          </w:p>
        </w:tc>
      </w:tr>
    </w:tbl>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1"/>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、公司控股股东情况</w:t>
      </w:r>
      <w:bookmarkEnd w:id="475"/>
      <w:bookmarkEnd w:id="476"/>
      <w:bookmarkEnd w:id="4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5"/>
        <w:gridCol w:w="1594"/>
        <w:gridCol w:w="1752"/>
        <w:gridCol w:w="22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91330604146113809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环保、制冷设备、泳池成 套设备、水处理设备设计、 制造、安装；金属制品加 工、销售；实业投资、控 股；塑料粒子销售；进出 口业务（法律法规禁止项 目除外，限制项目取得许 可证后方可经营）。</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、公司实际控制人及其一致行动人</w:t>
      </w:r>
      <w:bookmarkEnd w:id="479"/>
      <w:bookmarkEnd w:id="480"/>
      <w:bookmarkEnd w:id="48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bl>
    <w:p>
      <w:pPr>
        <w:widowControl w:val="0"/>
        <w:spacing w:line="1" w:lineRule="exact"/>
      </w:pPr>
    </w:p>
    <w:tbl>
      <w:tblPr>
        <w:tblOverlap w:val="never"/>
        <w:jc w:val="center"/>
        <w:tblLayout w:type="fixed"/>
      </w:tblPr>
      <w:tblGrid>
        <w:gridCol w:w="2400"/>
        <w:gridCol w:w="718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00" w:val="left"/>
                <w:tab w:pos="4776" w:val="left"/>
              </w:tabs>
              <w:bidi w:val="0"/>
              <w:spacing w:before="0" w:after="0" w:line="240" w:lineRule="auto"/>
              <w:ind w:left="0" w:right="0" w:firstLine="0"/>
              <w:jc w:val="left"/>
              <w:rPr>
                <w:sz w:val="18"/>
                <w:szCs w:val="18"/>
              </w:rPr>
            </w:pPr>
            <w:r>
              <w:rPr>
                <w:color w:val="000000"/>
                <w:spacing w:val="0"/>
                <w:w w:val="100"/>
                <w:position w:val="0"/>
                <w:sz w:val="18"/>
                <w:szCs w:val="18"/>
              </w:rPr>
              <w:t>本人</w:t>
              <w:tab/>
              <w:t>中国</w:t>
              <w:tab/>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金科文化董事。</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 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除金科文化外，不曾控股其他境内外上市公司。</w:t>
            </w:r>
          </w:p>
        </w:tc>
      </w:tr>
    </w:tbl>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199" w:line="1" w:lineRule="exact"/>
      </w:pPr>
    </w:p>
    <w:p>
      <w:pPr>
        <w:pStyle w:val="Style4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10363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3"/>
                    <a:stretch/>
                  </pic:blipFill>
                  <pic:spPr>
                    <a:xfrm>
                      <a:ext cx="3060065" cy="1103630"/>
                    </a:xfrm>
                    <a:prstGeom prst="rect"/>
                  </pic:spPr>
                </pic:pic>
              </a:graphicData>
            </a:graphic>
          </wp:inline>
        </w:drawing>
      </w:r>
    </w:p>
    <w:p>
      <w:pPr>
        <w:widowControl w:val="0"/>
        <w:spacing w:after="2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140" w:line="492"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4</w:t>
      </w:r>
      <w:bookmarkEnd w:id="4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3"/>
      <w:bookmarkEnd w:id="484"/>
      <w:bookmarkEnd w:id="48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472" w:lineRule="exact"/>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5</w:t>
      </w:r>
      <w:bookmarkEnd w:id="489"/>
      <w:r>
        <w:rPr>
          <w:color w:val="000000"/>
          <w:spacing w:val="0"/>
          <w:w w:val="100"/>
          <w:position w:val="0"/>
        </w:rPr>
        <w:t>、</w:t>
        <w:tab/>
        <w:t>控股股东、实际控制人、重组方及其他承诺主体股份限制减持情况</w:t>
      </w:r>
      <w:bookmarkEnd w:id="487"/>
      <w:bookmarkEnd w:id="488"/>
      <w:bookmarkEnd w:id="490"/>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260" w:line="472" w:lineRule="exact"/>
        <w:ind w:left="0" w:right="0" w:firstLine="440"/>
        <w:jc w:val="left"/>
        <w:sectPr>
          <w:headerReference w:type="default" r:id="rId35"/>
          <w:footerReference w:type="default" r:id="rId36"/>
          <w:footnotePr>
            <w:pos w:val="pageBottom"/>
            <w:numFmt w:val="decimal"/>
            <w:numRestart w:val="continuous"/>
          </w:footnotePr>
          <w:pgSz w:w="11900" w:h="16840"/>
          <w:pgMar w:top="1316" w:right="1017" w:bottom="1436" w:left="1019"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日收到董事长王健先生函告，获悉其因</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月期间减持公司股 票涉嫌内幕交易，被中国证监会立案调查。根据深圳证券交易所《上市公司股东及董事、监事、高级管理 人员减持股份实施细则》等法律法规的规定，王健先生在被中国证监会立案调查期间，以及在行政处罚决 定、刑事判决作出之后未满六个月期间不得减持公司股份。截至报告期末，公司尚未收到上述立案调查事 项的最终调查结果。</w:t>
      </w:r>
    </w:p>
    <w:p>
      <w:pPr>
        <w:widowControl w:val="0"/>
        <w:spacing w:line="1" w:lineRule="exact"/>
      </w:pPr>
      <w:r>
        <mc:AlternateContent>
          <mc:Choice Requires="wps">
            <w:drawing>
              <wp:anchor distT="0" distB="177800" distL="0" distR="0" simplePos="0" relativeHeight="125829409" behindDoc="0" locked="0" layoutInCell="1" allowOverlap="1">
                <wp:simplePos x="0" y="0"/>
                <wp:positionH relativeFrom="page">
                  <wp:posOffset>2696210</wp:posOffset>
                </wp:positionH>
                <wp:positionV relativeFrom="paragraph">
                  <wp:posOffset>0</wp:posOffset>
                </wp:positionV>
                <wp:extent cx="2164080" cy="243840"/>
                <wp:wrapTopAndBottom/>
                <wp:docPr id="68" name="Shape 68"/>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bookmarkStart w:id="494" w:name="bookmark494"/>
                            <w:r>
                              <w:rPr>
                                <w:color w:val="000000"/>
                                <w:spacing w:val="0"/>
                                <w:w w:val="100"/>
                                <w:position w:val="0"/>
                              </w:rPr>
                              <w:t>第七节优先股相关情况</w:t>
                            </w:r>
                            <w:bookmarkEnd w:id="492"/>
                            <w:bookmarkEnd w:id="493"/>
                            <w:bookmarkEnd w:id="494"/>
                            <w:bookmarkEnd w:id="491"/>
                          </w:p>
                        </w:txbxContent>
                      </wps:txbx>
                      <wps:bodyPr wrap="none" lIns="0" tIns="0" rIns="0" bIns="0">
                        <a:noAutoFit/>
                      </wps:bodyPr>
                    </wps:wsp>
                  </a:graphicData>
                </a:graphic>
              </wp:anchor>
            </w:drawing>
          </mc:Choice>
          <mc:Fallback>
            <w:pict>
              <v:shape id="_x0000_s1094" type="#_x0000_t202" style="position:absolute;margin-left:212.30000000000001pt;margin-top:0;width:170.40000000000001pt;height:19.199999999999999pt;z-index:-125829344;mso-wrap-distance-left:0;mso-wrap-distance-right:0;mso-wrap-distance-bottom:14.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bookmarkStart w:id="494" w:name="bookmark494"/>
                      <w:r>
                        <w:rPr>
                          <w:color w:val="000000"/>
                          <w:spacing w:val="0"/>
                          <w:w w:val="100"/>
                          <w:position w:val="0"/>
                        </w:rPr>
                        <w:t>第七节优先股相关情况</w:t>
                      </w:r>
                      <w:bookmarkEnd w:id="492"/>
                      <w:bookmarkEnd w:id="493"/>
                      <w:bookmarkEnd w:id="494"/>
                      <w:bookmarkEnd w:id="491"/>
                    </w:p>
                  </w:txbxContent>
                </v:textbox>
                <w10:wrap type="topAndBottom" anchorx="page"/>
              </v:shape>
            </w:pict>
          </mc:Fallback>
        </mc:AlternateContent>
      </w:r>
    </w:p>
    <w:p>
      <w:pPr>
        <w:pStyle w:val="Style31"/>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74" w:right="1112" w:bottom="1974"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2"/>
        <w:keepNext/>
        <w:keepLines/>
        <w:widowControl w:val="0"/>
        <w:shd w:val="clear" w:color="auto" w:fill="auto"/>
        <w:bidi w:val="0"/>
        <w:spacing w:before="600" w:line="240" w:lineRule="auto"/>
        <w:ind w:left="0" w:right="0" w:firstLine="0"/>
        <w:jc w:val="center"/>
      </w:pPr>
      <w:bookmarkStart w:id="495" w:name="bookmark495"/>
      <w:bookmarkStart w:id="496" w:name="bookmark496"/>
      <w:bookmarkStart w:id="497" w:name="bookmark497"/>
      <w:bookmarkStart w:id="498" w:name="bookmark498"/>
      <w:r>
        <w:rPr>
          <w:color w:val="000000"/>
          <w:spacing w:val="0"/>
          <w:w w:val="100"/>
          <w:position w:val="0"/>
        </w:rPr>
        <w:t>第八节可转换公司债券相关情况</w:t>
      </w:r>
      <w:bookmarkEnd w:id="496"/>
      <w:bookmarkEnd w:id="497"/>
      <w:bookmarkEnd w:id="498"/>
      <w:bookmarkEnd w:id="49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499" w:name="bookmark499"/>
      <w:bookmarkStart w:id="500" w:name="bookmark500"/>
      <w:bookmarkStart w:id="501" w:name="bookmark501"/>
      <w:bookmarkStart w:id="502" w:name="bookmark502"/>
      <w:r>
        <w:rPr>
          <w:color w:val="000000"/>
          <w:spacing w:val="0"/>
          <w:w w:val="100"/>
          <w:position w:val="0"/>
        </w:rPr>
        <w:t>第九节董事、监事、高级管理人员和员工情况</w:t>
      </w:r>
      <w:bookmarkEnd w:id="500"/>
      <w:bookmarkEnd w:id="501"/>
      <w:bookmarkEnd w:id="502"/>
      <w:bookmarkEnd w:id="499"/>
    </w:p>
    <w:p>
      <w:pPr>
        <w:pStyle w:val="Style29"/>
        <w:keepNext/>
        <w:keepLines/>
        <w:widowControl w:val="0"/>
        <w:shd w:val="clear" w:color="auto" w:fill="auto"/>
        <w:bidi w:val="0"/>
        <w:spacing w:before="0" w:line="240" w:lineRule="auto"/>
        <w:ind w:left="0" w:right="0" w:firstLine="240"/>
        <w:jc w:val="left"/>
      </w:pPr>
      <w:bookmarkStart w:id="503" w:name="bookmark503"/>
      <w:bookmarkStart w:id="504" w:name="bookmark504"/>
      <w:bookmarkStart w:id="505" w:name="bookmark505"/>
      <w:r>
        <w:rPr>
          <w:color w:val="000000"/>
          <w:spacing w:val="0"/>
          <w:w w:val="100"/>
          <w:position w:val="0"/>
          <w:sz w:val="24"/>
          <w:szCs w:val="24"/>
        </w:rPr>
        <w:t>、董事、监事和高级管理人员持股变动</w:t>
      </w:r>
      <w:bookmarkEnd w:id="503"/>
      <w:bookmarkEnd w:id="504"/>
      <w:bookmarkEnd w:id="505"/>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减变动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期末持 股数 （股）</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543,118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135,74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393,50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9,499</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381,02</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张维璋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邓春华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蒋贤品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徐晓红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7,567</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应燕青</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张正锋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秦海娟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钱信宇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张向阳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陈智敏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马贵翔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鲁爱民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蔡海静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二</w:t>
      </w:r>
      <w:bookmarkEnd w:id="508"/>
      <w:r>
        <w:rPr>
          <w:color w:val="000000"/>
          <w:spacing w:val="0"/>
          <w:w w:val="100"/>
          <w:position w:val="0"/>
          <w:sz w:val="24"/>
          <w:szCs w:val="24"/>
        </w:rPr>
        <w:t>、公司董事、监事、高级管理人员变动情况</w:t>
      </w:r>
      <w:bookmarkEnd w:id="506"/>
      <w:bookmarkEnd w:id="507"/>
      <w:bookmarkEnd w:id="509"/>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因公司工作调整职务，不再担任董事会秘书职务， 担任总经理职务；经股东大会选举通过担任董事职 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经股东大会选举通过担任独立董事职务。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经股东大会选举通过担任独立董事职务。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经股东大会选举通过担任监事职务。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董事、副总经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因公司工作调整职务，不再担任董事职务，担任副 总经理职务。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董事、副总经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因任期届满离任董事职务，仍旧担任副总经理职务。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经董事会审议通过聘任副总经理职务。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经董事会审议通过聘任财务总监职务。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经董事会审议通过聘任董事会秘书职务。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钱信宇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因任期届满离任独立董事职务。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因任期届满离任独立董事职务。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因任期届满离任独立董事职务。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因任期届满离任独立董事职务。</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因个人原因辞职监事职务。</w:t>
            </w:r>
          </w:p>
        </w:tc>
      </w:tr>
    </w:tbl>
    <w:tbl>
      <w:tblPr>
        <w:tblOverlap w:val="never"/>
        <w:jc w:val="center"/>
        <w:tblLayout w:type="fixed"/>
      </w:tblPr>
      <w:tblGrid>
        <w:gridCol w:w="1334"/>
        <w:gridCol w:w="1330"/>
        <w:gridCol w:w="1330"/>
        <w:gridCol w:w="1330"/>
        <w:gridCol w:w="4253"/>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因个人原因辞职副总经理职务。</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三</w:t>
      </w:r>
      <w:bookmarkEnd w:id="512"/>
      <w:r>
        <w:rPr>
          <w:color w:val="000000"/>
          <w:spacing w:val="0"/>
          <w:w w:val="100"/>
          <w:position w:val="0"/>
          <w:sz w:val="24"/>
          <w:szCs w:val="24"/>
        </w:rPr>
        <w:t>、任职情况</w:t>
      </w:r>
      <w:bookmarkEnd w:id="510"/>
      <w:bookmarkEnd w:id="511"/>
      <w:bookmarkEnd w:id="51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0"/>
        <w:keepNext w:val="0"/>
        <w:keepLines w:val="0"/>
        <w:widowControl w:val="0"/>
        <w:shd w:val="clear" w:color="auto" w:fill="auto"/>
        <w:bidi w:val="0"/>
        <w:spacing w:before="0" w:after="0" w:line="468" w:lineRule="exact"/>
        <w:ind w:left="0" w:right="0" w:firstLine="440"/>
        <w:jc w:val="both"/>
      </w:pPr>
      <w:bookmarkStart w:id="514" w:name="bookmark514"/>
      <w:r>
        <w:rPr>
          <w:b/>
          <w:bCs/>
          <w:color w:val="000000"/>
          <w:spacing w:val="0"/>
          <w:w w:val="100"/>
          <w:position w:val="0"/>
        </w:rPr>
        <w:t>（</w:t>
      </w:r>
      <w:bookmarkEnd w:id="514"/>
      <w:r>
        <w:rPr>
          <w:b/>
          <w:bCs/>
          <w:color w:val="000000"/>
          <w:spacing w:val="0"/>
          <w:w w:val="100"/>
          <w:position w:val="0"/>
        </w:rPr>
        <w:t>一）董事会成员</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王健，</w:t>
      </w:r>
      <w:r>
        <w:rPr>
          <w:rFonts w:ascii="Times New Roman" w:eastAsia="Times New Roman" w:hAnsi="Times New Roman" w:cs="Times New Roman"/>
          <w:color w:val="000000"/>
          <w:spacing w:val="0"/>
          <w:w w:val="100"/>
          <w:position w:val="0"/>
        </w:rPr>
        <w:t>1988</w:t>
      </w:r>
      <w:r>
        <w:rPr>
          <w:color w:val="000000"/>
          <w:spacing w:val="0"/>
          <w:w w:val="100"/>
          <w:position w:val="0"/>
        </w:rPr>
        <w:t>年出生，男，中国国籍，无境外永久居留权，大学本科学历，工信部软件设计师、网络工 程师、系统分析师技术资格认证。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月，任杭州网轩科技有限公司</w:t>
      </w:r>
      <w:r>
        <w:rPr>
          <w:rFonts w:ascii="Times New Roman" w:eastAsia="Times New Roman" w:hAnsi="Times New Roman" w:cs="Times New Roman"/>
          <w:color w:val="000000"/>
          <w:spacing w:val="0"/>
          <w:w w:val="100"/>
          <w:position w:val="0"/>
        </w:rPr>
        <w:t>CTO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月创 立杭州哲信信息技术有限公司，担任执行董事兼经理，自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月至今任杭州哲信信息技术有限公司董 事长兼总经理；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月至今任宁波哲信创客投资有限公司执行董事；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月至今任哲塔比特（香 港）有限公司董事、新加坡哲信泛亚有限公司董事；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月至今任绍兴上虞金科哲信科技有限公司执 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月至今任杭州傲来企业管理有限公司经理；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月任公司总经理；</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 董事长。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朱志刚，</w:t>
      </w:r>
      <w:r>
        <w:rPr>
          <w:rFonts w:ascii="Times New Roman" w:eastAsia="Times New Roman" w:hAnsi="Times New Roman" w:cs="Times New Roman"/>
          <w:color w:val="000000"/>
          <w:spacing w:val="0"/>
          <w:w w:val="100"/>
          <w:position w:val="0"/>
        </w:rPr>
        <w:t>1965</w:t>
      </w:r>
      <w:r>
        <w:rPr>
          <w:color w:val="000000"/>
          <w:spacing w:val="0"/>
          <w:w w:val="100"/>
          <w:position w:val="0"/>
        </w:rPr>
        <w:t>年出生，男，中国国籍，澳门永久居留权，研究生学历，经济师、工程师职称，浙江工 业大学兼职教授。历任时代金科置业有限公司董事长、浙江时代金科控股有限公司董事长兼总经理、公司 董事；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月至今任绍兴市上虞财富置业有限公司董事；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月至今任金科控股集团有限公司执 行董事、总经理；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月至今任浙江金海岸体育发展有限公司董事；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月至今任绍兴上虞雷迪森 万锦大酒店有限公司执行董事；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月至今任绍兴上虞金泰泳池设备有限公司执行董事、经理；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月至今任绍兴上虞时代广场商贸有限公司执行董事、经理；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月至今任浙江金刚投资有限公司执 行董事、经理；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月至今担任公司董事长。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张维璋，</w:t>
      </w:r>
      <w:r>
        <w:rPr>
          <w:rFonts w:ascii="Times New Roman" w:eastAsia="Times New Roman" w:hAnsi="Times New Roman" w:cs="Times New Roman"/>
          <w:color w:val="000000"/>
          <w:spacing w:val="0"/>
          <w:w w:val="100"/>
          <w:position w:val="0"/>
        </w:rPr>
        <w:t>1983</w:t>
      </w:r>
      <w:r>
        <w:rPr>
          <w:color w:val="000000"/>
          <w:spacing w:val="0"/>
          <w:w w:val="100"/>
          <w:position w:val="0"/>
        </w:rPr>
        <w:t>年出生，男，中国国籍，无境外永久居留权，大学本科学历，国家人力资源管理师、拥 有深圳证券交易所颁发的《董事会秘书资格证书》。</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月任公司总经理办公室主任、人 事经理、证券法务部经理、证券事务代表；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月至今任公司总经理；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月至今任公司董事。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邓春华，</w:t>
      </w:r>
      <w:r>
        <w:rPr>
          <w:rFonts w:ascii="Times New Roman" w:eastAsia="Times New Roman" w:hAnsi="Times New Roman" w:cs="Times New Roman"/>
          <w:color w:val="000000"/>
          <w:spacing w:val="0"/>
          <w:w w:val="100"/>
          <w:position w:val="0"/>
        </w:rPr>
        <w:t>1963</w:t>
      </w:r>
      <w:r>
        <w:rPr>
          <w:color w:val="000000"/>
          <w:spacing w:val="0"/>
          <w:w w:val="100"/>
          <w:position w:val="0"/>
        </w:rPr>
        <w:t>年出生，女，中国国籍，无境外永久居留权，硕士研究生学历，会计学教授、中国注册 会计师（非执业会员）。</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月历任中南财经大学（现中南财经政法大学）助教、讲师、 副教授；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月至今任中南财经政法大学教授。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月至今任康佳集团股份有限公司独立董事；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月至今任浙江金海高科环境技术股份有限公司独立董事；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月至今任卧龙电气驱动集团股份 </w:t>
      </w:r>
      <w:r>
        <w:rPr>
          <w:color w:val="000000"/>
          <w:spacing w:val="0"/>
          <w:w w:val="100"/>
          <w:position w:val="0"/>
        </w:rPr>
        <w:t>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蒋贤品，</w:t>
      </w:r>
      <w:r>
        <w:rPr>
          <w:rFonts w:ascii="Times New Roman" w:eastAsia="Times New Roman" w:hAnsi="Times New Roman" w:cs="Times New Roman"/>
          <w:color w:val="000000"/>
          <w:spacing w:val="0"/>
          <w:w w:val="100"/>
          <w:position w:val="0"/>
        </w:rPr>
        <w:t>1965</w:t>
      </w:r>
      <w:r>
        <w:rPr>
          <w:color w:val="000000"/>
          <w:spacing w:val="0"/>
          <w:w w:val="100"/>
          <w:position w:val="0"/>
        </w:rPr>
        <w:t>年出生，男，中国国籍，无境外永久居留权，大学本科学历，会计学教授。</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至今任浙江工业大学管理学院教师。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月至今任申洲国际集团控股有限公司独立董事；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至今任浙江百川导体技术股份有限公司独立董事；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月至今任银江股份有限公司独立董事；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月至今任浙江省审计厅第七届特约审计员；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p>
      <w:pPr>
        <w:pStyle w:val="Style40"/>
        <w:keepNext w:val="0"/>
        <w:keepLines w:val="0"/>
        <w:widowControl w:val="0"/>
        <w:shd w:val="clear" w:color="auto" w:fill="auto"/>
        <w:tabs>
          <w:tab w:pos="974" w:val="left"/>
        </w:tabs>
        <w:bidi w:val="0"/>
        <w:spacing w:before="0" w:after="0" w:line="468" w:lineRule="exact"/>
        <w:ind w:left="0" w:right="0" w:firstLine="440"/>
        <w:jc w:val="both"/>
      </w:pPr>
      <w:bookmarkStart w:id="515" w:name="bookmark515"/>
      <w:r>
        <w:rPr>
          <w:b/>
          <w:bCs/>
          <w:color w:val="000000"/>
          <w:spacing w:val="0"/>
          <w:w w:val="100"/>
          <w:position w:val="0"/>
        </w:rPr>
        <w:t>（</w:t>
      </w:r>
      <w:bookmarkEnd w:id="515"/>
      <w:r>
        <w:rPr>
          <w:b/>
          <w:bCs/>
          <w:color w:val="000000"/>
          <w:spacing w:val="0"/>
          <w:w w:val="100"/>
          <w:position w:val="0"/>
        </w:rPr>
        <w:t>二）</w:t>
        <w:tab/>
        <w:t>监事会成员</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陈佩卿，女，</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月到</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月，任杭州余杭良渚组团管 委会、杭州农副物流中心管委会组织人事处处长，杭州余杭良渚组团有限公司董事、副总经理，杭州农副 物流集团有限公司董事、副总经理；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月，任杭州良渚新城管委会、杭州农副物流中心 管委会组织人事处处长，杭州余杭良渚组团有限公司董事、副总经理，杭州农副物流集团有限公司董事、 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月，任杭州良渚文化城集团有限公司总经理。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月到</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 公司办公室主任；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月任公司行政中心总裁；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月至今任浙江金科汤姆猫网络科 技有限公司执行董事、总经理；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月至今担任浙江金科汤姆猫投资发展有限公司执行董事、总经理；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月至今任公司监事。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徐晓红，</w:t>
      </w:r>
      <w:r>
        <w:rPr>
          <w:rFonts w:ascii="Times New Roman" w:eastAsia="Times New Roman" w:hAnsi="Times New Roman" w:cs="Times New Roman"/>
          <w:color w:val="000000"/>
          <w:spacing w:val="0"/>
          <w:w w:val="100"/>
          <w:position w:val="0"/>
        </w:rPr>
        <w:t>1978</w:t>
      </w:r>
      <w:r>
        <w:rPr>
          <w:color w:val="000000"/>
          <w:spacing w:val="0"/>
          <w:w w:val="100"/>
          <w:position w:val="0"/>
        </w:rPr>
        <w:t>年出生，女，中国国籍，大专学历。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月历任绍兴金泰企业集团有 限公司办公室副主任、金科控股副主任；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月至今担任浙江金刚投资有限公司监事；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 担任金科控股集团有限公司办公室主任、监事；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月至今担任公司监事。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应燕青，</w:t>
      </w:r>
      <w:r>
        <w:rPr>
          <w:rFonts w:ascii="Times New Roman" w:eastAsia="Times New Roman" w:hAnsi="Times New Roman" w:cs="Times New Roman"/>
          <w:color w:val="000000"/>
          <w:spacing w:val="0"/>
          <w:w w:val="100"/>
          <w:position w:val="0"/>
        </w:rPr>
        <w:t>1985</w:t>
      </w:r>
      <w:r>
        <w:rPr>
          <w:color w:val="000000"/>
          <w:spacing w:val="0"/>
          <w:w w:val="100"/>
          <w:position w:val="0"/>
        </w:rPr>
        <w:t>年出生，女，中国国籍，大学本科学历。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月，任职于上海必胜客 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月，任职于绍兴菲滋意式餐饮服务有限公司；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月进入浙江金科汤 姆猫网络科技有限公司，历任公司营销总监、授权总监、总助，现任浙江金科汤姆猫网络科技有限公司副 总经理职务；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月至今任公司监事。</w:t>
      </w:r>
    </w:p>
    <w:p>
      <w:pPr>
        <w:pStyle w:val="Style40"/>
        <w:keepNext w:val="0"/>
        <w:keepLines w:val="0"/>
        <w:widowControl w:val="0"/>
        <w:shd w:val="clear" w:color="auto" w:fill="auto"/>
        <w:tabs>
          <w:tab w:pos="974" w:val="left"/>
        </w:tabs>
        <w:bidi w:val="0"/>
        <w:spacing w:before="0" w:after="0" w:line="468" w:lineRule="exact"/>
        <w:ind w:left="0" w:right="0" w:firstLine="440"/>
        <w:jc w:val="both"/>
      </w:pPr>
      <w:bookmarkStart w:id="516" w:name="bookmark516"/>
      <w:r>
        <w:rPr>
          <w:b/>
          <w:bCs/>
          <w:color w:val="000000"/>
          <w:spacing w:val="0"/>
          <w:w w:val="100"/>
          <w:position w:val="0"/>
        </w:rPr>
        <w:t>（</w:t>
      </w:r>
      <w:bookmarkEnd w:id="516"/>
      <w:r>
        <w:rPr>
          <w:b/>
          <w:bCs/>
          <w:color w:val="000000"/>
          <w:spacing w:val="0"/>
          <w:w w:val="100"/>
          <w:position w:val="0"/>
        </w:rPr>
        <w:t>三）</w:t>
        <w:tab/>
        <w:t>高级管理人员</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总经理张维璋简历见上述“（一）董事会成员”中的内容。</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朱恬，</w:t>
      </w:r>
      <w:r>
        <w:rPr>
          <w:rFonts w:ascii="Times New Roman" w:eastAsia="Times New Roman" w:hAnsi="Times New Roman" w:cs="Times New Roman"/>
          <w:color w:val="000000"/>
          <w:spacing w:val="0"/>
          <w:w w:val="100"/>
          <w:position w:val="0"/>
        </w:rPr>
        <w:t>1988</w:t>
      </w:r>
      <w:r>
        <w:rPr>
          <w:color w:val="000000"/>
          <w:spacing w:val="0"/>
          <w:w w:val="100"/>
          <w:position w:val="0"/>
        </w:rPr>
        <w:t>年出生，女，中国澳门籍，硕士研究生学历。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 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月至今任杭州每日给力科技有限公司董事；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月至今任公司副总经理；</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张正锋，</w:t>
      </w:r>
      <w:r>
        <w:rPr>
          <w:rFonts w:ascii="Times New Roman" w:eastAsia="Times New Roman" w:hAnsi="Times New Roman" w:cs="Times New Roman"/>
          <w:color w:val="000000"/>
          <w:spacing w:val="0"/>
          <w:w w:val="100"/>
          <w:position w:val="0"/>
        </w:rPr>
        <w:t>1985</w:t>
      </w:r>
      <w:r>
        <w:rPr>
          <w:color w:val="000000"/>
          <w:spacing w:val="0"/>
          <w:w w:val="100"/>
          <w:position w:val="0"/>
        </w:rPr>
        <w:t>年出生，男，中国国籍，无境外永久居留权，大学专科学历，计算机网络工程师。</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月，历任青岛汉游工作室总经理、武汉奔腾商贸总经理、杭州斯凯网络科技有限公司高 级产品经理；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月至今任宁波哲信创客投资有 限公司经理；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月至今任杭州芝视文化传媒有限公司经理；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月至今担任杭州傲来企业管理有 </w:t>
      </w:r>
      <w:r>
        <w:rPr>
          <w:color w:val="000000"/>
          <w:spacing w:val="0"/>
          <w:w w:val="100"/>
          <w:position w:val="0"/>
        </w:rPr>
        <w:t>限公司执行董事；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 公司董事。</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何文杰，男，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年出生，中国国籍，无境外永久居留权，在职研究生学历。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月年 担任招商银行股份有限公司杭州分行武林支行行长；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月担任招商银行股份有限公司杭 州分行战略二部总经理；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月至今担任公司融资中心负责人；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月至今担任公司副总经理。</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秦海娟，</w:t>
      </w:r>
      <w:r>
        <w:rPr>
          <w:rFonts w:ascii="Times New Roman" w:eastAsia="Times New Roman" w:hAnsi="Times New Roman" w:cs="Times New Roman"/>
          <w:color w:val="000000"/>
          <w:spacing w:val="0"/>
          <w:w w:val="100"/>
          <w:position w:val="0"/>
        </w:rPr>
        <w:t>1978</w:t>
      </w:r>
      <w:r>
        <w:rPr>
          <w:color w:val="000000"/>
          <w:spacing w:val="0"/>
          <w:w w:val="100"/>
          <w:position w:val="0"/>
        </w:rPr>
        <w:t>年出生，女，中国国籍，无境外永久居留权，大专学历，会计师职称。</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任绍兴上虞六和投资有限公司监事；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月至今任上海万锦酒店管理有限公司监事；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 金科国际（香港）有限公司董事；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月至今担任浙江东海新材料科技有限公司董事；历任公司董事、 财务总监、湖州吉昌化学有限公司董事长等职务；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 今任公司财务总监。</w:t>
      </w:r>
    </w:p>
    <w:p>
      <w:pPr>
        <w:pStyle w:val="Style40"/>
        <w:keepNext w:val="0"/>
        <w:keepLines w:val="0"/>
        <w:widowControl w:val="0"/>
        <w:shd w:val="clear" w:color="auto" w:fill="auto"/>
        <w:bidi w:val="0"/>
        <w:spacing w:before="0" w:after="180" w:line="470" w:lineRule="exact"/>
        <w:ind w:left="0" w:right="0" w:firstLine="440"/>
        <w:jc w:val="left"/>
      </w:pPr>
      <w:r>
        <w:rPr>
          <w:color w:val="000000"/>
          <w:spacing w:val="0"/>
          <w:w w:val="100"/>
          <w:position w:val="0"/>
        </w:rPr>
        <w:t>胡斐，</w:t>
      </w:r>
      <w:r>
        <w:rPr>
          <w:rFonts w:ascii="Times New Roman" w:eastAsia="Times New Roman" w:hAnsi="Times New Roman" w:cs="Times New Roman"/>
          <w:color w:val="000000"/>
          <w:spacing w:val="0"/>
          <w:w w:val="100"/>
          <w:position w:val="0"/>
        </w:rPr>
        <w:t>1989</w:t>
      </w:r>
      <w:r>
        <w:rPr>
          <w:color w:val="000000"/>
          <w:spacing w:val="0"/>
          <w:w w:val="100"/>
          <w:position w:val="0"/>
        </w:rPr>
        <w:t>年出生，男，中国国籍，无境外永久居留权，本科学历。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月取得深圳证券交易所 颁发的《董事会秘书资格证书》。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月就职于浙江金利华电气股份有限公司财务部；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月就职于浙江开尔新材料股份有限公司证券部；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月，任公司证券事 务代表；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月至今担任杭州每日给力科技有限公司董事；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月至今任公司董事会秘书。</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6"/>
        <w:gridCol w:w="1195"/>
        <w:gridCol w:w="1330"/>
        <w:gridCol w:w="159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徐晓红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5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浙江金海岸体育发展有限公司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绍兴上虞时代广场商贸有限公司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绍兴市上虞财富置业有限公司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绍兴上虞雷迪森万锦大酒店有限公司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绍兴上虞金泰泳池设备有限公司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董事长、总</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绍兴上虞金科哲信科技有限公司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绍兴惊蛰信息技术服务有限公司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宁波哲信创客投资有限公司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杭州傲来企业管理有限公司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杭州傲来企业管理有限公司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杭州网轩科技有限公司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康佳集团股份有限公司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浙江金海高科环境技术股份有限公司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卧龙电气驱动集团股份有限公司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浙江百川导体技术股份有限公司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申洲国际集团控股有限公司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浙江金科汤姆猫网络科技有限公司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浙江金科汤姆猫投资发展有限公司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执行董事、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上海汤姆猫之家商业管理有限公司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执行董事、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绍兴汤姆猫文化传播有限公司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浙江汤姆猫文化发展有限公司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绍兴金猫网络科技有限公司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杭州每日给力科技有限公司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宁波哲信创客投资有限公司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杭州傲来企业管理有限公司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上海万锦酒店管理有限公司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杭州每日给力科技有限公司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tabs>
          <w:tab w:pos="754" w:val="left"/>
        </w:tabs>
        <w:bidi w:val="0"/>
        <w:spacing w:before="0" w:after="0" w:line="470" w:lineRule="exact"/>
        <w:ind w:left="0" w:right="0" w:firstLine="440"/>
        <w:jc w:val="both"/>
      </w:pPr>
      <w:bookmarkStart w:id="517" w:name="bookmark517"/>
      <w:r>
        <w:rPr>
          <w:rFonts w:ascii="Times New Roman" w:eastAsia="Times New Roman" w:hAnsi="Times New Roman" w:cs="Times New Roman"/>
          <w:color w:val="000000"/>
          <w:spacing w:val="0"/>
          <w:w w:val="100"/>
          <w:position w:val="0"/>
        </w:rPr>
        <w:t>1</w:t>
      </w:r>
      <w:bookmarkEnd w:id="517"/>
      <w:r>
        <w:rPr>
          <w:color w:val="000000"/>
          <w:spacing w:val="0"/>
          <w:w w:val="100"/>
          <w:position w:val="0"/>
        </w:rPr>
        <w:t>、</w:t>
        <w:tab/>
        <w:t>中国证券监督管理委员会浙江监管局于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日出具了《关于对金科控股集团有限公司、 朱志刚采取出具警示函措施的决定》〔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81</w:t>
      </w:r>
      <w:r>
        <w:rPr>
          <w:color w:val="000000"/>
          <w:spacing w:val="0"/>
          <w:w w:val="100"/>
          <w:position w:val="0"/>
        </w:rPr>
        <w:t>号)、《关于对浙江金科文化产业股份有限公司及相关人员 采取出具警示函措施的决定》〔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82</w:t>
      </w:r>
      <w:r>
        <w:rPr>
          <w:color w:val="000000"/>
          <w:spacing w:val="0"/>
          <w:w w:val="100"/>
          <w:position w:val="0"/>
        </w:rPr>
        <w:t>号)，因</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月期间公司控股股东及其关联方资金占 用问题，中国证券监督管理委员会浙江监管局对公司董事朱志刚先生、董事王健先生、时任董事会秘书张 维璋先生、时任财务总监秦海娟女士出具了警示函措施。</w:t>
      </w:r>
    </w:p>
    <w:p>
      <w:pPr>
        <w:pStyle w:val="Style40"/>
        <w:keepNext w:val="0"/>
        <w:keepLines w:val="0"/>
        <w:widowControl w:val="0"/>
        <w:shd w:val="clear" w:color="auto" w:fill="auto"/>
        <w:bidi w:val="0"/>
        <w:spacing w:before="0" w:after="60" w:line="470" w:lineRule="exact"/>
        <w:ind w:left="0" w:right="0" w:firstLine="440"/>
        <w:jc w:val="both"/>
      </w:pPr>
      <w:bookmarkStart w:id="518" w:name="bookmark518"/>
      <w:r>
        <w:rPr>
          <w:rFonts w:ascii="Times New Roman" w:eastAsia="Times New Roman" w:hAnsi="Times New Roman" w:cs="Times New Roman"/>
          <w:color w:val="000000"/>
          <w:spacing w:val="0"/>
          <w:w w:val="100"/>
          <w:position w:val="0"/>
        </w:rPr>
        <w:t>2</w:t>
      </w:r>
      <w:bookmarkEnd w:id="518"/>
      <w:r>
        <w:rPr>
          <w:color w:val="000000"/>
          <w:spacing w:val="0"/>
          <w:w w:val="100"/>
          <w:position w:val="0"/>
        </w:rPr>
        <w:t>、 深圳证券交易所于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日出具了《关于对王健给予通报批评处分的决定》，公司董事王健 先生因强制平仓被动减持的违规行为受到深圳证券交易所通报批评的处分。</w:t>
      </w:r>
      <w:r>
        <w:br w:type="page"/>
      </w:r>
    </w:p>
    <w:p>
      <w:pPr>
        <w:pStyle w:val="Style29"/>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公司董监高的报酬由董事会薪酬与考核委员会初审后提交董事会审议，其中董事、监事的薪酬需再经 过股东大会审议批准。在公司任职且领取薪酬的董事（不包括独立董事）、监事（不包括外部监事）、高级 管理人员，根据公司现行的薪酬制度和绩效考核方案获得报酬。</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 的税前报酬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 关联方获取</w:t>
            </w:r>
          </w:p>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钱信宇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杨建峰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36"/>
        <w:keepNext/>
        <w:keepLines/>
        <w:widowControl w:val="0"/>
        <w:shd w:val="clear" w:color="auto" w:fill="auto"/>
        <w:bidi w:val="0"/>
        <w:spacing w:before="0" w:after="32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硕士研究生及以上学历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大学学历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高中及以下学历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bl>
    <w:p>
      <w:pPr>
        <w:widowControl w:val="0"/>
        <w:spacing w:after="99" w:line="1" w:lineRule="exact"/>
      </w:pPr>
    </w:p>
    <w:p>
      <w:pPr>
        <w:pStyle w:val="Style36"/>
        <w:keepNext/>
        <w:keepLines/>
        <w:widowControl w:val="0"/>
        <w:shd w:val="clear" w:color="auto" w:fill="auto"/>
        <w:tabs>
          <w:tab w:pos="378" w:val="left"/>
        </w:tabs>
        <w:bidi w:val="0"/>
        <w:spacing w:before="0" w:after="200" w:line="467" w:lineRule="exact"/>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薪酬政策</w:t>
      </w:r>
      <w:bookmarkEnd w:id="531"/>
      <w:bookmarkEnd w:id="532"/>
      <w:bookmarkEnd w:id="534"/>
    </w:p>
    <w:p>
      <w:pPr>
        <w:pStyle w:val="Style4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公司以科学的人才培养方法，有效的人才激励机制和公平的竞争平台广纳良才，持续优化人才组织结 构。公司为员工提供富有行业竞争力的薪酬福利，除了五险一金外，公司还为员工提供补充商业保险、交 通通讯补贴等专项补贴，为每一位员工创造更加公平和人性化的工作环境，让每一位员工能够充分发挥自 身价值，创造价值以满足日益增长的美好生活需求。</w:t>
      </w:r>
    </w:p>
    <w:p>
      <w:pPr>
        <w:pStyle w:val="Style36"/>
        <w:keepNext/>
        <w:keepLines/>
        <w:widowControl w:val="0"/>
        <w:shd w:val="clear" w:color="auto" w:fill="auto"/>
        <w:tabs>
          <w:tab w:pos="378" w:val="left"/>
        </w:tabs>
        <w:bidi w:val="0"/>
        <w:spacing w:before="0" w:after="200" w:line="467" w:lineRule="exact"/>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培训计划</w:t>
      </w:r>
      <w:bookmarkEnd w:id="535"/>
      <w:bookmarkEnd w:id="536"/>
      <w:bookmarkEnd w:id="538"/>
    </w:p>
    <w:p>
      <w:pPr>
        <w:pStyle w:val="Style40"/>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 xml:space="preserve">报告期内，公司持续以战略为导向，以业务能力提升为目标，强化学习发展的系统运作，以及专业化 </w:t>
      </w:r>
      <w:r>
        <w:rPr>
          <w:color w:val="000000"/>
          <w:spacing w:val="0"/>
          <w:w w:val="100"/>
          <w:position w:val="0"/>
        </w:rPr>
        <w:t>的平台建设。公司致力于建设战略导向的培训模式，基于企业战略制定人才规划，并落实到培训方案，通 过对公司人才的发展，助力业务战略的达成。公司有计划地组织中高层管理人员、业务骨干及优秀员工参 加专业培训，不断提高员工的工作技能、知识层次和综合素质，从整体上优化公司人才结构。员工培训作 为公司人力资源开发与管理的重要内容，对全体员工知识与技能的更新和提高、创造力与创新精神的发掘 和培养、行为准则与责任意识的规范和强化发挥着重要作用。公司各部门严格执行公司制定的培训计划， 积极营造培训氛围，有效提升了员工的业务能力、岗位技能和综合素质。</w:t>
      </w:r>
    </w:p>
    <w:p>
      <w:pPr>
        <w:pStyle w:val="Style36"/>
        <w:keepNext/>
        <w:keepLines/>
        <w:widowControl w:val="0"/>
        <w:shd w:val="clear" w:color="auto" w:fill="auto"/>
        <w:bidi w:val="0"/>
        <w:spacing w:before="0" w:after="120" w:line="48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、劳务外包情况</w:t>
      </w:r>
      <w:bookmarkEnd w:id="539"/>
      <w:bookmarkEnd w:id="540"/>
      <w:bookmarkEnd w:id="542"/>
    </w:p>
    <w:p>
      <w:pPr>
        <w:pStyle w:val="Style31"/>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321" w:right="1058" w:bottom="1436" w:left="105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00" w:line="240" w:lineRule="auto"/>
        <w:ind w:left="0" w:right="0" w:firstLine="0"/>
        <w:jc w:val="center"/>
      </w:pPr>
      <w:bookmarkStart w:id="543" w:name="bookmark543"/>
      <w:bookmarkStart w:id="544" w:name="bookmark544"/>
      <w:bookmarkStart w:id="545" w:name="bookmark545"/>
      <w:bookmarkStart w:id="546" w:name="bookmark546"/>
      <w:r>
        <w:rPr>
          <w:color w:val="000000"/>
          <w:spacing w:val="0"/>
          <w:w w:val="100"/>
          <w:position w:val="0"/>
        </w:rPr>
        <w:t>第十节公司治理</w:t>
      </w:r>
      <w:bookmarkEnd w:id="544"/>
      <w:bookmarkEnd w:id="545"/>
      <w:bookmarkEnd w:id="546"/>
      <w:bookmarkEnd w:id="543"/>
    </w:p>
    <w:p>
      <w:pPr>
        <w:pStyle w:val="Style29"/>
        <w:keepNext/>
        <w:keepLines/>
        <w:widowControl w:val="0"/>
        <w:shd w:val="clear" w:color="auto" w:fill="auto"/>
        <w:bidi w:val="0"/>
        <w:spacing w:before="0" w:after="20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、公司治理的基本状况</w:t>
      </w:r>
      <w:bookmarkEnd w:id="547"/>
      <w:bookmarkEnd w:id="548"/>
      <w:bookmarkEnd w:id="550"/>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报告期内，公司严格按照《公司法》、《证券法》、《上市公司治理准则》、《创业板股票上市规则》、《创 业板上市公司规范运作指引》等法律法规的要求，不断完善公司治理结构，进一步规范公司运作，提高公 司治理水平。截至报告期末，公司治理的实际状况符合《上市公司治理准则》和《深圳证券交易所创业板 上市公司规范运作指引》的要求。</w:t>
      </w:r>
    </w:p>
    <w:p>
      <w:pPr>
        <w:pStyle w:val="Style40"/>
        <w:keepNext w:val="0"/>
        <w:keepLines w:val="0"/>
        <w:widowControl w:val="0"/>
        <w:shd w:val="clear" w:color="auto" w:fill="auto"/>
        <w:tabs>
          <w:tab w:pos="755" w:val="left"/>
        </w:tabs>
        <w:bidi w:val="0"/>
        <w:spacing w:before="0" w:after="0" w:line="469" w:lineRule="exact"/>
        <w:ind w:left="0" w:right="0" w:firstLine="440"/>
        <w:jc w:val="both"/>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w:t>
        <w:tab/>
        <w:t>关于股东与股东大会</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公司严格按照《公司法》、《深圳证券交易所创业板上市公司规范运作指引》、《公司章程》、《股东大会 议事规则》等规定要求，召集、召开股东大会，确保所有股东享有平等地位，保护全体股东的利益。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年度公司共召开</w:t>
      </w:r>
      <w:r>
        <w:rPr>
          <w:rFonts w:ascii="Times New Roman" w:eastAsia="Times New Roman" w:hAnsi="Times New Roman" w:cs="Times New Roman"/>
          <w:color w:val="000000"/>
          <w:spacing w:val="0"/>
          <w:w w:val="100"/>
          <w:position w:val="0"/>
        </w:rPr>
        <w:t>6</w:t>
      </w:r>
      <w:r>
        <w:rPr>
          <w:color w:val="000000"/>
          <w:spacing w:val="0"/>
          <w:w w:val="100"/>
          <w:position w:val="0"/>
        </w:rPr>
        <w:t>次股东大会，均使用网络投票表决和现场投票表决相结合的形式召开，让中小投资者充 分行使自己的权利。同时，公司聘请律师出席见证了股东大会会议的召集、召开和表决程序的合法性，维 护股东的合法权益。</w:t>
      </w:r>
    </w:p>
    <w:p>
      <w:pPr>
        <w:pStyle w:val="Style40"/>
        <w:keepNext w:val="0"/>
        <w:keepLines w:val="0"/>
        <w:widowControl w:val="0"/>
        <w:shd w:val="clear" w:color="auto" w:fill="auto"/>
        <w:tabs>
          <w:tab w:pos="765" w:val="left"/>
        </w:tabs>
        <w:bidi w:val="0"/>
        <w:spacing w:before="0" w:after="0" w:line="469" w:lineRule="exact"/>
        <w:ind w:left="0" w:right="0" w:firstLine="44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关于公司与控股股东</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报告期内，公司存在控股股东及其关联方通过第三方供应商往来款的方式占用公司及公司全资子公司 自有资金的情形。公司自发现该情形后并根据深圳证券交易所要求，积极组织公司相关人员及中介机构对 公司资金占用的详细情况进行核查，并根据发生时间、背景、对象金额、支付方式、相关款项的资金流向 等内容进行全面、系统梳理。公司发现上述控股股东非经营性占用资金事项后，控股股东第一时间出具的 还款计划，公司持续督促金科控股采取有效措施尽快解决资金占用问题。截至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日，金科控股已 归还完毕全部占用资金款项及其利息。公司后续将进一步深入学习并严格执行《创业板股票上市规则》、《创 业板上市公司规范运作指引》等相关法律法规及业务规则的要求，提高规范运作水平，严格落实内部控制 等制度，坚决杜绝类似事项的发生。</w:t>
      </w:r>
    </w:p>
    <w:p>
      <w:pPr>
        <w:pStyle w:val="Style40"/>
        <w:keepNext w:val="0"/>
        <w:keepLines w:val="0"/>
        <w:widowControl w:val="0"/>
        <w:shd w:val="clear" w:color="auto" w:fill="auto"/>
        <w:tabs>
          <w:tab w:pos="765" w:val="left"/>
        </w:tabs>
        <w:bidi w:val="0"/>
        <w:spacing w:before="0" w:after="0" w:line="469" w:lineRule="exact"/>
        <w:ind w:left="0" w:right="0" w:firstLine="440"/>
        <w:jc w:val="both"/>
      </w:pPr>
      <w:bookmarkStart w:id="553" w:name="bookmark553"/>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关于董事和董事会</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5</w:t>
      </w:r>
      <w:r>
        <w:rPr>
          <w:color w:val="000000"/>
          <w:spacing w:val="0"/>
          <w:w w:val="100"/>
          <w:position w:val="0"/>
        </w:rPr>
        <w:t>名，其中独立董事</w:t>
      </w:r>
      <w:r>
        <w:rPr>
          <w:rFonts w:ascii="Times New Roman" w:eastAsia="Times New Roman" w:hAnsi="Times New Roman" w:cs="Times New Roman"/>
          <w:color w:val="000000"/>
          <w:spacing w:val="0"/>
          <w:w w:val="100"/>
          <w:position w:val="0"/>
        </w:rPr>
        <w:t>2</w:t>
      </w:r>
      <w:r>
        <w:rPr>
          <w:color w:val="000000"/>
          <w:spacing w:val="0"/>
          <w:w w:val="100"/>
          <w:position w:val="0"/>
        </w:rPr>
        <w:t xml:space="preserve">名，董事会的人数及人员构成符合法律、法规和《公司章程》 的要求。公司董事依据《创业板上市公司规范运作指引》、《公司章程》、《上市公司独立董事履职指引》及 公司《董事会议事规则》、《独立董事工作制度》等开展工作，出席董事会和股东大会，依法行使职权，勤 勉尽责地履行职责和义务。报告期内，公司董事会共召开了 </w:t>
      </w:r>
      <w:r>
        <w:rPr>
          <w:rFonts w:ascii="Times New Roman" w:eastAsia="Times New Roman" w:hAnsi="Times New Roman" w:cs="Times New Roman"/>
          <w:color w:val="000000"/>
          <w:spacing w:val="0"/>
          <w:w w:val="100"/>
          <w:position w:val="0"/>
        </w:rPr>
        <w:t>11</w:t>
      </w:r>
      <w:r>
        <w:rPr>
          <w:color w:val="000000"/>
          <w:spacing w:val="0"/>
          <w:w w:val="100"/>
          <w:position w:val="0"/>
        </w:rPr>
        <w:t xml:space="preserve">次会议，会议的召集召开程序符合法律法规、 《公司章程》及公司《董事会议事规则》的相关规定。公司董事会下设战略委员会、提名委员会、审计委 </w:t>
      </w:r>
      <w:r>
        <w:rPr>
          <w:color w:val="000000"/>
          <w:spacing w:val="0"/>
          <w:w w:val="100"/>
          <w:position w:val="0"/>
        </w:rPr>
        <w:t>员会、薪酬与考核委员会四个专门委员会。各委员会依据《公司章程》和各委员会议事规则的规定履行职 权。</w:t>
      </w:r>
    </w:p>
    <w:p>
      <w:pPr>
        <w:pStyle w:val="Style40"/>
        <w:keepNext w:val="0"/>
        <w:keepLines w:val="0"/>
        <w:widowControl w:val="0"/>
        <w:shd w:val="clear" w:color="auto" w:fill="auto"/>
        <w:tabs>
          <w:tab w:pos="805" w:val="left"/>
        </w:tabs>
        <w:bidi w:val="0"/>
        <w:spacing w:before="0" w:after="0"/>
        <w:ind w:left="0" w:right="0" w:firstLine="440"/>
        <w:jc w:val="left"/>
      </w:pPr>
      <w:bookmarkStart w:id="554" w:name="bookmark554"/>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关于监事和监事会</w:t>
      </w:r>
    </w:p>
    <w:p>
      <w:pPr>
        <w:pStyle w:val="Style4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 事能够按照《监事会议事规则》的要求，认真履行自己的职责，对公司重大事项、财务状况以及董事、高 管人员履行职责的合法合规性进行监督。报告期内，公司监事会共召开了</w:t>
      </w:r>
      <w:r>
        <w:rPr>
          <w:rFonts w:ascii="Times New Roman" w:eastAsia="Times New Roman" w:hAnsi="Times New Roman" w:cs="Times New Roman"/>
          <w:color w:val="000000"/>
          <w:spacing w:val="0"/>
          <w:w w:val="100"/>
          <w:position w:val="0"/>
        </w:rPr>
        <w:t>7</w:t>
      </w:r>
      <w:r>
        <w:rPr>
          <w:color w:val="000000"/>
          <w:spacing w:val="0"/>
          <w:w w:val="100"/>
          <w:position w:val="0"/>
        </w:rPr>
        <w:t>次会议，会议的召集、召开程 序符合法律法规、《公司章程》及公司《监事会议事规则》的相关规定。</w:t>
      </w:r>
    </w:p>
    <w:p>
      <w:pPr>
        <w:pStyle w:val="Style40"/>
        <w:keepNext w:val="0"/>
        <w:keepLines w:val="0"/>
        <w:widowControl w:val="0"/>
        <w:shd w:val="clear" w:color="auto" w:fill="auto"/>
        <w:tabs>
          <w:tab w:pos="805" w:val="left"/>
        </w:tabs>
        <w:bidi w:val="0"/>
        <w:spacing w:before="0" w:after="0"/>
        <w:ind w:left="0" w:right="0" w:firstLine="440"/>
        <w:jc w:val="left"/>
      </w:pPr>
      <w:bookmarkStart w:id="555" w:name="bookmark555"/>
      <w:r>
        <w:rPr>
          <w:rFonts w:ascii="Times New Roman" w:eastAsia="Times New Roman" w:hAnsi="Times New Roman" w:cs="Times New Roman"/>
          <w:color w:val="000000"/>
          <w:spacing w:val="0"/>
          <w:w w:val="100"/>
          <w:position w:val="0"/>
        </w:rPr>
        <w:t>5</w:t>
      </w:r>
      <w:bookmarkEnd w:id="555"/>
      <w:r>
        <w:rPr>
          <w:color w:val="000000"/>
          <w:spacing w:val="0"/>
          <w:w w:val="100"/>
          <w:position w:val="0"/>
        </w:rPr>
        <w:t>、</w:t>
        <w:tab/>
        <w:t>关于绩效评价与激励约束机制</w:t>
      </w:r>
    </w:p>
    <w:p>
      <w:pPr>
        <w:pStyle w:val="Style4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公司已建立绩效评价与激励约束机制。为调动公司员工工作的积极性，公司针对不同岗位制定不同的 绩效考核标准，并通过员工持股计划及股权激励的方式建立多层次激励机制。公司董事会下设的薪酬与考 核委员会负责对公司董事及高管进行绩效考核，且已逐步完善和建立公正、透明的绩效评价标准和激励约 束机制。《公司章程》明确规定了高级管理人员的履职行为、权限和职责，高级管理人员的聘任公开、透 明，符合法律、法规的规定，现有的考核及激励约束机制符合公司的发展现状。</w:t>
      </w:r>
    </w:p>
    <w:p>
      <w:pPr>
        <w:pStyle w:val="Style40"/>
        <w:keepNext w:val="0"/>
        <w:keepLines w:val="0"/>
        <w:widowControl w:val="0"/>
        <w:shd w:val="clear" w:color="auto" w:fill="auto"/>
        <w:tabs>
          <w:tab w:pos="805" w:val="left"/>
        </w:tabs>
        <w:bidi w:val="0"/>
        <w:spacing w:before="0" w:after="0"/>
        <w:ind w:left="0" w:right="0" w:firstLine="440"/>
        <w:jc w:val="left"/>
      </w:pPr>
      <w:bookmarkStart w:id="556" w:name="bookmark556"/>
      <w:r>
        <w:rPr>
          <w:rFonts w:ascii="Times New Roman" w:eastAsia="Times New Roman" w:hAnsi="Times New Roman" w:cs="Times New Roman"/>
          <w:color w:val="000000"/>
          <w:spacing w:val="0"/>
          <w:w w:val="100"/>
          <w:position w:val="0"/>
        </w:rPr>
        <w:t>6</w:t>
      </w:r>
      <w:bookmarkEnd w:id="556"/>
      <w:r>
        <w:rPr>
          <w:color w:val="000000"/>
          <w:spacing w:val="0"/>
          <w:w w:val="100"/>
          <w:position w:val="0"/>
        </w:rPr>
        <w:t>、</w:t>
        <w:tab/>
        <w:t>关于信息披露与透明度</w:t>
      </w:r>
    </w:p>
    <w:p>
      <w:pPr>
        <w:pStyle w:val="Style4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公司严格按照有关法律法规以及《信息披露事务管理制度》、《投资者关系管理制度》等的要求，真实、 准确、及时、公平、完整地披露有关信息；并指定公司董事会秘书负责信息披露工作，协调公司与投资者 的关系，接待股东来访，回答投资者咨询。公司指定《证券时报》、《证券日报》为信息披露报纸，巨潮资 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为信息披露网站，确保公司所有股东能够以平等的机会获得信息。</w:t>
      </w:r>
    </w:p>
    <w:p>
      <w:pPr>
        <w:pStyle w:val="Style40"/>
        <w:keepNext w:val="0"/>
        <w:keepLines w:val="0"/>
        <w:widowControl w:val="0"/>
        <w:shd w:val="clear" w:color="auto" w:fill="auto"/>
        <w:tabs>
          <w:tab w:pos="805" w:val="left"/>
        </w:tabs>
        <w:bidi w:val="0"/>
        <w:spacing w:before="0" w:after="0"/>
        <w:ind w:left="0" w:right="0" w:firstLine="440"/>
        <w:jc w:val="left"/>
      </w:pPr>
      <w:bookmarkStart w:id="557" w:name="bookmark557"/>
      <w:r>
        <w:rPr>
          <w:rFonts w:ascii="Times New Roman" w:eastAsia="Times New Roman" w:hAnsi="Times New Roman" w:cs="Times New Roman"/>
          <w:color w:val="000000"/>
          <w:spacing w:val="0"/>
          <w:w w:val="100"/>
          <w:position w:val="0"/>
        </w:rPr>
        <w:t>7</w:t>
      </w:r>
      <w:bookmarkEnd w:id="557"/>
      <w:r>
        <w:rPr>
          <w:color w:val="000000"/>
          <w:spacing w:val="0"/>
          <w:w w:val="100"/>
          <w:position w:val="0"/>
        </w:rPr>
        <w:t>、</w:t>
        <w:tab/>
        <w:t>关于公司内部控制</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公司为规范经营管理，控制风险，保证经营业务活动的正常开展，根据相关法律法规的要求，结合公 司自身实际情况，不断完善内部控制制度，同时进一步梳理了公司内部流程，使之得到有效执行，保证公 司经营管理的有效运行。</w:t>
      </w:r>
    </w:p>
    <w:p>
      <w:pPr>
        <w:pStyle w:val="Style40"/>
        <w:keepNext w:val="0"/>
        <w:keepLines w:val="0"/>
        <w:widowControl w:val="0"/>
        <w:shd w:val="clear" w:color="auto" w:fill="auto"/>
        <w:tabs>
          <w:tab w:pos="805" w:val="left"/>
        </w:tabs>
        <w:bidi w:val="0"/>
        <w:spacing w:before="0" w:after="0"/>
        <w:ind w:left="0" w:right="0" w:firstLine="440"/>
        <w:jc w:val="both"/>
      </w:pPr>
      <w:bookmarkStart w:id="558" w:name="bookmark558"/>
      <w:r>
        <w:rPr>
          <w:rFonts w:ascii="Times New Roman" w:eastAsia="Times New Roman" w:hAnsi="Times New Roman" w:cs="Times New Roman"/>
          <w:color w:val="000000"/>
          <w:spacing w:val="0"/>
          <w:w w:val="100"/>
          <w:position w:val="0"/>
        </w:rPr>
        <w:t>8</w:t>
      </w:r>
      <w:bookmarkEnd w:id="558"/>
      <w:r>
        <w:rPr>
          <w:color w:val="000000"/>
          <w:spacing w:val="0"/>
          <w:w w:val="100"/>
          <w:position w:val="0"/>
        </w:rPr>
        <w:t>、</w:t>
        <w:tab/>
        <w:t>关于利益相关者</w:t>
      </w:r>
    </w:p>
    <w:p>
      <w:pPr>
        <w:pStyle w:val="Style40"/>
        <w:keepNext w:val="0"/>
        <w:keepLines w:val="0"/>
        <w:widowControl w:val="0"/>
        <w:shd w:val="clear" w:color="auto" w:fill="auto"/>
        <w:bidi w:val="0"/>
        <w:spacing w:before="0" w:after="140" w:line="442" w:lineRule="exact"/>
        <w:ind w:left="0" w:right="0" w:firstLine="440"/>
        <w:jc w:val="both"/>
        <w:rPr>
          <w:sz w:val="18"/>
          <w:szCs w:val="18"/>
        </w:rPr>
      </w:pPr>
      <w:r>
        <w:rPr>
          <w:color w:val="000000"/>
          <w:spacing w:val="0"/>
          <w:w w:val="100"/>
          <w:position w:val="0"/>
          <w:sz w:val="20"/>
          <w:szCs w:val="20"/>
        </w:rPr>
        <w:t xml:space="preserve">公司充分尊重和维护利益相关者的合法权益，努力实现股东、客户、供应商、员工等社会各方利益的 协调平衡，做好环保安全工作，根据实际情况参与社会责任等活动，推动公司可持续、健康地发展。 </w:t>
      </w:r>
      <w:r>
        <w:rPr>
          <w:color w:val="000000"/>
          <w:spacing w:val="0"/>
          <w:w w:val="100"/>
          <w:position w:val="0"/>
          <w:sz w:val="18"/>
          <w:szCs w:val="18"/>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12" w:val="left"/>
        </w:tabs>
        <w:bidi w:val="0"/>
        <w:spacing w:before="0" w:after="1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w:t>
        <w:tab/>
        <w:t>公司相对于控股股东在业务、人员、资产、机构、财务等方面的独立情况</w:t>
      </w:r>
      <w:bookmarkEnd w:id="559"/>
      <w:bookmarkEnd w:id="560"/>
      <w:bookmarkEnd w:id="562"/>
    </w:p>
    <w:p>
      <w:pPr>
        <w:pStyle w:val="Style40"/>
        <w:keepNext w:val="0"/>
        <w:keepLines w:val="0"/>
        <w:widowControl w:val="0"/>
        <w:shd w:val="clear" w:color="auto" w:fill="auto"/>
        <w:bidi w:val="0"/>
        <w:spacing w:before="0" w:after="0" w:line="478" w:lineRule="exact"/>
        <w:ind w:left="0" w:right="0" w:firstLine="440"/>
        <w:jc w:val="left"/>
      </w:pPr>
      <w:r>
        <w:rPr>
          <w:color w:val="000000"/>
          <w:spacing w:val="0"/>
          <w:w w:val="100"/>
          <w:position w:val="0"/>
        </w:rPr>
        <w:t>公司拥有独立完整的业务和自主经营能力，在业务、人员、资产、机构、财务等方面均独立于控股股 东，公司董事会、监事会和内部机构独立运作。</w:t>
      </w:r>
    </w:p>
    <w:p>
      <w:pPr>
        <w:pStyle w:val="Style40"/>
        <w:keepNext w:val="0"/>
        <w:keepLines w:val="0"/>
        <w:widowControl w:val="0"/>
        <w:shd w:val="clear" w:color="auto" w:fill="auto"/>
        <w:tabs>
          <w:tab w:pos="790" w:val="left"/>
        </w:tabs>
        <w:bidi w:val="0"/>
        <w:spacing w:before="0" w:after="0" w:line="478" w:lineRule="exact"/>
        <w:ind w:left="0" w:right="0" w:firstLine="440"/>
        <w:jc w:val="left"/>
      </w:pPr>
      <w:bookmarkStart w:id="563" w:name="bookmark563"/>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业务方面：公司拥有独立完整的业务体系和自主经营能力，控股股东按照承诺未从事与公司业务 相同或相近的业务活动。</w:t>
      </w:r>
    </w:p>
    <w:p>
      <w:pPr>
        <w:pStyle w:val="Style40"/>
        <w:keepNext w:val="0"/>
        <w:keepLines w:val="0"/>
        <w:widowControl w:val="0"/>
        <w:shd w:val="clear" w:color="auto" w:fill="auto"/>
        <w:tabs>
          <w:tab w:pos="790" w:val="left"/>
        </w:tabs>
        <w:bidi w:val="0"/>
        <w:spacing w:before="0" w:after="0" w:line="478" w:lineRule="exact"/>
        <w:ind w:left="0" w:right="0" w:firstLine="440"/>
        <w:jc w:val="left"/>
      </w:pPr>
      <w:bookmarkStart w:id="564" w:name="bookmark564"/>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人员方面：公司拥有独立的人事和劳动关系管理体系，公司总经理、副总经理、财务负责人和董 事会秘书等高级管理人员均在公司领取报酬。</w:t>
      </w:r>
    </w:p>
    <w:p>
      <w:pPr>
        <w:pStyle w:val="Style40"/>
        <w:keepNext w:val="0"/>
        <w:keepLines w:val="0"/>
        <w:widowControl w:val="0"/>
        <w:shd w:val="clear" w:color="auto" w:fill="auto"/>
        <w:tabs>
          <w:tab w:pos="790" w:val="left"/>
        </w:tabs>
        <w:bidi w:val="0"/>
        <w:spacing w:before="0" w:after="0" w:line="478" w:lineRule="exact"/>
        <w:ind w:left="0" w:right="0" w:firstLine="440"/>
        <w:jc w:val="left"/>
      </w:pPr>
      <w:bookmarkStart w:id="565" w:name="bookmark565"/>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资产方面：公司供、销系统完整独立。商标、非专利技术等无形资产和有形资产均由公司拥有， 产权界定清晰。</w:t>
      </w:r>
    </w:p>
    <w:p>
      <w:pPr>
        <w:pStyle w:val="Style40"/>
        <w:keepNext w:val="0"/>
        <w:keepLines w:val="0"/>
        <w:widowControl w:val="0"/>
        <w:shd w:val="clear" w:color="auto" w:fill="auto"/>
        <w:tabs>
          <w:tab w:pos="790" w:val="left"/>
        </w:tabs>
        <w:bidi w:val="0"/>
        <w:spacing w:before="0" w:after="0" w:line="478" w:lineRule="exact"/>
        <w:ind w:left="0" w:right="0" w:firstLine="440"/>
        <w:jc w:val="left"/>
      </w:pPr>
      <w:bookmarkStart w:id="566" w:name="bookmark566"/>
      <w:r>
        <w:rPr>
          <w:rFonts w:ascii="Times New Roman" w:eastAsia="Times New Roman" w:hAnsi="Times New Roman" w:cs="Times New Roman"/>
          <w:color w:val="000000"/>
          <w:spacing w:val="0"/>
          <w:w w:val="100"/>
          <w:position w:val="0"/>
        </w:rPr>
        <w:t>4</w:t>
      </w:r>
      <w:bookmarkEnd w:id="566"/>
      <w:r>
        <w:rPr>
          <w:color w:val="000000"/>
          <w:spacing w:val="0"/>
          <w:w w:val="100"/>
          <w:position w:val="0"/>
        </w:rPr>
        <w:t>、</w:t>
        <w:tab/>
        <w:t>机构方面：公司设有健全的组织机构体系，股东大会、董事会、监事会及董事会下属专业委员会 等机构独立运作，不受控股股东及其他单位或个人的干涉。</w:t>
      </w:r>
    </w:p>
    <w:p>
      <w:pPr>
        <w:pStyle w:val="Style40"/>
        <w:keepNext w:val="0"/>
        <w:keepLines w:val="0"/>
        <w:widowControl w:val="0"/>
        <w:shd w:val="clear" w:color="auto" w:fill="auto"/>
        <w:tabs>
          <w:tab w:pos="795" w:val="left"/>
        </w:tabs>
        <w:bidi w:val="0"/>
        <w:spacing w:before="0" w:after="420" w:line="478" w:lineRule="exact"/>
        <w:ind w:left="0" w:right="0" w:firstLine="440"/>
        <w:jc w:val="left"/>
      </w:pPr>
      <w:bookmarkStart w:id="567" w:name="bookmark567"/>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财务方面：公司设有完整、独立的财务机构，配备了充足的专职财务人员，建立了独立的会计核 算和财务管理体系。</w:t>
      </w:r>
    </w:p>
    <w:p>
      <w:pPr>
        <w:pStyle w:val="Style29"/>
        <w:keepNext/>
        <w:keepLines/>
        <w:widowControl w:val="0"/>
        <w:shd w:val="clear" w:color="auto" w:fill="auto"/>
        <w:tabs>
          <w:tab w:pos="517" w:val="left"/>
        </w:tabs>
        <w:bidi w:val="0"/>
        <w:spacing w:before="0" w:after="34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三</w:t>
      </w:r>
      <w:bookmarkEnd w:id="570"/>
      <w:r>
        <w:rPr>
          <w:color w:val="000000"/>
          <w:spacing w:val="0"/>
          <w:w w:val="100"/>
          <w:position w:val="0"/>
          <w:sz w:val="24"/>
          <w:szCs w:val="24"/>
        </w:rPr>
        <w:t>、</w:t>
        <w:tab/>
        <w:t>同业竞争情况</w:t>
      </w:r>
      <w:bookmarkEnd w:id="568"/>
      <w:bookmarkEnd w:id="569"/>
      <w:bookmarkEnd w:id="57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、报告期内召开的年度股东大会和临时股东大会的有关情况</w:t>
      </w:r>
      <w:bookmarkEnd w:id="572"/>
      <w:bookmarkEnd w:id="573"/>
      <w:bookmarkEnd w:id="575"/>
    </w:p>
    <w:p>
      <w:pPr>
        <w:pStyle w:val="Style36"/>
        <w:keepNext/>
        <w:keepLines/>
        <w:widowControl w:val="0"/>
        <w:shd w:val="clear" w:color="auto" w:fill="auto"/>
        <w:bidi w:val="0"/>
        <w:spacing w:before="0" w:after="340" w:line="240"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76"/>
      <w:bookmarkEnd w:id="577"/>
      <w:bookmarkEnd w:id="578"/>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披露索引</w:t>
            </w:r>
          </w:p>
        </w:tc>
      </w:tr>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巨潮资讯网</w:t>
            </w:r>
          </w:p>
          <w:p>
            <w:pPr>
              <w:pStyle w:val="Style2"/>
              <w:keepNext w:val="0"/>
              <w:keepLines w:val="0"/>
              <w:widowControl w:val="0"/>
              <w:shd w:val="clear" w:color="auto" w:fill="auto"/>
              <w:bidi w:val="0"/>
              <w:spacing w:before="0" w:after="60" w:line="331"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p>
            <w:pPr>
              <w:pStyle w:val="Style2"/>
              <w:keepNext w:val="0"/>
              <w:keepLines w:val="0"/>
              <w:widowControl w:val="0"/>
              <w:shd w:val="clear" w:color="auto" w:fill="auto"/>
              <w:bidi w:val="0"/>
              <w:spacing w:before="0" w:after="60" w:line="331"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 东大会决议公告》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(公告编号：</w:t>
            </w:r>
          </w:p>
          <w:p>
            <w:pPr>
              <w:pStyle w:val="Style2"/>
              <w:keepNext w:val="0"/>
              <w:keepLines w:val="0"/>
              <w:widowControl w:val="0"/>
              <w:shd w:val="clear" w:color="auto" w:fill="auto"/>
              <w:bidi w:val="0"/>
              <w:spacing w:before="0" w:after="6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60" w:line="317"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60" w:line="317"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
              <w:keepNext w:val="0"/>
              <w:keepLines w:val="0"/>
              <w:widowControl w:val="0"/>
              <w:shd w:val="clear" w:color="auto" w:fill="auto"/>
              <w:bidi w:val="0"/>
              <w:spacing w:before="0" w:after="6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 临时股东大会决 议公告》(公告编</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3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巨潮资讯网</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 临时股东大会决 议公告》(公告编 号：</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巨潮资讯网</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年第三次 临时股东大会决 议公告》(公告编 号：</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巨潮资讯网</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年第四次 临时股东大会决 议公告》(公告编 号：</w:t>
            </w:r>
            <w:r>
              <w:rPr>
                <w:rFonts w:ascii="Times New Roman" w:eastAsia="Times New Roman" w:hAnsi="Times New Roman" w:cs="Times New Roman"/>
                <w:color w:val="000000"/>
                <w:spacing w:val="0"/>
                <w:w w:val="100"/>
                <w:position w:val="0"/>
                <w:sz w:val="18"/>
                <w:szCs w:val="18"/>
              </w:rPr>
              <w:t>2020-131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3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年第五次临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巨潮资讯网</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年第五次 临时股东大会决 议公告》(公告编 号：</w:t>
            </w:r>
            <w:r>
              <w:rPr>
                <w:rFonts w:ascii="Times New Roman" w:eastAsia="Times New Roman" w:hAnsi="Times New Roman" w:cs="Times New Roman"/>
                <w:color w:val="000000"/>
                <w:spacing w:val="0"/>
                <w:w w:val="100"/>
                <w:position w:val="0"/>
                <w:sz w:val="18"/>
                <w:szCs w:val="18"/>
              </w:rPr>
              <w:t>2020-144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、表决权恢复的优先股股东请求召开临时股东大会</w:t>
      </w:r>
      <w:bookmarkEnd w:id="579"/>
      <w:bookmarkEnd w:id="580"/>
      <w:bookmarkEnd w:id="58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五</w:t>
      </w:r>
      <w:bookmarkEnd w:id="585"/>
      <w:r>
        <w:rPr>
          <w:color w:val="000000"/>
          <w:spacing w:val="0"/>
          <w:w w:val="100"/>
          <w:position w:val="0"/>
          <w:sz w:val="24"/>
          <w:szCs w:val="24"/>
        </w:rPr>
        <w:t>、报告期内独立董事履行职责的情况</w:t>
      </w:r>
      <w:bookmarkEnd w:id="583"/>
      <w:bookmarkEnd w:id="584"/>
      <w:bookmarkEnd w:id="586"/>
    </w:p>
    <w:p>
      <w:pPr>
        <w:pStyle w:val="Style36"/>
        <w:keepNext/>
        <w:keepLines/>
        <w:widowControl w:val="0"/>
        <w:shd w:val="clear" w:color="auto" w:fill="auto"/>
        <w:bidi w:val="0"/>
        <w:spacing w:before="0" w:after="320" w:line="240" w:lineRule="auto"/>
        <w:ind w:left="0" w:right="0" w:firstLine="0"/>
        <w:jc w:val="left"/>
      </w:pPr>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87"/>
      <w:bookmarkEnd w:id="588"/>
      <w:bookmarkEnd w:id="589"/>
    </w:p>
    <w:tbl>
      <w:tblPr>
        <w:tblOverlap w:val="never"/>
        <w:jc w:val="center"/>
        <w:tblLayout w:type="fixed"/>
      </w:tblPr>
      <w:tblGrid>
        <w:gridCol w:w="1435"/>
        <w:gridCol w:w="1162"/>
        <w:gridCol w:w="1166"/>
        <w:gridCol w:w="1162"/>
        <w:gridCol w:w="1162"/>
        <w:gridCol w:w="1162"/>
        <w:gridCol w:w="1166"/>
        <w:gridCol w:w="1171"/>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本报告期应</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参加董事会</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现场出席董 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以通讯方式 参加董事会 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委托出席董 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缺席董事会 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是否连续两 次未亲自参 加董事会会</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出席股东大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会次数</w:t>
            </w:r>
          </w:p>
        </w:tc>
      </w:tr>
    </w:tbl>
    <w:tbl>
      <w:tblPr>
        <w:tblOverlap w:val="never"/>
        <w:jc w:val="center"/>
        <w:tblLayout w:type="fixed"/>
      </w:tblPr>
      <w:tblGrid>
        <w:gridCol w:w="1435"/>
        <w:gridCol w:w="1162"/>
        <w:gridCol w:w="1166"/>
        <w:gridCol w:w="1162"/>
        <w:gridCol w:w="1162"/>
        <w:gridCol w:w="1162"/>
        <w:gridCol w:w="1166"/>
        <w:gridCol w:w="11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蒋贤品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179" w:line="1" w:lineRule="exact"/>
      </w:pPr>
    </w:p>
    <w:p>
      <w:pPr>
        <w:pStyle w:val="Style36"/>
        <w:keepNext/>
        <w:keepLines/>
        <w:widowControl w:val="0"/>
        <w:shd w:val="clear" w:color="auto" w:fill="auto"/>
        <w:tabs>
          <w:tab w:pos="378" w:val="left"/>
        </w:tabs>
        <w:bidi w:val="0"/>
        <w:spacing w:before="0" w:line="468" w:lineRule="exact"/>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w:t>
        <w:tab/>
        <w:t>独立董事对公司有关事项提出异议的情况</w:t>
      </w:r>
      <w:bookmarkEnd w:id="590"/>
      <w:bookmarkEnd w:id="591"/>
      <w:bookmarkEnd w:id="59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140" w:line="48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3</w:t>
      </w:r>
      <w:bookmarkEnd w:id="596"/>
      <w:r>
        <w:rPr>
          <w:color w:val="000000"/>
          <w:spacing w:val="0"/>
          <w:w w:val="100"/>
          <w:position w:val="0"/>
        </w:rPr>
        <w:t>、</w:t>
        <w:tab/>
        <w:t>独立董事履行职责的其他说明</w:t>
      </w:r>
      <w:bookmarkEnd w:id="594"/>
      <w:bookmarkEnd w:id="595"/>
      <w:bookmarkEnd w:id="59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报告期内，公司独立董事严格按照《公司章程》、《上市公司独立董事履职指引》、《上市公司治理准则》 及《深圳证券交易所创业板上市公司规范运作指引》及相关法律、法规等有关规定和要求，本着对公司及 全体股东负责的态度，独立公正地履行职责，积极出席董事会、股东大会，深入公司现场调查，了解生产 经营状况和内部控制建设及董事会决议的执行情况，关注外部环境变化对公司造成的影响。独立董事利用 自己的专业知识和经验对公司的战略发展、内部控制、重大经营决策等提供了专业性意见，对公司财务及 生产经营活动、信息披露工作进行有效监督，为公司未来发展和规范运作及提升管理水平起到了积极作用。</w:t>
      </w:r>
    </w:p>
    <w:p>
      <w:pPr>
        <w:pStyle w:val="Style4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报告期内，公司独立董事对聘任会计师事务所、董监高薪酬、资金占用情况、日常关联交易事项、业 绩承诺实现情况、公司内部控制自我评价报告、利润分配、修订章程、担保事项、关联交易、对外投资等 相关事项发表了独立、客观的独立意见，为完善公司监督机制，维护公司和全体股东的合法权益发挥了重 要作用。报告期内公司独立董事履职的具体情况详见公司披露于巨潮资讯网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 xml:space="preserve">) </w:t>
      </w:r>
      <w:r>
        <w:rPr>
          <w:color w:val="000000"/>
          <w:spacing w:val="0"/>
          <w:w w:val="100"/>
          <w:position w:val="0"/>
        </w:rPr>
        <w:t>上的《</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年度独立董事述职报告》。</w:t>
      </w:r>
    </w:p>
    <w:p>
      <w:pPr>
        <w:pStyle w:val="Style29"/>
        <w:keepNext/>
        <w:keepLines/>
        <w:widowControl w:val="0"/>
        <w:shd w:val="clear" w:color="auto" w:fill="auto"/>
        <w:bidi w:val="0"/>
        <w:spacing w:before="0" w:after="1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六</w:t>
      </w:r>
      <w:bookmarkEnd w:id="600"/>
      <w:r>
        <w:rPr>
          <w:color w:val="000000"/>
          <w:spacing w:val="0"/>
          <w:w w:val="100"/>
          <w:position w:val="0"/>
          <w:sz w:val="24"/>
          <w:szCs w:val="24"/>
        </w:rPr>
        <w:t>、董事会下设专门委员会在报告期内履行职责情况</w:t>
      </w:r>
      <w:bookmarkEnd w:id="598"/>
      <w:bookmarkEnd w:id="599"/>
      <w:bookmarkEnd w:id="601"/>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公司董事会下设审计委员会、提名委员会、薪酬与考核委员会和战略委员会四个专门委员会，分别对 </w:t>
      </w:r>
      <w:r>
        <w:rPr>
          <w:color w:val="000000"/>
          <w:spacing w:val="0"/>
          <w:w w:val="100"/>
          <w:position w:val="0"/>
        </w:rPr>
        <w:t>公司的薪酬管理、人员激励、内部审计以及发展决策等方面发表意见和建议。专门委员会成员全部由董事 组成，除战略委员会外，各专门委员会均由独立董事担任召集人，且独立董事人数占其他专门委员会委员 的比例均达到三分之二。报告期内，公司董事会各专门委员会充分发挥专业性作用，科学决策，审慎监管, 切实履行工作职责，为公司发展、组织建设和团队管理做了大量的工作，有效提升了公司管理水平。各委 员会依据《公司章程》和各专门委员会工作细则及其他相关法规的规定履行职权，具体如下：</w:t>
      </w:r>
    </w:p>
    <w:p>
      <w:pPr>
        <w:pStyle w:val="Style40"/>
        <w:keepNext w:val="0"/>
        <w:keepLines w:val="0"/>
        <w:widowControl w:val="0"/>
        <w:shd w:val="clear" w:color="auto" w:fill="auto"/>
        <w:tabs>
          <w:tab w:pos="1006" w:val="left"/>
        </w:tabs>
        <w:bidi w:val="0"/>
        <w:spacing w:before="0" w:after="0" w:line="468" w:lineRule="exact"/>
        <w:ind w:left="0" w:right="0" w:firstLine="440"/>
        <w:jc w:val="both"/>
      </w:pPr>
      <w:bookmarkStart w:id="602" w:name="bookmark602"/>
      <w:r>
        <w:rPr>
          <w:color w:val="000000"/>
          <w:spacing w:val="0"/>
          <w:w w:val="100"/>
          <w:position w:val="0"/>
        </w:rPr>
        <w:t>（</w:t>
      </w:r>
      <w:bookmarkEnd w:id="602"/>
      <w:r>
        <w:rPr>
          <w:color w:val="000000"/>
          <w:spacing w:val="0"/>
          <w:w w:val="100"/>
          <w:position w:val="0"/>
        </w:rPr>
        <w:t>一）</w:t>
        <w:tab/>
        <w:t>审计委员会履职情况</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报告期内，公司董事会审计委员会依照《公司章程》、《董事会审计委员会议事规则》的相关规定，充 分发挥了审核与监督作用。审计委员会主要负责审核公司财务信息、内控制度和核查工作及外部审计机构 的沟通工作。报告期内，审计委员对定期报告、聘任审计机构、内控制度、关联交易等事项进行了审议。</w:t>
      </w:r>
    </w:p>
    <w:p>
      <w:pPr>
        <w:pStyle w:val="Style40"/>
        <w:keepNext w:val="0"/>
        <w:keepLines w:val="0"/>
        <w:widowControl w:val="0"/>
        <w:shd w:val="clear" w:color="auto" w:fill="auto"/>
        <w:tabs>
          <w:tab w:pos="1006" w:val="left"/>
        </w:tabs>
        <w:bidi w:val="0"/>
        <w:spacing w:before="0" w:after="0" w:line="468" w:lineRule="exact"/>
        <w:ind w:left="0" w:right="0" w:firstLine="440"/>
        <w:jc w:val="both"/>
      </w:pPr>
      <w:bookmarkStart w:id="603" w:name="bookmark603"/>
      <w:r>
        <w:rPr>
          <w:color w:val="000000"/>
          <w:spacing w:val="0"/>
          <w:w w:val="100"/>
          <w:position w:val="0"/>
        </w:rPr>
        <w:t>（</w:t>
      </w:r>
      <w:bookmarkEnd w:id="603"/>
      <w:r>
        <w:rPr>
          <w:color w:val="000000"/>
          <w:spacing w:val="0"/>
          <w:w w:val="100"/>
          <w:position w:val="0"/>
        </w:rPr>
        <w:t>二）</w:t>
        <w:tab/>
        <w:t>提名委员会履职情况</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报告期内，公司董事会提名委员会依照《公司章程》、《董事会提名委员会议事规则》的相关规定积极 履行职责。报告期内，提名委员会重点对公司高管人员任职资格进行审查，对高管、董事等人员的提名、 选举、聘任事项进行了审议。</w:t>
      </w:r>
    </w:p>
    <w:p>
      <w:pPr>
        <w:pStyle w:val="Style40"/>
        <w:keepNext w:val="0"/>
        <w:keepLines w:val="0"/>
        <w:widowControl w:val="0"/>
        <w:shd w:val="clear" w:color="auto" w:fill="auto"/>
        <w:tabs>
          <w:tab w:pos="1006" w:val="left"/>
        </w:tabs>
        <w:bidi w:val="0"/>
        <w:spacing w:before="0" w:after="0" w:line="468" w:lineRule="exact"/>
        <w:ind w:left="0" w:right="0" w:firstLine="440"/>
        <w:jc w:val="both"/>
      </w:pPr>
      <w:bookmarkStart w:id="604" w:name="bookmark604"/>
      <w:r>
        <w:rPr>
          <w:color w:val="000000"/>
          <w:spacing w:val="0"/>
          <w:w w:val="100"/>
          <w:position w:val="0"/>
        </w:rPr>
        <w:t>（</w:t>
      </w:r>
      <w:bookmarkEnd w:id="604"/>
      <w:r>
        <w:rPr>
          <w:color w:val="000000"/>
          <w:spacing w:val="0"/>
          <w:w w:val="100"/>
          <w:position w:val="0"/>
        </w:rPr>
        <w:t>三）</w:t>
        <w:tab/>
        <w:t>薪酬与考核委员会履职情况</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报告期内，公司董事会薪酬与考核委员会依照《公司章程》、《董事会薪酬与考核委员会议事规则》的 相关规定认真履行职责，对公司薪酬及绩效考核情况进行监督。报告期内，薪酬与考核委员会对公司高管 的薪酬进行了审议，对公司薪酬制度和考核情况提出合理化建议，促进公司在规范运作的基础上，进一步 提高在薪酬考核方面的科学性。</w:t>
      </w:r>
    </w:p>
    <w:p>
      <w:pPr>
        <w:pStyle w:val="Style40"/>
        <w:keepNext w:val="0"/>
        <w:keepLines w:val="0"/>
        <w:widowControl w:val="0"/>
        <w:shd w:val="clear" w:color="auto" w:fill="auto"/>
        <w:tabs>
          <w:tab w:pos="1006" w:val="left"/>
        </w:tabs>
        <w:bidi w:val="0"/>
        <w:spacing w:before="0" w:after="0" w:line="468"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四）</w:t>
        <w:tab/>
        <w:t>战略委员会履职情况</w:t>
      </w:r>
    </w:p>
    <w:p>
      <w:pPr>
        <w:pStyle w:val="Style4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报告期内，公司战略委员会依照《公司章程》、《董事会战略委员会议事规则》的相关规定认真履行职 责，对公司长期发展规划、经营目标进行研究并向董事会提出建议。报告期内，战略委员会对公司经营战 略、年度经营计划、重大投资、融资方案等重大事项提出建议，并根据行业发展现状及公司在</w:t>
      </w:r>
      <w:r>
        <w:rPr>
          <w:rFonts w:ascii="Times New Roman" w:eastAsia="Times New Roman" w:hAnsi="Times New Roman" w:cs="Times New Roman"/>
          <w:color w:val="000000"/>
          <w:spacing w:val="0"/>
          <w:w w:val="100"/>
          <w:position w:val="0"/>
        </w:rPr>
        <w:t>2020</w:t>
      </w:r>
      <w:r>
        <w:rPr>
          <w:color w:val="000000"/>
          <w:spacing w:val="0"/>
          <w:w w:val="100"/>
          <w:position w:val="0"/>
        </w:rPr>
        <w:t>年度的 经营情况对公司未来发展战略进行了优化调整的提议，确保了公司重大经营战略目标的实现以及公司未来 可持续发展提供了支持。</w:t>
      </w:r>
    </w:p>
    <w:p>
      <w:pPr>
        <w:pStyle w:val="Style29"/>
        <w:keepNext/>
        <w:keepLines/>
        <w:widowControl w:val="0"/>
        <w:shd w:val="clear" w:color="auto" w:fill="auto"/>
        <w:bidi w:val="0"/>
        <w:spacing w:before="0" w:after="3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七</w:t>
      </w:r>
      <w:bookmarkEnd w:id="608"/>
      <w:r>
        <w:rPr>
          <w:color w:val="000000"/>
          <w:spacing w:val="0"/>
          <w:w w:val="100"/>
          <w:position w:val="0"/>
          <w:sz w:val="24"/>
          <w:szCs w:val="24"/>
        </w:rPr>
        <w:t>、监事会工作情况</w:t>
      </w:r>
      <w:bookmarkEnd w:id="606"/>
      <w:bookmarkEnd w:id="607"/>
      <w:bookmarkEnd w:id="60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公司监事会对报告期内的监督事项无异议。</w:t>
      </w:r>
    </w:p>
    <w:p>
      <w:pPr>
        <w:pStyle w:val="Style29"/>
        <w:keepNext/>
        <w:keepLines/>
        <w:widowControl w:val="0"/>
        <w:shd w:val="clear" w:color="auto" w:fill="auto"/>
        <w:tabs>
          <w:tab w:pos="506" w:val="left"/>
        </w:tabs>
        <w:bidi w:val="0"/>
        <w:spacing w:before="0" w:after="20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八</w:t>
      </w:r>
      <w:bookmarkEnd w:id="612"/>
      <w:r>
        <w:rPr>
          <w:color w:val="000000"/>
          <w:spacing w:val="0"/>
          <w:w w:val="100"/>
          <w:position w:val="0"/>
          <w:sz w:val="24"/>
          <w:szCs w:val="24"/>
        </w:rPr>
        <w:t>、</w:t>
        <w:tab/>
        <w:t>高级管理人员的考评及激励情况</w:t>
      </w:r>
      <w:bookmarkEnd w:id="610"/>
      <w:bookmarkEnd w:id="611"/>
      <w:bookmarkEnd w:id="613"/>
    </w:p>
    <w:p>
      <w:pPr>
        <w:pStyle w:val="Style4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公司高级管理人员的薪资由基本薪酬和绩效奖金构成，基本薪酬参考市场同类薪酬标准，结合考虑职 位、责任、能力等因素确定，基本薪酬按月平均发放，结合年度绩效考核结果等确定。薪资水平与其承担 责任、风险和经营业绩挂钩。报告期内，公司建立了公正、透明的高级管理人员的选择、绩效考评机制， 高级管理人员均由董事会表决通过，董事会下设的提名委员会与薪酬与考核委员会负责对高级管理人员的 能力及履职情况进行监督。公司董事会提名委员会与薪酬与考核委员会根据实际情况对公司高级管理人员 进行考核，报告期内，公司高级管理人员能够按照《公司法》、《公司章程》及国家有关法律法规的规定认 真履行职责，积极落实公司股东大会和董事会相关决议。高级管理人员薪酬合理，薪酬发放的程序符合有 关法律、法规及《公司章程》的规定。</w:t>
      </w:r>
    </w:p>
    <w:p>
      <w:pPr>
        <w:pStyle w:val="Style29"/>
        <w:keepNext/>
        <w:keepLines/>
        <w:widowControl w:val="0"/>
        <w:shd w:val="clear" w:color="auto" w:fill="auto"/>
        <w:tabs>
          <w:tab w:pos="506" w:val="left"/>
        </w:tabs>
        <w:bidi w:val="0"/>
        <w:spacing w:before="0" w:after="14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sz w:val="24"/>
          <w:szCs w:val="24"/>
        </w:rPr>
        <w:t>九</w:t>
      </w:r>
      <w:bookmarkEnd w:id="616"/>
      <w:r>
        <w:rPr>
          <w:color w:val="000000"/>
          <w:spacing w:val="0"/>
          <w:w w:val="100"/>
          <w:position w:val="0"/>
          <w:sz w:val="24"/>
          <w:szCs w:val="24"/>
        </w:rPr>
        <w:t>、</w:t>
        <w:tab/>
        <w:t>内部控制评价报告</w:t>
      </w:r>
      <w:bookmarkEnd w:id="614"/>
      <w:bookmarkEnd w:id="615"/>
      <w:bookmarkEnd w:id="617"/>
    </w:p>
    <w:p>
      <w:pPr>
        <w:pStyle w:val="Style36"/>
        <w:keepNext/>
        <w:keepLines/>
        <w:widowControl w:val="0"/>
        <w:shd w:val="clear" w:color="auto" w:fill="auto"/>
        <w:bidi w:val="0"/>
        <w:spacing w:before="0" w:line="468" w:lineRule="exact"/>
        <w:ind w:left="0" w:right="0" w:firstLine="0"/>
        <w:jc w:val="both"/>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18"/>
      <w:bookmarkEnd w:id="619"/>
      <w:bookmarkEnd w:id="620"/>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36"/>
        <w:keepNext/>
        <w:keepLines/>
        <w:widowControl w:val="0"/>
        <w:shd w:val="clear" w:color="auto" w:fill="auto"/>
        <w:bidi w:val="0"/>
        <w:spacing w:before="0" w:line="240" w:lineRule="auto"/>
        <w:ind w:left="0" w:right="0" w:firstLine="0"/>
        <w:jc w:val="both"/>
      </w:pPr>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21"/>
      <w:bookmarkEnd w:id="622"/>
      <w:bookmarkEnd w:id="623"/>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《浙江金科文化产业股份有限公司</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3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公司确定的财务报告内部控制缺陷评价 的定性标准如下：</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出现以下情形的（包括但不限于），可认 定为重大缺陷，其他情形按影响程度分 别确定为重要缺陷或一般缺陷：</w:t>
            </w:r>
          </w:p>
          <w:p>
            <w:pPr>
              <w:pStyle w:val="Style2"/>
              <w:keepNext w:val="0"/>
              <w:keepLines w:val="0"/>
              <w:widowControl w:val="0"/>
              <w:numPr>
                <w:ilvl w:val="0"/>
                <w:numId w:val="21"/>
              </w:numPr>
              <w:shd w:val="clear" w:color="auto" w:fill="auto"/>
              <w:tabs>
                <w:tab w:pos="182" w:val="left"/>
              </w:tabs>
              <w:bidi w:val="0"/>
              <w:spacing w:before="0" w:after="0" w:line="307" w:lineRule="exact"/>
              <w:ind w:left="0" w:right="0" w:firstLine="0"/>
              <w:jc w:val="left"/>
              <w:rPr>
                <w:sz w:val="18"/>
                <w:szCs w:val="18"/>
              </w:rPr>
            </w:pPr>
            <w:r>
              <w:rPr>
                <w:color w:val="000000"/>
                <w:spacing w:val="0"/>
                <w:w w:val="100"/>
                <w:position w:val="0"/>
                <w:sz w:val="18"/>
                <w:szCs w:val="18"/>
              </w:rPr>
              <w:t>发现董事、监事和高级管理人员在公 司管理活动中存在重大舞弊；</w:t>
            </w:r>
          </w:p>
          <w:p>
            <w:pPr>
              <w:pStyle w:val="Style2"/>
              <w:keepNext w:val="0"/>
              <w:keepLines w:val="0"/>
              <w:widowControl w:val="0"/>
              <w:numPr>
                <w:ilvl w:val="0"/>
                <w:numId w:val="21"/>
              </w:numPr>
              <w:shd w:val="clear" w:color="auto" w:fill="auto"/>
              <w:tabs>
                <w:tab w:pos="202" w:val="left"/>
              </w:tabs>
              <w:bidi w:val="0"/>
              <w:spacing w:before="0" w:after="0" w:line="322" w:lineRule="exact"/>
              <w:ind w:left="0" w:right="0" w:firstLine="0"/>
              <w:jc w:val="left"/>
              <w:rPr>
                <w:sz w:val="18"/>
                <w:szCs w:val="18"/>
              </w:rPr>
            </w:pPr>
            <w:r>
              <w:rPr>
                <w:color w:val="000000"/>
                <w:spacing w:val="0"/>
                <w:w w:val="100"/>
                <w:position w:val="0"/>
                <w:sz w:val="18"/>
                <w:szCs w:val="18"/>
              </w:rPr>
              <w:t>已经公布的财务报告存在重大变更、 当期财务报表存在重大错报；</w:t>
            </w:r>
          </w:p>
          <w:p>
            <w:pPr>
              <w:pStyle w:val="Style2"/>
              <w:keepNext w:val="0"/>
              <w:keepLines w:val="0"/>
              <w:widowControl w:val="0"/>
              <w:numPr>
                <w:ilvl w:val="0"/>
                <w:numId w:val="21"/>
              </w:numPr>
              <w:shd w:val="clear" w:color="auto" w:fill="auto"/>
              <w:tabs>
                <w:tab w:pos="202" w:val="left"/>
              </w:tabs>
              <w:bidi w:val="0"/>
              <w:spacing w:before="0" w:after="0" w:line="314" w:lineRule="exact"/>
              <w:ind w:left="0" w:right="0" w:firstLine="0"/>
              <w:jc w:val="left"/>
              <w:rPr>
                <w:sz w:val="18"/>
                <w:szCs w:val="18"/>
              </w:rPr>
            </w:pPr>
            <w:r>
              <w:rPr>
                <w:color w:val="000000"/>
                <w:spacing w:val="0"/>
                <w:w w:val="100"/>
                <w:position w:val="0"/>
                <w:sz w:val="18"/>
                <w:szCs w:val="18"/>
              </w:rPr>
              <w:t>内部控制的监督无效、重要业务缺乏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公司确定的非财务报告内部控制缺 陷评价的定性标准如下： 出现以下情形的（包括但不限于）， 可认定为重大缺陷，其他情形按影响 程度分别确定为重要缺陷或一般缺 陷：</w:t>
            </w:r>
          </w:p>
          <w:p>
            <w:pPr>
              <w:pStyle w:val="Style2"/>
              <w:keepNext w:val="0"/>
              <w:keepLines w:val="0"/>
              <w:widowControl w:val="0"/>
              <w:numPr>
                <w:ilvl w:val="0"/>
                <w:numId w:val="23"/>
              </w:numPr>
              <w:shd w:val="clear" w:color="auto" w:fill="auto"/>
              <w:tabs>
                <w:tab w:pos="187" w:val="left"/>
              </w:tabs>
              <w:bidi w:val="0"/>
              <w:spacing w:before="0" w:after="0" w:line="322" w:lineRule="exact"/>
              <w:ind w:left="0" w:right="0" w:firstLine="0"/>
              <w:jc w:val="left"/>
              <w:rPr>
                <w:sz w:val="18"/>
                <w:szCs w:val="18"/>
              </w:rPr>
            </w:pPr>
            <w:r>
              <w:rPr>
                <w:color w:val="000000"/>
                <w:spacing w:val="0"/>
                <w:w w:val="100"/>
                <w:position w:val="0"/>
                <w:sz w:val="18"/>
                <w:szCs w:val="18"/>
              </w:rPr>
              <w:t>缺乏民主决策程序，如缺乏计提决 策程序；</w:t>
            </w:r>
          </w:p>
          <w:p>
            <w:pPr>
              <w:pStyle w:val="Style2"/>
              <w:keepNext w:val="0"/>
              <w:keepLines w:val="0"/>
              <w:widowControl w:val="0"/>
              <w:numPr>
                <w:ilvl w:val="0"/>
                <w:numId w:val="23"/>
              </w:numPr>
              <w:shd w:val="clear" w:color="auto" w:fill="auto"/>
              <w:tabs>
                <w:tab w:pos="192" w:val="left"/>
              </w:tabs>
              <w:bidi w:val="0"/>
              <w:spacing w:before="0" w:after="0" w:line="317" w:lineRule="exact"/>
              <w:ind w:left="0" w:right="0" w:firstLine="0"/>
              <w:jc w:val="left"/>
              <w:rPr>
                <w:sz w:val="18"/>
                <w:szCs w:val="18"/>
              </w:rPr>
            </w:pPr>
            <w:r>
              <w:rPr>
                <w:color w:val="000000"/>
                <w:spacing w:val="0"/>
                <w:w w:val="100"/>
                <w:position w:val="0"/>
                <w:sz w:val="18"/>
                <w:szCs w:val="18"/>
              </w:rPr>
              <w:t>公司决策程序不科学，如决策失 误；</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2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0" w:lineRule="exact"/>
              <w:ind w:left="0" w:right="0" w:firstLine="0"/>
              <w:jc w:val="both"/>
              <w:rPr>
                <w:sz w:val="18"/>
                <w:szCs w:val="18"/>
              </w:rPr>
            </w:pPr>
            <w:r>
              <w:rPr>
                <w:color w:val="000000"/>
                <w:spacing w:val="0"/>
                <w:w w:val="100"/>
                <w:position w:val="0"/>
                <w:sz w:val="18"/>
                <w:szCs w:val="18"/>
              </w:rPr>
              <w:t>控制以及重大缺陷未得到整改；</w:t>
            </w:r>
          </w:p>
          <w:p>
            <w:pPr>
              <w:pStyle w:val="Style2"/>
              <w:keepNext w:val="0"/>
              <w:keepLines w:val="0"/>
              <w:widowControl w:val="0"/>
              <w:numPr>
                <w:ilvl w:val="0"/>
                <w:numId w:val="25"/>
              </w:numPr>
              <w:shd w:val="clear" w:color="auto" w:fill="auto"/>
              <w:tabs>
                <w:tab w:pos="182" w:val="left"/>
              </w:tabs>
              <w:bidi w:val="0"/>
              <w:spacing w:before="0" w:after="40" w:line="307" w:lineRule="exact"/>
              <w:ind w:left="0" w:right="0" w:firstLine="0"/>
              <w:jc w:val="both"/>
              <w:rPr>
                <w:sz w:val="18"/>
                <w:szCs w:val="18"/>
              </w:rPr>
            </w:pPr>
            <w:r>
              <w:rPr>
                <w:color w:val="000000"/>
                <w:spacing w:val="0"/>
                <w:w w:val="100"/>
                <w:position w:val="0"/>
                <w:sz w:val="18"/>
                <w:szCs w:val="18"/>
              </w:rPr>
              <w:t>注册会计师发现财务报告存在重大错 报，而内部控制在运行过程中未能发现 该错报；</w:t>
            </w:r>
          </w:p>
          <w:p>
            <w:pPr>
              <w:pStyle w:val="Style2"/>
              <w:keepNext w:val="0"/>
              <w:keepLines w:val="0"/>
              <w:widowControl w:val="0"/>
              <w:numPr>
                <w:ilvl w:val="0"/>
                <w:numId w:val="25"/>
              </w:numPr>
              <w:shd w:val="clear" w:color="auto" w:fill="auto"/>
              <w:tabs>
                <w:tab w:pos="192" w:val="left"/>
              </w:tabs>
              <w:bidi w:val="0"/>
              <w:spacing w:before="0" w:after="40" w:line="312" w:lineRule="exact"/>
              <w:ind w:left="0" w:right="0" w:firstLine="0"/>
              <w:jc w:val="both"/>
              <w:rPr>
                <w:sz w:val="18"/>
                <w:szCs w:val="18"/>
              </w:rPr>
            </w:pPr>
            <w:r>
              <w:rPr>
                <w:color w:val="000000"/>
                <w:spacing w:val="0"/>
                <w:w w:val="100"/>
                <w:position w:val="0"/>
                <w:sz w:val="18"/>
                <w:szCs w:val="18"/>
              </w:rPr>
              <w:t>因会计差错导致证券监管机构的行政 处罚。</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7"/>
              </w:numPr>
              <w:shd w:val="clear" w:color="auto" w:fill="auto"/>
              <w:tabs>
                <w:tab w:pos="187" w:val="left"/>
              </w:tabs>
              <w:bidi w:val="0"/>
              <w:spacing w:before="0" w:after="0" w:line="307" w:lineRule="exact"/>
              <w:ind w:left="0" w:right="0" w:firstLine="0"/>
              <w:jc w:val="both"/>
              <w:rPr>
                <w:sz w:val="18"/>
                <w:szCs w:val="18"/>
              </w:rPr>
            </w:pPr>
            <w:r>
              <w:rPr>
                <w:color w:val="000000"/>
                <w:spacing w:val="0"/>
                <w:w w:val="100"/>
                <w:position w:val="0"/>
                <w:sz w:val="18"/>
                <w:szCs w:val="18"/>
              </w:rPr>
              <w:t>违反国家法律、法规，如出现重大 安全生产或环境污染事故；</w:t>
            </w:r>
          </w:p>
          <w:p>
            <w:pPr>
              <w:pStyle w:val="Style2"/>
              <w:keepNext w:val="0"/>
              <w:keepLines w:val="0"/>
              <w:widowControl w:val="0"/>
              <w:numPr>
                <w:ilvl w:val="0"/>
                <w:numId w:val="27"/>
              </w:numPr>
              <w:shd w:val="clear" w:color="auto" w:fill="auto"/>
              <w:tabs>
                <w:tab w:pos="192" w:val="left"/>
              </w:tabs>
              <w:bidi w:val="0"/>
              <w:spacing w:before="0" w:after="0" w:line="322" w:lineRule="exact"/>
              <w:ind w:left="0" w:right="0" w:firstLine="0"/>
              <w:jc w:val="both"/>
              <w:rPr>
                <w:sz w:val="18"/>
                <w:szCs w:val="18"/>
              </w:rPr>
            </w:pPr>
            <w:r>
              <w:rPr>
                <w:color w:val="000000"/>
                <w:spacing w:val="0"/>
                <w:w w:val="100"/>
                <w:position w:val="0"/>
                <w:sz w:val="18"/>
                <w:szCs w:val="18"/>
              </w:rPr>
              <w:t>管理人员或关键岗位技术人员纷 纷流失；</w:t>
            </w:r>
          </w:p>
          <w:p>
            <w:pPr>
              <w:pStyle w:val="Style2"/>
              <w:keepNext w:val="0"/>
              <w:keepLines w:val="0"/>
              <w:widowControl w:val="0"/>
              <w:numPr>
                <w:ilvl w:val="0"/>
                <w:numId w:val="27"/>
              </w:numPr>
              <w:shd w:val="clear" w:color="auto" w:fill="auto"/>
              <w:tabs>
                <w:tab w:pos="206" w:val="left"/>
              </w:tabs>
              <w:bidi w:val="0"/>
              <w:spacing w:before="0" w:after="0" w:line="312" w:lineRule="exact"/>
              <w:ind w:left="0" w:right="0" w:firstLine="0"/>
              <w:jc w:val="both"/>
              <w:rPr>
                <w:sz w:val="18"/>
                <w:szCs w:val="18"/>
              </w:rPr>
            </w:pPr>
            <w:r>
              <w:rPr>
                <w:color w:val="000000"/>
                <w:spacing w:val="0"/>
                <w:w w:val="100"/>
                <w:position w:val="0"/>
                <w:sz w:val="18"/>
                <w:szCs w:val="18"/>
              </w:rPr>
              <w:t>内部控制评价的结果特别是重大 或重要缺陷未得到整改；</w:t>
            </w:r>
          </w:p>
          <w:p>
            <w:pPr>
              <w:pStyle w:val="Style2"/>
              <w:keepNext w:val="0"/>
              <w:keepLines w:val="0"/>
              <w:widowControl w:val="0"/>
              <w:numPr>
                <w:ilvl w:val="0"/>
                <w:numId w:val="27"/>
              </w:numPr>
              <w:shd w:val="clear" w:color="auto" w:fill="auto"/>
              <w:tabs>
                <w:tab w:pos="187" w:val="left"/>
              </w:tabs>
              <w:bidi w:val="0"/>
              <w:spacing w:before="0" w:after="0" w:line="312" w:lineRule="exact"/>
              <w:ind w:left="0" w:right="0" w:firstLine="0"/>
              <w:jc w:val="both"/>
              <w:rPr>
                <w:sz w:val="18"/>
                <w:szCs w:val="18"/>
              </w:rPr>
            </w:pPr>
            <w:r>
              <w:rPr>
                <w:color w:val="000000"/>
                <w:spacing w:val="0"/>
                <w:w w:val="100"/>
                <w:position w:val="0"/>
                <w:sz w:val="18"/>
                <w:szCs w:val="18"/>
              </w:rPr>
              <w:t>重要业务缺乏制度控制或制度系 统性失效。</w:t>
            </w:r>
          </w:p>
        </w:tc>
      </w:tr>
      <w:tr>
        <w:trPr>
          <w:trHeight w:val="3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公司确定的财务报告内部控制缺陷评价 的定量标准如下：</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公司以资产总额的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作为资产负债表 整体重要性水平的衡量指标。</w:t>
            </w:r>
          </w:p>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 xml:space="preserve">当潜在错报金额大于或等于资产总额的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，则认定为重大缺陷；</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当潜在错报金额小于资产总额的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但大于或等于营业收入总额的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，则 认定为重要缺陷；</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当潜在错报金额小于资产总额的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时， 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公司确定的非财务报告内部控制缺 陷评价的定量标准如下： 非财务报告内部控制缺陷评价的定 量标准参照财务报告内部控制缺陷 评价的定量标准执行。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624" w:name="bookmark624"/>
      <w:bookmarkStart w:id="625" w:name="bookmark625"/>
      <w:bookmarkStart w:id="626" w:name="bookmark626"/>
      <w:r>
        <w:rPr>
          <w:color w:val="000000"/>
          <w:spacing w:val="0"/>
          <w:w w:val="100"/>
          <w:position w:val="0"/>
          <w:sz w:val="24"/>
          <w:szCs w:val="24"/>
        </w:rPr>
        <w:t>十、内部控制审计报告或鉴证报告</w:t>
      </w:r>
      <w:bookmarkEnd w:id="624"/>
      <w:bookmarkEnd w:id="625"/>
      <w:bookmarkEnd w:id="626"/>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16" w:right="1038" w:bottom="1575" w:left="1075"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440" w:line="240" w:lineRule="auto"/>
        <w:ind w:left="0" w:right="0" w:firstLine="0"/>
        <w:jc w:val="center"/>
      </w:pPr>
      <w:bookmarkStart w:id="627" w:name="bookmark627"/>
      <w:bookmarkStart w:id="628" w:name="bookmark628"/>
      <w:bookmarkStart w:id="629" w:name="bookmark629"/>
      <w:bookmarkStart w:id="630" w:name="bookmark630"/>
      <w:r>
        <w:rPr>
          <w:color w:val="000000"/>
          <w:spacing w:val="0"/>
          <w:w w:val="100"/>
          <w:position w:val="0"/>
        </w:rPr>
        <w:t>第十一节公司债券相关情况</w:t>
      </w:r>
      <w:bookmarkEnd w:id="628"/>
      <w:bookmarkEnd w:id="629"/>
      <w:bookmarkEnd w:id="630"/>
      <w:bookmarkEnd w:id="627"/>
    </w:p>
    <w:p>
      <w:pPr>
        <w:pStyle w:val="Style31"/>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202" w:bottom="1921" w:left="111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keepLines/>
        <w:widowControl w:val="0"/>
        <w:shd w:val="clear" w:color="auto" w:fill="auto"/>
        <w:bidi w:val="0"/>
        <w:spacing w:before="660" w:after="560" w:line="240" w:lineRule="auto"/>
        <w:ind w:left="0" w:right="0" w:firstLine="0"/>
        <w:jc w:val="center"/>
      </w:pPr>
      <w:bookmarkStart w:id="631" w:name="bookmark631"/>
      <w:bookmarkStart w:id="632" w:name="bookmark632"/>
      <w:bookmarkStart w:id="633" w:name="bookmark633"/>
      <w:bookmarkStart w:id="634" w:name="bookmark634"/>
      <w:r>
        <w:rPr>
          <w:color w:val="000000"/>
          <w:spacing w:val="0"/>
          <w:w w:val="100"/>
          <w:position w:val="0"/>
        </w:rPr>
        <w:t>第十二节财务报告</w:t>
      </w:r>
      <w:bookmarkEnd w:id="632"/>
      <w:bookmarkEnd w:id="633"/>
      <w:bookmarkEnd w:id="634"/>
      <w:bookmarkEnd w:id="631"/>
    </w:p>
    <w:p>
      <w:pPr>
        <w:pStyle w:val="Style29"/>
        <w:keepNext/>
        <w:keepLines/>
        <w:widowControl w:val="0"/>
        <w:shd w:val="clear" w:color="auto" w:fill="auto"/>
        <w:bidi w:val="0"/>
        <w:spacing w:before="0" w:after="300" w:line="240" w:lineRule="auto"/>
        <w:ind w:left="0" w:right="0" w:firstLine="260"/>
        <w:jc w:val="left"/>
      </w:pPr>
      <w:bookmarkStart w:id="635" w:name="bookmark635"/>
      <w:bookmarkStart w:id="636" w:name="bookmark636"/>
      <w:bookmarkStart w:id="637" w:name="bookmark637"/>
      <w:r>
        <w:rPr>
          <w:color w:val="000000"/>
          <w:spacing w:val="0"/>
          <w:w w:val="100"/>
          <w:position w:val="0"/>
          <w:sz w:val="24"/>
          <w:szCs w:val="24"/>
        </w:rPr>
        <w:t>、审计报告</w:t>
      </w:r>
      <w:bookmarkEnd w:id="635"/>
      <w:bookmarkEnd w:id="636"/>
      <w:bookmarkEnd w:id="63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ZF10582</w:t>
            </w:r>
            <w:r>
              <w:rPr>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蔡畅、王昌功、陶凌雪</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40"/>
        <w:keepNext w:val="0"/>
        <w:keepLines w:val="0"/>
        <w:widowControl w:val="0"/>
        <w:shd w:val="clear" w:color="auto" w:fill="auto"/>
        <w:tabs>
          <w:tab w:pos="923" w:val="left"/>
        </w:tabs>
        <w:bidi w:val="0"/>
        <w:spacing w:before="0" w:after="0" w:line="467" w:lineRule="exact"/>
        <w:ind w:left="0" w:right="0" w:firstLine="440"/>
        <w:jc w:val="both"/>
      </w:pPr>
      <w:bookmarkStart w:id="638" w:name="bookmark638"/>
      <w:r>
        <w:rPr>
          <w:b/>
          <w:bCs/>
          <w:color w:val="000000"/>
          <w:spacing w:val="0"/>
          <w:w w:val="100"/>
          <w:position w:val="0"/>
        </w:rPr>
        <w:t>一</w:t>
      </w:r>
      <w:bookmarkEnd w:id="638"/>
      <w:r>
        <w:rPr>
          <w:b/>
          <w:bCs/>
          <w:color w:val="000000"/>
          <w:spacing w:val="0"/>
          <w:w w:val="100"/>
          <w:position w:val="0"/>
        </w:rPr>
        <w:t>、</w:t>
        <w:tab/>
        <w:t>审计意见</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我们审计了浙江金科文化产业股份有限公司（以下简称金科文化）财务报表，包括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 有者权益变动表以及相关财务报表附注。</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我们认为，后附的财务报表在所有重大方面按照企业会计准则的规定编制，公允反映了金科文化</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40"/>
        <w:keepNext w:val="0"/>
        <w:keepLines w:val="0"/>
        <w:widowControl w:val="0"/>
        <w:shd w:val="clear" w:color="auto" w:fill="auto"/>
        <w:tabs>
          <w:tab w:pos="923" w:val="left"/>
        </w:tabs>
        <w:bidi w:val="0"/>
        <w:spacing w:before="0" w:after="0" w:line="467" w:lineRule="exact"/>
        <w:ind w:left="0" w:right="0" w:firstLine="440"/>
        <w:jc w:val="both"/>
      </w:pPr>
      <w:bookmarkStart w:id="639" w:name="bookmark639"/>
      <w:r>
        <w:rPr>
          <w:b/>
          <w:bCs/>
          <w:color w:val="000000"/>
          <w:spacing w:val="0"/>
          <w:w w:val="100"/>
          <w:position w:val="0"/>
        </w:rPr>
        <w:t>二</w:t>
      </w:r>
      <w:bookmarkEnd w:id="639"/>
      <w:r>
        <w:rPr>
          <w:b/>
          <w:bCs/>
          <w:color w:val="000000"/>
          <w:spacing w:val="0"/>
          <w:w w:val="100"/>
          <w:position w:val="0"/>
        </w:rPr>
        <w:t>、</w:t>
        <w:tab/>
        <w:t>形成审计意见的基础</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的责任”部分进一步阐述了我们在这些准则下的责任。按照中国注册会计师职业道德守则，我们独立于金 科文化，并履行了职业道德方面的其他责任。我们相信，我们获取的审计证据是充分、适当的，为发表审 计意见提供了基础。</w:t>
      </w:r>
    </w:p>
    <w:p>
      <w:pPr>
        <w:pStyle w:val="Style40"/>
        <w:keepNext w:val="0"/>
        <w:keepLines w:val="0"/>
        <w:widowControl w:val="0"/>
        <w:shd w:val="clear" w:color="auto" w:fill="auto"/>
        <w:tabs>
          <w:tab w:pos="923" w:val="left"/>
        </w:tabs>
        <w:bidi w:val="0"/>
        <w:spacing w:before="0" w:after="0" w:line="467" w:lineRule="exact"/>
        <w:ind w:left="0" w:right="0" w:firstLine="440"/>
        <w:jc w:val="both"/>
      </w:pPr>
      <w:bookmarkStart w:id="640" w:name="bookmark640"/>
      <w:r>
        <w:rPr>
          <w:b/>
          <w:bCs/>
          <w:color w:val="000000"/>
          <w:spacing w:val="0"/>
          <w:w w:val="100"/>
          <w:position w:val="0"/>
        </w:rPr>
        <w:t>三</w:t>
      </w:r>
      <w:bookmarkEnd w:id="640"/>
      <w:r>
        <w:rPr>
          <w:b/>
          <w:bCs/>
          <w:color w:val="000000"/>
          <w:spacing w:val="0"/>
          <w:w w:val="100"/>
          <w:position w:val="0"/>
        </w:rPr>
        <w:t>、</w:t>
        <w:tab/>
        <w:t>关键审计事项</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我们在审计中识别出的关键审计事项汇总如下:</w:t>
      </w:r>
    </w:p>
    <w:tbl>
      <w:tblPr>
        <w:tblOverlap w:val="never"/>
        <w:jc w:val="center"/>
        <w:tblLayout w:type="fixed"/>
      </w:tblPr>
      <w:tblGrid>
        <w:gridCol w:w="3686"/>
        <w:gridCol w:w="6000"/>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该事项在审计中是如何应对的</w:t>
            </w:r>
          </w:p>
        </w:tc>
      </w:tr>
      <w:tr>
        <w:trPr>
          <w:trHeight w:val="350"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12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收入确认的会计政策详情及收入的分析请参阅 合并财务报表附注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三、重要会计政策及会计估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注释（二十六）所述的会计政策及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五、合 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注释（三十七）。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我们就收入确认实施的审计程序包括：</w:t>
            </w:r>
          </w:p>
          <w:p>
            <w:pPr>
              <w:pStyle w:val="Style2"/>
              <w:keepNext w:val="0"/>
              <w:keepLines w:val="0"/>
              <w:widowControl w:val="0"/>
              <w:shd w:val="clear" w:color="auto" w:fill="auto"/>
              <w:tabs>
                <w:tab w:pos="350" w:val="left"/>
              </w:tabs>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评估并测试与收入确认相关的内部控制的设计合理性和执行有效性；</w:t>
            </w:r>
          </w:p>
          <w:p>
            <w:pPr>
              <w:pStyle w:val="Style2"/>
              <w:keepNext w:val="0"/>
              <w:keepLines w:val="0"/>
              <w:widowControl w:val="0"/>
              <w:shd w:val="clear" w:color="auto" w:fill="auto"/>
              <w:tabs>
                <w:tab w:pos="374" w:val="left"/>
              </w:tabs>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选取样本检查销售合同或协议，判断履约义务构成和控制权转移的时点， 评价收入确认会计政策是否符合企业会计准则的规定；</w:t>
            </w:r>
          </w:p>
        </w:tc>
      </w:tr>
    </w:tbl>
    <w:p>
      <w:pPr>
        <w:widowControl w:val="0"/>
        <w:spacing w:line="1" w:lineRule="exact"/>
      </w:pPr>
      <w:r>
        <w:br w:type="page"/>
      </w:r>
    </w:p>
    <w:tbl>
      <w:tblPr>
        <w:tblOverlap w:val="never"/>
        <w:jc w:val="center"/>
        <w:tblLayout w:type="fixed"/>
      </w:tblPr>
      <w:tblGrid>
        <w:gridCol w:w="3686"/>
        <w:gridCol w:w="6000"/>
      </w:tblGrid>
      <w:tr>
        <w:trPr>
          <w:trHeight w:val="40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金科文化的营业收入主要来自于移动互联网文 化行业的游戏发行业务和广告业务。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 度，金科文化营业收入金额为人民币 </w:t>
            </w:r>
            <w:r>
              <w:rPr>
                <w:rFonts w:ascii="Times New Roman" w:eastAsia="Times New Roman" w:hAnsi="Times New Roman" w:cs="Times New Roman"/>
                <w:color w:val="000000"/>
                <w:spacing w:val="0"/>
                <w:w w:val="100"/>
                <w:position w:val="0"/>
                <w:sz w:val="18"/>
                <w:szCs w:val="18"/>
              </w:rPr>
              <w:t>180,722.26</w:t>
            </w:r>
            <w:r>
              <w:rPr>
                <w:color w:val="000000"/>
                <w:spacing w:val="0"/>
                <w:w w:val="100"/>
                <w:position w:val="0"/>
                <w:sz w:val="18"/>
                <w:szCs w:val="18"/>
              </w:rPr>
              <w:t>万元，其中游戏发行业务和广告业 务的营业收入为人民币</w:t>
            </w:r>
            <w:r>
              <w:rPr>
                <w:rFonts w:ascii="Times New Roman" w:eastAsia="Times New Roman" w:hAnsi="Times New Roman" w:cs="Times New Roman"/>
                <w:color w:val="000000"/>
                <w:spacing w:val="0"/>
                <w:w w:val="100"/>
                <w:position w:val="0"/>
                <w:sz w:val="18"/>
                <w:szCs w:val="18"/>
              </w:rPr>
              <w:t>161,669.64</w:t>
            </w:r>
            <w:r>
              <w:rPr>
                <w:color w:val="000000"/>
                <w:spacing w:val="0"/>
                <w:w w:val="100"/>
                <w:position w:val="0"/>
                <w:sz w:val="18"/>
                <w:szCs w:val="18"/>
              </w:rPr>
              <w:t>万元，占营 业收入的</w:t>
            </w:r>
            <w:r>
              <w:rPr>
                <w:rFonts w:ascii="Times New Roman" w:eastAsia="Times New Roman" w:hAnsi="Times New Roman" w:cs="Times New Roman"/>
                <w:color w:val="000000"/>
                <w:spacing w:val="0"/>
                <w:w w:val="100"/>
                <w:position w:val="0"/>
                <w:sz w:val="18"/>
                <w:szCs w:val="18"/>
              </w:rPr>
              <w:t>89.46%</w:t>
            </w:r>
            <w:r>
              <w:rPr>
                <w:color w:val="000000"/>
                <w:spacing w:val="0"/>
                <w:w w:val="100"/>
                <w:position w:val="0"/>
                <w:sz w:val="18"/>
                <w:szCs w:val="18"/>
              </w:rPr>
              <w:t>。</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由于营业收入是公司利润表的重要科目，是公 司的主要利润来源，影响公司的关键业绩指标; 同时，金科文化的游戏运营系统复杂，需要在 系统中处理不同运营模式、不同游戏等大量业 务数据，因此在合并财务报表中收入确认和计 量的准确性存在游戏运营行业的固有风险，因 此我们将其识别为关键审计事项。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427" w:val="left"/>
              </w:tabs>
              <w:bidi w:val="0"/>
              <w:spacing w:before="0" w:after="0" w:line="318"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检查联运游戏分成协议中分成方式、结算方式等条款，检查收入确认的 金额计算是否与具体条款相一致；获取经双方确认的结算单，对其中充值金 额、分成比例、分成金额等与公司自有系统数据进行核对；对主要客户的收 入和应收账款余额执行函证等程序；</w:t>
            </w:r>
          </w:p>
          <w:p>
            <w:pPr>
              <w:pStyle w:val="Style2"/>
              <w:keepNext w:val="0"/>
              <w:keepLines w:val="0"/>
              <w:widowControl w:val="0"/>
              <w:shd w:val="clear" w:color="auto" w:fill="auto"/>
              <w:tabs>
                <w:tab w:pos="442" w:val="left"/>
              </w:tabs>
              <w:bidi w:val="0"/>
              <w:spacing w:before="0" w:after="0" w:line="318"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检查自营游戏的收入系统记录的充值数据，并与第三方充值渠道记录 数据及银行回款金额进行核对；</w:t>
            </w:r>
          </w:p>
          <w:p>
            <w:pPr>
              <w:pStyle w:val="Style2"/>
              <w:keepNext w:val="0"/>
              <w:keepLines w:val="0"/>
              <w:widowControl w:val="0"/>
              <w:shd w:val="clear" w:color="auto" w:fill="auto"/>
              <w:tabs>
                <w:tab w:pos="274" w:val="left"/>
              </w:tabs>
              <w:bidi w:val="0"/>
              <w:spacing w:before="0" w:after="0" w:line="318"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对应收款项期后回款情况进行查验；同时对收入的截止性情况进行检查；</w:t>
            </w:r>
          </w:p>
          <w:p>
            <w:pPr>
              <w:pStyle w:val="Style2"/>
              <w:keepNext w:val="0"/>
              <w:keepLines w:val="0"/>
              <w:widowControl w:val="0"/>
              <w:shd w:val="clear" w:color="auto" w:fill="auto"/>
              <w:tabs>
                <w:tab w:pos="422" w:val="left"/>
              </w:tabs>
              <w:bidi w:val="0"/>
              <w:spacing w:before="0" w:after="0" w:line="318"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tab/>
              <w:t>对营业收入及毛利率按产品、客户等实施实质性分析程序，识别是否 存在重大或异常波动，并查明波动原因；</w:t>
            </w:r>
          </w:p>
          <w:p>
            <w:pPr>
              <w:pStyle w:val="Style2"/>
              <w:keepNext w:val="0"/>
              <w:keepLines w:val="0"/>
              <w:widowControl w:val="0"/>
              <w:shd w:val="clear" w:color="auto" w:fill="auto"/>
              <w:tabs>
                <w:tab w:pos="442" w:val="left"/>
              </w:tabs>
              <w:bidi w:val="0"/>
              <w:spacing w:before="0" w:after="0" w:line="318"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tab/>
              <w:t>由</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专家进行信息系统审计，包括对与收入相关的信息系统内部控制 进行测试；对玩家生命周期进行重新计算，并对玩家充值和道具消耗进行数 据验证；进行分析性复核。</w:t>
            </w:r>
          </w:p>
        </w:tc>
      </w:tr>
      <w:tr>
        <w:trPr>
          <w:trHeight w:val="350"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（二）商誉减值</w:t>
            </w:r>
          </w:p>
        </w:tc>
      </w:tr>
      <w:tr>
        <w:trPr>
          <w:trHeight w:val="50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商誉减值的会计政策详情及分析请参阅财务报 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注释</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十）所述的会计政策及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五、合并财务报表项目 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注释（十六）。</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日，金科文化合并报表中商 誉账面价值为人民币</w:t>
            </w:r>
            <w:r>
              <w:rPr>
                <w:rFonts w:ascii="Times New Roman" w:eastAsia="Times New Roman" w:hAnsi="Times New Roman" w:cs="Times New Roman"/>
                <w:color w:val="000000"/>
                <w:spacing w:val="0"/>
                <w:w w:val="100"/>
                <w:position w:val="0"/>
                <w:sz w:val="18"/>
                <w:szCs w:val="18"/>
              </w:rPr>
              <w:t>364,775.46</w:t>
            </w:r>
            <w:r>
              <w:rPr>
                <w:color w:val="000000"/>
                <w:spacing w:val="0"/>
                <w:w w:val="100"/>
                <w:position w:val="0"/>
                <w:sz w:val="18"/>
                <w:szCs w:val="18"/>
              </w:rPr>
              <w:t>万元。根据企业 会计准则，金科文化管理层（以下简称管理层） 须每年对商誉进行减值测试，并依据减值测试 的结果调整商誉的账面价值。商誉减值测试的 结果很大程度上依赖于管理层所做的估计和采 用的假设，例如对资产组预计未来可产生现金 流量和折现率的估计。该等估计受到管理层对 未来市场以及对经济环境判断的影响，采用不 同的估计和假设会对评估的商誉之可收回价值 有很大的影响，因此，我们将其列为关键审计 事项。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我们就商誉减值实施的审计程序包括：</w:t>
            </w:r>
          </w:p>
          <w:p>
            <w:pPr>
              <w:pStyle w:val="Style2"/>
              <w:keepNext w:val="0"/>
              <w:keepLines w:val="0"/>
              <w:widowControl w:val="0"/>
              <w:shd w:val="clear" w:color="auto" w:fill="auto"/>
              <w:tabs>
                <w:tab w:pos="298" w:val="left"/>
              </w:tabs>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8"/>
                <w:szCs w:val="18"/>
              </w:rPr>
              <w:t>对金科文化商誉减值测试相关的内部控制的设计及执行有效性进行了评 估和测试；</w:t>
            </w:r>
          </w:p>
          <w:p>
            <w:pPr>
              <w:pStyle w:val="Style2"/>
              <w:keepNext w:val="0"/>
              <w:keepLines w:val="0"/>
              <w:widowControl w:val="0"/>
              <w:shd w:val="clear" w:color="auto" w:fill="auto"/>
              <w:tabs>
                <w:tab w:pos="307" w:val="left"/>
              </w:tabs>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8"/>
                <w:szCs w:val="18"/>
              </w:rPr>
              <w:t>与管理层及其聘请的外部估值专家讨论商誉减值测试的方法，包括与商誉 相关的资产组或者资产组组合的认定，进行商誉减值测试时采用的关键假设 和方法等；</w:t>
            </w:r>
          </w:p>
          <w:p>
            <w:pPr>
              <w:pStyle w:val="Style2"/>
              <w:keepNext w:val="0"/>
              <w:keepLines w:val="0"/>
              <w:widowControl w:val="0"/>
              <w:shd w:val="clear" w:color="auto" w:fill="auto"/>
              <w:tabs>
                <w:tab w:pos="389" w:val="left"/>
              </w:tabs>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聘请独立的外部估值专家对管理层聘请的外部估值专家的评估结果进行 复核；</w:t>
            </w:r>
          </w:p>
          <w:p>
            <w:pPr>
              <w:pStyle w:val="Style2"/>
              <w:keepNext w:val="0"/>
              <w:keepLines w:val="0"/>
              <w:widowControl w:val="0"/>
              <w:shd w:val="clear" w:color="auto" w:fill="auto"/>
              <w:tabs>
                <w:tab w:pos="427" w:val="left"/>
              </w:tabs>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复核管理层减值测试所依据的基础数据，包括每个资产组或者资产组组 合的未来预测收益、现金流折现率等假设的合理性及每个资产组或者资产组 组合盈利状况的判断和评估；</w:t>
            </w:r>
          </w:p>
          <w:p>
            <w:pPr>
              <w:pStyle w:val="Style2"/>
              <w:keepNext w:val="0"/>
              <w:keepLines w:val="0"/>
              <w:widowControl w:val="0"/>
              <w:shd w:val="clear" w:color="auto" w:fill="auto"/>
              <w:tabs>
                <w:tab w:pos="442" w:val="left"/>
              </w:tabs>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比较商誉所属资产组的账面价值与其可收回金额的差异，确认是否存在 商誉减值情况；</w:t>
            </w:r>
          </w:p>
          <w:p>
            <w:pPr>
              <w:pStyle w:val="Style2"/>
              <w:keepNext w:val="0"/>
              <w:keepLines w:val="0"/>
              <w:widowControl w:val="0"/>
              <w:shd w:val="clear" w:color="auto" w:fill="auto"/>
              <w:tabs>
                <w:tab w:pos="350" w:val="left"/>
              </w:tabs>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tab/>
              <w:t>评价财务报表中与商誉相关的披露是否符合企业会计准则的要求。</w:t>
            </w:r>
          </w:p>
        </w:tc>
      </w:tr>
    </w:tbl>
    <w:p>
      <w:pPr>
        <w:widowControl w:val="0"/>
        <w:spacing w:after="179" w:line="1" w:lineRule="exact"/>
      </w:pPr>
    </w:p>
    <w:p>
      <w:pPr>
        <w:pStyle w:val="Style40"/>
        <w:keepNext w:val="0"/>
        <w:keepLines w:val="0"/>
        <w:widowControl w:val="0"/>
        <w:shd w:val="clear" w:color="auto" w:fill="auto"/>
        <w:bidi w:val="0"/>
        <w:spacing w:before="0" w:after="0" w:line="474" w:lineRule="exact"/>
        <w:ind w:left="0" w:right="0" w:firstLine="440"/>
        <w:jc w:val="left"/>
      </w:pPr>
      <w:bookmarkStart w:id="641" w:name="bookmark641"/>
      <w:r>
        <w:rPr>
          <w:b/>
          <w:bCs/>
          <w:color w:val="000000"/>
          <w:spacing w:val="0"/>
          <w:w w:val="100"/>
          <w:position w:val="0"/>
        </w:rPr>
        <w:t>四</w:t>
      </w:r>
      <w:bookmarkEnd w:id="641"/>
      <w:r>
        <w:rPr>
          <w:b/>
          <w:bCs/>
          <w:color w:val="000000"/>
          <w:spacing w:val="0"/>
          <w:w w:val="100"/>
          <w:position w:val="0"/>
        </w:rPr>
        <w:t>、其他信息</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金科文化管理层（以下简称管理层）对其他信息负责。其他信息包括金科文化</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 的信息，但不包括财务报表和我们的审计报告。</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40"/>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40"/>
        <w:keepNext w:val="0"/>
        <w:keepLines w:val="0"/>
        <w:widowControl w:val="0"/>
        <w:shd w:val="clear" w:color="auto" w:fill="auto"/>
        <w:bidi w:val="0"/>
        <w:spacing w:before="0" w:after="200" w:line="240" w:lineRule="auto"/>
        <w:ind w:left="0" w:right="0" w:firstLine="440"/>
        <w:jc w:val="both"/>
      </w:pPr>
      <w:bookmarkStart w:id="642" w:name="bookmark642"/>
      <w:r>
        <w:rPr>
          <w:b/>
          <w:bCs/>
          <w:color w:val="000000"/>
          <w:spacing w:val="0"/>
          <w:w w:val="100"/>
          <w:position w:val="0"/>
        </w:rPr>
        <w:t>五</w:t>
      </w:r>
      <w:bookmarkEnd w:id="642"/>
      <w:r>
        <w:rPr>
          <w:b/>
          <w:bCs/>
          <w:color w:val="000000"/>
          <w:spacing w:val="0"/>
          <w:w w:val="100"/>
          <w:position w:val="0"/>
        </w:rPr>
        <w:t>、管理层和治理层对财务报表的责任</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在编制财务报表时，管理层负责评估金科文化的持续经营能力，披露与持续经营相关的事项（如适用）， 并运用持续经营假设，除非计划进行清算、终止运营或别无其他现实的选择。</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治理层负责监督金科文化的财务报告过程。</w:t>
      </w:r>
    </w:p>
    <w:p>
      <w:pPr>
        <w:pStyle w:val="Style40"/>
        <w:keepNext w:val="0"/>
        <w:keepLines w:val="0"/>
        <w:widowControl w:val="0"/>
        <w:shd w:val="clear" w:color="auto" w:fill="auto"/>
        <w:bidi w:val="0"/>
        <w:spacing w:before="0" w:after="0" w:line="469" w:lineRule="exact"/>
        <w:ind w:left="0" w:right="0" w:firstLine="440"/>
        <w:jc w:val="both"/>
      </w:pPr>
      <w:bookmarkStart w:id="643" w:name="bookmark643"/>
      <w:r>
        <w:rPr>
          <w:b/>
          <w:bCs/>
          <w:color w:val="000000"/>
          <w:spacing w:val="0"/>
          <w:w w:val="100"/>
          <w:position w:val="0"/>
        </w:rPr>
        <w:t>六</w:t>
      </w:r>
      <w:bookmarkEnd w:id="643"/>
      <w:r>
        <w:rPr>
          <w:b/>
          <w:bCs/>
          <w:color w:val="000000"/>
          <w:spacing w:val="0"/>
          <w:w w:val="100"/>
          <w:position w:val="0"/>
        </w:rPr>
        <w:t>、注册会计师对财务报表审计的责任</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40"/>
        <w:keepNext w:val="0"/>
        <w:keepLines w:val="0"/>
        <w:widowControl w:val="0"/>
        <w:shd w:val="clear" w:color="auto" w:fill="auto"/>
        <w:tabs>
          <w:tab w:pos="1088" w:val="left"/>
        </w:tabs>
        <w:bidi w:val="0"/>
        <w:spacing w:before="0" w:after="0" w:line="469" w:lineRule="exact"/>
        <w:ind w:left="0" w:right="0" w:firstLine="440"/>
        <w:jc w:val="both"/>
      </w:pPr>
      <w:bookmarkStart w:id="644" w:name="bookmark644"/>
      <w:r>
        <w:rPr>
          <w:color w:val="000000"/>
          <w:spacing w:val="0"/>
          <w:w w:val="100"/>
          <w:position w:val="0"/>
        </w:rPr>
        <w:t>（</w:t>
      </w:r>
      <w:bookmarkEnd w:id="644"/>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0"/>
        <w:keepNext w:val="0"/>
        <w:keepLines w:val="0"/>
        <w:widowControl w:val="0"/>
        <w:shd w:val="clear" w:color="auto" w:fill="auto"/>
        <w:tabs>
          <w:tab w:pos="1088" w:val="left"/>
        </w:tabs>
        <w:bidi w:val="0"/>
        <w:spacing w:before="0" w:after="0" w:line="469" w:lineRule="exact"/>
        <w:ind w:left="0" w:right="0" w:firstLine="440"/>
        <w:jc w:val="both"/>
      </w:pPr>
      <w:bookmarkStart w:id="645" w:name="bookmark645"/>
      <w:r>
        <w:rPr>
          <w:color w:val="000000"/>
          <w:spacing w:val="0"/>
          <w:w w:val="100"/>
          <w:position w:val="0"/>
        </w:rPr>
        <w:t>（</w:t>
      </w:r>
      <w:bookmarkEnd w:id="645"/>
      <w:r>
        <w:rPr>
          <w:color w:val="000000"/>
          <w:spacing w:val="0"/>
          <w:w w:val="100"/>
          <w:position w:val="0"/>
        </w:rPr>
        <w:t>二）</w:t>
        <w:tab/>
        <w:t>了解与审计相关的内部控制，以设计恰当的审计程序，但目的并非对内部控制的有效性发表意 见。</w:t>
      </w:r>
    </w:p>
    <w:p>
      <w:pPr>
        <w:pStyle w:val="Style40"/>
        <w:keepNext w:val="0"/>
        <w:keepLines w:val="0"/>
        <w:widowControl w:val="0"/>
        <w:shd w:val="clear" w:color="auto" w:fill="auto"/>
        <w:tabs>
          <w:tab w:pos="1031" w:val="left"/>
        </w:tabs>
        <w:bidi w:val="0"/>
        <w:spacing w:before="0" w:after="0" w:line="469" w:lineRule="exact"/>
        <w:ind w:left="0" w:right="0" w:firstLine="440"/>
        <w:jc w:val="both"/>
      </w:pPr>
      <w:bookmarkStart w:id="646" w:name="bookmark646"/>
      <w:r>
        <w:rPr>
          <w:color w:val="000000"/>
          <w:spacing w:val="0"/>
          <w:w w:val="100"/>
          <w:position w:val="0"/>
        </w:rPr>
        <w:t>（</w:t>
      </w:r>
      <w:bookmarkEnd w:id="646"/>
      <w:r>
        <w:rPr>
          <w:color w:val="000000"/>
          <w:spacing w:val="0"/>
          <w:w w:val="100"/>
          <w:position w:val="0"/>
        </w:rPr>
        <w:t>三）</w:t>
        <w:tab/>
        <w:t>评价管理层选用会计政策的恰当性和作出会计估计及相关披露的合理性。</w:t>
      </w:r>
    </w:p>
    <w:p>
      <w:pPr>
        <w:pStyle w:val="Style40"/>
        <w:keepNext w:val="0"/>
        <w:keepLines w:val="0"/>
        <w:widowControl w:val="0"/>
        <w:shd w:val="clear" w:color="auto" w:fill="auto"/>
        <w:tabs>
          <w:tab w:pos="1088" w:val="left"/>
        </w:tabs>
        <w:bidi w:val="0"/>
        <w:spacing w:before="0" w:after="0" w:line="469" w:lineRule="exact"/>
        <w:ind w:left="0" w:right="0" w:firstLine="440"/>
        <w:jc w:val="both"/>
      </w:pPr>
      <w:bookmarkStart w:id="647" w:name="bookmark647"/>
      <w:r>
        <w:rPr>
          <w:color w:val="000000"/>
          <w:spacing w:val="0"/>
          <w:w w:val="100"/>
          <w:position w:val="0"/>
        </w:rPr>
        <w:t>（</w:t>
      </w:r>
      <w:bookmarkEnd w:id="647"/>
      <w:r>
        <w:rPr>
          <w:color w:val="000000"/>
          <w:spacing w:val="0"/>
          <w:w w:val="100"/>
          <w:position w:val="0"/>
        </w:rPr>
        <w:t>四）</w:t>
        <w:tab/>
        <w:t>对管理层使用持续经营假设的恰当性得出结论。同时，根据获取的审计证据，就可能导致对金 科文化持续经营能力产生重大疑虑的事项或情况是否存在重大不确定性得出结论。如果我们得出结论认为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项或情况可能导致金科文化不能持续经营。</w:t>
      </w:r>
    </w:p>
    <w:p>
      <w:pPr>
        <w:pStyle w:val="Style40"/>
        <w:keepNext w:val="0"/>
        <w:keepLines w:val="0"/>
        <w:widowControl w:val="0"/>
        <w:shd w:val="clear" w:color="auto" w:fill="auto"/>
        <w:tabs>
          <w:tab w:pos="1093" w:val="left"/>
        </w:tabs>
        <w:bidi w:val="0"/>
        <w:spacing w:before="0" w:after="0" w:line="469" w:lineRule="exact"/>
        <w:ind w:left="0" w:right="0" w:firstLine="440"/>
        <w:jc w:val="both"/>
      </w:pPr>
      <w:bookmarkStart w:id="648" w:name="bookmark648"/>
      <w:r>
        <w:rPr>
          <w:color w:val="000000"/>
          <w:spacing w:val="0"/>
          <w:w w:val="100"/>
          <w:position w:val="0"/>
        </w:rPr>
        <w:t>（</w:t>
      </w:r>
      <w:bookmarkEnd w:id="648"/>
      <w:r>
        <w:rPr>
          <w:color w:val="000000"/>
          <w:spacing w:val="0"/>
          <w:w w:val="100"/>
          <w:position w:val="0"/>
        </w:rPr>
        <w:t>五）</w:t>
        <w:tab/>
        <w:t>评价财务报表的总体列报（包括披露）、结构和内容，并评价财务报表是否公允反映相关交易 和事项。</w:t>
      </w:r>
    </w:p>
    <w:p>
      <w:pPr>
        <w:pStyle w:val="Style40"/>
        <w:keepNext w:val="0"/>
        <w:keepLines w:val="0"/>
        <w:widowControl w:val="0"/>
        <w:shd w:val="clear" w:color="auto" w:fill="auto"/>
        <w:tabs>
          <w:tab w:pos="1084" w:val="left"/>
        </w:tabs>
        <w:bidi w:val="0"/>
        <w:spacing w:before="0" w:after="0" w:line="469" w:lineRule="exact"/>
        <w:ind w:left="0" w:right="0" w:firstLine="440"/>
        <w:jc w:val="both"/>
      </w:pPr>
      <w:bookmarkStart w:id="649" w:name="bookmark649"/>
      <w:r>
        <w:rPr>
          <w:color w:val="000000"/>
          <w:spacing w:val="0"/>
          <w:w w:val="100"/>
          <w:position w:val="0"/>
        </w:rPr>
        <w:t>（</w:t>
      </w:r>
      <w:bookmarkEnd w:id="649"/>
      <w:r>
        <w:rPr>
          <w:color w:val="000000"/>
          <w:spacing w:val="0"/>
          <w:w w:val="100"/>
          <w:position w:val="0"/>
        </w:rPr>
        <w:t>六）</w:t>
        <w:tab/>
        <w:t>就金科文化中实体或业务活动的财务信息获取充分、适当的审计证据，以对合并财务报表发表 审计意见。我们负责指导、监督和执行集团审计，并对审计意见承担全部责任。</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4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9"/>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二、财务报表</w:t>
      </w:r>
      <w:bookmarkEnd w:id="650"/>
      <w:bookmarkEnd w:id="651"/>
      <w:bookmarkEnd w:id="65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120" w:line="480" w:lineRule="auto"/>
        <w:ind w:left="0" w:right="0" w:firstLine="0"/>
        <w:jc w:val="left"/>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53"/>
      <w:bookmarkEnd w:id="654"/>
      <w:bookmarkEnd w:id="65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编制单位：浙江金科文化产业股份有限公司</w:t>
      </w:r>
    </w:p>
    <w:p>
      <w:pPr>
        <w:pStyle w:val="Style128"/>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712,331,309.00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1,000,560,610.99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9,525,940.10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216,708,115.91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372,486,483.61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10,388,581.08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12,791,280.76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21,178,056.80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1,837,119,716.46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4,610,953.62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9,291,535.24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23,988,883.31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26,523,583.98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989,205,899.72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3,268,299,151.14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851,804,674.37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129,430,163.55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118,594,422.43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178,656,641.82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41,494,124.86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34,247,770.13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246,853,896.13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279,642,588.42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546,140,843.05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706,167.29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389,113,449.78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315,152,231.99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49,446,165.90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153,797,804.53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3,647,754,552.33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3,650,032,631.72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14,701,284.31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28,137,936.89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2,716,929.64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6,812,445.44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5,647,520,667.45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5,041,590,950.71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6,636,726,567.17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8,309,890,101.85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739,810,151.32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684,783,097.99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62,943,577.37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109,969,983.63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3,333,621.62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23,313,514.96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10,689,626.42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69,906,289.65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59,478,960.75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30,786,419.75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33,790,266.24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804,040,296.34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748,396,364.49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76,930,475.19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502,380,949.22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486,241,140.00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2,224,243,047.31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2,145,973,328.06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1,663,201,252.73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2,595,999,168.79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1,100,374.04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1,664,301,626.77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2,595,999,168.79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3,888,544,674.08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4,741,972,496.85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3,515,810,939.00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3,543,544,059.00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551,977,590.83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2,191,437,796.98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150,504,934.60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-399,848,591.84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-495,692,585.00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46,769,319.26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-817,409,789.00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-1,572,080,564.42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2,746,794,533.65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3,563,473,091.22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1,387,359.44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4,444,513.78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2,748,181,893.09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3,567,917,605.00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6,636,726,567.17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8,309,890,101.85</w:t>
            </w:r>
          </w:p>
        </w:tc>
      </w:tr>
    </w:tbl>
    <w:p>
      <w:pPr>
        <w:pStyle w:val="Style36"/>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411" behindDoc="0" locked="0" layoutInCell="1" allowOverlap="1">
                <wp:simplePos x="0" y="0"/>
                <wp:positionH relativeFrom="page">
                  <wp:posOffset>707390</wp:posOffset>
                </wp:positionH>
                <wp:positionV relativeFrom="margin">
                  <wp:posOffset>4178935</wp:posOffset>
                </wp:positionV>
                <wp:extent cx="1054735" cy="149225"/>
                <wp:wrapTopAndBottom/>
                <wp:docPr id="70" name="Shape 7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法定代表人：朱志刚</w:t>
                            </w:r>
                          </w:p>
                        </w:txbxContent>
                      </wps:txbx>
                      <wps:bodyPr wrap="none" lIns="0" tIns="0" rIns="0" bIns="0">
                        <a:noAutoFit/>
                      </wps:bodyPr>
                    </wps:wsp>
                  </a:graphicData>
                </a:graphic>
              </wp:anchor>
            </w:drawing>
          </mc:Choice>
          <mc:Fallback>
            <w:pict>
              <v:shape id="_x0000_s1096" type="#_x0000_t202" style="position:absolute;margin-left:55.700000000000003pt;margin-top:329.05000000000001pt;width:83.049999999999997pt;height:11.75pt;z-index:-125829342;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法定代表人：朱志刚</w:t>
                      </w:r>
                    </w:p>
                  </w:txbxContent>
                </v:textbox>
                <w10:wrap type="topAndBottom" anchorx="page" anchory="margin"/>
              </v:shape>
            </w:pict>
          </mc:Fallback>
        </mc:AlternateContent>
      </w:r>
      <w:r>
        <mc:AlternateContent>
          <mc:Choice Requires="wps">
            <w:drawing>
              <wp:anchor distT="152400" distB="3175" distL="2284730" distR="2515870" simplePos="0" relativeHeight="125829413" behindDoc="0" locked="0" layoutInCell="1" allowOverlap="1">
                <wp:simplePos x="0" y="0"/>
                <wp:positionH relativeFrom="page">
                  <wp:posOffset>2877820</wp:posOffset>
                </wp:positionH>
                <wp:positionV relativeFrom="margin">
                  <wp:posOffset>4178935</wp:posOffset>
                </wp:positionV>
                <wp:extent cx="1511935" cy="146050"/>
                <wp:wrapTopAndBottom/>
                <wp:docPr id="72" name="Shape 7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主管会计工作负责人：秦海娟</w:t>
                            </w:r>
                          </w:p>
                        </w:txbxContent>
                      </wps:txbx>
                      <wps:bodyPr wrap="none" lIns="0" tIns="0" rIns="0" bIns="0">
                        <a:noAutoFit/>
                      </wps:bodyPr>
                    </wps:wsp>
                  </a:graphicData>
                </a:graphic>
              </wp:anchor>
            </w:drawing>
          </mc:Choice>
          <mc:Fallback>
            <w:pict>
              <v:shape id="_x0000_s1098" type="#_x0000_t202" style="position:absolute;margin-left:226.59999999999999pt;margin-top:329.05000000000001pt;width:119.05pt;height:11.5pt;z-index:-125829340;mso-wrap-distance-left:179.90000000000001pt;mso-wrap-distance-top:12.pt;mso-wrap-distance-right:198.09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主管会计工作负责人：秦海娟</w:t>
                      </w:r>
                    </w:p>
                  </w:txbxContent>
                </v:textbox>
                <w10:wrap type="topAndBottom" anchorx="page" anchory="margin"/>
              </v:shape>
            </w:pict>
          </mc:Fallback>
        </mc:AlternateContent>
      </w:r>
      <w:r>
        <mc:AlternateContent>
          <mc:Choice Requires="wps">
            <w:drawing>
              <wp:anchor distT="152400" distB="0" distL="4914900" distR="114300" simplePos="0" relativeHeight="125829415" behindDoc="0" locked="0" layoutInCell="1" allowOverlap="1">
                <wp:simplePos x="0" y="0"/>
                <wp:positionH relativeFrom="page">
                  <wp:posOffset>5507990</wp:posOffset>
                </wp:positionH>
                <wp:positionV relativeFrom="margin">
                  <wp:posOffset>4178935</wp:posOffset>
                </wp:positionV>
                <wp:extent cx="1283335" cy="149225"/>
                <wp:wrapTopAndBottom/>
                <wp:docPr id="74" name="Shape 7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会计机构负责人：张仁赞</w:t>
                            </w:r>
                          </w:p>
                        </w:txbxContent>
                      </wps:txbx>
                      <wps:bodyPr wrap="none" lIns="0" tIns="0" rIns="0" bIns="0">
                        <a:noAutoFit/>
                      </wps:bodyPr>
                    </wps:wsp>
                  </a:graphicData>
                </a:graphic>
              </wp:anchor>
            </w:drawing>
          </mc:Choice>
          <mc:Fallback>
            <w:pict>
              <v:shape id="_x0000_s1100" type="#_x0000_t202" style="position:absolute;margin-left:433.69999999999999pt;margin-top:329.05000000000001pt;width:101.05pt;height:11.75pt;z-index:-125829338;mso-wrap-distance-left:387.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会计机构负责人：张仁赞</w:t>
                      </w:r>
                    </w:p>
                  </w:txbxContent>
                </v:textbox>
                <w10:wrap type="topAndBottom" anchorx="page" anchory="margin"/>
              </v:shape>
            </w:pict>
          </mc:Fallback>
        </mc:AlternateContent>
      </w:r>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6"/>
      <w:bookmarkEnd w:id="657"/>
      <w:bookmarkEnd w:id="6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49,638,780.37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22,827,503.21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9,525,940.10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6,865,848.58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153,982,813.69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1,799,447,770.73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2,895,080.07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2,808,160.58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468,848.89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210,056,876.21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1,842,008,872.09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7,175,147,215.52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6,426,792,665.07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60,314,721.36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67,736,521.36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38,494,124.86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31,247,770.13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1,011,540.36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1,427,814.72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738,338.92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772,965.59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911,504.40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7,276,967,451.38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6,529,627,580.19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7,487,024,327.59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8,371,636,452.28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697,780,909.65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618,583,097.99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4,923,259.96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3,805,001.55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100,538.05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4,710,272.19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1,810,620.82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2,603,564.75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296,652.06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1,004,481,134.27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918,052,050.71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76,930,475.19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38,361,710.50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1,772,860,851.32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1,542,647,961.18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268,531,973.50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345,255,399.76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268,531,973.50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345,255,399.76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2,041,392,824.82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1,887,903,360.94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3,515,810,939.00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3,543,544,059.00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3,572,640,804.99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5,200,513,804.87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150,504,934.60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520,861.36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46,769,319.26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-1,538,583,687.24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-2,157,110,018.55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5,445,631,502.77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6,483,733,091.34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7,487,024,327.59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8,371,636,452.28</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、合并利润表</w:t>
      </w:r>
      <w:bookmarkEnd w:id="659"/>
      <w:bookmarkEnd w:id="660"/>
      <w:bookmarkEnd w:id="6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1,807,222,572.12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1,943,031,921.37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1,807,222,572.12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1,943,031,921.37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1,131,956,036.35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1,533,616,602.71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398,942,946.90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550,364,051.70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8,301,537.87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14,308,153.62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99,343,994.02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212,284,164.44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370,103,994.66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389,116,776.86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138,465,719.24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218,699,031.63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116,797,843.66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148,844,424.46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147,434,948.20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243,531,518.27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50,942,786.11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76,456,188.14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16,763,006.49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7,107,416.37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93,328,218.13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5,998,035.52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-18,144,356.15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-29,948,848.63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rPr>
                <w:sz w:val="18"/>
                <w:szCs w:val="18"/>
              </w:rPr>
            </w:pPr>
            <w:r>
              <w:rPr>
                <w:color w:val="000000"/>
                <w:spacing w:val="0"/>
                <w:w w:val="100"/>
                <w:position w:val="0"/>
                <w:sz w:val="18"/>
                <w:szCs w:val="18"/>
              </w:rPr>
              <w:t>以摊余成本计量的金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11,814,363.16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33,307,282.04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-111,451,238.32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-39,440,632.96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-3,084,374,399.68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8,510,732.63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787,080,687.91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-2,752,979,771.66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7,092,991.10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275,082.26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21,899,260.42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12,808,104.39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772,274,418.59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-2,765,512,793.79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20,689,701.78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27,658,254.62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751,584,716.81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-2,793,171,048.41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751,584,716.81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-2,793,171,048.41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752,917,670.98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-2,809,092,332.65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-1,332,954.17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15,921,284.24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97,597,097.60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-119,111,714.56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97,597,097.60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-118,499,214.56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-30,086,706.06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-57,883,812.67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-30,086,706.06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-57,883,812.67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127,683,803.66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-60,615,401.89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-804,792.77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127,683,803.66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-59,810,609.12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849,181,814.41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-2,912,282,762.97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rPr>
                <w:sz w:val="18"/>
                <w:szCs w:val="18"/>
              </w:rPr>
            </w:pPr>
            <w:r>
              <w:rPr>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850,514,768.58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-2,927,591,547.21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15,308,784.24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bl>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2,943,863.41</w:t>
      </w:r>
      <w:r>
        <w:rPr>
          <w:color w:val="000000"/>
          <w:spacing w:val="0"/>
          <w:w w:val="100"/>
          <w:position w:val="0"/>
        </w:rPr>
        <w:t xml:space="preserve">元，上期被合并方实现的净利润为: </w:t>
      </w:r>
      <w:r>
        <w:rPr>
          <w:rFonts w:ascii="Times New Roman" w:eastAsia="Times New Roman" w:hAnsi="Times New Roman" w:cs="Times New Roman"/>
          <w:color w:val="000000"/>
          <w:spacing w:val="0"/>
          <w:w w:val="100"/>
          <w:position w:val="0"/>
        </w:rPr>
        <w:t xml:space="preserve">13,430,395.31 </w:t>
      </w:r>
      <w:r>
        <w:rPr>
          <w:color w:val="000000"/>
          <w:spacing w:val="0"/>
          <w:w w:val="100"/>
          <w:position w:val="0"/>
        </w:rPr>
        <w:t>元。</w:t>
      </w:r>
    </w:p>
    <w:p>
      <w:pPr>
        <w:pStyle w:val="Style31"/>
        <w:keepNext w:val="0"/>
        <w:keepLines w:val="0"/>
        <w:widowControl w:val="0"/>
        <w:shd w:val="clear" w:color="auto" w:fill="auto"/>
        <w:tabs>
          <w:tab w:pos="3413" w:val="left"/>
          <w:tab w:pos="7555" w:val="left"/>
        </w:tabs>
        <w:bidi w:val="0"/>
        <w:spacing w:before="0" w:after="380" w:line="240" w:lineRule="auto"/>
        <w:ind w:left="0" w:right="0" w:firstLine="0"/>
        <w:jc w:val="left"/>
      </w:pPr>
      <w:r>
        <w:rPr>
          <w:color w:val="000000"/>
          <w:spacing w:val="0"/>
          <w:w w:val="100"/>
          <w:position w:val="0"/>
        </w:rPr>
        <w:t>法定代表人：朱志刚</w:t>
        <w:tab/>
        <w:t>主管会计工作负责人：秦海娟</w:t>
        <w:tab/>
        <w:t>会计机构负责人：张仁赞</w:t>
      </w:r>
    </w:p>
    <w:p>
      <w:pPr>
        <w:pStyle w:val="Style36"/>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、母公司利润表</w:t>
      </w:r>
      <w:bookmarkEnd w:id="663"/>
      <w:bookmarkEnd w:id="664"/>
      <w:bookmarkEnd w:id="6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4,828,567.60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4,811,834.93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2,370,013.62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30,618,338.04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38,488,595.01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6,080,772.34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7,468,673.78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65,751,512.69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72,585,146.93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59,804,574.55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65,371,773.36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1,165,619.55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664,885,539.34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84,713,320.47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rPr>
                <w:sz w:val="18"/>
                <w:szCs w:val="18"/>
              </w:rPr>
            </w:pPr>
            <w:r>
              <w:rPr>
                <w:color w:val="000000"/>
                <w:spacing w:val="0"/>
                <w:w w:val="100"/>
                <w:position w:val="0"/>
                <w:sz w:val="18"/>
                <w:szCs w:val="18"/>
              </w:rPr>
              <w:t>其中：对联营企业和合营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-17,662,761.25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-1,405,168.97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rPr>
                <w:sz w:val="18"/>
                <w:szCs w:val="18"/>
              </w:rPr>
            </w:pPr>
            <w:r>
              <w:rPr>
                <w:color w:val="000000"/>
                <w:spacing w:val="0"/>
                <w:w w:val="100"/>
                <w:position w:val="0"/>
                <w:sz w:val="18"/>
                <w:szCs w:val="18"/>
              </w:rPr>
              <w:t>以摊余成本计量的金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融资产终止确认收益（损失以</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8"/>
                <w:szCs w:val="18"/>
              </w:rPr>
            </w:pPr>
            <w:r>
              <w:rPr>
                <w:color w:val="000000"/>
                <w:spacing w:val="0"/>
                <w:w w:val="100"/>
                <w:position w:val="0"/>
                <w:sz w:val="18"/>
                <w:szCs w:val="18"/>
              </w:rPr>
              <w:t>公允价值变动收益（损失</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11,814,363.16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信用减值损失（损失以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-7,041,732.00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资产减值损失（损失以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-18,124,798.78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-2,354,755,954.03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资产处置收益（损失以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8,424,775.94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617,501,393.84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-2,304,002,075.95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1,437,176.54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10,509,708.74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618,526,331.31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-2,314,511,784.69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618,526,331.31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-2,314,511,784.69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618,526,331.31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-2,314,511,784.69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color w:val="000000"/>
                <w:spacing w:val="0"/>
                <w:w w:val="100"/>
                <w:position w:val="0"/>
                <w:sz w:val="18"/>
                <w:szCs w:val="18"/>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-1,021,800.00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2,269,902.36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（一）不能重分类进损益的其 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-1,021,800.00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2,269,902.36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-1,021,800.00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2,269,902.36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617,504,531.31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-2,312,241,882.33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、合并现金流量表</w:t>
      </w:r>
      <w:bookmarkEnd w:id="667"/>
      <w:bookmarkEnd w:id="668"/>
      <w:bookmarkEnd w:id="6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1,925,105,075.20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2,612,099,619.19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24,662,315.09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251,449,759.66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426,994,924.94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2,176,554,834.86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3,063,756,859.22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262,982,400.17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684,923,486.15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363,060,110.66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479,020,036.10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76,297,656.10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106,161,643.12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398,375,983.55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730,832,304.20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1,100,716,150.48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2,000,937,469.57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1,075,838,684.38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1,062,819,389.65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43,788,879.11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408,935,884.15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1,819,832.07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17,219,392.61</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2,446,793.07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79,002,936.75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10,284,058.55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731,748,055.04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4,784,048,340.58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3,573,845,448.56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4,842,387,903.38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4,810,751,717.11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172,521,051.93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244,676,293.41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798,010,000.00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46,949,640.00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1,045,396,576.49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30,010,000.00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3,032,855,381.32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4,916,001,407.58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5,048,783,009.74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5,237,637,340.99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-206,395,106.36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-426,885,623.88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4,166,700.00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4,166,700.00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1,219,200,000.00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2,743,700,000.00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582,160,927.15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3,744,333,493.35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1,801,360,927.15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6,492,200,193.35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1,952,550,980.00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3,952,704,300.00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205,958,276.67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298,694,680.12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3,212,122.05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736,933,644.19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3,345,765,957.38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2,895,442,900.86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7,597,164,937.50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-1,104,964,744.15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-58,670,924.49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18,366,010.13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-283,309,320.18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-450,664,968.25</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644,309,607.33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1,094,974,575.58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361,000,287.15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644,309,607.33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6</w:t>
      </w:r>
      <w:bookmarkEnd w:id="673"/>
      <w:r>
        <w:rPr>
          <w:color w:val="000000"/>
          <w:spacing w:val="0"/>
          <w:w w:val="100"/>
          <w:position w:val="0"/>
        </w:rPr>
        <w:t>、母公司现金流量表</w:t>
      </w:r>
      <w:bookmarkEnd w:id="671"/>
      <w:bookmarkEnd w:id="672"/>
      <w:bookmarkEnd w:id="6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4,435,191.01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11,928,812.53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802,869.29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22,575,945.56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10,920,133.66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27,011,136.57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23,651,815.48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2,330,092.10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95,639,443.61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13,002,873.40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8,719,887.29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1,104,401.97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3,455,897.52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37,823,730.12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34,230,418.16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54,261,097.59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142,045,646.58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-27,249,961.02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-118,393,831.10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6,708,136.24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1,092,187,451.25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23,819,832.07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76,058,498.90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3,051,353,949.71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2,194,199,380.60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3,081,881,918.02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3,440,125,330.75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7,924,657.53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798,010,000.00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84,693,860.00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1,056,969,576.49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1,402,776,363.75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3,394,894,851.40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3,257,844,435.82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3,518,543,368.93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-175,962,517.80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-78,418,038.18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1,177,200,000.00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2,245,500,000.00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1,812,354,610.28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5,020,354,471.54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2,989,554,610.28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7,265,854,471.54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1,180,477,500.00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2,832,777,500.00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117,564,806.34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124,169,994.57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1,464,857,591.62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4,324,089,107.38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2,762,899,897.96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7,281,036,601.95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226,654,712.32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-15,182,130.41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23,811,277.16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-212,151,647.13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22,827,503.21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234,979,150.34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46,638,780.37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22,827,503.21</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7</w:t>
      </w:r>
      <w:bookmarkEnd w:id="677"/>
      <w:r>
        <w:rPr>
          <w:color w:val="000000"/>
          <w:spacing w:val="0"/>
          <w:w w:val="100"/>
          <w:position w:val="0"/>
        </w:rPr>
        <w:t>、合并所有者权益变动表</w:t>
      </w:r>
      <w:bookmarkEnd w:id="675"/>
      <w:bookmarkEnd w:id="676"/>
      <w:bookmarkEnd w:id="6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r>
      <w:tr>
        <w:trPr>
          <w:trHeight w:val="3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5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一控制下企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4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4,51</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w:t>
            </w: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三、本期增减 变动金额（减 少以号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w:t>
            </w:r>
          </w:p>
        </w:tc>
      </w:tr>
      <w:tr>
        <w:trPr>
          <w:trHeight w:val="149"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（二）所有者</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投入和减少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85,8</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（三）利润分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53,1</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04.4</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53,1</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04.4</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6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07,4</w:t>
            </w:r>
          </w:p>
          <w:p>
            <w:pPr>
              <w:pStyle w:val="Style2"/>
              <w:keepNext w:val="0"/>
              <w:keepLines w:val="0"/>
              <w:widowControl w:val="0"/>
              <w:shd w:val="clear" w:color="auto" w:fill="auto"/>
              <w:bidi w:val="0"/>
              <w:spacing w:before="0" w:after="6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70.1</w:t>
            </w:r>
          </w:p>
          <w:p>
            <w:pPr>
              <w:pStyle w:val="Style2"/>
              <w:keepNext w:val="0"/>
              <w:keepLines w:val="0"/>
              <w:widowControl w:val="0"/>
              <w:shd w:val="clear" w:color="auto" w:fill="auto"/>
              <w:bidi w:val="0"/>
              <w:spacing w:before="0" w:after="6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590.</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18"/>
                <w:szCs w:val="18"/>
              </w:rPr>
            </w:pPr>
            <w:r>
              <w:rPr>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6,768</w:t>
            </w:r>
          </w:p>
        </w:tc>
      </w:tr>
      <w:tr>
        <w:trPr>
          <w:trHeight w:val="235"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一、上年期末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029.4</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17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一控制下企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二、本年期初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6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30.2</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（一）综合收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（三）利润分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64.0</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08.2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64.0</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4,14</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504,</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934.</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8</w:t>
      </w:r>
      <w:bookmarkEnd w:id="681"/>
      <w:r>
        <w:rPr>
          <w:color w:val="000000"/>
          <w:spacing w:val="0"/>
          <w:w w:val="100"/>
          <w:position w:val="0"/>
        </w:rPr>
        <w:t>、母公司所有者权益变动表</w:t>
      </w:r>
      <w:bookmarkEnd w:id="679"/>
      <w:bookmarkEnd w:id="680"/>
      <w:bookmarkEnd w:id="68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6,480,94</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4,934.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6,833.91</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2,786,25</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6,483,73</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4,934.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3,091.34</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三、本期增减 变动金额（减 少以号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01,588.5</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9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617,504,</w:t>
            </w:r>
          </w:p>
        </w:tc>
      </w:tr>
      <w:tr>
        <w:trPr>
          <w:trHeight w:val="24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531.31</w:t>
            </w:r>
          </w:p>
        </w:tc>
      </w:tr>
      <w:tr>
        <w:trPr>
          <w:trHeight w:val="25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33,12</w:t>
            </w:r>
          </w:p>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85,856.0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33,12</w:t>
            </w:r>
          </w:p>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85,856.0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（或股东）的</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939.0</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640,80</w:t>
            </w:r>
          </w:p>
          <w:p>
            <w:pPr>
              <w:pStyle w:val="Style2"/>
              <w:keepNext w:val="0"/>
              <w:keepLines w:val="0"/>
              <w:widowControl w:val="0"/>
              <w:shd w:val="clear" w:color="auto" w:fill="auto"/>
              <w:bidi w:val="0"/>
              <w:spacing w:before="0" w:after="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4,934.</w:t>
            </w:r>
          </w:p>
          <w:p>
            <w:pPr>
              <w:pStyle w:val="Style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1,502.77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9,028,22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5,689.89</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1,082,61</w:t>
            </w:r>
          </w:p>
        </w:tc>
      </w:tr>
      <w:tr>
        <w:trPr>
          <w:trHeight w:val="13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9,029,30</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8,305.61</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0" w:lineRule="exact"/>
              <w:ind w:left="0" w:right="0" w:firstLine="0"/>
              <w:jc w:val="left"/>
              <w:rPr>
                <w:sz w:val="18"/>
                <w:szCs w:val="18"/>
              </w:rPr>
            </w:pPr>
            <w:r>
              <w:rPr>
                <w:color w:val="000000"/>
                <w:spacing w:val="0"/>
                <w:w w:val="100"/>
                <w:position w:val="0"/>
                <w:sz w:val="18"/>
                <w:szCs w:val="18"/>
              </w:rPr>
              <w:t>三、本期增减 变动金额（减 少以，，_，，号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-2,545,57</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5,214.27</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-2,312,24</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1,882.33</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85,30</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85,30</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304.34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（三）利润分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-129,715,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-129,715,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w:t>
            </w:r>
          </w:p>
          <w:p>
            <w:pPr>
              <w:pStyle w:val="Style2"/>
              <w:keepNext w:val="0"/>
              <w:keepLines w:val="0"/>
              <w:widowControl w:val="0"/>
              <w:shd w:val="clear" w:color="auto" w:fill="auto"/>
              <w:bidi w:val="0"/>
              <w:spacing w:before="0" w:after="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5,167,50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04,93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9,319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110,018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6,483,73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3,091.34</w:t>
            </w:r>
          </w:p>
        </w:tc>
      </w:tr>
    </w:tbl>
    <w:p>
      <w:pPr>
        <w:widowControl w:val="0"/>
        <w:spacing w:after="299" w:line="1" w:lineRule="exact"/>
      </w:pPr>
    </w:p>
    <w:p>
      <w:pPr>
        <w:pStyle w:val="Style29"/>
        <w:keepNext/>
        <w:keepLines/>
        <w:widowControl w:val="0"/>
        <w:shd w:val="clear" w:color="auto" w:fill="auto"/>
        <w:bidi w:val="0"/>
        <w:spacing w:before="0" w:after="200" w:line="240" w:lineRule="auto"/>
        <w:ind w:left="0" w:right="0" w:firstLine="0"/>
        <w:jc w:val="both"/>
      </w:pPr>
      <w:bookmarkStart w:id="683" w:name="bookmark683"/>
      <w:bookmarkStart w:id="684" w:name="bookmark684"/>
      <w:bookmarkStart w:id="685" w:name="bookmark685"/>
      <w:r>
        <w:rPr>
          <w:color w:val="000000"/>
          <w:spacing w:val="0"/>
          <w:w w:val="100"/>
          <w:position w:val="0"/>
          <w:sz w:val="24"/>
          <w:szCs w:val="24"/>
        </w:rPr>
        <w:t>三、公司基本情况</w:t>
      </w:r>
      <w:bookmarkEnd w:id="683"/>
      <w:bookmarkEnd w:id="684"/>
      <w:bookmarkEnd w:id="685"/>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浙江金科文化产业股份有限公司（以下简称“公司”或“本公司”）前身为浙江时代金科过氧化物有 限公司，系于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日在上虞市工商行政管理局登记注册，取得注册号为</w:t>
      </w:r>
      <w:r>
        <w:rPr>
          <w:rFonts w:ascii="Times New Roman" w:eastAsia="Times New Roman" w:hAnsi="Times New Roman" w:cs="Times New Roman"/>
          <w:color w:val="000000"/>
          <w:spacing w:val="0"/>
          <w:w w:val="100"/>
          <w:position w:val="0"/>
        </w:rPr>
        <w:t>330682000008543</w:t>
      </w:r>
      <w:r>
        <w:rPr>
          <w:color w:val="000000"/>
          <w:spacing w:val="0"/>
          <w:w w:val="100"/>
          <w:position w:val="0"/>
        </w:rPr>
        <w:t>的企业法 人营业执照。浙江时代金科过氧化物有限公司以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日为基准日整体变更为浙江金科过氧化物股 份有限公司，并于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日在绍兴市工商行政管理局登记注册。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日，公司更名为浙江金 科娱乐文化股份有限公司，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日，再次更名为浙江金科文化产业股份有限公司。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在深圳证券交易所上市。</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351,581.09</w:t>
      </w:r>
      <w:r>
        <w:rPr>
          <w:color w:val="000000"/>
          <w:spacing w:val="0"/>
          <w:w w:val="100"/>
          <w:position w:val="0"/>
        </w:rPr>
        <w:t>万股，注册资本为</w:t>
      </w:r>
      <w:r>
        <w:rPr>
          <w:rFonts w:ascii="Times New Roman" w:eastAsia="Times New Roman" w:hAnsi="Times New Roman" w:cs="Times New Roman"/>
          <w:color w:val="000000"/>
          <w:spacing w:val="0"/>
          <w:w w:val="100"/>
          <w:position w:val="0"/>
        </w:rPr>
        <w:t>351,581.09</w:t>
      </w:r>
      <w:r>
        <w:rPr>
          <w:color w:val="000000"/>
          <w:spacing w:val="0"/>
          <w:w w:val="100"/>
          <w:position w:val="0"/>
        </w:rPr>
        <w:t>万元，注册 地：浙江省绍兴市上虞区曹娥街道</w:t>
      </w:r>
      <w:r>
        <w:rPr>
          <w:rFonts w:ascii="Times New Roman" w:eastAsia="Times New Roman" w:hAnsi="Times New Roman" w:cs="Times New Roman"/>
          <w:color w:val="000000"/>
          <w:spacing w:val="0"/>
          <w:w w:val="100"/>
          <w:position w:val="0"/>
        </w:rPr>
        <w:t>e</w:t>
      </w:r>
      <w:r>
        <w:rPr>
          <w:color w:val="000000"/>
          <w:spacing w:val="0"/>
          <w:w w:val="100"/>
          <w:position w:val="0"/>
        </w:rPr>
        <w:t>游小镇门户客厅</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401</w:t>
      </w:r>
      <w:r>
        <w:rPr>
          <w:color w:val="000000"/>
          <w:spacing w:val="0"/>
          <w:w w:val="100"/>
          <w:position w:val="0"/>
        </w:rPr>
        <w:t>，总部地址：浙江省杭州市萧山区钱江世 纪城平澜路</w:t>
      </w:r>
      <w:r>
        <w:rPr>
          <w:rFonts w:ascii="Times New Roman" w:eastAsia="Times New Roman" w:hAnsi="Times New Roman" w:cs="Times New Roman"/>
          <w:color w:val="000000"/>
          <w:spacing w:val="0"/>
          <w:w w:val="100"/>
          <w:position w:val="0"/>
        </w:rPr>
        <w:t>299</w:t>
      </w:r>
      <w:r>
        <w:rPr>
          <w:color w:val="000000"/>
          <w:spacing w:val="0"/>
          <w:w w:val="100"/>
          <w:position w:val="0"/>
        </w:rPr>
        <w:t>号浙江商会大厦</w:t>
      </w:r>
      <w:r>
        <w:rPr>
          <w:rFonts w:ascii="Times New Roman" w:eastAsia="Times New Roman" w:hAnsi="Times New Roman" w:cs="Times New Roman"/>
          <w:color w:val="000000"/>
          <w:spacing w:val="0"/>
          <w:w w:val="100"/>
          <w:position w:val="0"/>
        </w:rPr>
        <w:t>36</w:t>
      </w:r>
      <w:r>
        <w:rPr>
          <w:color w:val="000000"/>
          <w:spacing w:val="0"/>
          <w:w w:val="100"/>
          <w:position w:val="0"/>
        </w:rPr>
        <w:t xml:space="preserve">层。本公司原为化学原料及化学制品制造和移动互联网文化双主业运营，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月公司将化工业务剥离。剥离后公司的主营业务为移动互联网文化业务。本公司的母公司为金科 控股集团有限公司，本公司的实际控制人为朱志刚。</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580"/>
        <w:jc w:val="left"/>
      </w:pPr>
      <w:r>
        <w:rPr>
          <w:color w:val="000000"/>
          <w:spacing w:val="0"/>
          <w:w w:val="100"/>
          <w:position w:val="0"/>
        </w:rPr>
        <w:t>子公司名称</w:t>
      </w:r>
    </w:p>
    <w:p>
      <w:pPr>
        <w:pStyle w:val="Style1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580"/>
        <w:jc w:val="both"/>
      </w:pPr>
      <w:r>
        <w:rPr>
          <w:color w:val="000000"/>
          <w:spacing w:val="0"/>
          <w:w w:val="100"/>
          <w:position w:val="0"/>
        </w:rPr>
        <w:t>Outfit7 Investments Limited</w:t>
      </w:r>
    </w:p>
    <w:p>
      <w:pPr>
        <w:pStyle w:val="Style1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580"/>
        <w:jc w:val="both"/>
      </w:pPr>
      <w:r>
        <w:rPr>
          <w:color w:val="000000"/>
          <w:spacing w:val="0"/>
          <w:w w:val="100"/>
          <w:position w:val="0"/>
        </w:rPr>
        <w:t>Outfit7 Limited</w:t>
      </w:r>
      <w:r>
        <w:br w:type="page"/>
      </w:r>
    </w:p>
    <w:tbl>
      <w:tblPr>
        <w:tblOverlap w:val="never"/>
        <w:jc w:val="center"/>
        <w:tblLayout w:type="fixed"/>
      </w:tblPr>
      <w:tblGrid>
        <w:gridCol w:w="8544"/>
      </w:tblGrid>
      <w:tr>
        <w:trPr>
          <w:trHeight w:val="350" w:hRule="exact"/>
        </w:trPr>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Hyper Dot Studios Ltd</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InnerlO Limited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InnerlOO Limited</w:t>
            </w:r>
          </w:p>
        </w:tc>
      </w:tr>
      <w:tr>
        <w:trPr>
          <w:trHeight w:val="346" w:hRule="exact"/>
        </w:trPr>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Ekipa2, mobilne internetne storitve, d.o.o.</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 Brit Limited</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Outfit? Limited </w:t>
            </w:r>
            <w:r>
              <w:rPr>
                <w:color w:val="000000"/>
                <w:spacing w:val="0"/>
                <w:w w:val="100"/>
                <w:position w:val="0"/>
                <w:sz w:val="18"/>
                <w:szCs w:val="18"/>
              </w:rPr>
              <w:t>(香港)</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 Inc</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Outfit7AG</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 BCN,S.R.L</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 Studios Private Limited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北京奥飞特七科技咨询有限公司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万锦商贸有限公司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绍兴上虞雷迪森万锦大酒店有限公司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绍兴上虞时代广场商贸有限公司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杭州每日给力科技有限公司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霍尔果斯巨蟹网络科技有限公司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爱玩网络有限公司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杭州嘻动网络科技有限公司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金科国际（香港）有限公司</w:t>
            </w:r>
          </w:p>
        </w:tc>
      </w:tr>
      <w:tr>
        <w:trPr>
          <w:trHeight w:val="346" w:hRule="exact"/>
        </w:trPr>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Luck Group Holdings Limited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杭州逗宝网络科技有限公司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绍兴上虞码牛通讯技术有限公司</w:t>
            </w:r>
          </w:p>
        </w:tc>
      </w:tr>
      <w:tr>
        <w:trPr>
          <w:trHeight w:val="350" w:hRule="exact"/>
        </w:trPr>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Lily Technology Co., Ltd</w:t>
            </w:r>
          </w:p>
        </w:tc>
      </w:tr>
      <w:tr>
        <w:trPr>
          <w:trHeight w:val="346" w:hRule="exact"/>
        </w:trPr>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Ryuki Technology Co., Ltd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绍兴上虞和胜网络技术有限公司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广州金科文化科技有限公司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广州昊苍网络科技有限公司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广州麒迹信息科技有限公司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珠海安德菲信息技术有限公司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霍尔果斯畅玩信息科技有限公司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海南金科网络科技有限公司</w:t>
            </w:r>
          </w:p>
        </w:tc>
      </w:tr>
      <w:tr>
        <w:trPr>
          <w:trHeight w:val="346" w:hRule="exact"/>
        </w:trPr>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Zetta Byte (Hong Kong) Company Limited</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杭州哲信信息技术有限公司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宁波哲信创客投资有限公司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南京翰达睿信息技术有限公司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马鞍山翰哲网络科技有限公司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ZHEXIN TRANSASIA SINGAPORE PTE. LTD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南京游戏谷创业孵化器管理有限公司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浙江金科汤姆猫网络科技有限公司</w:t>
            </w:r>
          </w:p>
        </w:tc>
      </w:tr>
      <w:tr>
        <w:trPr>
          <w:trHeight w:val="355"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绍兴金猫网络科技有限公司</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076" w:val="left"/>
        </w:tabs>
        <w:bidi w:val="0"/>
        <w:spacing w:before="0" w:after="60" w:line="240" w:lineRule="auto"/>
        <w:ind w:left="0" w:right="0" w:firstLine="580"/>
        <w:jc w:val="left"/>
      </w:pPr>
      <w:r>
        <w:rPr>
          <w:color w:val="000000"/>
          <w:spacing w:val="0"/>
          <w:w w:val="100"/>
          <w:position w:val="0"/>
          <w:u w:val="single"/>
        </w:rPr>
        <w:t>霍尔果斯金科汤姆猫文化发展有限公司</w:t>
        <w:tab/>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076" w:val="left"/>
        </w:tabs>
        <w:bidi w:val="0"/>
        <w:spacing w:before="0" w:after="60" w:line="240" w:lineRule="auto"/>
        <w:ind w:left="0" w:right="0" w:firstLine="580"/>
        <w:jc w:val="left"/>
      </w:pPr>
      <w:r>
        <w:rPr>
          <w:color w:val="000000"/>
          <w:spacing w:val="0"/>
          <w:w w:val="100"/>
          <w:position w:val="0"/>
          <w:u w:val="single"/>
        </w:rPr>
        <w:t>杭州零界线数字科技有限公司</w:t>
        <w:tab/>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076" w:val="left"/>
        </w:tabs>
        <w:bidi w:val="0"/>
        <w:spacing w:before="0" w:after="60" w:line="240" w:lineRule="auto"/>
        <w:ind w:left="0" w:right="0" w:firstLine="580"/>
        <w:jc w:val="left"/>
      </w:pPr>
      <w:r>
        <w:rPr>
          <w:color w:val="000000"/>
          <w:spacing w:val="0"/>
          <w:w w:val="100"/>
          <w:position w:val="0"/>
          <w:u w:val="single"/>
        </w:rPr>
        <w:t>绍兴汤姆猫文化传播有限公司</w:t>
        <w:tab/>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076" w:val="left"/>
        </w:tabs>
        <w:bidi w:val="0"/>
        <w:spacing w:before="0" w:after="160" w:line="240" w:lineRule="auto"/>
        <w:ind w:left="0" w:right="0" w:firstLine="580"/>
        <w:jc w:val="left"/>
      </w:pPr>
      <w:r>
        <w:rPr>
          <w:color w:val="000000"/>
          <w:spacing w:val="0"/>
          <w:w w:val="100"/>
          <w:position w:val="0"/>
          <w:u w:val="single"/>
        </w:rPr>
        <w:t>浙江金科汤姆猫投资发展有限公司</w:t>
        <w:tab/>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076" w:val="left"/>
        </w:tabs>
        <w:bidi w:val="0"/>
        <w:spacing w:before="0" w:after="60" w:line="240" w:lineRule="auto"/>
        <w:ind w:left="0" w:right="0" w:firstLine="580"/>
        <w:jc w:val="left"/>
      </w:pPr>
      <w:r>
        <w:rPr>
          <w:color w:val="000000"/>
          <w:spacing w:val="0"/>
          <w:w w:val="100"/>
          <w:position w:val="0"/>
          <w:u w:val="single"/>
        </w:rPr>
        <w:t>浙江汤姆猫文化发展有限公司</w:t>
        <w:tab/>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580"/>
        <w:jc w:val="left"/>
      </w:pPr>
      <w:r>
        <w:rPr>
          <w:color w:val="000000"/>
          <w:spacing w:val="0"/>
          <w:w w:val="100"/>
          <w:position w:val="0"/>
        </w:rPr>
        <w:t>杭州汤姆猫文化管理有限公司</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580"/>
        <w:jc w:val="left"/>
      </w:pPr>
      <w:r>
        <w:rPr>
          <w:color w:val="000000"/>
          <w:spacing w:val="0"/>
          <w:w w:val="100"/>
          <w:position w:val="0"/>
        </w:rPr>
        <w:t>上海汤姆猫之家商业管理有限公司</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580"/>
        <w:jc w:val="left"/>
      </w:pPr>
      <w:r>
        <w:rPr>
          <w:color w:val="000000"/>
          <w:spacing w:val="0"/>
          <w:w w:val="100"/>
          <w:position w:val="0"/>
        </w:rPr>
        <w:t>浙江金科汤姆猫武林电子商务有限公司</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580"/>
        <w:jc w:val="left"/>
      </w:pPr>
      <w:r>
        <w:rPr>
          <w:color w:val="000000"/>
          <w:spacing w:val="0"/>
          <w:w w:val="100"/>
          <w:position w:val="0"/>
        </w:rPr>
        <w:t>上海惊蛰网络技术有限公司</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580"/>
        <w:jc w:val="left"/>
      </w:pPr>
      <w:r>
        <w:rPr>
          <w:color w:val="000000"/>
          <w:spacing w:val="0"/>
          <w:w w:val="100"/>
          <w:position w:val="0"/>
        </w:rPr>
        <w:t>绍兴上虞金科哲信科技有限公司</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580"/>
        <w:jc w:val="left"/>
      </w:pPr>
      <w:r>
        <w:rPr>
          <w:color w:val="000000"/>
          <w:spacing w:val="0"/>
          <w:w w:val="100"/>
          <w:position w:val="0"/>
        </w:rPr>
        <w:t>广东博信产业投资有限公司</w:t>
      </w:r>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本公司子公司的相关信息详见第十二节、财务报告”之“九、在其他主体中的权益”之说明。本报告</w:t>
      </w:r>
    </w:p>
    <w:p>
      <w:pPr>
        <w:pStyle w:val="Style40"/>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期合并范围变化情况详见第十二节、财务报告”之“八、合并范围的变更”之说明。</w:t>
      </w:r>
    </w:p>
    <w:p>
      <w:pPr>
        <w:pStyle w:val="Style29"/>
        <w:keepNext/>
        <w:keepLines/>
        <w:widowControl w:val="0"/>
        <w:shd w:val="clear" w:color="auto" w:fill="auto"/>
        <w:tabs>
          <w:tab w:pos="493" w:val="left"/>
        </w:tabs>
        <w:bidi w:val="0"/>
        <w:spacing w:before="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四</w:t>
      </w:r>
      <w:bookmarkEnd w:id="688"/>
      <w:r>
        <w:rPr>
          <w:color w:val="000000"/>
          <w:spacing w:val="0"/>
          <w:w w:val="100"/>
          <w:position w:val="0"/>
          <w:sz w:val="24"/>
          <w:szCs w:val="24"/>
        </w:rPr>
        <w:t>、</w:t>
        <w:tab/>
        <w:t>财务报表的编制基础</w:t>
      </w:r>
      <w:bookmarkEnd w:id="686"/>
      <w:bookmarkEnd w:id="687"/>
      <w:bookmarkEnd w:id="689"/>
    </w:p>
    <w:p>
      <w:pPr>
        <w:pStyle w:val="Style36"/>
        <w:keepNext/>
        <w:keepLines/>
        <w:widowControl w:val="0"/>
        <w:shd w:val="clear" w:color="auto" w:fill="auto"/>
        <w:tabs>
          <w:tab w:pos="394" w:val="left"/>
        </w:tabs>
        <w:bidi w:val="0"/>
        <w:spacing w:before="0" w:after="42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w:t>
        <w:tab/>
        <w:t>编制基础</w:t>
      </w:r>
      <w:bookmarkEnd w:id="690"/>
      <w:bookmarkEnd w:id="691"/>
      <w:bookmarkEnd w:id="693"/>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本财务报表按照财政部颁布的《企业会计准则一基本准则》和各项具体会计准则、企业会计准则应</w:t>
      </w:r>
    </w:p>
    <w:p>
      <w:pPr>
        <w:pStyle w:val="Style40"/>
        <w:keepNext w:val="0"/>
        <w:keepLines w:val="0"/>
        <w:widowControl w:val="0"/>
        <w:shd w:val="clear" w:color="auto" w:fill="auto"/>
        <w:bidi w:val="0"/>
        <w:spacing w:before="0" w:after="220" w:line="240" w:lineRule="auto"/>
        <w:ind w:left="0" w:right="0" w:firstLine="0"/>
        <w:jc w:val="left"/>
      </w:pPr>
      <w:r>
        <w:rPr>
          <w:color w:val="000000"/>
          <w:spacing w:val="0"/>
          <w:w w:val="100"/>
          <w:position w:val="0"/>
        </w:rPr>
        <w:t>用指南、企业会计准则解释及其他相关规定（以下合称“企业会计准则”），以及中国证券监督管理委员会</w:t>
      </w:r>
    </w:p>
    <w:p>
      <w:pPr>
        <w:pStyle w:val="Style4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36"/>
        <w:keepNext/>
        <w:keepLines/>
        <w:widowControl w:val="0"/>
        <w:shd w:val="clear" w:color="auto" w:fill="auto"/>
        <w:tabs>
          <w:tab w:pos="394" w:val="left"/>
        </w:tabs>
        <w:bidi w:val="0"/>
        <w:spacing w:before="0" w:after="42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w:t>
        <w:tab/>
        <w:t>持续经营</w:t>
      </w:r>
      <w:bookmarkEnd w:id="694"/>
      <w:bookmarkEnd w:id="695"/>
      <w:bookmarkEnd w:id="697"/>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本财务报表以持续经营为基础编制。</w:t>
      </w:r>
    </w:p>
    <w:p>
      <w:pPr>
        <w:pStyle w:val="Style4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512" w:val="left"/>
        </w:tabs>
        <w:bidi w:val="0"/>
        <w:spacing w:before="0" w:after="42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五</w:t>
      </w:r>
      <w:bookmarkEnd w:id="700"/>
      <w:r>
        <w:rPr>
          <w:color w:val="000000"/>
          <w:spacing w:val="0"/>
          <w:w w:val="100"/>
          <w:position w:val="0"/>
          <w:sz w:val="24"/>
          <w:szCs w:val="24"/>
        </w:rPr>
        <w:t>、</w:t>
        <w:tab/>
        <w:t>重要会计政策及会计估计</w:t>
      </w:r>
      <w:bookmarkEnd w:id="698"/>
      <w:bookmarkEnd w:id="699"/>
      <w:bookmarkEnd w:id="701"/>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具体会计政策和会计估计提示：</w:t>
      </w:r>
    </w:p>
    <w:p>
      <w:pPr>
        <w:pStyle w:val="Style4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以下披露内容已涵盖了本公司根据实际生产经营特点制定的具体会计政策和会计估计。</w:t>
      </w:r>
    </w:p>
    <w:p>
      <w:pPr>
        <w:pStyle w:val="Style36"/>
        <w:keepNext/>
        <w:keepLines/>
        <w:widowControl w:val="0"/>
        <w:shd w:val="clear" w:color="auto" w:fill="auto"/>
        <w:bidi w:val="0"/>
        <w:spacing w:before="0" w:after="420" w:line="240" w:lineRule="auto"/>
        <w:ind w:left="0" w:right="0" w:firstLine="0"/>
        <w:jc w:val="left"/>
      </w:pPr>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2"/>
      <w:bookmarkEnd w:id="703"/>
      <w:bookmarkEnd w:id="704"/>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w:t>
      </w:r>
    </w:p>
    <w:p>
      <w:pPr>
        <w:pStyle w:val="Style4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6"/>
        <w:keepNext/>
        <w:keepLines/>
        <w:widowControl w:val="0"/>
        <w:shd w:val="clear" w:color="auto" w:fill="auto"/>
        <w:tabs>
          <w:tab w:pos="378" w:val="left"/>
        </w:tabs>
        <w:bidi w:val="0"/>
        <w:spacing w:before="0" w:after="200" w:line="469" w:lineRule="exact"/>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会计期间</w:t>
      </w:r>
      <w:bookmarkEnd w:id="705"/>
      <w:bookmarkEnd w:id="706"/>
      <w:bookmarkEnd w:id="708"/>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tabs>
          <w:tab w:pos="378" w:val="left"/>
        </w:tabs>
        <w:bidi w:val="0"/>
        <w:spacing w:before="0" w:after="200" w:line="469" w:lineRule="exact"/>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w:t>
        <w:tab/>
        <w:t>营业周期</w:t>
      </w:r>
      <w:bookmarkEnd w:id="709"/>
      <w:bookmarkEnd w:id="710"/>
      <w:bookmarkEnd w:id="712"/>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6"/>
        <w:keepNext/>
        <w:keepLines/>
        <w:widowControl w:val="0"/>
        <w:shd w:val="clear" w:color="auto" w:fill="auto"/>
        <w:tabs>
          <w:tab w:pos="378" w:val="left"/>
        </w:tabs>
        <w:bidi w:val="0"/>
        <w:spacing w:before="0" w:after="200" w:line="469" w:lineRule="exact"/>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w:t>
        <w:tab/>
        <w:t>记账本位币</w:t>
      </w:r>
      <w:bookmarkEnd w:id="713"/>
      <w:bookmarkEnd w:id="714"/>
      <w:bookmarkEnd w:id="716"/>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本公司采用人民币为记账本位币</w:t>
      </w:r>
    </w:p>
    <w:p>
      <w:pPr>
        <w:pStyle w:val="Style36"/>
        <w:keepNext/>
        <w:keepLines/>
        <w:widowControl w:val="0"/>
        <w:shd w:val="clear" w:color="auto" w:fill="auto"/>
        <w:tabs>
          <w:tab w:pos="378" w:val="left"/>
        </w:tabs>
        <w:bidi w:val="0"/>
        <w:spacing w:before="0" w:after="200" w:line="469" w:lineRule="exact"/>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w:t>
        <w:tab/>
        <w:t>同一控制下和非同一控制下企业合并的会计处理方法</w:t>
      </w:r>
      <w:bookmarkEnd w:id="717"/>
      <w:bookmarkEnd w:id="718"/>
      <w:bookmarkEnd w:id="720"/>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6"/>
        <w:keepNext/>
        <w:keepLines/>
        <w:widowControl w:val="0"/>
        <w:shd w:val="clear" w:color="auto" w:fill="auto"/>
        <w:tabs>
          <w:tab w:pos="378" w:val="left"/>
        </w:tabs>
        <w:bidi w:val="0"/>
        <w:spacing w:before="0" w:after="200" w:line="469"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w:t>
        <w:tab/>
        <w:t>合并财务报表的编制方法</w:t>
      </w:r>
      <w:bookmarkEnd w:id="721"/>
      <w:bookmarkEnd w:id="722"/>
      <w:bookmarkEnd w:id="724"/>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合并范围</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合并程序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本公司将整个企业集团视为一个会计主体，按照统一的会计政策编制合并财务报表，反映本企业集团 </w:t>
      </w:r>
      <w:r>
        <w:rPr>
          <w:color w:val="000000"/>
          <w:spacing w:val="0"/>
          <w:w w:val="100"/>
          <w:position w:val="0"/>
        </w:rPr>
        <w:t>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40"/>
        <w:keepNext w:val="0"/>
        <w:keepLines w:val="0"/>
        <w:widowControl w:val="0"/>
        <w:shd w:val="clear" w:color="auto" w:fill="auto"/>
        <w:tabs>
          <w:tab w:pos="896" w:val="left"/>
        </w:tabs>
        <w:bidi w:val="0"/>
        <w:spacing w:before="0" w:after="0" w:line="467" w:lineRule="exact"/>
        <w:ind w:left="0" w:right="0" w:firstLine="44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40"/>
        <w:keepNext w:val="0"/>
        <w:keepLines w:val="0"/>
        <w:widowControl w:val="0"/>
        <w:shd w:val="clear" w:color="auto" w:fill="auto"/>
        <w:tabs>
          <w:tab w:pos="896" w:val="left"/>
        </w:tabs>
        <w:bidi w:val="0"/>
        <w:spacing w:before="0" w:after="0" w:line="467"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40"/>
        <w:keepNext w:val="0"/>
        <w:keepLines w:val="0"/>
        <w:widowControl w:val="0"/>
        <w:numPr>
          <w:ilvl w:val="0"/>
          <w:numId w:val="29"/>
        </w:numPr>
        <w:shd w:val="clear" w:color="auto" w:fill="auto"/>
        <w:tabs>
          <w:tab w:pos="805" w:val="left"/>
        </w:tabs>
        <w:bidi w:val="0"/>
        <w:spacing w:before="0" w:after="0" w:line="467" w:lineRule="exact"/>
        <w:ind w:left="0" w:right="0" w:firstLine="440"/>
        <w:jc w:val="both"/>
      </w:pPr>
      <w:bookmarkStart w:id="727" w:name="bookmark727"/>
      <w:bookmarkEnd w:id="727"/>
      <w:r>
        <w:rPr>
          <w:color w:val="000000"/>
          <w:spacing w:val="0"/>
          <w:w w:val="100"/>
          <w:position w:val="0"/>
        </w:rPr>
        <w:t>一般处理方法</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40"/>
        <w:keepNext w:val="0"/>
        <w:keepLines w:val="0"/>
        <w:widowControl w:val="0"/>
        <w:numPr>
          <w:ilvl w:val="0"/>
          <w:numId w:val="29"/>
        </w:numPr>
        <w:shd w:val="clear" w:color="auto" w:fill="auto"/>
        <w:tabs>
          <w:tab w:pos="809" w:val="left"/>
        </w:tabs>
        <w:bidi w:val="0"/>
        <w:spacing w:before="0" w:after="0" w:line="467" w:lineRule="exact"/>
        <w:ind w:left="0" w:right="0" w:firstLine="440"/>
        <w:jc w:val="both"/>
      </w:pPr>
      <w:bookmarkStart w:id="728" w:name="bookmark728"/>
      <w:bookmarkEnd w:id="728"/>
      <w:r>
        <w:rPr>
          <w:color w:val="000000"/>
          <w:spacing w:val="0"/>
          <w:w w:val="100"/>
          <w:position w:val="0"/>
        </w:rPr>
        <w:t>分步处置子公司</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40"/>
        <w:keepNext w:val="0"/>
        <w:keepLines w:val="0"/>
        <w:widowControl w:val="0"/>
        <w:numPr>
          <w:ilvl w:val="0"/>
          <w:numId w:val="31"/>
        </w:numPr>
        <w:shd w:val="clear" w:color="auto" w:fill="auto"/>
        <w:bidi w:val="0"/>
        <w:spacing w:before="0" w:after="0" w:line="467" w:lineRule="exact"/>
        <w:ind w:left="0" w:right="0" w:firstLine="440"/>
        <w:jc w:val="both"/>
      </w:pPr>
      <w:bookmarkStart w:id="729" w:name="bookmark729"/>
      <w:bookmarkEnd w:id="729"/>
      <w:r>
        <w:rPr>
          <w:color w:val="000000"/>
          <w:spacing w:val="0"/>
          <w:w w:val="100"/>
          <w:position w:val="0"/>
        </w:rPr>
        <w:t>这些交易是同时或者在考虑了彼此影响的情况下订立的；</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ii.</w:t>
      </w:r>
      <w:r>
        <w:rPr>
          <w:color w:val="000000"/>
          <w:spacing w:val="0"/>
          <w:w w:val="100"/>
          <w:position w:val="0"/>
        </w:rPr>
        <w:t>这些交易整体才能达成一项完整的商业结果；</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m. </w:t>
      </w:r>
      <w:r>
        <w:rPr>
          <w:color w:val="000000"/>
          <w:spacing w:val="0"/>
          <w:w w:val="100"/>
          <w:position w:val="0"/>
        </w:rPr>
        <w:t>一项交易的发生取决于其他至少一项交易的发生；</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40"/>
        <w:keepNext w:val="0"/>
        <w:keepLines w:val="0"/>
        <w:widowControl w:val="0"/>
        <w:numPr>
          <w:ilvl w:val="0"/>
          <w:numId w:val="33"/>
        </w:numPr>
        <w:shd w:val="clear" w:color="auto" w:fill="auto"/>
        <w:tabs>
          <w:tab w:pos="923" w:val="left"/>
        </w:tabs>
        <w:bidi w:val="0"/>
        <w:spacing w:before="0" w:after="0" w:line="467" w:lineRule="exact"/>
        <w:ind w:left="0" w:right="0" w:firstLine="440"/>
        <w:jc w:val="both"/>
      </w:pPr>
      <w:bookmarkStart w:id="730" w:name="bookmark730"/>
      <w:bookmarkEnd w:id="730"/>
      <w:r>
        <w:rPr>
          <w:color w:val="000000"/>
          <w:spacing w:val="0"/>
          <w:w w:val="100"/>
          <w:position w:val="0"/>
        </w:rPr>
        <w:t>购买子公司少数股权</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40"/>
        <w:keepNext w:val="0"/>
        <w:keepLines w:val="0"/>
        <w:widowControl w:val="0"/>
        <w:numPr>
          <w:ilvl w:val="0"/>
          <w:numId w:val="33"/>
        </w:numPr>
        <w:shd w:val="clear" w:color="auto" w:fill="auto"/>
        <w:tabs>
          <w:tab w:pos="923" w:val="left"/>
        </w:tabs>
        <w:bidi w:val="0"/>
        <w:spacing w:before="0" w:after="0" w:line="467" w:lineRule="exact"/>
        <w:ind w:left="0" w:right="0" w:firstLine="440"/>
        <w:jc w:val="both"/>
      </w:pPr>
      <w:bookmarkStart w:id="731" w:name="bookmark731"/>
      <w:bookmarkEnd w:id="731"/>
      <w:r>
        <w:rPr>
          <w:color w:val="000000"/>
          <w:spacing w:val="0"/>
          <w:w w:val="100"/>
          <w:position w:val="0"/>
        </w:rPr>
        <w:t>不丧失控制权的情况下部分处置对子公司的股权投资</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36"/>
        <w:keepNext/>
        <w:keepLines/>
        <w:widowControl w:val="0"/>
        <w:shd w:val="clear" w:color="auto" w:fill="auto"/>
        <w:bidi w:val="0"/>
        <w:spacing w:before="0" w:after="220" w:line="467"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7</w:t>
      </w:r>
      <w:bookmarkEnd w:id="734"/>
      <w:r>
        <w:rPr>
          <w:color w:val="000000"/>
          <w:spacing w:val="0"/>
          <w:w w:val="100"/>
          <w:position w:val="0"/>
        </w:rPr>
        <w:t>、合营安排分类及共同经营会计处理方法</w:t>
      </w:r>
      <w:bookmarkEnd w:id="732"/>
      <w:bookmarkEnd w:id="733"/>
      <w:bookmarkEnd w:id="735"/>
    </w:p>
    <w:p>
      <w:pPr>
        <w:pStyle w:val="Style4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合营安排分为共同经营和合营企业。</w:t>
      </w:r>
    </w:p>
    <w:p>
      <w:pPr>
        <w:pStyle w:val="Style4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共同经营，是指合营方享有该安排相关资产且承担该安排相关负债的合营安排。</w:t>
      </w:r>
    </w:p>
    <w:p>
      <w:pPr>
        <w:pStyle w:val="Style4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本公司确认与共同经营中利益份额相关的下列项目：</w:t>
      </w:r>
    </w:p>
    <w:p>
      <w:pPr>
        <w:pStyle w:val="Style40"/>
        <w:keepNext w:val="0"/>
        <w:keepLines w:val="0"/>
        <w:widowControl w:val="0"/>
        <w:numPr>
          <w:ilvl w:val="0"/>
          <w:numId w:val="35"/>
        </w:numPr>
        <w:shd w:val="clear" w:color="auto" w:fill="auto"/>
        <w:tabs>
          <w:tab w:pos="923" w:val="left"/>
        </w:tabs>
        <w:bidi w:val="0"/>
        <w:spacing w:before="0" w:after="0" w:line="456" w:lineRule="exact"/>
        <w:ind w:left="0" w:right="0" w:firstLine="440"/>
        <w:jc w:val="both"/>
      </w:pPr>
      <w:bookmarkStart w:id="736" w:name="bookmark736"/>
      <w:bookmarkEnd w:id="736"/>
      <w:r>
        <w:rPr>
          <w:color w:val="000000"/>
          <w:spacing w:val="0"/>
          <w:w w:val="100"/>
          <w:position w:val="0"/>
        </w:rPr>
        <w:t>确认本公司单独所持有的资产，以及按本公司份额确认共同持有的资产；</w:t>
      </w:r>
    </w:p>
    <w:p>
      <w:pPr>
        <w:pStyle w:val="Style40"/>
        <w:keepNext w:val="0"/>
        <w:keepLines w:val="0"/>
        <w:widowControl w:val="0"/>
        <w:numPr>
          <w:ilvl w:val="0"/>
          <w:numId w:val="35"/>
        </w:numPr>
        <w:shd w:val="clear" w:color="auto" w:fill="auto"/>
        <w:tabs>
          <w:tab w:pos="923" w:val="left"/>
        </w:tabs>
        <w:bidi w:val="0"/>
        <w:spacing w:before="0" w:after="0" w:line="456" w:lineRule="exact"/>
        <w:ind w:left="0" w:right="0" w:firstLine="440"/>
        <w:jc w:val="both"/>
      </w:pPr>
      <w:bookmarkStart w:id="737" w:name="bookmark737"/>
      <w:bookmarkEnd w:id="737"/>
      <w:r>
        <w:rPr>
          <w:color w:val="000000"/>
          <w:spacing w:val="0"/>
          <w:w w:val="100"/>
          <w:position w:val="0"/>
        </w:rPr>
        <w:t>确认本公司单独所承担的负债，以及按本公司份额确认共同承担的负债；</w:t>
      </w:r>
    </w:p>
    <w:p>
      <w:pPr>
        <w:pStyle w:val="Style40"/>
        <w:keepNext w:val="0"/>
        <w:keepLines w:val="0"/>
        <w:widowControl w:val="0"/>
        <w:numPr>
          <w:ilvl w:val="0"/>
          <w:numId w:val="35"/>
        </w:numPr>
        <w:shd w:val="clear" w:color="auto" w:fill="auto"/>
        <w:tabs>
          <w:tab w:pos="923" w:val="left"/>
        </w:tabs>
        <w:bidi w:val="0"/>
        <w:spacing w:before="0" w:after="0" w:line="456" w:lineRule="exact"/>
        <w:ind w:left="0" w:right="0" w:firstLine="440"/>
        <w:jc w:val="both"/>
      </w:pPr>
      <w:bookmarkStart w:id="738" w:name="bookmark738"/>
      <w:bookmarkEnd w:id="738"/>
      <w:r>
        <w:rPr>
          <w:color w:val="000000"/>
          <w:spacing w:val="0"/>
          <w:w w:val="100"/>
          <w:position w:val="0"/>
        </w:rPr>
        <w:t>确认出售本公司享有的共同经营产出份额所产生的收入；</w:t>
      </w:r>
    </w:p>
    <w:p>
      <w:pPr>
        <w:pStyle w:val="Style40"/>
        <w:keepNext w:val="0"/>
        <w:keepLines w:val="0"/>
        <w:widowControl w:val="0"/>
        <w:numPr>
          <w:ilvl w:val="0"/>
          <w:numId w:val="35"/>
        </w:numPr>
        <w:shd w:val="clear" w:color="auto" w:fill="auto"/>
        <w:tabs>
          <w:tab w:pos="923" w:val="left"/>
        </w:tabs>
        <w:bidi w:val="0"/>
        <w:spacing w:before="0" w:after="0" w:line="456" w:lineRule="exact"/>
        <w:ind w:left="0" w:right="0" w:firstLine="440"/>
        <w:jc w:val="both"/>
      </w:pPr>
      <w:bookmarkStart w:id="739" w:name="bookmark739"/>
      <w:bookmarkEnd w:id="739"/>
      <w:r>
        <w:rPr>
          <w:color w:val="000000"/>
          <w:spacing w:val="0"/>
          <w:w w:val="100"/>
          <w:position w:val="0"/>
        </w:rPr>
        <w:t>按本公司份额确认共同经营因出售产出所产生的收入；</w:t>
      </w:r>
    </w:p>
    <w:p>
      <w:pPr>
        <w:pStyle w:val="Style40"/>
        <w:keepNext w:val="0"/>
        <w:keepLines w:val="0"/>
        <w:widowControl w:val="0"/>
        <w:numPr>
          <w:ilvl w:val="0"/>
          <w:numId w:val="35"/>
        </w:numPr>
        <w:shd w:val="clear" w:color="auto" w:fill="auto"/>
        <w:tabs>
          <w:tab w:pos="923" w:val="left"/>
        </w:tabs>
        <w:bidi w:val="0"/>
        <w:spacing w:before="0" w:after="0" w:line="456" w:lineRule="exact"/>
        <w:ind w:left="0" w:right="0" w:firstLine="440"/>
        <w:jc w:val="both"/>
      </w:pPr>
      <w:bookmarkStart w:id="740" w:name="bookmark740"/>
      <w:bookmarkEnd w:id="740"/>
      <w:r>
        <w:rPr>
          <w:color w:val="000000"/>
          <w:spacing w:val="0"/>
          <w:w w:val="100"/>
          <w:position w:val="0"/>
        </w:rPr>
        <w:t>确认单独所发生的费用，以及按本公司份额确认共同经营发生的费用。</w:t>
      </w:r>
    </w:p>
    <w:p>
      <w:pPr>
        <w:pStyle w:val="Style4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本公司对合营企业的投资采用权益法核算，详见第十二节、财务报告”之“七、合并财务报表项目注 释”之“</w:t>
      </w:r>
      <w:r>
        <w:rPr>
          <w:rFonts w:ascii="Times New Roman" w:eastAsia="Times New Roman" w:hAnsi="Times New Roman" w:cs="Times New Roman"/>
          <w:color w:val="000000"/>
          <w:spacing w:val="0"/>
          <w:w w:val="100"/>
          <w:position w:val="0"/>
        </w:rPr>
        <w:t>8</w:t>
      </w:r>
      <w:r>
        <w:rPr>
          <w:color w:val="000000"/>
          <w:spacing w:val="0"/>
          <w:w w:val="100"/>
          <w:position w:val="0"/>
        </w:rPr>
        <w:t>、长期股权投资”之说明。</w:t>
      </w:r>
    </w:p>
    <w:p>
      <w:pPr>
        <w:pStyle w:val="Style36"/>
        <w:keepNext/>
        <w:keepLines/>
        <w:widowControl w:val="0"/>
        <w:shd w:val="clear" w:color="auto" w:fill="auto"/>
        <w:tabs>
          <w:tab w:pos="378" w:val="left"/>
        </w:tabs>
        <w:bidi w:val="0"/>
        <w:spacing w:before="0" w:after="220" w:line="466"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8</w:t>
      </w:r>
      <w:bookmarkEnd w:id="743"/>
      <w:r>
        <w:rPr>
          <w:color w:val="000000"/>
          <w:spacing w:val="0"/>
          <w:w w:val="100"/>
          <w:position w:val="0"/>
        </w:rPr>
        <w:t>、</w:t>
        <w:tab/>
        <w:t>现金及现金等价物的确定标准</w:t>
      </w:r>
      <w:bookmarkEnd w:id="741"/>
      <w:bookmarkEnd w:id="742"/>
      <w:bookmarkEnd w:id="744"/>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36"/>
        <w:keepNext/>
        <w:keepLines/>
        <w:widowControl w:val="0"/>
        <w:shd w:val="clear" w:color="auto" w:fill="auto"/>
        <w:tabs>
          <w:tab w:pos="378" w:val="left"/>
        </w:tabs>
        <w:bidi w:val="0"/>
        <w:spacing w:before="0" w:after="220" w:line="466" w:lineRule="exact"/>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9</w:t>
      </w:r>
      <w:bookmarkEnd w:id="747"/>
      <w:r>
        <w:rPr>
          <w:color w:val="000000"/>
          <w:spacing w:val="0"/>
          <w:w w:val="100"/>
          <w:position w:val="0"/>
        </w:rPr>
        <w:t>、</w:t>
        <w:tab/>
        <w:t>外币业务和外币报表折算</w:t>
      </w:r>
      <w:bookmarkEnd w:id="745"/>
      <w:bookmarkEnd w:id="746"/>
      <w:bookmarkEnd w:id="748"/>
    </w:p>
    <w:p>
      <w:pPr>
        <w:pStyle w:val="Style40"/>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外币业务</w:t>
      </w:r>
    </w:p>
    <w:p>
      <w:pPr>
        <w:pStyle w:val="Style40"/>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40"/>
        <w:keepNext w:val="0"/>
        <w:keepLines w:val="0"/>
        <w:widowControl w:val="0"/>
        <w:shd w:val="clear" w:color="auto" w:fill="auto"/>
        <w:bidi w:val="0"/>
        <w:spacing w:before="0" w:after="0" w:line="460"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40"/>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外币财务报表的折算</w:t>
      </w:r>
    </w:p>
    <w:p>
      <w:pPr>
        <w:pStyle w:val="Style40"/>
        <w:keepNext w:val="0"/>
        <w:keepLines w:val="0"/>
        <w:widowControl w:val="0"/>
        <w:shd w:val="clear" w:color="auto" w:fill="auto"/>
        <w:bidi w:val="0"/>
        <w:spacing w:before="0" w:after="260" w:line="460"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40"/>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处置境外经营时，将与该境外经营相关的外币财务报表折算差额，自所有者权益项目转入处置当期损</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460" w:line="240" w:lineRule="auto"/>
        <w:ind w:left="0" w:right="0" w:firstLine="0"/>
        <w:jc w:val="left"/>
      </w:pPr>
      <w:r>
        <w:rPr>
          <w:color w:val="000000"/>
          <w:spacing w:val="0"/>
          <w:w w:val="100"/>
          <w:position w:val="0"/>
        </w:rPr>
        <w:t>益</w:t>
      </w:r>
      <w:r>
        <w:rPr>
          <w:color w:val="000000"/>
          <w:spacing w:val="0"/>
          <w:w w:val="100"/>
          <w:position w:val="0"/>
        </w:rPr>
        <w:t>O</w:t>
      </w:r>
    </w:p>
    <w:p>
      <w:pPr>
        <w:pStyle w:val="Style36"/>
        <w:keepNext/>
        <w:keepLines/>
        <w:widowControl w:val="0"/>
        <w:shd w:val="clear" w:color="auto" w:fill="auto"/>
        <w:tabs>
          <w:tab w:pos="474" w:val="left"/>
        </w:tabs>
        <w:bidi w:val="0"/>
        <w:spacing w:before="0" w:after="0" w:line="48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9"/>
      <w:bookmarkEnd w:id="750"/>
      <w:bookmarkEnd w:id="752"/>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本公司在成为金融工具合同的一方时，确认一项金融资产、金融负债或权益工具。</w:t>
      </w:r>
    </w:p>
    <w:p>
      <w:pPr>
        <w:pStyle w:val="Style40"/>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金融工具的分类</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—业务模式是以收取合同现金流量为目标；</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—合同现金流量仅为对本金和以未偿付本金金额为基础的利息的支付。</w:t>
      </w:r>
    </w:p>
    <w:p>
      <w:pPr>
        <w:pStyle w:val="Style40"/>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—业务模式既以收取合同现金流量又以出售该金融资产为目标；</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—合同现金流量仅为对本金和以未偿付本金金额为基础的利息的支付。</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40"/>
        <w:keepNext w:val="0"/>
        <w:keepLines w:val="0"/>
        <w:widowControl w:val="0"/>
        <w:shd w:val="clear" w:color="auto" w:fill="auto"/>
        <w:tabs>
          <w:tab w:pos="814" w:val="left"/>
        </w:tabs>
        <w:bidi w:val="0"/>
        <w:spacing w:before="0" w:after="0"/>
        <w:ind w:left="0" w:right="0" w:firstLine="440"/>
        <w:jc w:val="left"/>
      </w:pPr>
      <w:bookmarkStart w:id="753" w:name="bookmark753"/>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该项指定能够消除或显著减少会计错配。</w:t>
      </w:r>
    </w:p>
    <w:p>
      <w:pPr>
        <w:pStyle w:val="Style40"/>
        <w:keepNext w:val="0"/>
        <w:keepLines w:val="0"/>
        <w:widowControl w:val="0"/>
        <w:shd w:val="clear" w:color="auto" w:fill="auto"/>
        <w:tabs>
          <w:tab w:pos="814" w:val="left"/>
        </w:tabs>
        <w:bidi w:val="0"/>
        <w:spacing w:before="0" w:after="200" w:line="469" w:lineRule="exact"/>
        <w:ind w:left="0" w:right="0" w:firstLine="440"/>
        <w:jc w:val="left"/>
      </w:pPr>
      <w:bookmarkStart w:id="754" w:name="bookmark754"/>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40"/>
        <w:keepNext w:val="0"/>
        <w:keepLines w:val="0"/>
        <w:widowControl w:val="0"/>
        <w:shd w:val="clear" w:color="auto" w:fill="auto"/>
        <w:tabs>
          <w:tab w:pos="837" w:val="left"/>
        </w:tabs>
        <w:bidi w:val="0"/>
        <w:spacing w:before="0" w:after="0"/>
        <w:ind w:left="0" w:right="0" w:firstLine="440"/>
        <w:jc w:val="left"/>
      </w:pPr>
      <w:bookmarkStart w:id="755" w:name="bookmark755"/>
      <w:r>
        <w:rPr>
          <w:rFonts w:ascii="Times New Roman" w:eastAsia="Times New Roman" w:hAnsi="Times New Roman" w:cs="Times New Roman"/>
          <w:color w:val="000000"/>
          <w:spacing w:val="0"/>
          <w:w w:val="100"/>
          <w:position w:val="0"/>
        </w:rPr>
        <w:t>3</w:t>
      </w:r>
      <w:bookmarkEnd w:id="755"/>
      <w:r>
        <w:rPr>
          <w:color w:val="000000"/>
          <w:spacing w:val="0"/>
          <w:w w:val="100"/>
          <w:position w:val="0"/>
        </w:rPr>
        <w:t>）</w:t>
        <w:tab/>
        <w:t>该金融负债包含需单独分拆的嵌入衍生工具。</w:t>
      </w:r>
    </w:p>
    <w:p>
      <w:pPr>
        <w:pStyle w:val="Style40"/>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金融工具的确认依据和计量方法</w:t>
      </w:r>
    </w:p>
    <w:p>
      <w:pPr>
        <w:pStyle w:val="Style40"/>
        <w:keepNext w:val="0"/>
        <w:keepLines w:val="0"/>
        <w:widowControl w:val="0"/>
        <w:shd w:val="clear" w:color="auto" w:fill="auto"/>
        <w:tabs>
          <w:tab w:pos="923" w:val="left"/>
        </w:tabs>
        <w:bidi w:val="0"/>
        <w:spacing w:before="0" w:after="0" w:line="469" w:lineRule="exact"/>
        <w:ind w:left="0" w:right="0" w:firstLine="44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持有期间采用实际利率法计算的利息计入当期损益。</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收回或处置时，将取得的价款与该金融资产账面价值之间的差额计入当期损益。</w:t>
      </w:r>
    </w:p>
    <w:p>
      <w:pPr>
        <w:pStyle w:val="Style40"/>
        <w:keepNext w:val="0"/>
        <w:keepLines w:val="0"/>
        <w:widowControl w:val="0"/>
        <w:shd w:val="clear" w:color="auto" w:fill="auto"/>
        <w:tabs>
          <w:tab w:pos="923" w:val="left"/>
        </w:tabs>
        <w:bidi w:val="0"/>
        <w:spacing w:before="0" w:after="0" w:line="469" w:lineRule="exact"/>
        <w:ind w:left="0" w:right="0" w:firstLine="44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40"/>
        <w:keepNext w:val="0"/>
        <w:keepLines w:val="0"/>
        <w:widowControl w:val="0"/>
        <w:shd w:val="clear" w:color="auto" w:fill="auto"/>
        <w:tabs>
          <w:tab w:pos="923" w:val="left"/>
        </w:tabs>
        <w:bidi w:val="0"/>
        <w:spacing w:before="0" w:after="0" w:line="469" w:lineRule="exact"/>
        <w:ind w:left="0" w:right="0" w:firstLine="44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40"/>
        <w:keepNext w:val="0"/>
        <w:keepLines w:val="0"/>
        <w:widowControl w:val="0"/>
        <w:shd w:val="clear" w:color="auto" w:fill="auto"/>
        <w:tabs>
          <w:tab w:pos="923" w:val="left"/>
        </w:tabs>
        <w:bidi w:val="0"/>
        <w:spacing w:before="0" w:after="0" w:line="469" w:lineRule="exact"/>
        <w:ind w:left="0" w:right="0" w:firstLine="44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40"/>
        <w:keepNext w:val="0"/>
        <w:keepLines w:val="0"/>
        <w:widowControl w:val="0"/>
        <w:shd w:val="clear" w:color="auto" w:fill="auto"/>
        <w:tabs>
          <w:tab w:pos="923" w:val="left"/>
        </w:tabs>
        <w:bidi w:val="0"/>
        <w:spacing w:before="0" w:after="0" w:line="469" w:lineRule="exact"/>
        <w:ind w:left="0" w:right="0" w:firstLine="44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终止确认时，其账面价值与支付的对价之间的差额计入当期损益。</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持有期间采用实际利率法计算的利息计入当期损益。</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终止确认时，将支付的对价与该金融负债账面价值之间的差额计入当期损益。</w:t>
      </w:r>
    </w:p>
    <w:p>
      <w:pPr>
        <w:pStyle w:val="Style40"/>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金融资产终止确认和金融资产转移</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满足下列条件之一时，本公司终止确认金融资产：</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—收取金融资产现金流量的合同权利终止；</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—金融资产已转移，且已将金融资产所有权上几乎所有的风险和报酬转移给转入方；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—金融资产已转移，虽然本公司既没有转移也没有保留金融资产所有权上几乎所有的风险和报酬，但 是未保留对金融资产的控制。</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40"/>
        <w:keepNext w:val="0"/>
        <w:keepLines w:val="0"/>
        <w:widowControl w:val="0"/>
        <w:shd w:val="clear" w:color="auto" w:fill="auto"/>
        <w:bidi w:val="0"/>
        <w:spacing w:before="0" w:after="0" w:line="469" w:lineRule="exact"/>
        <w:ind w:left="0" w:right="0" w:firstLine="44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p>
    <w:p>
      <w:pPr>
        <w:pStyle w:val="Style40"/>
        <w:keepNext w:val="0"/>
        <w:keepLines w:val="0"/>
        <w:widowControl w:val="0"/>
        <w:shd w:val="clear" w:color="auto" w:fill="auto"/>
        <w:bidi w:val="0"/>
        <w:spacing w:before="0" w:after="0" w:line="470" w:lineRule="exact"/>
        <w:ind w:left="0" w:right="0" w:firstLine="44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）因转移而收到的对价，与原直接计入所有者权益的公允价值变动累计额（涉及转移的金融资产 为以公允价值计量且其变动计入其他综合收益的金融资产（债务工具）的情形）之和。</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40"/>
        <w:keepNext w:val="0"/>
        <w:keepLines w:val="0"/>
        <w:widowControl w:val="0"/>
        <w:shd w:val="clear" w:color="auto" w:fill="auto"/>
        <w:tabs>
          <w:tab w:pos="922" w:val="left"/>
        </w:tabs>
        <w:bidi w:val="0"/>
        <w:spacing w:before="0" w:after="0" w:line="470"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0"/>
        <w:keepNext w:val="0"/>
        <w:keepLines w:val="0"/>
        <w:widowControl w:val="0"/>
        <w:shd w:val="clear" w:color="auto" w:fill="auto"/>
        <w:tabs>
          <w:tab w:pos="1020" w:val="left"/>
        </w:tabs>
        <w:bidi w:val="0"/>
        <w:spacing w:before="0" w:after="0" w:line="470" w:lineRule="exact"/>
        <w:ind w:left="0" w:right="0" w:firstLine="44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金额（涉及转移的金融资产为以公允价值计量且其变动计入其他综合收益的金融资产（债务工具）的情形） 之和。</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金融负债终止确认</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金融资产和金融负债的公允价值的确定方法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金融资产减值的测试方法及会计处理方法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本公司考虑有关过去事项、当前状况以及对未来经济状况的预测等合理且有依据的信息，以发生违约 </w:t>
      </w:r>
      <w:r>
        <w:rPr>
          <w:color w:val="000000"/>
          <w:spacing w:val="0"/>
          <w:w w:val="100"/>
          <w:position w:val="0"/>
        </w:rPr>
        <w:t>的风险为权重，计算合同应收的现金流量与预期能收到的现金流量之间差额的现值的概率加权金额，确认 预期信用损失。</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40"/>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40"/>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40"/>
        <w:keepNext w:val="0"/>
        <w:keepLines w:val="0"/>
        <w:widowControl w:val="0"/>
        <w:shd w:val="clear" w:color="auto" w:fill="auto"/>
        <w:bidi w:val="0"/>
        <w:spacing w:before="0" w:after="420" w:line="477" w:lineRule="exact"/>
        <w:ind w:left="0" w:right="0" w:firstLine="440"/>
        <w:jc w:val="both"/>
      </w:pPr>
      <w:r>
        <w:rPr>
          <w:color w:val="000000"/>
          <w:spacing w:val="0"/>
          <w:w w:val="100"/>
          <w:position w:val="0"/>
        </w:rPr>
        <w:t>对于租赁应收款，本公司选择始终按照相当于整个存续期内预期信用损失的金额计量其损失准备。 本公司不再合理预期金融资产合同现金流量能够全部或部分收回的，直接减记该金融资产的账面余 额。</w:t>
      </w:r>
    </w:p>
    <w:p>
      <w:pPr>
        <w:pStyle w:val="Style36"/>
        <w:keepNext/>
        <w:keepLines/>
        <w:widowControl w:val="0"/>
        <w:shd w:val="clear" w:color="auto" w:fill="auto"/>
        <w:bidi w:val="0"/>
        <w:spacing w:before="0" w:after="0" w:line="492"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66"/>
      <w:bookmarkEnd w:id="767"/>
      <w:bookmarkEnd w:id="769"/>
    </w:p>
    <w:p>
      <w:pPr>
        <w:pStyle w:val="Style36"/>
        <w:keepNext/>
        <w:keepLines/>
        <w:widowControl w:val="0"/>
        <w:shd w:val="clear" w:color="auto" w:fill="auto"/>
        <w:bidi w:val="0"/>
        <w:spacing w:before="0" w:after="0" w:line="470" w:lineRule="exact"/>
        <w:ind w:left="0" w:right="0" w:firstLine="440"/>
        <w:jc w:val="both"/>
      </w:pPr>
      <w:bookmarkStart w:id="766" w:name="bookmark766"/>
      <w:bookmarkStart w:id="767" w:name="bookmark767"/>
      <w:r>
        <w:rPr>
          <w:color w:val="000000"/>
          <w:spacing w:val="0"/>
          <w:w w:val="100"/>
          <w:position w:val="0"/>
        </w:rPr>
        <w:t>存货的分类和成本</w:t>
      </w:r>
      <w:bookmarkEnd w:id="766"/>
      <w:bookmarkEnd w:id="767"/>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存货分类为：原材料、库存商品、在产品、委托加工物资等。</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发出存货的计价方法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存货发出时按加权平均法计价。</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不同类别存货可变现净值的确定依据</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资产负债表日，存货应当按照成本与可变现净值孰低计量。当存货成本高于其可变现净值的，应当计 提存货跌价准备。可变现净值，是指在日常活动中，存货的估计售价减去至完工时估计将要发生的成本、 </w:t>
      </w:r>
      <w:r>
        <w:rPr>
          <w:color w:val="000000"/>
          <w:spacing w:val="0"/>
          <w:w w:val="100"/>
          <w:position w:val="0"/>
        </w:rPr>
        <w:t>估计的销售费用以及相关税费后的金额。</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40"/>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存货的盘存制度</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采用永续盘存制。</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低值易耗品和包装物的摊销方法</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40"/>
        <w:keepNext w:val="0"/>
        <w:keepLines w:val="0"/>
        <w:widowControl w:val="0"/>
        <w:shd w:val="clear" w:color="auto" w:fill="auto"/>
        <w:tabs>
          <w:tab w:pos="923" w:val="left"/>
        </w:tabs>
        <w:bidi w:val="0"/>
        <w:spacing w:before="0" w:after="420" w:line="469"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6"/>
        <w:keepNext/>
        <w:keepLines/>
        <w:widowControl w:val="0"/>
        <w:shd w:val="clear" w:color="auto" w:fill="auto"/>
        <w:tabs>
          <w:tab w:pos="474" w:val="left"/>
        </w:tabs>
        <w:bidi w:val="0"/>
        <w:spacing w:before="0" w:after="0" w:line="48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772"/>
      <w:bookmarkEnd w:id="773"/>
      <w:bookmarkEnd w:id="775"/>
    </w:p>
    <w:p>
      <w:pPr>
        <w:pStyle w:val="Style36"/>
        <w:keepNext/>
        <w:keepLines/>
        <w:widowControl w:val="0"/>
        <w:shd w:val="clear" w:color="auto" w:fill="auto"/>
        <w:bidi w:val="0"/>
        <w:spacing w:before="0" w:after="0" w:line="464" w:lineRule="exact"/>
        <w:ind w:left="0" w:right="0" w:firstLine="440"/>
        <w:jc w:val="both"/>
      </w:pPr>
      <w:bookmarkStart w:id="772" w:name="bookmark772"/>
      <w:bookmarkStart w:id="773" w:name="bookmark773"/>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772"/>
      <w:bookmarkEnd w:id="773"/>
    </w:p>
    <w:p>
      <w:pPr>
        <w:pStyle w:val="Style36"/>
        <w:keepNext/>
        <w:keepLines/>
        <w:widowControl w:val="0"/>
        <w:shd w:val="clear" w:color="auto" w:fill="auto"/>
        <w:bidi w:val="0"/>
        <w:spacing w:before="0" w:after="0" w:line="464" w:lineRule="exact"/>
        <w:ind w:left="0" w:right="0" w:firstLine="440"/>
        <w:jc w:val="both"/>
      </w:pPr>
      <w:bookmarkStart w:id="772" w:name="bookmark772"/>
      <w:bookmarkStart w:id="773" w:name="bookmark773"/>
      <w:r>
        <w:rPr>
          <w:color w:val="000000"/>
          <w:spacing w:val="0"/>
          <w:w w:val="100"/>
          <w:position w:val="0"/>
        </w:rPr>
        <w:t>合同资产的确认方法及标准</w:t>
      </w:r>
      <w:bookmarkEnd w:id="772"/>
      <w:bookmarkEnd w:id="773"/>
    </w:p>
    <w:p>
      <w:pPr>
        <w:pStyle w:val="Style4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40"/>
        <w:keepNext w:val="0"/>
        <w:keepLines w:val="0"/>
        <w:widowControl w:val="0"/>
        <w:shd w:val="clear" w:color="auto" w:fill="auto"/>
        <w:bidi w:val="0"/>
        <w:spacing w:before="0" w:after="0" w:line="464" w:lineRule="exact"/>
        <w:ind w:left="0" w:right="0" w:firstLine="440"/>
        <w:jc w:val="both"/>
      </w:pPr>
      <w:r>
        <w:rPr>
          <w:b/>
          <w:bCs/>
          <w:color w:val="000000"/>
          <w:spacing w:val="0"/>
          <w:w w:val="100"/>
          <w:position w:val="0"/>
        </w:rPr>
        <w:t>合同资产预期信用损失的确定方法及会计处理方法</w:t>
      </w:r>
    </w:p>
    <w:p>
      <w:pPr>
        <w:pStyle w:val="Style40"/>
        <w:keepNext w:val="0"/>
        <w:keepLines w:val="0"/>
        <w:widowControl w:val="0"/>
        <w:shd w:val="clear" w:color="auto" w:fill="auto"/>
        <w:bidi w:val="0"/>
        <w:spacing w:before="0" w:after="420" w:line="464" w:lineRule="exact"/>
        <w:ind w:left="0" w:right="0" w:firstLine="440"/>
        <w:jc w:val="both"/>
      </w:pPr>
      <w:r>
        <w:rPr>
          <w:color w:val="000000"/>
          <w:spacing w:val="0"/>
          <w:w w:val="100"/>
          <w:position w:val="0"/>
        </w:rPr>
        <w:t>合同资产的预期信用损失的确定方法及会计处理方法详见第十二节、财务报告”之“五、重要会计政 策及会计估计”之“</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金融资产减值的测试方法及会计处理方法”说明。</w:t>
      </w:r>
    </w:p>
    <w:p>
      <w:pPr>
        <w:pStyle w:val="Style36"/>
        <w:keepNext/>
        <w:keepLines/>
        <w:widowControl w:val="0"/>
        <w:shd w:val="clear" w:color="auto" w:fill="auto"/>
        <w:tabs>
          <w:tab w:pos="474" w:val="left"/>
        </w:tabs>
        <w:bidi w:val="0"/>
        <w:spacing w:before="0" w:after="0" w:line="48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776"/>
      <w:bookmarkEnd w:id="777"/>
      <w:bookmarkEnd w:id="779"/>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本公司将同时满足下列条件的非流动资产或处置组划分为持有待售类别：</w:t>
      </w:r>
    </w:p>
    <w:p>
      <w:pPr>
        <w:pStyle w:val="Style40"/>
        <w:keepNext w:val="0"/>
        <w:keepLines w:val="0"/>
        <w:widowControl w:val="0"/>
        <w:shd w:val="clear" w:color="auto" w:fill="auto"/>
        <w:tabs>
          <w:tab w:pos="923" w:val="left"/>
        </w:tabs>
        <w:bidi w:val="0"/>
        <w:spacing w:before="0" w:after="0" w:line="470" w:lineRule="exact"/>
        <w:ind w:left="0" w:right="0" w:firstLine="440"/>
        <w:jc w:val="left"/>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40"/>
        <w:keepNext w:val="0"/>
        <w:keepLines w:val="0"/>
        <w:widowControl w:val="0"/>
        <w:shd w:val="clear" w:color="auto" w:fill="auto"/>
        <w:tabs>
          <w:tab w:pos="1021" w:val="left"/>
        </w:tabs>
        <w:bidi w:val="0"/>
        <w:spacing w:before="0" w:after="0" w:line="470" w:lineRule="exact"/>
        <w:ind w:left="0" w:right="0" w:firstLine="44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36"/>
        <w:keepNext/>
        <w:keepLines/>
        <w:widowControl w:val="0"/>
        <w:shd w:val="clear" w:color="auto" w:fill="auto"/>
        <w:bidi w:val="0"/>
        <w:spacing w:before="0" w:after="200" w:line="470"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82"/>
      <w:bookmarkEnd w:id="783"/>
      <w:bookmarkEnd w:id="785"/>
    </w:p>
    <w:p>
      <w:pPr>
        <w:pStyle w:val="Style36"/>
        <w:keepNext/>
        <w:keepLines/>
        <w:widowControl w:val="0"/>
        <w:shd w:val="clear" w:color="auto" w:fill="auto"/>
        <w:bidi w:val="0"/>
        <w:spacing w:before="0" w:after="0" w:line="470" w:lineRule="exact"/>
        <w:ind w:left="0" w:right="0" w:firstLine="440"/>
        <w:jc w:val="both"/>
      </w:pPr>
      <w:bookmarkStart w:id="782" w:name="bookmark782"/>
      <w:bookmarkStart w:id="783" w:name="bookmark783"/>
      <w:r>
        <w:rPr>
          <w:color w:val="000000"/>
          <w:spacing w:val="0"/>
          <w:w w:val="100"/>
          <w:position w:val="0"/>
        </w:rPr>
        <w:t>共同控制、重大影响的判断标准</w:t>
      </w:r>
      <w:bookmarkEnd w:id="782"/>
      <w:bookmarkEnd w:id="783"/>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初始投资成本的确定</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后续计量及损益确认方法</w:t>
      </w:r>
    </w:p>
    <w:p>
      <w:pPr>
        <w:pStyle w:val="Style40"/>
        <w:keepNext w:val="0"/>
        <w:keepLines w:val="0"/>
        <w:widowControl w:val="0"/>
        <w:shd w:val="clear" w:color="auto" w:fill="auto"/>
        <w:bidi w:val="0"/>
        <w:spacing w:before="0" w:after="0" w:line="470"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）成本法核算的长期股权投资</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40"/>
        <w:keepNext w:val="0"/>
        <w:keepLines w:val="0"/>
        <w:widowControl w:val="0"/>
        <w:shd w:val="clear" w:color="auto" w:fill="auto"/>
        <w:tabs>
          <w:tab w:pos="883" w:val="left"/>
        </w:tabs>
        <w:bidi w:val="0"/>
        <w:spacing w:before="0" w:after="0" w:line="468" w:lineRule="exact"/>
        <w:ind w:left="0" w:right="0" w:firstLine="44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40"/>
        <w:keepNext w:val="0"/>
        <w:keepLines w:val="0"/>
        <w:widowControl w:val="0"/>
        <w:shd w:val="clear" w:color="auto" w:fill="auto"/>
        <w:tabs>
          <w:tab w:pos="883" w:val="left"/>
        </w:tabs>
        <w:bidi w:val="0"/>
        <w:spacing w:before="0" w:after="0" w:line="468"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因处置部分股权投资等原因丧失了对被投资单位控制权的，在编制个别财务报表时，剩余股权能够对 被投资单位实施共同控制或重大影响的，改按权益法核算，并对该剩余股权视同自取得时即采用权益法核 </w:t>
      </w:r>
      <w:r>
        <w:rPr>
          <w:color w:val="000000"/>
          <w:spacing w:val="0"/>
          <w:w w:val="100"/>
          <w:position w:val="0"/>
        </w:rPr>
        <w:t>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4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36"/>
        <w:keepNext/>
        <w:keepLines/>
        <w:widowControl w:val="0"/>
        <w:shd w:val="clear" w:color="auto" w:fill="auto"/>
        <w:tabs>
          <w:tab w:pos="474" w:val="left"/>
        </w:tabs>
        <w:bidi w:val="0"/>
        <w:spacing w:before="0" w:after="0" w:line="48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1"/>
      <w:bookmarkEnd w:id="792"/>
      <w:bookmarkEnd w:id="794"/>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投资性房地产计量模式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成本法计量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折旧或摊销方法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与投资性房地产有关的后续支出，在相关的经济利益很可能流入且其成本能够可靠的计量时，计入投 资性房地产成本；否则，于发生时计入当期损益。</w:t>
      </w:r>
    </w:p>
    <w:p>
      <w:pPr>
        <w:pStyle w:val="Style40"/>
        <w:keepNext w:val="0"/>
        <w:keepLines w:val="0"/>
        <w:widowControl w:val="0"/>
        <w:shd w:val="clear" w:color="auto" w:fill="auto"/>
        <w:bidi w:val="0"/>
        <w:spacing w:before="0" w:after="420" w:line="468" w:lineRule="exact"/>
        <w:ind w:left="0" w:right="0" w:firstLine="540"/>
        <w:jc w:val="both"/>
      </w:pPr>
      <w:r>
        <w:rPr>
          <w:color w:val="000000"/>
          <w:spacing w:val="0"/>
          <w:w w:val="100"/>
          <w:position w:val="0"/>
        </w:rPr>
        <w:t>本公司对现有投资性房地产采用成本模式计量。对按照成本模式计量的投资性房地产一出租用建筑 物采用与本公司固定资产相同的折旧政策，出租用土地使用权按与无形资产相同的摊销政策执行。</w:t>
      </w:r>
    </w:p>
    <w:p>
      <w:pPr>
        <w:pStyle w:val="Style36"/>
        <w:keepNext/>
        <w:keepLines/>
        <w:widowControl w:val="0"/>
        <w:shd w:val="clear" w:color="auto" w:fill="auto"/>
        <w:tabs>
          <w:tab w:pos="474" w:val="left"/>
        </w:tabs>
        <w:bidi w:val="0"/>
        <w:spacing w:before="0" w:after="0" w:line="48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95"/>
      <w:bookmarkEnd w:id="796"/>
      <w:bookmarkEnd w:id="798"/>
    </w:p>
    <w:p>
      <w:pPr>
        <w:pStyle w:val="Style114"/>
        <w:keepNext/>
        <w:keepLines/>
        <w:widowControl w:val="0"/>
        <w:numPr>
          <w:ilvl w:val="0"/>
          <w:numId w:val="37"/>
        </w:numPr>
        <w:shd w:val="clear" w:color="auto" w:fill="auto"/>
        <w:bidi w:val="0"/>
        <w:spacing w:before="0" w:after="200" w:line="468" w:lineRule="exact"/>
        <w:ind w:left="0" w:right="0" w:firstLine="0"/>
        <w:jc w:val="both"/>
      </w:pPr>
      <w:bookmarkStart w:id="799" w:name="bookmark799"/>
      <w:bookmarkStart w:id="800" w:name="bookmark800"/>
      <w:bookmarkStart w:id="801" w:name="bookmark801"/>
      <w:bookmarkStart w:id="802" w:name="bookmark802"/>
      <w:bookmarkEnd w:id="801"/>
      <w:r>
        <w:rPr>
          <w:color w:val="000000"/>
          <w:spacing w:val="0"/>
          <w:w w:val="100"/>
          <w:position w:val="0"/>
        </w:rPr>
        <w:t>确认条件</w:t>
      </w:r>
      <w:bookmarkEnd w:id="799"/>
      <w:bookmarkEnd w:id="800"/>
      <w:bookmarkEnd w:id="802"/>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40"/>
        <w:keepNext w:val="0"/>
        <w:keepLines w:val="0"/>
        <w:widowControl w:val="0"/>
        <w:numPr>
          <w:ilvl w:val="0"/>
          <w:numId w:val="39"/>
        </w:numPr>
        <w:shd w:val="clear" w:color="auto" w:fill="auto"/>
        <w:tabs>
          <w:tab w:pos="923" w:val="left"/>
        </w:tabs>
        <w:bidi w:val="0"/>
        <w:spacing w:before="0" w:after="0" w:line="470" w:lineRule="exact"/>
        <w:ind w:left="0" w:right="0" w:firstLine="440"/>
        <w:jc w:val="both"/>
      </w:pPr>
      <w:bookmarkStart w:id="803" w:name="bookmark803"/>
      <w:bookmarkEnd w:id="803"/>
      <w:r>
        <w:rPr>
          <w:color w:val="000000"/>
          <w:spacing w:val="0"/>
          <w:w w:val="100"/>
          <w:position w:val="0"/>
        </w:rPr>
        <w:t>与该固定资产有关的经济利益很可能流入企业；</w:t>
      </w:r>
    </w:p>
    <w:p>
      <w:pPr>
        <w:pStyle w:val="Style40"/>
        <w:keepNext w:val="0"/>
        <w:keepLines w:val="0"/>
        <w:widowControl w:val="0"/>
        <w:numPr>
          <w:ilvl w:val="0"/>
          <w:numId w:val="39"/>
        </w:numPr>
        <w:shd w:val="clear" w:color="auto" w:fill="auto"/>
        <w:tabs>
          <w:tab w:pos="923" w:val="left"/>
        </w:tabs>
        <w:bidi w:val="0"/>
        <w:spacing w:before="0" w:after="0" w:line="470" w:lineRule="exact"/>
        <w:ind w:left="0" w:right="0" w:firstLine="440"/>
        <w:jc w:val="both"/>
      </w:pPr>
      <w:bookmarkStart w:id="804" w:name="bookmark804"/>
      <w:bookmarkEnd w:id="804"/>
      <w:r>
        <w:rPr>
          <w:color w:val="000000"/>
          <w:spacing w:val="0"/>
          <w:w w:val="100"/>
          <w:position w:val="0"/>
        </w:rPr>
        <w:t>该固定资产的成本能够可靠地计量。</w:t>
      </w:r>
    </w:p>
    <w:p>
      <w:pPr>
        <w:pStyle w:val="Style40"/>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固定资产按成本(并考虑预计弃置费用因素的影响)进行初始计量。</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与固定资产有关的后续支出，在与其有关的经济利益很可能流入且其成本能够可靠计量时，计入固定 资产成本；对于被替换的部分，终止确认其账面价值；所有其他后续支出于发生时计入当期损益。</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融资租赁方式租入的固定资产采用与自有固定资产相一致的折旧政策。能合理确定租赁期届满时将会 取得租赁资产所有权的，在租赁资产尚可使用年限内计提折旧；无法合理确定租赁期届满时能够取得租赁 资产所有权的，在租赁期与租赁资产尚可使用年限两者中较短的期间内计提折旧。</w:t>
      </w:r>
    </w:p>
    <w:p>
      <w:pPr>
        <w:pStyle w:val="Style40"/>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各类固定资产折旧方法、折旧年限、残值率和年折旧率如下：</w:t>
      </w:r>
    </w:p>
    <w:p>
      <w:pPr>
        <w:pStyle w:val="Style34"/>
        <w:keepNext w:val="0"/>
        <w:keepLines w:val="0"/>
        <w:widowControl w:val="0"/>
        <w:shd w:val="clear" w:color="auto" w:fill="auto"/>
        <w:bidi w:val="0"/>
        <w:spacing w:before="0" w:after="0" w:line="240" w:lineRule="auto"/>
        <w:ind w:left="62" w:right="0" w:firstLine="0"/>
        <w:jc w:val="left"/>
        <w:rPr>
          <w:sz w:val="20"/>
          <w:szCs w:val="20"/>
        </w:rPr>
      </w:pPr>
      <w:bookmarkStart w:id="805" w:name="bookmark8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05"/>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20.00-9.50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20.00-15.83</w:t>
            </w:r>
          </w:p>
        </w:tc>
      </w:tr>
    </w:tbl>
    <w:p>
      <w:pPr>
        <w:widowControl w:val="0"/>
        <w:spacing w:after="99" w:line="1" w:lineRule="exact"/>
      </w:pPr>
    </w:p>
    <w:p>
      <w:pPr>
        <w:pStyle w:val="Style114"/>
        <w:keepNext/>
        <w:keepLines/>
        <w:widowControl w:val="0"/>
        <w:shd w:val="clear" w:color="auto" w:fill="auto"/>
        <w:bidi w:val="0"/>
        <w:spacing w:before="0" w:after="220" w:line="466" w:lineRule="exact"/>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6"/>
      <w:bookmarkEnd w:id="807"/>
      <w:bookmarkEnd w:id="809"/>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公司与租赁方所签订的租赁协议条款中规定了下列条件之一的，确认为融资租入资产：</w:t>
      </w:r>
    </w:p>
    <w:p>
      <w:pPr>
        <w:pStyle w:val="Style40"/>
        <w:keepNext w:val="0"/>
        <w:keepLines w:val="0"/>
        <w:widowControl w:val="0"/>
        <w:shd w:val="clear" w:color="auto" w:fill="auto"/>
        <w:tabs>
          <w:tab w:pos="813" w:val="left"/>
        </w:tabs>
        <w:bidi w:val="0"/>
        <w:spacing w:before="0" w:after="0" w:line="466" w:lineRule="exact"/>
        <w:ind w:left="0" w:right="0" w:firstLine="440"/>
        <w:jc w:val="both"/>
      </w:pPr>
      <w:bookmarkStart w:id="810" w:name="bookmark810"/>
      <w:r>
        <w:rPr>
          <w:rFonts w:ascii="Times New Roman" w:eastAsia="Times New Roman" w:hAnsi="Times New Roman" w:cs="Times New Roman"/>
          <w:color w:val="000000"/>
          <w:spacing w:val="0"/>
          <w:w w:val="100"/>
          <w:position w:val="0"/>
        </w:rPr>
        <w:t>1</w:t>
      </w:r>
      <w:bookmarkEnd w:id="810"/>
      <w:r>
        <w:rPr>
          <w:color w:val="000000"/>
          <w:spacing w:val="0"/>
          <w:w w:val="100"/>
          <w:position w:val="0"/>
        </w:rPr>
        <w:t>）</w:t>
        <w:tab/>
        <w:t>租赁期满后租赁资产的所有权归属于本公司；</w:t>
      </w:r>
    </w:p>
    <w:p>
      <w:pPr>
        <w:pStyle w:val="Style40"/>
        <w:keepNext w:val="0"/>
        <w:keepLines w:val="0"/>
        <w:widowControl w:val="0"/>
        <w:shd w:val="clear" w:color="auto" w:fill="auto"/>
        <w:tabs>
          <w:tab w:pos="832" w:val="left"/>
        </w:tabs>
        <w:bidi w:val="0"/>
        <w:spacing w:before="0" w:after="0" w:line="466" w:lineRule="exact"/>
        <w:ind w:left="0" w:right="0" w:firstLine="440"/>
        <w:jc w:val="both"/>
      </w:pPr>
      <w:bookmarkStart w:id="811" w:name="bookmark811"/>
      <w:r>
        <w:rPr>
          <w:rFonts w:ascii="Times New Roman" w:eastAsia="Times New Roman" w:hAnsi="Times New Roman" w:cs="Times New Roman"/>
          <w:color w:val="000000"/>
          <w:spacing w:val="0"/>
          <w:w w:val="100"/>
          <w:position w:val="0"/>
        </w:rPr>
        <w:t>2</w:t>
      </w:r>
      <w:bookmarkEnd w:id="811"/>
      <w:r>
        <w:rPr>
          <w:color w:val="000000"/>
          <w:spacing w:val="0"/>
          <w:w w:val="100"/>
          <w:position w:val="0"/>
        </w:rPr>
        <w:t>）</w:t>
        <w:tab/>
        <w:t>公司具有购买资产的选择权，购买价款远低于行使选择权时该资产的公允价值；</w:t>
      </w:r>
    </w:p>
    <w:p>
      <w:pPr>
        <w:pStyle w:val="Style40"/>
        <w:keepNext w:val="0"/>
        <w:keepLines w:val="0"/>
        <w:widowControl w:val="0"/>
        <w:shd w:val="clear" w:color="auto" w:fill="auto"/>
        <w:tabs>
          <w:tab w:pos="832" w:val="left"/>
        </w:tabs>
        <w:bidi w:val="0"/>
        <w:spacing w:before="0" w:after="0" w:line="466" w:lineRule="exact"/>
        <w:ind w:left="0" w:right="0" w:firstLine="440"/>
        <w:jc w:val="both"/>
      </w:pPr>
      <w:bookmarkStart w:id="812" w:name="bookmark812"/>
      <w:r>
        <w:rPr>
          <w:rFonts w:ascii="Times New Roman" w:eastAsia="Times New Roman" w:hAnsi="Times New Roman" w:cs="Times New Roman"/>
          <w:color w:val="000000"/>
          <w:spacing w:val="0"/>
          <w:w w:val="100"/>
          <w:position w:val="0"/>
        </w:rPr>
        <w:t>3</w:t>
      </w:r>
      <w:bookmarkEnd w:id="812"/>
      <w:r>
        <w:rPr>
          <w:color w:val="000000"/>
          <w:spacing w:val="0"/>
          <w:w w:val="100"/>
          <w:position w:val="0"/>
        </w:rPr>
        <w:t>）</w:t>
        <w:tab/>
        <w:t>租赁期占所租赁资产使用寿命的大部分；</w:t>
      </w:r>
    </w:p>
    <w:p>
      <w:pPr>
        <w:pStyle w:val="Style40"/>
        <w:keepNext w:val="0"/>
        <w:keepLines w:val="0"/>
        <w:widowControl w:val="0"/>
        <w:shd w:val="clear" w:color="auto" w:fill="auto"/>
        <w:tabs>
          <w:tab w:pos="832" w:val="left"/>
        </w:tabs>
        <w:bidi w:val="0"/>
        <w:spacing w:before="0" w:after="0" w:line="466" w:lineRule="exact"/>
        <w:ind w:left="0" w:right="0" w:firstLine="440"/>
        <w:jc w:val="both"/>
      </w:pPr>
      <w:bookmarkStart w:id="813" w:name="bookmark813"/>
      <w:r>
        <w:rPr>
          <w:rFonts w:ascii="Times New Roman" w:eastAsia="Times New Roman" w:hAnsi="Times New Roman" w:cs="Times New Roman"/>
          <w:color w:val="000000"/>
          <w:spacing w:val="0"/>
          <w:w w:val="100"/>
          <w:position w:val="0"/>
        </w:rPr>
        <w:t>4</w:t>
      </w:r>
      <w:bookmarkEnd w:id="813"/>
      <w:r>
        <w:rPr>
          <w:color w:val="000000"/>
          <w:spacing w:val="0"/>
          <w:w w:val="100"/>
          <w:position w:val="0"/>
        </w:rPr>
        <w:t>）</w:t>
        <w:tab/>
        <w:t>租赁开始日的最低租赁付款额现值，与该资产的公允价值不存在较大的差异。</w:t>
      </w:r>
    </w:p>
    <w:p>
      <w:pPr>
        <w:pStyle w:val="Style40"/>
        <w:keepNext w:val="0"/>
        <w:keepLines w:val="0"/>
        <w:widowControl w:val="0"/>
        <w:shd w:val="clear" w:color="auto" w:fill="auto"/>
        <w:tabs>
          <w:tab w:pos="832" w:val="left"/>
        </w:tabs>
        <w:bidi w:val="0"/>
        <w:spacing w:before="0" w:after="0" w:line="466" w:lineRule="exact"/>
        <w:ind w:left="0" w:right="0" w:firstLine="440"/>
        <w:jc w:val="both"/>
      </w:pPr>
      <w:bookmarkStart w:id="814" w:name="bookmark814"/>
      <w:r>
        <w:rPr>
          <w:rFonts w:ascii="Times New Roman" w:eastAsia="Times New Roman" w:hAnsi="Times New Roman" w:cs="Times New Roman"/>
          <w:color w:val="000000"/>
          <w:spacing w:val="0"/>
          <w:w w:val="100"/>
          <w:position w:val="0"/>
        </w:rPr>
        <w:t>5</w:t>
      </w:r>
      <w:bookmarkEnd w:id="814"/>
      <w:r>
        <w:rPr>
          <w:color w:val="000000"/>
          <w:spacing w:val="0"/>
          <w:w w:val="100"/>
          <w:position w:val="0"/>
        </w:rPr>
        <w:t>）</w:t>
        <w:tab/>
        <w:t>租赁资产性质特殊，如果不作较大改造，只有承租人才能使用。</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36"/>
        <w:keepNext/>
        <w:keepLines/>
        <w:widowControl w:val="0"/>
        <w:shd w:val="clear" w:color="auto" w:fill="auto"/>
        <w:bidi w:val="0"/>
        <w:spacing w:before="0" w:after="220" w:line="466"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15"/>
      <w:bookmarkEnd w:id="816"/>
      <w:bookmarkEnd w:id="818"/>
    </w:p>
    <w:p>
      <w:pPr>
        <w:pStyle w:val="Style40"/>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 xml:space="preserve">在建工程按实际发生的成本计量。实际成本包括建筑成本、安装成本、符合资本化条件的借款费用以 </w:t>
      </w:r>
      <w:r>
        <w:rPr>
          <w:color w:val="000000"/>
          <w:spacing w:val="0"/>
          <w:w w:val="100"/>
          <w:position w:val="0"/>
        </w:rPr>
        <w:t>及其他为使在建工程达到预定可使用状态前所发生的必要支出。在建工程在达到预定可使用状态时，转入 固定资产并自次月起开始计提折旧。</w:t>
      </w:r>
    </w:p>
    <w:p>
      <w:pPr>
        <w:pStyle w:val="Style36"/>
        <w:keepNext/>
        <w:keepLines/>
        <w:widowControl w:val="0"/>
        <w:shd w:val="clear" w:color="auto" w:fill="auto"/>
        <w:bidi w:val="0"/>
        <w:spacing w:before="0" w:after="0" w:line="48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19"/>
      <w:bookmarkEnd w:id="820"/>
      <w:bookmarkEnd w:id="822"/>
    </w:p>
    <w:p>
      <w:pPr>
        <w:pStyle w:val="Style36"/>
        <w:keepNext/>
        <w:keepLines/>
        <w:widowControl w:val="0"/>
        <w:shd w:val="clear" w:color="auto" w:fill="auto"/>
        <w:bidi w:val="0"/>
        <w:spacing w:before="0" w:after="0" w:line="469" w:lineRule="exact"/>
        <w:ind w:left="0" w:right="0" w:firstLine="440"/>
        <w:jc w:val="both"/>
      </w:pPr>
      <w:bookmarkStart w:id="819" w:name="bookmark819"/>
      <w:bookmarkStart w:id="820" w:name="bookmark820"/>
      <w:r>
        <w:rPr>
          <w:color w:val="000000"/>
          <w:spacing w:val="0"/>
          <w:w w:val="100"/>
          <w:position w:val="0"/>
        </w:rPr>
        <w:t>借款费用资本化的确认原则</w:t>
      </w:r>
      <w:bookmarkEnd w:id="819"/>
      <w:bookmarkEnd w:id="820"/>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0"/>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借款费用资本化期间</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40"/>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借款费用同时满足下列条件时开始资本化</w:t>
      </w:r>
    </w:p>
    <w:p>
      <w:pPr>
        <w:pStyle w:val="Style40"/>
        <w:keepNext w:val="0"/>
        <w:keepLines w:val="0"/>
        <w:widowControl w:val="0"/>
        <w:shd w:val="clear" w:color="auto" w:fill="auto"/>
        <w:tabs>
          <w:tab w:pos="1016" w:val="left"/>
        </w:tabs>
        <w:bidi w:val="0"/>
        <w:spacing w:before="0" w:after="0" w:line="469" w:lineRule="exact"/>
        <w:ind w:left="0" w:right="0" w:firstLine="4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40"/>
        <w:keepNext w:val="0"/>
        <w:keepLines w:val="0"/>
        <w:widowControl w:val="0"/>
        <w:shd w:val="clear" w:color="auto" w:fill="auto"/>
        <w:tabs>
          <w:tab w:pos="928" w:val="left"/>
        </w:tabs>
        <w:bidi w:val="0"/>
        <w:spacing w:before="0" w:after="0" w:line="469"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40"/>
        <w:keepNext w:val="0"/>
        <w:keepLines w:val="0"/>
        <w:widowControl w:val="0"/>
        <w:shd w:val="clear" w:color="auto" w:fill="auto"/>
        <w:tabs>
          <w:tab w:pos="928" w:val="left"/>
        </w:tabs>
        <w:bidi w:val="0"/>
        <w:spacing w:before="0" w:after="0" w:line="469" w:lineRule="exact"/>
        <w:ind w:left="0" w:right="0" w:firstLine="44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40"/>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暂停资本化期间</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借款费用资本化率、资本化金额的计算方法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4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36"/>
        <w:keepNext/>
        <w:keepLines/>
        <w:widowControl w:val="0"/>
        <w:shd w:val="clear" w:color="auto" w:fill="auto"/>
        <w:bidi w:val="0"/>
        <w:spacing w:before="0" w:after="0" w:line="492"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26"/>
      <w:bookmarkEnd w:id="827"/>
      <w:bookmarkEnd w:id="829"/>
    </w:p>
    <w:p>
      <w:pPr>
        <w:pStyle w:val="Style114"/>
        <w:keepNext/>
        <w:keepLines/>
        <w:widowControl w:val="0"/>
        <w:shd w:val="clear" w:color="auto" w:fill="auto"/>
        <w:bidi w:val="0"/>
        <w:spacing w:before="0" w:after="200" w:line="470"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0"/>
      <w:bookmarkEnd w:id="831"/>
      <w:bookmarkEnd w:id="833"/>
    </w:p>
    <w:p>
      <w:pPr>
        <w:pStyle w:val="Style40"/>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无形资产的计价方法</w:t>
      </w:r>
    </w:p>
    <w:p>
      <w:pPr>
        <w:pStyle w:val="Style40"/>
        <w:keepNext w:val="0"/>
        <w:keepLines w:val="0"/>
        <w:widowControl w:val="0"/>
        <w:shd w:val="clear" w:color="auto" w:fill="auto"/>
        <w:tabs>
          <w:tab w:pos="813" w:val="left"/>
        </w:tabs>
        <w:bidi w:val="0"/>
        <w:spacing w:before="0" w:after="0" w:line="497" w:lineRule="auto"/>
        <w:ind w:left="0" w:right="0" w:firstLine="440"/>
        <w:jc w:val="left"/>
      </w:pPr>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w:t>
        <w:tab/>
        <w:t>公司取得无形资产时按成本进行初始计量；</w:t>
      </w:r>
    </w:p>
    <w:p>
      <w:pPr>
        <w:pStyle w:val="Style40"/>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40"/>
        <w:keepNext w:val="0"/>
        <w:keepLines w:val="0"/>
        <w:widowControl w:val="0"/>
        <w:shd w:val="clear" w:color="auto" w:fill="auto"/>
        <w:tabs>
          <w:tab w:pos="832" w:val="left"/>
        </w:tabs>
        <w:bidi w:val="0"/>
        <w:spacing w:before="0" w:after="0" w:line="492" w:lineRule="auto"/>
        <w:ind w:left="0" w:right="0" w:firstLine="440"/>
        <w:jc w:val="left"/>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w:t>
        <w:tab/>
        <w:t>后续计量</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在取得无形资产时分析判断其使用寿命。</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4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使用寿命有限的无形资产的使用寿命估计情况</w:t>
      </w:r>
    </w:p>
    <w:tbl>
      <w:tblPr>
        <w:tblOverlap w:val="never"/>
        <w:jc w:val="center"/>
        <w:tblLayout w:type="fixed"/>
      </w:tblPr>
      <w:tblGrid>
        <w:gridCol w:w="2232"/>
        <w:gridCol w:w="1646"/>
        <w:gridCol w:w="185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w:t>
            </w:r>
            <w:r>
              <w:rPr>
                <w:color w:val="000000"/>
                <w:spacing w:val="0"/>
                <w:w w:val="100"/>
                <w:position w:val="0"/>
              </w:rPr>
              <w:t>版权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w:t>
            </w:r>
            <w:r>
              <w:rPr>
                <w:color w:val="000000"/>
                <w:spacing w:val="0"/>
                <w:w w:val="100"/>
                <w:position w:val="0"/>
              </w:rPr>
              <w:t>注册权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w:t>
            </w:r>
            <w:r>
              <w:rPr>
                <w:color w:val="000000"/>
                <w:spacing w:val="0"/>
                <w:w w:val="100"/>
                <w:position w:val="0"/>
              </w:rPr>
              <w:t>及支持系统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r>
    </w:tbl>
    <w:p>
      <w:pPr>
        <w:widowControl w:val="0"/>
        <w:spacing w:after="499" w:line="1" w:lineRule="exact"/>
      </w:pP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截至资产负债表日，本公司没有使用寿命不确定的无形资产。</w:t>
      </w:r>
    </w:p>
    <w:p>
      <w:pPr>
        <w:pStyle w:val="Style114"/>
        <w:keepNext/>
        <w:keepLines/>
        <w:widowControl w:val="0"/>
        <w:shd w:val="clear" w:color="auto" w:fill="auto"/>
        <w:bidi w:val="0"/>
        <w:spacing w:before="0" w:after="200" w:line="470"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6"/>
      <w:bookmarkEnd w:id="837"/>
      <w:bookmarkEnd w:id="839"/>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划分研究阶段和开发阶段的具体标准</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公司内部研究开发项目的支出分为研究阶段支出和开发阶段支出。</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开发阶段支出资本化的具体条件</w:t>
      </w:r>
    </w:p>
    <w:p>
      <w:pPr>
        <w:pStyle w:val="Style40"/>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40"/>
        <w:keepNext w:val="0"/>
        <w:keepLines w:val="0"/>
        <w:widowControl w:val="0"/>
        <w:shd w:val="clear" w:color="auto" w:fill="auto"/>
        <w:tabs>
          <w:tab w:pos="769" w:val="left"/>
        </w:tabs>
        <w:bidi w:val="0"/>
        <w:spacing w:before="0" w:after="0"/>
        <w:ind w:left="0" w:right="0" w:firstLine="440"/>
        <w:jc w:val="left"/>
      </w:pPr>
      <w:bookmarkStart w:id="840" w:name="bookmark840"/>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w:t>
        <w:tab/>
      </w:r>
      <w:r>
        <w:rPr>
          <w:color w:val="000000"/>
          <w:spacing w:val="0"/>
          <w:w w:val="100"/>
          <w:position w:val="0"/>
        </w:rPr>
        <w:t>完成该无形资产以使其能够使用或出售在技术上具有可行性；</w:t>
      </w:r>
    </w:p>
    <w:p>
      <w:pPr>
        <w:pStyle w:val="Style40"/>
        <w:keepNext w:val="0"/>
        <w:keepLines w:val="0"/>
        <w:widowControl w:val="0"/>
        <w:shd w:val="clear" w:color="auto" w:fill="auto"/>
        <w:tabs>
          <w:tab w:pos="789" w:val="left"/>
        </w:tabs>
        <w:bidi w:val="0"/>
        <w:spacing w:before="0" w:after="0"/>
        <w:ind w:left="0" w:right="0" w:firstLine="440"/>
        <w:jc w:val="left"/>
      </w:pPr>
      <w:bookmarkStart w:id="841" w:name="bookmark841"/>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w:t>
        <w:tab/>
      </w:r>
      <w:r>
        <w:rPr>
          <w:color w:val="000000"/>
          <w:spacing w:val="0"/>
          <w:w w:val="100"/>
          <w:position w:val="0"/>
        </w:rPr>
        <w:t>具有完成该无形资产并使用或出售的意图；</w:t>
      </w:r>
    </w:p>
    <w:p>
      <w:pPr>
        <w:pStyle w:val="Style40"/>
        <w:keepNext w:val="0"/>
        <w:keepLines w:val="0"/>
        <w:widowControl w:val="0"/>
        <w:shd w:val="clear" w:color="auto" w:fill="auto"/>
        <w:tabs>
          <w:tab w:pos="761" w:val="left"/>
        </w:tabs>
        <w:bidi w:val="0"/>
        <w:spacing w:before="0" w:after="0" w:line="466" w:lineRule="exact"/>
        <w:ind w:left="0" w:right="0" w:firstLine="440"/>
        <w:jc w:val="both"/>
      </w:pPr>
      <w:bookmarkStart w:id="842" w:name="bookmark842"/>
      <w:r>
        <w:rPr>
          <w:rFonts w:ascii="Times New Roman" w:eastAsia="Times New Roman" w:hAnsi="Times New Roman" w:cs="Times New Roman"/>
          <w:color w:val="000000"/>
          <w:spacing w:val="0"/>
          <w:w w:val="100"/>
          <w:position w:val="0"/>
        </w:rPr>
        <w:t>3</w:t>
      </w:r>
      <w:bookmarkEnd w:id="842"/>
      <w:r>
        <w:rPr>
          <w:rFonts w:ascii="Times New Roman" w:eastAsia="Times New Roman" w:hAnsi="Times New Roman" w:cs="Times New Roman"/>
          <w:color w:val="000000"/>
          <w:spacing w:val="0"/>
          <w:w w:val="100"/>
          <w:position w:val="0"/>
        </w:rPr>
        <w:t>）</w:t>
        <w:tab/>
      </w:r>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0"/>
        <w:keepNext w:val="0"/>
        <w:keepLines w:val="0"/>
        <w:widowControl w:val="0"/>
        <w:shd w:val="clear" w:color="auto" w:fill="auto"/>
        <w:tabs>
          <w:tab w:pos="752" w:val="left"/>
        </w:tabs>
        <w:bidi w:val="0"/>
        <w:spacing w:before="0" w:after="200" w:line="466" w:lineRule="exact"/>
        <w:ind w:left="0" w:right="0" w:firstLine="440"/>
        <w:jc w:val="both"/>
      </w:pPr>
      <w:bookmarkStart w:id="843" w:name="bookmark843"/>
      <w:r>
        <w:rPr>
          <w:rFonts w:ascii="Times New Roman" w:eastAsia="Times New Roman" w:hAnsi="Times New Roman" w:cs="Times New Roman"/>
          <w:color w:val="000000"/>
          <w:spacing w:val="0"/>
          <w:w w:val="100"/>
          <w:position w:val="0"/>
        </w:rPr>
        <w:t>4</w:t>
      </w:r>
      <w:bookmarkEnd w:id="843"/>
      <w:r>
        <w:rPr>
          <w:rFonts w:ascii="Times New Roman" w:eastAsia="Times New Roman" w:hAnsi="Times New Roman" w:cs="Times New Roman"/>
          <w:color w:val="000000"/>
          <w:spacing w:val="0"/>
          <w:w w:val="100"/>
          <w:position w:val="0"/>
        </w:rPr>
        <w:t>）</w:t>
        <w:tab/>
      </w:r>
      <w:r>
        <w:rPr>
          <w:color w:val="000000"/>
          <w:spacing w:val="0"/>
          <w:w w:val="100"/>
          <w:position w:val="0"/>
        </w:rPr>
        <w:t>有足够的技术、财务资源和其他资源支持，以完成该无形资产的开发，并有能力使用或出售该无形 资产；</w:t>
      </w:r>
    </w:p>
    <w:p>
      <w:pPr>
        <w:pStyle w:val="Style40"/>
        <w:keepNext w:val="0"/>
        <w:keepLines w:val="0"/>
        <w:widowControl w:val="0"/>
        <w:shd w:val="clear" w:color="auto" w:fill="auto"/>
        <w:tabs>
          <w:tab w:pos="789" w:val="left"/>
        </w:tabs>
        <w:bidi w:val="0"/>
        <w:spacing w:before="0" w:after="0"/>
        <w:ind w:left="0" w:right="0" w:firstLine="440"/>
        <w:jc w:val="left"/>
      </w:pPr>
      <w:bookmarkStart w:id="844" w:name="bookmark844"/>
      <w:r>
        <w:rPr>
          <w:rFonts w:ascii="Times New Roman" w:eastAsia="Times New Roman" w:hAnsi="Times New Roman" w:cs="Times New Roman"/>
          <w:color w:val="000000"/>
          <w:spacing w:val="0"/>
          <w:w w:val="100"/>
          <w:position w:val="0"/>
        </w:rPr>
        <w:t>5</w:t>
      </w:r>
      <w:bookmarkEnd w:id="844"/>
      <w:r>
        <w:rPr>
          <w:rFonts w:ascii="Times New Roman" w:eastAsia="Times New Roman" w:hAnsi="Times New Roman" w:cs="Times New Roman"/>
          <w:color w:val="000000"/>
          <w:spacing w:val="0"/>
          <w:w w:val="100"/>
          <w:position w:val="0"/>
        </w:rPr>
        <w:t>）</w:t>
        <w:tab/>
      </w:r>
      <w:r>
        <w:rPr>
          <w:color w:val="000000"/>
          <w:spacing w:val="0"/>
          <w:w w:val="100"/>
          <w:position w:val="0"/>
        </w:rPr>
        <w:t>归属于该无形资产开发阶段的支出能够可靠地计量。</w:t>
      </w:r>
    </w:p>
    <w:p>
      <w:pPr>
        <w:pStyle w:val="Style114"/>
        <w:keepNext/>
        <w:keepLines/>
        <w:widowControl w:val="0"/>
        <w:shd w:val="clear" w:color="auto" w:fill="auto"/>
        <w:bidi w:val="0"/>
        <w:spacing w:before="0" w:after="340" w:line="468" w:lineRule="exact"/>
        <w:ind w:left="0" w:right="0" w:firstLine="0"/>
        <w:jc w:val="left"/>
      </w:pPr>
      <w:bookmarkStart w:id="845" w:name="bookmark845"/>
      <w:bookmarkStart w:id="846" w:name="bookmark846"/>
      <w:bookmarkStart w:id="847" w:name="bookmark847"/>
      <w:r>
        <w:rPr>
          <w:b w:val="0"/>
          <w:bCs w:val="0"/>
          <w:color w:val="000000"/>
          <w:spacing w:val="0"/>
          <w:w w:val="100"/>
          <w:position w:val="0"/>
        </w:rPr>
        <w:t>无法区分研究阶段支出和开发阶段支出的，将发生的研发支出全部计入当期损益。</w:t>
      </w:r>
      <w:bookmarkEnd w:id="845"/>
      <w:bookmarkEnd w:id="846"/>
      <w:bookmarkEnd w:id="847"/>
    </w:p>
    <w:p>
      <w:pPr>
        <w:pStyle w:val="Style36"/>
        <w:keepNext/>
        <w:keepLines/>
        <w:widowControl w:val="0"/>
        <w:shd w:val="clear" w:color="auto" w:fill="auto"/>
        <w:bidi w:val="0"/>
        <w:spacing w:before="0" w:after="0" w:line="48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48"/>
      <w:bookmarkEnd w:id="849"/>
      <w:bookmarkEnd w:id="851"/>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资产组是能够独立产生现金流入的最小资产组合。</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40"/>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36"/>
        <w:keepNext/>
        <w:keepLines/>
        <w:widowControl w:val="0"/>
        <w:shd w:val="clear" w:color="auto" w:fill="auto"/>
        <w:tabs>
          <w:tab w:pos="483" w:val="left"/>
        </w:tabs>
        <w:bidi w:val="0"/>
        <w:spacing w:before="0" w:after="220" w:line="470" w:lineRule="exact"/>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52"/>
      <w:bookmarkEnd w:id="853"/>
      <w:bookmarkEnd w:id="855"/>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摊销方法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长期待摊费用在受益期内平均摊销。</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摊销年限</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预付经营租入固定资产的租金，按租赁合同规定的期限或其它合理方法平均摊销。</w:t>
      </w:r>
    </w:p>
    <w:p>
      <w:pPr>
        <w:pStyle w:val="Style40"/>
        <w:keepNext w:val="0"/>
        <w:keepLines w:val="0"/>
        <w:widowControl w:val="0"/>
        <w:shd w:val="clear" w:color="auto" w:fill="auto"/>
        <w:tabs>
          <w:tab w:pos="1021" w:val="left"/>
        </w:tabs>
        <w:bidi w:val="0"/>
        <w:spacing w:before="0" w:after="220" w:line="470" w:lineRule="exact"/>
        <w:ind w:left="0" w:right="0" w:firstLine="44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经营租赁方式租入的固定资产改良支出，按剩余租赁期与租赁资产尚可使用年限两者中较短的 期限平均摊销。</w:t>
      </w:r>
    </w:p>
    <w:p>
      <w:pPr>
        <w:pStyle w:val="Style36"/>
        <w:keepNext/>
        <w:keepLines/>
        <w:widowControl w:val="0"/>
        <w:shd w:val="clear" w:color="auto" w:fill="auto"/>
        <w:tabs>
          <w:tab w:pos="483" w:val="left"/>
        </w:tabs>
        <w:bidi w:val="0"/>
        <w:spacing w:before="0" w:after="220" w:line="470" w:lineRule="exact"/>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858"/>
      <w:bookmarkEnd w:id="859"/>
      <w:bookmarkEnd w:id="861"/>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6"/>
        <w:keepNext/>
        <w:keepLines/>
        <w:widowControl w:val="0"/>
        <w:shd w:val="clear" w:color="auto" w:fill="auto"/>
        <w:tabs>
          <w:tab w:pos="483" w:val="left"/>
        </w:tabs>
        <w:bidi w:val="0"/>
        <w:spacing w:before="0" w:after="140" w:line="470"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862"/>
      <w:bookmarkEnd w:id="863"/>
      <w:bookmarkEnd w:id="865"/>
    </w:p>
    <w:p>
      <w:pPr>
        <w:pStyle w:val="Style114"/>
        <w:keepNext/>
        <w:keepLines/>
        <w:widowControl w:val="0"/>
        <w:shd w:val="clear" w:color="auto" w:fill="auto"/>
        <w:tabs>
          <w:tab w:pos="493" w:val="left"/>
        </w:tabs>
        <w:bidi w:val="0"/>
        <w:spacing w:before="0" w:after="220" w:line="470" w:lineRule="exact"/>
        <w:ind w:left="0" w:right="0" w:firstLine="0"/>
        <w:jc w:val="both"/>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6"/>
      <w:bookmarkEnd w:id="867"/>
      <w:bookmarkEnd w:id="869"/>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114"/>
        <w:keepNext/>
        <w:keepLines/>
        <w:widowControl w:val="0"/>
        <w:shd w:val="clear" w:color="auto" w:fill="auto"/>
        <w:tabs>
          <w:tab w:pos="493" w:val="left"/>
        </w:tabs>
        <w:bidi w:val="0"/>
        <w:spacing w:before="0" w:after="220" w:line="470" w:lineRule="exact"/>
        <w:ind w:left="0" w:right="0" w:firstLine="0"/>
        <w:jc w:val="both"/>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0"/>
      <w:bookmarkEnd w:id="871"/>
      <w:bookmarkEnd w:id="873"/>
    </w:p>
    <w:p>
      <w:pPr>
        <w:pStyle w:val="Style40"/>
        <w:keepNext w:val="0"/>
        <w:keepLines w:val="0"/>
        <w:widowControl w:val="0"/>
        <w:shd w:val="clear" w:color="auto" w:fill="auto"/>
        <w:bidi w:val="0"/>
        <w:spacing w:before="0" w:after="0" w:line="468" w:lineRule="exact"/>
        <w:ind w:left="0" w:right="0" w:firstLine="440"/>
        <w:jc w:val="both"/>
      </w:pPr>
      <w:bookmarkStart w:id="874" w:name="bookmark874"/>
      <w:r>
        <w:rPr>
          <w:rFonts w:ascii="Times New Roman" w:eastAsia="Times New Roman" w:hAnsi="Times New Roman" w:cs="Times New Roman"/>
          <w:color w:val="000000"/>
          <w:spacing w:val="0"/>
          <w:w w:val="100"/>
          <w:position w:val="0"/>
        </w:rPr>
        <w:t>1</w:t>
      </w:r>
      <w:bookmarkEnd w:id="874"/>
      <w:r>
        <w:rPr>
          <w:color w:val="000000"/>
          <w:spacing w:val="0"/>
          <w:w w:val="100"/>
          <w:position w:val="0"/>
        </w:rPr>
        <w:t>）设定提存计划</w:t>
      </w:r>
    </w:p>
    <w:p>
      <w:pPr>
        <w:pStyle w:val="Style4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补充养老保险基金。本公司按职工工资总额的 </w:t>
      </w:r>
      <w:r>
        <w:rPr>
          <w:color w:val="000000"/>
          <w:spacing w:val="0"/>
          <w:w w:val="100"/>
          <w:position w:val="0"/>
        </w:rPr>
        <w:t>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当地社会保险机构缴费，相应支出计入当期损益或相关资产成本。</w:t>
      </w:r>
    </w:p>
    <w:p>
      <w:pPr>
        <w:pStyle w:val="Style40"/>
        <w:keepNext w:val="0"/>
        <w:keepLines w:val="0"/>
        <w:widowControl w:val="0"/>
        <w:shd w:val="clear" w:color="auto" w:fill="auto"/>
        <w:bidi w:val="0"/>
        <w:spacing w:before="0" w:after="0"/>
        <w:ind w:left="0" w:right="0" w:firstLine="440"/>
        <w:jc w:val="both"/>
      </w:pPr>
      <w:bookmarkStart w:id="875" w:name="bookmark875"/>
      <w:r>
        <w:rPr>
          <w:rFonts w:ascii="Times New Roman" w:eastAsia="Times New Roman" w:hAnsi="Times New Roman" w:cs="Times New Roman"/>
          <w:color w:val="000000"/>
          <w:spacing w:val="0"/>
          <w:w w:val="100"/>
          <w:position w:val="0"/>
        </w:rPr>
        <w:t>2</w:t>
      </w:r>
      <w:bookmarkEnd w:id="875"/>
      <w:r>
        <w:rPr>
          <w:color w:val="000000"/>
          <w:spacing w:val="0"/>
          <w:w w:val="100"/>
          <w:position w:val="0"/>
        </w:rPr>
        <w:t>）设定受益计划</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4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114"/>
        <w:keepNext/>
        <w:keepLines/>
        <w:widowControl w:val="0"/>
        <w:shd w:val="clear" w:color="auto" w:fill="auto"/>
        <w:bidi w:val="0"/>
        <w:spacing w:before="0" w:after="200" w:line="468"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76"/>
      <w:bookmarkEnd w:id="877"/>
      <w:bookmarkEnd w:id="879"/>
    </w:p>
    <w:p>
      <w:pPr>
        <w:pStyle w:val="Style4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36"/>
        <w:keepNext/>
        <w:keepLines/>
        <w:widowControl w:val="0"/>
        <w:shd w:val="clear" w:color="auto" w:fill="auto"/>
        <w:bidi w:val="0"/>
        <w:spacing w:before="0" w:after="0" w:line="48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880"/>
      <w:bookmarkEnd w:id="881"/>
      <w:bookmarkEnd w:id="883"/>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与或有事项相关的义务同时满足下列条件时，本公司将其确认为预计负债：</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预计负债按履行相关现时义务所需的支出的最佳估计数进行初始计量。</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所需支出存在一个连续范围，且该范围内各种结果发生的可能性相同的，最佳估计数按照该范围内的 </w:t>
      </w:r>
      <w:r>
        <w:rPr>
          <w:color w:val="000000"/>
          <w:spacing w:val="0"/>
          <w:w w:val="100"/>
          <w:position w:val="0"/>
        </w:rPr>
        <w:t>中间值确定；在其他情况下，最佳估计数分别下列情况处理：</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-或有事项涉及单个项目的，按照最可能发生金额确定。</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-或有事项涉及多个项目的，按照各种可能结果及相关概率计算确定。</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4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36"/>
        <w:keepNext/>
        <w:keepLines/>
        <w:widowControl w:val="0"/>
        <w:shd w:val="clear" w:color="auto" w:fill="auto"/>
        <w:bidi w:val="0"/>
        <w:spacing w:before="0" w:after="0" w:line="492"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5</w:t>
      </w:r>
      <w:r>
        <w:rPr>
          <w:color w:val="000000"/>
          <w:spacing w:val="0"/>
          <w:w w:val="100"/>
          <w:position w:val="0"/>
        </w:rPr>
        <w:t>、股份支付</w:t>
      </w:r>
      <w:bookmarkEnd w:id="887"/>
      <w:bookmarkEnd w:id="888"/>
      <w:bookmarkEnd w:id="890"/>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以权益结算的股份支付及权益工具</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以现金结算的股份支付及权益工具</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36"/>
        <w:keepNext/>
        <w:keepLines/>
        <w:widowControl w:val="0"/>
        <w:shd w:val="clear" w:color="auto" w:fill="auto"/>
        <w:bidi w:val="0"/>
        <w:spacing w:before="0" w:after="200" w:line="469" w:lineRule="exact"/>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6</w:t>
      </w:r>
      <w:r>
        <w:rPr>
          <w:color w:val="000000"/>
          <w:spacing w:val="0"/>
          <w:w w:val="100"/>
          <w:position w:val="0"/>
        </w:rPr>
        <w:t>、收入</w:t>
      </w:r>
      <w:bookmarkEnd w:id="891"/>
      <w:bookmarkEnd w:id="892"/>
      <w:bookmarkEnd w:id="894"/>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号一一上市公司从事互联网营销及数据服务相 关业务》的披露要求：</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收入确认和计量所采用的会计政策</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的应付金额确定交易价格，并在合同期间内采用实际利率法摊销该交易价格与合同对价之间的差额。满足 下列条件之一的，属于在某一时段内履行履约义务，否则，属于在某一时点履行履约义务：</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•客户在本公司履约的同时即取得并消耗本公司履约所带来的经济利益。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•客户能够控制本公司履约过程中在建的商品。</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•本公司履约过程中所产出的商品具有不可替代用途，且本公司在整个合同期内有权就累计至今已完 成的履约部分收取款项。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•本公司就该商品或服务享有现时收款权利，即客户就该商品或服务负有现时付款义务。</w:t>
      </w:r>
    </w:p>
    <w:p>
      <w:pPr>
        <w:pStyle w:val="Style40"/>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•本公司已将该商品的法定所有权转移给客户，即客户已拥有该商品的法定所有权。</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•本公司已将该商品实物转移给客户，即客户已实物占有该商品。</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•本公司已将该商品所有权上的主要风险和报酬转移给客户，即客户已取得该商品所有权上的主要风 险和报酬。</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•客户已接受该商品或服务等。</w:t>
      </w:r>
    </w:p>
    <w:p>
      <w:pPr>
        <w:pStyle w:val="Style40"/>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、具体原则</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销售商品</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产品销售，将产品运输至客户指定地点，并取得对方接收单时确认收入；客户自行提货的，将产品交 付至提货人，并取得提货人接收手续时确认收入。</w:t>
      </w:r>
    </w:p>
    <w:p>
      <w:pPr>
        <w:pStyle w:val="Style40"/>
        <w:keepNext w:val="0"/>
        <w:keepLines w:val="0"/>
        <w:widowControl w:val="0"/>
        <w:shd w:val="clear" w:color="auto" w:fill="auto"/>
        <w:tabs>
          <w:tab w:pos="923" w:val="left"/>
        </w:tabs>
        <w:bidi w:val="0"/>
        <w:spacing w:before="0" w:after="0" w:line="470" w:lineRule="exact"/>
        <w:ind w:left="0" w:right="0" w:firstLine="44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移动互联网文化业务</w:t>
      </w:r>
    </w:p>
    <w:p>
      <w:pPr>
        <w:pStyle w:val="Style40"/>
        <w:keepNext w:val="0"/>
        <w:keepLines w:val="0"/>
        <w:widowControl w:val="0"/>
        <w:shd w:val="clear" w:color="auto" w:fill="auto"/>
        <w:tabs>
          <w:tab w:pos="837" w:val="left"/>
        </w:tabs>
        <w:bidi w:val="0"/>
        <w:spacing w:before="0" w:after="0" w:line="470" w:lineRule="exact"/>
        <w:ind w:left="0" w:right="0" w:firstLine="440"/>
        <w:jc w:val="both"/>
      </w:pPr>
      <w:bookmarkStart w:id="897" w:name="bookmark897"/>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w:t>
        <w:tab/>
      </w:r>
      <w:r>
        <w:rPr>
          <w:color w:val="000000"/>
          <w:spacing w:val="0"/>
          <w:w w:val="100"/>
          <w:position w:val="0"/>
        </w:rPr>
        <w:t>移动休闲游戏发行和运营，公司在收到支付服务商提供的含有信息费和基于双方协议约定而确定分 成金额的结算对账单后，根据其自身的后台数据进行核对，经双方确认的结算对账单进行结算，确认收入。</w:t>
      </w:r>
    </w:p>
    <w:p>
      <w:pPr>
        <w:pStyle w:val="Style40"/>
        <w:keepNext w:val="0"/>
        <w:keepLines w:val="0"/>
        <w:widowControl w:val="0"/>
        <w:shd w:val="clear" w:color="auto" w:fill="auto"/>
        <w:tabs>
          <w:tab w:pos="837" w:val="left"/>
        </w:tabs>
        <w:bidi w:val="0"/>
        <w:spacing w:before="0" w:after="0" w:line="470" w:lineRule="exact"/>
        <w:ind w:left="0" w:right="0" w:firstLine="440"/>
        <w:jc w:val="both"/>
      </w:pPr>
      <w:bookmarkStart w:id="898" w:name="bookmark898"/>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w:t>
        <w:tab/>
      </w:r>
      <w:r>
        <w:rPr>
          <w:color w:val="000000"/>
          <w:spacing w:val="0"/>
          <w:w w:val="100"/>
          <w:position w:val="0"/>
        </w:rPr>
        <w:t>广告收入,公司根据广告授权平台提供的广告弹出量、单价以及平台的客户提供的对账单数据结算， 并结合合同约定的收入分成比例及结算对账单确认收入。</w:t>
      </w:r>
    </w:p>
    <w:p>
      <w:pPr>
        <w:pStyle w:val="Style40"/>
        <w:keepNext w:val="0"/>
        <w:keepLines w:val="0"/>
        <w:widowControl w:val="0"/>
        <w:shd w:val="clear" w:color="auto" w:fill="auto"/>
        <w:tabs>
          <w:tab w:pos="1021" w:val="left"/>
        </w:tabs>
        <w:bidi w:val="0"/>
        <w:spacing w:before="0" w:after="0" w:line="470" w:lineRule="exact"/>
        <w:ind w:left="0" w:right="0" w:firstLine="44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3</w:t>
      </w:r>
      <w:r>
        <w:rPr>
          <w:color w:val="000000"/>
          <w:spacing w:val="0"/>
          <w:w w:val="100"/>
          <w:position w:val="0"/>
        </w:rPr>
        <w:t>）</w:t>
        <w:tab/>
        <w:t>特许使用权收入，如果合同或协议约定一次性收取使用费，且不提供后续服务的，公司在版权 交付客户并取得交付接收单后一次性确认收入；提供后续服务的，公司在合同或协议约定的有效期内分期 确认收入。</w:t>
      </w:r>
    </w:p>
    <w:p>
      <w:pPr>
        <w:pStyle w:val="Style40"/>
        <w:keepNext w:val="0"/>
        <w:keepLines w:val="0"/>
        <w:widowControl w:val="0"/>
        <w:shd w:val="clear" w:color="auto" w:fill="auto"/>
        <w:tabs>
          <w:tab w:pos="997" w:val="left"/>
        </w:tabs>
        <w:bidi w:val="0"/>
        <w:spacing w:before="0" w:after="0" w:line="470" w:lineRule="exact"/>
        <w:ind w:left="0" w:right="0" w:firstLine="44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酒店服务业务，本公司对外提供酒店客房、餐饮及娱乐服务的，在酒店客房、餐饮及娱乐服务 已提供且取得收取服务费的权利时确认收入。</w:t>
      </w:r>
    </w:p>
    <w:p>
      <w:pPr>
        <w:pStyle w:val="Style40"/>
        <w:keepNext w:val="0"/>
        <w:keepLines w:val="0"/>
        <w:widowControl w:val="0"/>
        <w:shd w:val="clear" w:color="auto" w:fill="auto"/>
        <w:tabs>
          <w:tab w:pos="928" w:val="left"/>
        </w:tabs>
        <w:bidi w:val="0"/>
        <w:spacing w:before="0" w:after="0" w:line="470" w:lineRule="exact"/>
        <w:ind w:left="0" w:right="0" w:firstLine="44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5</w:t>
      </w:r>
      <w:r>
        <w:rPr>
          <w:color w:val="000000"/>
          <w:spacing w:val="0"/>
          <w:w w:val="100"/>
          <w:position w:val="0"/>
        </w:rPr>
        <w:t>）</w:t>
        <w:tab/>
        <w:t>利息收入：按照他人使用公司货币资金的时间和实际利率计算确定。</w:t>
      </w:r>
    </w:p>
    <w:p>
      <w:pPr>
        <w:pStyle w:val="Style40"/>
        <w:keepNext w:val="0"/>
        <w:keepLines w:val="0"/>
        <w:widowControl w:val="0"/>
        <w:shd w:val="clear" w:color="auto" w:fill="auto"/>
        <w:tabs>
          <w:tab w:pos="1016" w:val="left"/>
        </w:tabs>
        <w:bidi w:val="0"/>
        <w:spacing w:before="0" w:after="200" w:line="470"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6</w:t>
      </w:r>
      <w:r>
        <w:rPr>
          <w:color w:val="000000"/>
          <w:spacing w:val="0"/>
          <w:w w:val="100"/>
          <w:position w:val="0"/>
        </w:rPr>
        <w:t>）</w:t>
        <w:tab/>
        <w:t>租赁收入：经营租赁的租金收入在租赁期内各个期间按照直线法确认为当期损益，或有租金在 实际发生时计入当期损益。</w:t>
      </w:r>
    </w:p>
    <w:p>
      <w:pPr>
        <w:pStyle w:val="Style40"/>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p>
    <w:p>
      <w:pPr>
        <w:pStyle w:val="Style40"/>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、销售商品收入确认的一般原则</w:t>
      </w:r>
    </w:p>
    <w:p>
      <w:pPr>
        <w:pStyle w:val="Style40"/>
        <w:keepNext w:val="0"/>
        <w:keepLines w:val="0"/>
        <w:widowControl w:val="0"/>
        <w:shd w:val="clear" w:color="auto" w:fill="auto"/>
        <w:tabs>
          <w:tab w:pos="870" w:val="left"/>
        </w:tabs>
        <w:bidi w:val="0"/>
        <w:spacing w:before="0" w:after="0" w:line="492" w:lineRule="auto"/>
        <w:ind w:left="0" w:right="0" w:firstLine="440"/>
        <w:jc w:val="both"/>
      </w:pPr>
      <w:bookmarkStart w:id="903" w:name="bookmark903"/>
      <w:r>
        <w:rPr>
          <w:rFonts w:ascii="Times New Roman" w:eastAsia="Times New Roman" w:hAnsi="Times New Roman" w:cs="Times New Roman"/>
          <w:color w:val="000000"/>
          <w:spacing w:val="0"/>
          <w:w w:val="100"/>
          <w:position w:val="0"/>
        </w:rPr>
        <w:t>（</w:t>
      </w:r>
      <w:bookmarkEnd w:id="903"/>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shd w:val="clear" w:color="auto" w:fill="FFFFFF"/>
        </w:rPr>
        <w:t>销售商品收入在同时满足下列条件时予以确认：</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将商品所有权上的主要风险和报酬转移给购货方；</w:t>
      </w:r>
    </w:p>
    <w:p>
      <w:pPr>
        <w:pStyle w:val="Style40"/>
        <w:keepNext w:val="0"/>
        <w:keepLines w:val="0"/>
        <w:widowControl w:val="0"/>
        <w:shd w:val="clear" w:color="auto" w:fill="auto"/>
        <w:bidi w:val="0"/>
        <w:spacing w:before="0" w:after="200" w:line="470" w:lineRule="exact"/>
        <w:ind w:left="0" w:right="0" w:firstLine="0"/>
        <w:jc w:val="both"/>
      </w:pPr>
      <w:bookmarkStart w:id="904" w:name="bookmark904"/>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40"/>
        <w:keepNext w:val="0"/>
        <w:keepLines w:val="0"/>
        <w:widowControl w:val="0"/>
        <w:shd w:val="clear" w:color="auto" w:fill="auto"/>
        <w:tabs>
          <w:tab w:pos="870" w:val="left"/>
        </w:tabs>
        <w:bidi w:val="0"/>
        <w:spacing w:before="0" w:after="0" w:line="492" w:lineRule="auto"/>
        <w:ind w:left="0" w:right="0" w:firstLine="440"/>
        <w:jc w:val="both"/>
      </w:pPr>
      <w:bookmarkStart w:id="905" w:name="bookmark905"/>
      <w:r>
        <w:rPr>
          <w:rFonts w:ascii="Times New Roman" w:eastAsia="Times New Roman" w:hAnsi="Times New Roman" w:cs="Times New Roman"/>
          <w:color w:val="000000"/>
          <w:spacing w:val="0"/>
          <w:w w:val="100"/>
          <w:position w:val="0"/>
        </w:rPr>
        <w:t>（</w:t>
      </w:r>
      <w:bookmarkEnd w:id="905"/>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提供劳务交易的结果在资产负债表日能够可靠估计的（同时满足收入的金额能够可靠地计量、相关经 济利益很可能流入、交易的完工进度能够可靠地确定、交易中已发生和将发生的成本能够可靠地计量）， </w:t>
      </w:r>
      <w:r>
        <w:rPr>
          <w:color w:val="000000"/>
          <w:spacing w:val="0"/>
          <w:w w:val="100"/>
          <w:position w:val="0"/>
        </w:rPr>
        <w:t>采用完工百分比法确认提供劳务的收入，并按已经提供劳务占应提供劳务总量的比例确定提供劳务交易的 完工进度。提供劳务交易的结果在资产负债表日不能够可靠估计的，若已经发生的劳务成本预计能够得到 补偿，按已经发生的劳务成本金额确认提供劳务收入，并按相同金额结转劳务成本；若已经发生的劳务成 本预计不能够得到补偿，将已经发生的劳务成本计入当期损益，不确认劳务收入。</w:t>
      </w:r>
    </w:p>
    <w:p>
      <w:pPr>
        <w:pStyle w:val="Style40"/>
        <w:keepNext w:val="0"/>
        <w:keepLines w:val="0"/>
        <w:widowControl w:val="0"/>
        <w:shd w:val="clear" w:color="auto" w:fill="auto"/>
        <w:bidi w:val="0"/>
        <w:spacing w:before="0" w:after="0" w:line="492" w:lineRule="auto"/>
        <w:ind w:left="0" w:right="0" w:firstLine="440"/>
        <w:jc w:val="both"/>
      </w:pPr>
      <w:bookmarkStart w:id="906" w:name="bookmark906"/>
      <w:r>
        <w:rPr>
          <w:rFonts w:ascii="Times New Roman" w:eastAsia="Times New Roman" w:hAnsi="Times New Roman" w:cs="Times New Roman"/>
          <w:color w:val="000000"/>
          <w:spacing w:val="0"/>
          <w:w w:val="100"/>
          <w:position w:val="0"/>
        </w:rPr>
        <w:t>（</w:t>
      </w:r>
      <w:bookmarkEnd w:id="906"/>
      <w:r>
        <w:rPr>
          <w:rFonts w:ascii="Times New Roman" w:eastAsia="Times New Roman" w:hAnsi="Times New Roman" w:cs="Times New Roman"/>
          <w:color w:val="000000"/>
          <w:spacing w:val="0"/>
          <w:w w:val="100"/>
          <w:position w:val="0"/>
        </w:rPr>
        <w:t>3）</w:t>
      </w:r>
      <w:r>
        <w:rPr>
          <w:color w:val="000000"/>
          <w:spacing w:val="0"/>
          <w:w w:val="100"/>
          <w:position w:val="0"/>
        </w:rPr>
        <w:t>让渡资产使用权</w:t>
      </w:r>
    </w:p>
    <w:p>
      <w:pPr>
        <w:pStyle w:val="Style40"/>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40"/>
        <w:keepNext w:val="0"/>
        <w:keepLines w:val="0"/>
        <w:widowControl w:val="0"/>
        <w:shd w:val="clear" w:color="auto" w:fill="auto"/>
        <w:bidi w:val="0"/>
        <w:spacing w:before="0" w:after="0" w:line="492" w:lineRule="auto"/>
        <w:ind w:left="0" w:right="0" w:firstLine="440"/>
        <w:jc w:val="both"/>
      </w:pPr>
      <w:bookmarkStart w:id="907" w:name="bookmark907"/>
      <w:r>
        <w:rPr>
          <w:rFonts w:ascii="Times New Roman" w:eastAsia="Times New Roman" w:hAnsi="Times New Roman" w:cs="Times New Roman"/>
          <w:color w:val="000000"/>
          <w:spacing w:val="0"/>
          <w:w w:val="100"/>
          <w:position w:val="0"/>
        </w:rPr>
        <w:t>2</w:t>
      </w:r>
      <w:bookmarkEnd w:id="907"/>
      <w:r>
        <w:rPr>
          <w:color w:val="000000"/>
          <w:spacing w:val="0"/>
          <w:w w:val="100"/>
          <w:position w:val="0"/>
        </w:rPr>
        <w:t>、具体原则</w:t>
      </w:r>
    </w:p>
    <w:p>
      <w:pPr>
        <w:pStyle w:val="Style40"/>
        <w:keepNext w:val="0"/>
        <w:keepLines w:val="0"/>
        <w:widowControl w:val="0"/>
        <w:shd w:val="clear" w:color="auto" w:fill="auto"/>
        <w:tabs>
          <w:tab w:pos="870" w:val="left"/>
        </w:tabs>
        <w:bidi w:val="0"/>
        <w:spacing w:before="0" w:after="0" w:line="492" w:lineRule="auto"/>
        <w:ind w:left="0" w:right="0" w:firstLine="440"/>
        <w:jc w:val="both"/>
      </w:pPr>
      <w:bookmarkStart w:id="908" w:name="bookmark908"/>
      <w:r>
        <w:rPr>
          <w:rFonts w:ascii="Times New Roman" w:eastAsia="Times New Roman" w:hAnsi="Times New Roman" w:cs="Times New Roman"/>
          <w:color w:val="000000"/>
          <w:spacing w:val="0"/>
          <w:w w:val="100"/>
          <w:position w:val="0"/>
        </w:rPr>
        <w:t>（</w:t>
      </w:r>
      <w:bookmarkEnd w:id="908"/>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40"/>
        <w:keepNext w:val="0"/>
        <w:keepLines w:val="0"/>
        <w:widowControl w:val="0"/>
        <w:shd w:val="clear" w:color="auto" w:fill="auto"/>
        <w:tabs>
          <w:tab w:pos="776" w:val="left"/>
        </w:tabs>
        <w:bidi w:val="0"/>
        <w:spacing w:before="0" w:after="200" w:line="471" w:lineRule="exact"/>
        <w:ind w:left="0" w:right="0" w:firstLine="440"/>
        <w:jc w:val="both"/>
      </w:pPr>
      <w:bookmarkStart w:id="909" w:name="bookmark909"/>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w:t>
        <w:tab/>
      </w:r>
      <w:r>
        <w:rPr>
          <w:color w:val="000000"/>
          <w:spacing w:val="0"/>
          <w:w w:val="100"/>
          <w:position w:val="0"/>
        </w:rPr>
        <w:t>国内产品销售，将产品运输至客户指定地点，并取得对方接收单时确认收入；客户自行提货的，将 产品交付至提货人，并取得提货人接收手续时确认收入。</w:t>
      </w:r>
    </w:p>
    <w:p>
      <w:pPr>
        <w:pStyle w:val="Style40"/>
        <w:keepNext w:val="0"/>
        <w:keepLines w:val="0"/>
        <w:widowControl w:val="0"/>
        <w:shd w:val="clear" w:color="auto" w:fill="auto"/>
        <w:tabs>
          <w:tab w:pos="803" w:val="left"/>
        </w:tabs>
        <w:bidi w:val="0"/>
        <w:spacing w:before="0" w:after="0" w:line="492" w:lineRule="auto"/>
        <w:ind w:left="0" w:right="0" w:firstLine="440"/>
        <w:jc w:val="left"/>
      </w:pPr>
      <w:bookmarkStart w:id="910" w:name="bookmark910"/>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w:t>
        <w:tab/>
      </w:r>
      <w:r>
        <w:rPr>
          <w:color w:val="000000"/>
          <w:spacing w:val="0"/>
          <w:w w:val="100"/>
          <w:position w:val="0"/>
        </w:rPr>
        <w:t>国外产品销售，将产品完成报关装船离岸，并取得提单时确认收入。</w:t>
      </w:r>
    </w:p>
    <w:p>
      <w:pPr>
        <w:pStyle w:val="Style40"/>
        <w:keepNext w:val="0"/>
        <w:keepLines w:val="0"/>
        <w:widowControl w:val="0"/>
        <w:shd w:val="clear" w:color="auto" w:fill="auto"/>
        <w:tabs>
          <w:tab w:pos="870" w:val="left"/>
        </w:tabs>
        <w:bidi w:val="0"/>
        <w:spacing w:before="0" w:after="0" w:line="492" w:lineRule="auto"/>
        <w:ind w:left="0" w:right="0" w:firstLine="440"/>
        <w:jc w:val="both"/>
      </w:pPr>
      <w:bookmarkStart w:id="911" w:name="bookmark911"/>
      <w:r>
        <w:rPr>
          <w:rFonts w:ascii="Times New Roman" w:eastAsia="Times New Roman" w:hAnsi="Times New Roman" w:cs="Times New Roman"/>
          <w:color w:val="000000"/>
          <w:spacing w:val="0"/>
          <w:w w:val="100"/>
          <w:position w:val="0"/>
        </w:rPr>
        <w:t>（</w:t>
      </w:r>
      <w:bookmarkEnd w:id="911"/>
      <w:r>
        <w:rPr>
          <w:rFonts w:ascii="Times New Roman" w:eastAsia="Times New Roman" w:hAnsi="Times New Roman" w:cs="Times New Roman"/>
          <w:color w:val="000000"/>
          <w:spacing w:val="0"/>
          <w:w w:val="100"/>
          <w:position w:val="0"/>
        </w:rPr>
        <w:t>2）</w:t>
        <w:tab/>
      </w:r>
      <w:r>
        <w:rPr>
          <w:color w:val="000000"/>
          <w:spacing w:val="0"/>
          <w:w w:val="100"/>
          <w:position w:val="0"/>
        </w:rPr>
        <w:t>移动互联网文化业务</w:t>
      </w:r>
    </w:p>
    <w:p>
      <w:pPr>
        <w:pStyle w:val="Style40"/>
        <w:keepNext w:val="0"/>
        <w:keepLines w:val="0"/>
        <w:widowControl w:val="0"/>
        <w:shd w:val="clear" w:color="auto" w:fill="auto"/>
        <w:tabs>
          <w:tab w:pos="776" w:val="left"/>
        </w:tabs>
        <w:bidi w:val="0"/>
        <w:spacing w:before="0" w:after="0" w:line="471" w:lineRule="exact"/>
        <w:ind w:left="0" w:right="0" w:firstLine="440"/>
        <w:jc w:val="both"/>
      </w:pPr>
      <w:bookmarkStart w:id="912" w:name="bookmark912"/>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w:t>
        <w:tab/>
      </w:r>
      <w:r>
        <w:rPr>
          <w:color w:val="000000"/>
          <w:spacing w:val="0"/>
          <w:w w:val="100"/>
          <w:position w:val="0"/>
        </w:rPr>
        <w:t>移动休闲游戏发行和运营，公司在收到支付服务商提供的含有信息费和基于双方协议约定而确定分 成金额的结算对账单后，根据其自身的后台数据进行核对，经双方确认的结算对账单进行结算，确认收入。</w:t>
      </w:r>
    </w:p>
    <w:p>
      <w:pPr>
        <w:pStyle w:val="Style40"/>
        <w:keepNext w:val="0"/>
        <w:keepLines w:val="0"/>
        <w:widowControl w:val="0"/>
        <w:shd w:val="clear" w:color="auto" w:fill="auto"/>
        <w:tabs>
          <w:tab w:pos="771" w:val="left"/>
        </w:tabs>
        <w:bidi w:val="0"/>
        <w:spacing w:before="0" w:after="0" w:line="471" w:lineRule="exact"/>
        <w:ind w:left="0" w:right="0" w:firstLine="440"/>
        <w:jc w:val="both"/>
      </w:pPr>
      <w:bookmarkStart w:id="913" w:name="bookmark913"/>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w:t>
        <w:tab/>
      </w:r>
      <w:r>
        <w:rPr>
          <w:color w:val="000000"/>
          <w:spacing w:val="0"/>
          <w:w w:val="100"/>
          <w:position w:val="0"/>
        </w:rPr>
        <w:t>广告收入,公司根据广告授权平台提供的广告弹出量、单价以及平台的客户提供的对账单数据结算， 并结合合同约定的收入分成比例及结算对账单确认收入。</w:t>
      </w:r>
    </w:p>
    <w:p>
      <w:pPr>
        <w:pStyle w:val="Style40"/>
        <w:keepNext w:val="0"/>
        <w:keepLines w:val="0"/>
        <w:widowControl w:val="0"/>
        <w:shd w:val="clear" w:color="auto" w:fill="auto"/>
        <w:tabs>
          <w:tab w:pos="776" w:val="left"/>
        </w:tabs>
        <w:bidi w:val="0"/>
        <w:spacing w:before="0" w:after="0" w:line="471" w:lineRule="exact"/>
        <w:ind w:left="0" w:right="0" w:firstLine="440"/>
        <w:jc w:val="both"/>
      </w:pPr>
      <w:bookmarkStart w:id="914" w:name="bookmark914"/>
      <w:r>
        <w:rPr>
          <w:rFonts w:ascii="Times New Roman" w:eastAsia="Times New Roman" w:hAnsi="Times New Roman" w:cs="Times New Roman"/>
          <w:color w:val="000000"/>
          <w:spacing w:val="0"/>
          <w:w w:val="100"/>
          <w:position w:val="0"/>
        </w:rPr>
        <w:t>3</w:t>
      </w:r>
      <w:bookmarkEnd w:id="914"/>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IP</w:t>
      </w:r>
      <w:r>
        <w:rPr>
          <w:color w:val="000000"/>
          <w:spacing w:val="0"/>
          <w:w w:val="100"/>
          <w:position w:val="0"/>
        </w:rPr>
        <w:t>特许使用权收入，如果合同或协议约定一次性收取使用费，且不提供后续服务的，公司在版权交 付客户并取得交付接收单后一次性确认收入；提供后续服务的，公司在合同或协议约定的有效期内分期确 认收入。</w:t>
      </w:r>
    </w:p>
    <w:p>
      <w:pPr>
        <w:pStyle w:val="Style40"/>
        <w:keepNext w:val="0"/>
        <w:keepLines w:val="0"/>
        <w:widowControl w:val="0"/>
        <w:shd w:val="clear" w:color="auto" w:fill="auto"/>
        <w:tabs>
          <w:tab w:pos="776" w:val="left"/>
        </w:tabs>
        <w:bidi w:val="0"/>
        <w:spacing w:before="0" w:after="0" w:line="471" w:lineRule="exact"/>
        <w:ind w:left="0" w:right="0" w:firstLine="440"/>
        <w:jc w:val="both"/>
      </w:pPr>
      <w:bookmarkStart w:id="915" w:name="bookmark915"/>
      <w:r>
        <w:rPr>
          <w:rFonts w:ascii="Times New Roman" w:eastAsia="Times New Roman" w:hAnsi="Times New Roman" w:cs="Times New Roman"/>
          <w:color w:val="000000"/>
          <w:spacing w:val="0"/>
          <w:w w:val="100"/>
          <w:position w:val="0"/>
        </w:rPr>
        <w:t>4</w:t>
      </w:r>
      <w:bookmarkEnd w:id="915"/>
      <w:r>
        <w:rPr>
          <w:rFonts w:ascii="Times New Roman" w:eastAsia="Times New Roman" w:hAnsi="Times New Roman" w:cs="Times New Roman"/>
          <w:color w:val="000000"/>
          <w:spacing w:val="0"/>
          <w:w w:val="100"/>
          <w:position w:val="0"/>
        </w:rPr>
        <w:t>）</w:t>
        <w:tab/>
      </w:r>
      <w:r>
        <w:rPr>
          <w:color w:val="000000"/>
          <w:spacing w:val="0"/>
          <w:w w:val="100"/>
          <w:position w:val="0"/>
        </w:rPr>
        <w:t>广告代充值业务收入，公司按照合同约定在客户指定的广告投放平台上为客户提供广告充值服务， 每月公司按照客户确认的广告代充值结算单金额与供应商确认的广告充值结算单金额的差额确认收入。</w:t>
      </w:r>
    </w:p>
    <w:p>
      <w:pPr>
        <w:pStyle w:val="Style40"/>
        <w:keepNext w:val="0"/>
        <w:keepLines w:val="0"/>
        <w:widowControl w:val="0"/>
        <w:shd w:val="clear" w:color="auto" w:fill="auto"/>
        <w:tabs>
          <w:tab w:pos="810" w:val="left"/>
        </w:tabs>
        <w:bidi w:val="0"/>
        <w:spacing w:before="0" w:after="200" w:line="471" w:lineRule="exact"/>
        <w:ind w:left="0" w:right="0" w:firstLine="440"/>
        <w:jc w:val="both"/>
      </w:pPr>
      <w:bookmarkStart w:id="916" w:name="bookmark916"/>
      <w:r>
        <w:rPr>
          <w:rFonts w:ascii="Times New Roman" w:eastAsia="Times New Roman" w:hAnsi="Times New Roman" w:cs="Times New Roman"/>
          <w:color w:val="000000"/>
          <w:spacing w:val="0"/>
          <w:w w:val="100"/>
          <w:position w:val="0"/>
        </w:rPr>
        <w:t>5</w:t>
      </w:r>
      <w:bookmarkEnd w:id="916"/>
      <w:r>
        <w:rPr>
          <w:color w:val="000000"/>
          <w:spacing w:val="0"/>
          <w:w w:val="100"/>
          <w:position w:val="0"/>
        </w:rPr>
        <w:t>）</w:t>
        <w:tab/>
        <w:t>酒店服务业务，本公司对外提供酒店客房、餐饮及娱乐服务的，在酒店客房、餐饮及娱乐服务已 提供且取得收取服务费的权利时确认收入。</w:t>
      </w:r>
    </w:p>
    <w:p>
      <w:pPr>
        <w:pStyle w:val="Style40"/>
        <w:keepNext w:val="0"/>
        <w:keepLines w:val="0"/>
        <w:widowControl w:val="0"/>
        <w:shd w:val="clear" w:color="auto" w:fill="auto"/>
        <w:tabs>
          <w:tab w:pos="832" w:val="left"/>
        </w:tabs>
        <w:bidi w:val="0"/>
        <w:spacing w:before="0" w:after="0" w:line="492" w:lineRule="auto"/>
        <w:ind w:left="0" w:right="0" w:firstLine="440"/>
        <w:jc w:val="left"/>
      </w:pPr>
      <w:bookmarkStart w:id="917" w:name="bookmark917"/>
      <w:r>
        <w:rPr>
          <w:rFonts w:ascii="Times New Roman" w:eastAsia="Times New Roman" w:hAnsi="Times New Roman" w:cs="Times New Roman"/>
          <w:color w:val="000000"/>
          <w:spacing w:val="0"/>
          <w:w w:val="100"/>
          <w:position w:val="0"/>
        </w:rPr>
        <w:t>6</w:t>
      </w:r>
      <w:bookmarkEnd w:id="917"/>
      <w:r>
        <w:rPr>
          <w:color w:val="000000"/>
          <w:spacing w:val="0"/>
          <w:w w:val="100"/>
          <w:position w:val="0"/>
        </w:rPr>
        <w:t>）</w:t>
        <w:tab/>
        <w:t>利息收入：按照他人使用公司货币资金的时间和实际利率计算确定。</w:t>
      </w:r>
    </w:p>
    <w:p>
      <w:pPr>
        <w:pStyle w:val="Style40"/>
        <w:keepNext w:val="0"/>
        <w:keepLines w:val="0"/>
        <w:widowControl w:val="0"/>
        <w:shd w:val="clear" w:color="auto" w:fill="auto"/>
        <w:tabs>
          <w:tab w:pos="795" w:val="left"/>
        </w:tabs>
        <w:bidi w:val="0"/>
        <w:spacing w:before="0" w:after="200" w:line="471" w:lineRule="exact"/>
        <w:ind w:left="0" w:right="0" w:firstLine="440"/>
        <w:jc w:val="both"/>
      </w:pPr>
      <w:bookmarkStart w:id="918" w:name="bookmark918"/>
      <w:r>
        <w:rPr>
          <w:rFonts w:ascii="Times New Roman" w:eastAsia="Times New Roman" w:hAnsi="Times New Roman" w:cs="Times New Roman"/>
          <w:color w:val="000000"/>
          <w:spacing w:val="0"/>
          <w:w w:val="100"/>
          <w:position w:val="0"/>
        </w:rPr>
        <w:t>7</w:t>
      </w:r>
      <w:bookmarkEnd w:id="918"/>
      <w:r>
        <w:rPr>
          <w:color w:val="000000"/>
          <w:spacing w:val="0"/>
          <w:w w:val="100"/>
          <w:position w:val="0"/>
        </w:rPr>
        <w:t>）</w:t>
        <w:tab/>
        <w:t>租赁收入：经营租赁的租金收入在租赁期内各个期间按照直线法确认为当期损益，或有租金在实 际发生时计入当期损益。</w:t>
      </w:r>
    </w:p>
    <w:p>
      <w:pPr>
        <w:pStyle w:val="Style36"/>
        <w:keepNext/>
        <w:keepLines/>
        <w:widowControl w:val="0"/>
        <w:shd w:val="clear" w:color="auto" w:fill="auto"/>
        <w:bidi w:val="0"/>
        <w:spacing w:before="0" w:after="220" w:line="468" w:lineRule="exact"/>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19"/>
      <w:bookmarkEnd w:id="920"/>
      <w:bookmarkEnd w:id="922"/>
    </w:p>
    <w:p>
      <w:pPr>
        <w:pStyle w:val="Style36"/>
        <w:keepNext/>
        <w:keepLines/>
        <w:widowControl w:val="0"/>
        <w:shd w:val="clear" w:color="auto" w:fill="auto"/>
        <w:bidi w:val="0"/>
        <w:spacing w:before="0" w:after="0" w:line="468" w:lineRule="exact"/>
        <w:ind w:left="0" w:right="0" w:firstLine="440"/>
        <w:jc w:val="both"/>
      </w:pPr>
      <w:bookmarkStart w:id="919" w:name="bookmark919"/>
      <w:bookmarkStart w:id="920" w:name="bookmark920"/>
      <w:r>
        <w:rPr>
          <w:color w:val="000000"/>
          <w:spacing w:val="0"/>
          <w:w w:val="100"/>
          <w:position w:val="0"/>
        </w:rPr>
        <w:t>类型</w:t>
      </w:r>
      <w:bookmarkEnd w:id="919"/>
      <w:bookmarkEnd w:id="920"/>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本公司将政府补助划分为与资产相关的具体标准为：政府补助文件规定的补助对象用于购建或以其他 方式形成长期资产，或者补助对象的支出主要用于购建或以其他方式形成长期资产的，划分为与资产相关 的政府补助。</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本公司将政府补助划分为与收益相关的具体标准为：根据政府补助文件获得的政府补助全部或者主要 用于补偿以后期间或已发生的费用或损失的政府补助，划分为与收益相关的政府补助。</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据为：根据发放补助的政府部门出具的补充说明作为划分为与资产相关或与收益相关的判断依据。</w:t>
      </w:r>
    </w:p>
    <w:p>
      <w:pPr>
        <w:pStyle w:val="Style40"/>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确认时点</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本公司与资产相关的政府补助的确认时点为：实际收到政府补助，并自长期资产可供使用时起，按照 长期资产的预计使用期限，将递延收益平均分摊转入当期损益。本公司与收益相关的政府补助的确认时点 为：实际收到政府补助，用于补偿企业以后期间的相关费用或损失的，在确认相关费用的期间计入当期损 益；用于补偿企业已发生的相关费用或损失的，取得时直接计入当期损益。</w:t>
      </w:r>
    </w:p>
    <w:p>
      <w:pPr>
        <w:pStyle w:val="Style40"/>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会计处理</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40"/>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6"/>
        <w:keepNext/>
        <w:keepLines/>
        <w:widowControl w:val="0"/>
        <w:shd w:val="clear" w:color="auto" w:fill="auto"/>
        <w:bidi w:val="0"/>
        <w:spacing w:before="0" w:after="200" w:line="469" w:lineRule="exact"/>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3"/>
      <w:bookmarkEnd w:id="924"/>
      <w:bookmarkEnd w:id="926"/>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 易或者事项产生的所得税外，本公司将当期所得税和递延所得税计入当期损益。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对于应纳税暂时性差异，除特殊情况外，确认递延所得税负债。</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不确认递延所得税资产或递延所得税负债的特殊情况包括：</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color w:val="000000"/>
          <w:spacing w:val="0"/>
          <w:w w:val="100"/>
          <w:position w:val="0"/>
        </w:rPr>
        <w:t>商誉的初始确认；</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•纳税主体拥有以净额结算当期所得税资产及当期所得税负债的法定权利；</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36"/>
        <w:keepNext/>
        <w:keepLines/>
        <w:widowControl w:val="0"/>
        <w:shd w:val="clear" w:color="auto" w:fill="auto"/>
        <w:tabs>
          <w:tab w:pos="483" w:val="left"/>
        </w:tabs>
        <w:bidi w:val="0"/>
        <w:spacing w:before="0" w:after="140" w:line="467" w:lineRule="exact"/>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927"/>
      <w:bookmarkEnd w:id="928"/>
      <w:bookmarkEnd w:id="930"/>
    </w:p>
    <w:p>
      <w:pPr>
        <w:pStyle w:val="Style114"/>
        <w:keepNext/>
        <w:keepLines/>
        <w:widowControl w:val="0"/>
        <w:shd w:val="clear" w:color="auto" w:fill="auto"/>
        <w:tabs>
          <w:tab w:pos="493" w:val="left"/>
        </w:tabs>
        <w:bidi w:val="0"/>
        <w:spacing w:before="0" w:after="220" w:line="467" w:lineRule="exact"/>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31"/>
      <w:bookmarkEnd w:id="932"/>
      <w:bookmarkEnd w:id="934"/>
    </w:p>
    <w:p>
      <w:pPr>
        <w:pStyle w:val="Style40"/>
        <w:keepNext w:val="0"/>
        <w:keepLines w:val="0"/>
        <w:widowControl w:val="0"/>
        <w:shd w:val="clear" w:color="auto" w:fill="auto"/>
        <w:tabs>
          <w:tab w:pos="800" w:val="left"/>
        </w:tabs>
        <w:bidi w:val="0"/>
        <w:spacing w:before="0" w:after="0" w:line="467" w:lineRule="exact"/>
        <w:ind w:left="0" w:right="0" w:firstLine="440"/>
        <w:jc w:val="both"/>
      </w:pPr>
      <w:bookmarkStart w:id="935" w:name="bookmark935"/>
      <w:r>
        <w:rPr>
          <w:rFonts w:ascii="Times New Roman" w:eastAsia="Times New Roman" w:hAnsi="Times New Roman" w:cs="Times New Roman"/>
          <w:color w:val="000000"/>
          <w:spacing w:val="0"/>
          <w:w w:val="100"/>
          <w:position w:val="0"/>
        </w:rPr>
        <w:t>1</w:t>
      </w:r>
      <w:bookmarkEnd w:id="935"/>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40"/>
        <w:keepNext w:val="0"/>
        <w:keepLines w:val="0"/>
        <w:widowControl w:val="0"/>
        <w:shd w:val="clear" w:color="auto" w:fill="auto"/>
        <w:tabs>
          <w:tab w:pos="810" w:val="left"/>
        </w:tabs>
        <w:bidi w:val="0"/>
        <w:spacing w:before="0" w:after="0" w:line="467" w:lineRule="exact"/>
        <w:ind w:left="0" w:right="0" w:firstLine="440"/>
        <w:jc w:val="both"/>
      </w:pPr>
      <w:bookmarkStart w:id="936" w:name="bookmark936"/>
      <w:r>
        <w:rPr>
          <w:rFonts w:ascii="Times New Roman" w:eastAsia="Times New Roman" w:hAnsi="Times New Roman" w:cs="Times New Roman"/>
          <w:color w:val="000000"/>
          <w:spacing w:val="0"/>
          <w:w w:val="100"/>
          <w:position w:val="0"/>
        </w:rPr>
        <w:t>2</w:t>
      </w:r>
      <w:bookmarkEnd w:id="936"/>
      <w:r>
        <w:rPr>
          <w:color w:val="000000"/>
          <w:spacing w:val="0"/>
          <w:w w:val="100"/>
          <w:position w:val="0"/>
        </w:rPr>
        <w:t>）</w:t>
        <w:tab/>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114"/>
        <w:keepNext/>
        <w:keepLines/>
        <w:widowControl w:val="0"/>
        <w:shd w:val="clear" w:color="auto" w:fill="auto"/>
        <w:tabs>
          <w:tab w:pos="493" w:val="left"/>
        </w:tabs>
        <w:bidi w:val="0"/>
        <w:spacing w:before="0" w:after="220" w:line="467" w:lineRule="exact"/>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7"/>
      <w:bookmarkEnd w:id="938"/>
      <w:bookmarkEnd w:id="940"/>
    </w:p>
    <w:p>
      <w:pPr>
        <w:pStyle w:val="Style40"/>
        <w:keepNext w:val="0"/>
        <w:keepLines w:val="0"/>
        <w:widowControl w:val="0"/>
        <w:shd w:val="clear" w:color="auto" w:fill="auto"/>
        <w:tabs>
          <w:tab w:pos="810" w:val="left"/>
        </w:tabs>
        <w:bidi w:val="0"/>
        <w:spacing w:before="0" w:after="0" w:line="467" w:lineRule="exact"/>
        <w:ind w:left="0" w:right="0" w:firstLine="440"/>
        <w:jc w:val="both"/>
      </w:pPr>
      <w:bookmarkStart w:id="941" w:name="bookmark941"/>
      <w:r>
        <w:rPr>
          <w:rFonts w:ascii="Times New Roman" w:eastAsia="Times New Roman" w:hAnsi="Times New Roman" w:cs="Times New Roman"/>
          <w:color w:val="000000"/>
          <w:spacing w:val="0"/>
          <w:w w:val="100"/>
          <w:position w:val="0"/>
        </w:rPr>
        <w:t>1</w:t>
      </w:r>
      <w:bookmarkEnd w:id="941"/>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40"/>
        <w:keepNext w:val="0"/>
        <w:keepLines w:val="0"/>
        <w:widowControl w:val="0"/>
        <w:shd w:val="clear" w:color="auto" w:fill="auto"/>
        <w:tabs>
          <w:tab w:pos="810" w:val="left"/>
        </w:tabs>
        <w:bidi w:val="0"/>
        <w:spacing w:before="0" w:after="220" w:line="467" w:lineRule="exact"/>
        <w:ind w:left="0" w:right="0" w:firstLine="440"/>
        <w:jc w:val="both"/>
      </w:pPr>
      <w:bookmarkStart w:id="942" w:name="bookmark942"/>
      <w:r>
        <w:rPr>
          <w:rFonts w:ascii="Times New Roman" w:eastAsia="Times New Roman" w:hAnsi="Times New Roman" w:cs="Times New Roman"/>
          <w:color w:val="000000"/>
          <w:spacing w:val="0"/>
          <w:w w:val="100"/>
          <w:position w:val="0"/>
        </w:rPr>
        <w:t>2</w:t>
      </w:r>
      <w:bookmarkEnd w:id="942"/>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6"/>
        <w:keepNext/>
        <w:keepLines/>
        <w:widowControl w:val="0"/>
        <w:shd w:val="clear" w:color="auto" w:fill="auto"/>
        <w:tabs>
          <w:tab w:pos="483" w:val="left"/>
        </w:tabs>
        <w:bidi w:val="0"/>
        <w:spacing w:before="0" w:after="220" w:line="467"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943"/>
      <w:bookmarkEnd w:id="944"/>
      <w:bookmarkEnd w:id="946"/>
    </w:p>
    <w:p>
      <w:pPr>
        <w:pStyle w:val="Style36"/>
        <w:keepNext/>
        <w:keepLines/>
        <w:widowControl w:val="0"/>
        <w:shd w:val="clear" w:color="auto" w:fill="auto"/>
        <w:bidi w:val="0"/>
        <w:spacing w:before="0" w:after="0" w:line="466" w:lineRule="exact"/>
        <w:ind w:left="0" w:right="0" w:firstLine="440"/>
        <w:jc w:val="both"/>
      </w:pPr>
      <w:bookmarkStart w:id="943" w:name="bookmark943"/>
      <w:bookmarkStart w:id="944" w:name="bookmark944"/>
      <w:r>
        <w:rPr>
          <w:color w:val="000000"/>
          <w:spacing w:val="0"/>
          <w:w w:val="100"/>
          <w:position w:val="0"/>
        </w:rPr>
        <w:t>终止经营</w:t>
      </w:r>
      <w:bookmarkEnd w:id="943"/>
      <w:bookmarkEnd w:id="944"/>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40"/>
        <w:keepNext w:val="0"/>
        <w:keepLines w:val="0"/>
        <w:widowControl w:val="0"/>
        <w:shd w:val="clear" w:color="auto" w:fill="auto"/>
        <w:tabs>
          <w:tab w:pos="813" w:val="left"/>
        </w:tabs>
        <w:bidi w:val="0"/>
        <w:spacing w:before="0" w:after="0" w:line="466" w:lineRule="exact"/>
        <w:ind w:left="0" w:right="0" w:firstLine="440"/>
        <w:jc w:val="both"/>
      </w:pPr>
      <w:bookmarkStart w:id="947" w:name="bookmark947"/>
      <w:r>
        <w:rPr>
          <w:rFonts w:ascii="Times New Roman" w:eastAsia="Times New Roman" w:hAnsi="Times New Roman" w:cs="Times New Roman"/>
          <w:color w:val="000000"/>
          <w:spacing w:val="0"/>
          <w:w w:val="100"/>
          <w:position w:val="0"/>
        </w:rPr>
        <w:t>1</w:t>
      </w:r>
      <w:bookmarkEnd w:id="947"/>
      <w:r>
        <w:rPr>
          <w:color w:val="000000"/>
          <w:spacing w:val="0"/>
          <w:w w:val="100"/>
          <w:position w:val="0"/>
        </w:rPr>
        <w:t>）</w:t>
        <w:tab/>
        <w:t>该组成部分代表一项独立的主要业务或一个单独的主要经营地区；</w:t>
      </w:r>
    </w:p>
    <w:p>
      <w:pPr>
        <w:pStyle w:val="Style40"/>
        <w:keepNext w:val="0"/>
        <w:keepLines w:val="0"/>
        <w:widowControl w:val="0"/>
        <w:shd w:val="clear" w:color="auto" w:fill="auto"/>
        <w:tabs>
          <w:tab w:pos="805" w:val="left"/>
        </w:tabs>
        <w:bidi w:val="0"/>
        <w:spacing w:before="0" w:after="0" w:line="466" w:lineRule="exact"/>
        <w:ind w:left="0" w:right="0" w:firstLine="440"/>
        <w:jc w:val="both"/>
      </w:pPr>
      <w:bookmarkStart w:id="948" w:name="bookmark948"/>
      <w:r>
        <w:rPr>
          <w:rFonts w:ascii="Times New Roman" w:eastAsia="Times New Roman" w:hAnsi="Times New Roman" w:cs="Times New Roman"/>
          <w:color w:val="000000"/>
          <w:spacing w:val="0"/>
          <w:w w:val="100"/>
          <w:position w:val="0"/>
        </w:rPr>
        <w:t>2</w:t>
      </w:r>
      <w:bookmarkEnd w:id="948"/>
      <w:r>
        <w:rPr>
          <w:color w:val="000000"/>
          <w:spacing w:val="0"/>
          <w:w w:val="100"/>
          <w:position w:val="0"/>
        </w:rPr>
        <w:t>）</w:t>
        <w:tab/>
        <w:t>该组成部分是拟对一项独立的主要业务或一个单独的主要经营地区进行处置的一项相关联计划的 一部分；</w:t>
      </w:r>
    </w:p>
    <w:p>
      <w:pPr>
        <w:pStyle w:val="Style40"/>
        <w:keepNext w:val="0"/>
        <w:keepLines w:val="0"/>
        <w:widowControl w:val="0"/>
        <w:shd w:val="clear" w:color="auto" w:fill="auto"/>
        <w:tabs>
          <w:tab w:pos="837" w:val="left"/>
        </w:tabs>
        <w:bidi w:val="0"/>
        <w:spacing w:before="0" w:after="60" w:line="466" w:lineRule="exact"/>
        <w:ind w:left="0" w:right="0" w:firstLine="440"/>
        <w:jc w:val="both"/>
      </w:pPr>
      <w:bookmarkStart w:id="949" w:name="bookmark949"/>
      <w:r>
        <w:rPr>
          <w:rFonts w:ascii="Times New Roman" w:eastAsia="Times New Roman" w:hAnsi="Times New Roman" w:cs="Times New Roman"/>
          <w:color w:val="000000"/>
          <w:spacing w:val="0"/>
          <w:w w:val="100"/>
          <w:position w:val="0"/>
        </w:rPr>
        <w:t>3</w:t>
      </w:r>
      <w:bookmarkEnd w:id="949"/>
      <w:r>
        <w:rPr>
          <w:color w:val="000000"/>
          <w:spacing w:val="0"/>
          <w:w w:val="100"/>
          <w:position w:val="0"/>
        </w:rPr>
        <w:t>）</w:t>
        <w:tab/>
        <w:t>该组成部分是专为转售而取得的子公司。</w:t>
      </w:r>
    </w:p>
    <w:p>
      <w:pPr>
        <w:pStyle w:val="Style40"/>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持续经营损益和终止经营损益在利润表中分别列示。终止经营的减值损失和转回金额等经营损益及处 置损益作为终止经营损益列报。对于当期列报的终止经营，本公司在当期财务报表中，将原来作为持续经 营损益列报的信息重新作为可比会计期间的终止经营损益列报。</w:t>
      </w:r>
      <w:r>
        <w:rPr>
          <w:rFonts w:ascii="Times New Roman" w:eastAsia="Times New Roman" w:hAnsi="Times New Roman" w:cs="Times New Roman"/>
          <w:color w:val="000000"/>
          <w:spacing w:val="0"/>
          <w:w w:val="100"/>
          <w:position w:val="0"/>
        </w:rPr>
        <w:t>7</w:t>
      </w:r>
    </w:p>
    <w:p>
      <w:pPr>
        <w:pStyle w:val="Style40"/>
        <w:keepNext w:val="0"/>
        <w:keepLines w:val="0"/>
        <w:widowControl w:val="0"/>
        <w:shd w:val="clear" w:color="auto" w:fill="auto"/>
        <w:bidi w:val="0"/>
        <w:spacing w:before="0" w:after="0" w:line="463" w:lineRule="exact"/>
        <w:ind w:left="0" w:right="0" w:firstLine="440"/>
        <w:jc w:val="both"/>
      </w:pPr>
      <w:r>
        <w:rPr>
          <w:b/>
          <w:bCs/>
          <w:color w:val="000000"/>
          <w:spacing w:val="0"/>
          <w:w w:val="100"/>
          <w:position w:val="0"/>
        </w:rPr>
        <w:t>回购本公司股份</w:t>
      </w:r>
    </w:p>
    <w:p>
      <w:pPr>
        <w:pStyle w:val="Style40"/>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回购自身权益工具支付的对价和交易费用，减少股东权益。除股份支付外，发行（含再融资）、回购、 出售或注销自身权益工具，作为权益的变动处理。</w:t>
      </w:r>
    </w:p>
    <w:p>
      <w:pPr>
        <w:pStyle w:val="Style36"/>
        <w:keepNext/>
        <w:keepLines/>
        <w:widowControl w:val="0"/>
        <w:shd w:val="clear" w:color="auto" w:fill="auto"/>
        <w:bidi w:val="0"/>
        <w:spacing w:before="0" w:after="0" w:line="48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950"/>
      <w:bookmarkEnd w:id="951"/>
      <w:bookmarkEnd w:id="953"/>
    </w:p>
    <w:p>
      <w:pPr>
        <w:pStyle w:val="Style114"/>
        <w:keepNext/>
        <w:keepLines/>
        <w:widowControl w:val="0"/>
        <w:shd w:val="clear" w:color="auto" w:fill="auto"/>
        <w:bidi w:val="0"/>
        <w:spacing w:before="0" w:line="463"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4"/>
      <w:bookmarkEnd w:id="955"/>
      <w:bookmarkEnd w:id="957"/>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日，财政部修订并发布 了《关于修订印发</w:t>
            </w:r>
            <w:r>
              <w:rPr>
                <w:color w:val="000000"/>
                <w:spacing w:val="0"/>
                <w:w w:val="100"/>
                <w:position w:val="0"/>
                <w:sz w:val="18"/>
                <w:szCs w:val="18"/>
              </w:rPr>
              <w:t>〈</w:t>
            </w:r>
            <w:r>
              <w:rPr>
                <w:color w:val="000000"/>
                <w:spacing w:val="0"/>
                <w:w w:val="100"/>
                <w:position w:val="0"/>
                <w:sz w:val="18"/>
                <w:szCs w:val="18"/>
              </w:rPr>
              <w:t>企业会计准则第</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号——收入</w:t>
            </w:r>
            <w:r>
              <w:rPr>
                <w:color w:val="000000"/>
                <w:spacing w:val="0"/>
                <w:w w:val="100"/>
                <w:position w:val="0"/>
                <w:sz w:val="18"/>
                <w:szCs w:val="18"/>
              </w:rPr>
              <w:t>〉</w:t>
            </w:r>
            <w:r>
              <w:rPr>
                <w:color w:val="000000"/>
                <w:spacing w:val="0"/>
                <w:w w:val="100"/>
                <w:position w:val="0"/>
                <w:sz w:val="18"/>
                <w:szCs w:val="18"/>
              </w:rPr>
              <w:t>的通知》（财会</w:t>
            </w:r>
            <w:r>
              <w:rPr>
                <w:rFonts w:ascii="Times New Roman" w:eastAsia="Times New Roman" w:hAnsi="Times New Roman" w:cs="Times New Roman"/>
                <w:color w:val="000000"/>
                <w:spacing w:val="0"/>
                <w:w w:val="100"/>
                <w:position w:val="0"/>
                <w:sz w:val="18"/>
                <w:szCs w:val="18"/>
              </w:rPr>
              <w:t xml:space="preserve">[2017]22 </w:t>
            </w:r>
            <w:r>
              <w:rPr>
                <w:color w:val="000000"/>
                <w:spacing w:val="0"/>
                <w:w w:val="100"/>
                <w:position w:val="0"/>
                <w:sz w:val="18"/>
                <w:szCs w:val="18"/>
              </w:rPr>
              <w:t xml:space="preserve">号，以下简称“新收入准则”），并要求 在境内外同时上市的企业以及在境外 上市并采用国际财务报告准则或企业 会计准则编制财务报表的企业，自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日起施行；其他境内上 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日起施行； 执行企业会计准则的非上市企业，自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日起施行。根据上述新 收入准则执行时间要求,公司需对会计 政策进行相应变更。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日召开第四届董事会 第三次会议、第四届监事会第三次会 议，分别审议通过了《关于会计政策变 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418"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年修订）（以下简称“新收入准则”）</w:t>
      </w:r>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 当根据累积影响数调整当年年初留存收益及财务报表其他相关项目金额，对可比期间信息不予调整。</w:t>
      </w:r>
    </w:p>
    <w:p>
      <w:pPr>
        <w:pStyle w:val="Style40"/>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 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 该准则的主要影响如下：</w:t>
      </w:r>
    </w:p>
    <w:tbl>
      <w:tblPr>
        <w:tblOverlap w:val="never"/>
        <w:jc w:val="center"/>
        <w:tblLayout w:type="fixed"/>
      </w:tblPr>
      <w:tblGrid>
        <w:gridCol w:w="2482"/>
        <w:gridCol w:w="1478"/>
        <w:gridCol w:w="1862"/>
        <w:gridCol w:w="1709"/>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会计政策变更的内容和原 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受影响的报表 项目</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合并</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将与销售相关的预收款项 重分类至合同负债，相关税 费重分类至其他流动负债。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19,657,627.32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94,847.22</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-20,837,084.96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-100,538.05</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1,179,457.64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5,690.83</w:t>
            </w:r>
          </w:p>
        </w:tc>
      </w:tr>
    </w:tbl>
    <w:p>
      <w:pPr>
        <w:pStyle w:val="Style4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bl>
      <w:tblPr>
        <w:tblOverlap w:val="never"/>
        <w:jc w:val="center"/>
        <w:tblLayout w:type="fixed"/>
      </w:tblPr>
      <w:tblGrid>
        <w:gridCol w:w="2957"/>
        <w:gridCol w:w="2429"/>
        <w:gridCol w:w="2438"/>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受影响的资产负债表项目</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10,689,626.42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-11,041,742.04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352,115.62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tbl>
      <w:tblPr>
        <w:tblOverlap w:val="never"/>
        <w:jc w:val="center"/>
        <w:tblLayout w:type="fixed"/>
      </w:tblPr>
      <w:tblGrid>
        <w:gridCol w:w="2938"/>
        <w:gridCol w:w="2410"/>
        <w:gridCol w:w="2419"/>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受影响的利润表项目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年度发生额的影响金额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61,150,046.21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61,150,046.21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40"/>
        <w:keepNext w:val="0"/>
        <w:keepLines w:val="0"/>
        <w:widowControl w:val="0"/>
        <w:shd w:val="clear" w:color="auto" w:fill="auto"/>
        <w:tabs>
          <w:tab w:pos="832" w:val="left"/>
        </w:tabs>
        <w:bidi w:val="0"/>
        <w:spacing w:before="0" w:after="0" w:line="472" w:lineRule="exact"/>
        <w:ind w:left="0" w:right="0" w:firstLine="440"/>
        <w:jc w:val="left"/>
      </w:pPr>
      <w:bookmarkStart w:id="958" w:name="bookmark958"/>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号，以下简称“解释 第</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40"/>
        <w:keepNext w:val="0"/>
        <w:keepLines w:val="0"/>
        <w:widowControl w:val="0"/>
        <w:numPr>
          <w:ilvl w:val="0"/>
          <w:numId w:val="41"/>
        </w:numPr>
        <w:shd w:val="clear" w:color="auto" w:fill="auto"/>
        <w:tabs>
          <w:tab w:pos="832" w:val="left"/>
        </w:tabs>
        <w:bidi w:val="0"/>
        <w:spacing w:before="0" w:after="0" w:line="472" w:lineRule="exact"/>
        <w:ind w:left="0" w:right="0" w:firstLine="440"/>
        <w:jc w:val="both"/>
      </w:pPr>
      <w:bookmarkStart w:id="959" w:name="bookmark959"/>
      <w:bookmarkEnd w:id="959"/>
      <w:r>
        <w:rPr>
          <w:color w:val="000000"/>
          <w:spacing w:val="0"/>
          <w:w w:val="100"/>
          <w:position w:val="0"/>
        </w:rPr>
        <w:t>关联方的认定</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 司）的合营企业或联营企业；企业的合营企业与企业的其他合营企业或联营企业。此外，解释第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 确了仅仅同受一方重大影响的两方或两方以上的企业不构成关联方，并补充说明了联营企业包括联营企业 及其子公司，合营企业包括合营企业及其子公司。</w:t>
      </w:r>
    </w:p>
    <w:p>
      <w:pPr>
        <w:pStyle w:val="Style40"/>
        <w:keepNext w:val="0"/>
        <w:keepLines w:val="0"/>
        <w:widowControl w:val="0"/>
        <w:numPr>
          <w:ilvl w:val="0"/>
          <w:numId w:val="41"/>
        </w:numPr>
        <w:shd w:val="clear" w:color="auto" w:fill="auto"/>
        <w:tabs>
          <w:tab w:pos="837" w:val="left"/>
        </w:tabs>
        <w:bidi w:val="0"/>
        <w:spacing w:before="0" w:after="0" w:line="472" w:lineRule="exact"/>
        <w:ind w:left="0" w:right="0" w:firstLine="440"/>
        <w:jc w:val="both"/>
      </w:pPr>
      <w:bookmarkStart w:id="960" w:name="bookmark960"/>
      <w:bookmarkEnd w:id="960"/>
      <w:r>
        <w:rPr>
          <w:color w:val="000000"/>
          <w:spacing w:val="0"/>
          <w:w w:val="100"/>
          <w:position w:val="0"/>
        </w:rPr>
        <w:t>业务的定义</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号完善了业务构成的三个要素，细化了构成业务的判断条件，同时引入“集中度测试”选择, 以在一定程度上简化非同一控制下取得组合是否构成业务的判断等问题。</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 状况和经营成果产生重大影响。</w:t>
      </w:r>
    </w:p>
    <w:p>
      <w:pPr>
        <w:pStyle w:val="Style40"/>
        <w:keepNext w:val="0"/>
        <w:keepLines w:val="0"/>
        <w:widowControl w:val="0"/>
        <w:shd w:val="clear" w:color="auto" w:fill="auto"/>
        <w:tabs>
          <w:tab w:pos="832" w:val="left"/>
        </w:tabs>
        <w:bidi w:val="0"/>
        <w:spacing w:before="0" w:after="0" w:line="472" w:lineRule="exact"/>
        <w:ind w:left="0" w:right="0" w:firstLine="440"/>
        <w:jc w:val="both"/>
      </w:pPr>
      <w:bookmarkStart w:id="961" w:name="bookmark961"/>
      <w:r>
        <w:rPr>
          <w:rFonts w:ascii="Times New Roman" w:eastAsia="Times New Roman" w:hAnsi="Times New Roman" w:cs="Times New Roman"/>
          <w:color w:val="000000"/>
          <w:spacing w:val="0"/>
          <w:w w:val="100"/>
          <w:position w:val="0"/>
        </w:rPr>
        <w:t>3</w:t>
      </w:r>
      <w:bookmarkEnd w:id="961"/>
      <w:r>
        <w:rPr>
          <w:color w:val="000000"/>
          <w:spacing w:val="0"/>
          <w:w w:val="100"/>
          <w:position w:val="0"/>
        </w:rPr>
        <w:t>）</w:t>
        <w:tab/>
        <w:t>执行《碳排放权交易有关会计处理暂行规定》</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号），适用于 按照《碳排放权交易管理暂行办法》等有关规定开展碳排放权交易业务的重点排放单位中的相关企业（以 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日起施行，重点排放企业应当采用未来适用法应用该规定。</w:t>
      </w:r>
    </w:p>
    <w:p>
      <w:pPr>
        <w:pStyle w:val="Style4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日起执行该规定，比较财务报表不做调整，执行该规定未对本公司财务状况和经 </w:t>
      </w:r>
      <w:r>
        <w:rPr>
          <w:color w:val="000000"/>
          <w:spacing w:val="0"/>
          <w:w w:val="100"/>
          <w:position w:val="0"/>
        </w:rPr>
        <w:t>营成果产生重大影响。</w:t>
      </w:r>
    </w:p>
    <w:p>
      <w:pPr>
        <w:pStyle w:val="Style40"/>
        <w:keepNext w:val="0"/>
        <w:keepLines w:val="0"/>
        <w:widowControl w:val="0"/>
        <w:numPr>
          <w:ilvl w:val="0"/>
          <w:numId w:val="43"/>
        </w:numPr>
        <w:shd w:val="clear" w:color="auto" w:fill="auto"/>
        <w:bidi w:val="0"/>
        <w:spacing w:before="0" w:after="0" w:line="470" w:lineRule="exact"/>
        <w:ind w:left="0" w:right="0" w:firstLine="440"/>
        <w:jc w:val="left"/>
      </w:pPr>
      <w:bookmarkStart w:id="962" w:name="bookmark962"/>
      <w:bookmarkEnd w:id="962"/>
      <w:r>
        <w:rPr>
          <w:color w:val="000000"/>
          <w:spacing w:val="0"/>
          <w:w w:val="100"/>
          <w:position w:val="0"/>
        </w:rPr>
        <w:t>执行《新冠肺炎疫情相关租金减让会计处理规定》</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日至该规定施行日之间发生的相关租金减让进行调整。 按照该规定，对于满足条件的由新冠肺炎疫情直接引发的租金减免、延期支付租金等租金减让，企业可以 选择采用简化方法进行会计处理。执行该规定未对本公司财务状况和经营成果产生重大影响。</w:t>
      </w:r>
    </w:p>
    <w:p>
      <w:pPr>
        <w:pStyle w:val="Style114"/>
        <w:keepNext/>
        <w:keepLines/>
        <w:widowControl w:val="0"/>
        <w:numPr>
          <w:ilvl w:val="0"/>
          <w:numId w:val="45"/>
        </w:numPr>
        <w:shd w:val="clear" w:color="auto" w:fill="auto"/>
        <w:tabs>
          <w:tab w:pos="493" w:val="left"/>
        </w:tabs>
        <w:bidi w:val="0"/>
        <w:spacing w:before="0" w:line="470"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重要会计估计变更</w:t>
      </w:r>
      <w:bookmarkEnd w:id="963"/>
      <w:bookmarkEnd w:id="964"/>
      <w:bookmarkEnd w:id="966"/>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4"/>
        <w:keepNext/>
        <w:keepLines/>
        <w:widowControl w:val="0"/>
        <w:numPr>
          <w:ilvl w:val="0"/>
          <w:numId w:val="45"/>
        </w:numPr>
        <w:shd w:val="clear" w:color="auto" w:fill="auto"/>
        <w:tabs>
          <w:tab w:pos="493" w:val="left"/>
        </w:tabs>
        <w:bidi w:val="0"/>
        <w:spacing w:before="0" w:line="470" w:lineRule="exact"/>
        <w:ind w:left="0" w:right="0" w:firstLine="0"/>
        <w:jc w:val="both"/>
      </w:pPr>
      <w:bookmarkStart w:id="967" w:name="bookmark967"/>
      <w:bookmarkStart w:id="968" w:name="bookmark968"/>
      <w:bookmarkStart w:id="969" w:name="bookmark969"/>
      <w:bookmarkStart w:id="970" w:name="bookmark970"/>
      <w:bookmarkEnd w:id="96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67"/>
      <w:bookmarkEnd w:id="968"/>
      <w:bookmarkEnd w:id="97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1,000,560,610.99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1,000,560,610.99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9,525,940.10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9,525,940.10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372,486,483.61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372,486,483.61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12,791,280.76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12,791,280.76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1,837,119,716.46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1,837,119,716.46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9,291,535.24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9,291,535.24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26,523,583.98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26,523,583.98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3,268,299,151.14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3,268,299,151.14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129,430,163.55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129,430,163.55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178,656,641.82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178,656,641.82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34,247,770.13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34,247,770.13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546,140,843.05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546,140,843.05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706,167.29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315,152,231.99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315,152,231.99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153,797,804.53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153,797,804.53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3,650,032,631.72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3,650,032,631.72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28,137,936.89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28,137,936.89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2,716,929.64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2,716,929.64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2,571,830.10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5,041,590,950.71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5,041,590,950.71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8,309,890,101.85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8,309,890,101.85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684,783,097.99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684,783,097.99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109,969,983.63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109,969,983.63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23,313,514.96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-20,837,084.96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19,657,627.32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19,657,627.32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59,478,960.75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59,478,960.75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33,790,266.24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33,790,266.24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748,396,364.49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748,396,364.49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76,930,475.19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76,930,475.19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486,241,140.00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486,241,140.00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2,145,973,328.06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2,145,973,328.06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2,595,999,168.79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2,595,999,168.79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2,595,999,168.79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2,595,999,168.79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4,741,972,496.85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4,741,972,496.85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3,543,544,059.00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3,543,544,059.00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2,191,437,796.98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2,191,437,796.98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-495,692,585.00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-495,692,585.00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-1,572,080,564.42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-1,572,080,564.42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3,563,473,091.22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4,444,513.78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4,444,513.78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3,567,917,605.00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3,567,917,605.00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8,309,890,101.85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8,309,890,101.85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22,827,503.21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22,827,503.21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9,525,940.10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9,525,940.10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6,865,848.58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6,865,848.58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1,799,447,770.73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1,799,447,770.73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2,808,160.58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2,808,160.58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468,848.89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468,848.89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1,842,008,872.09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1,842,008,872.09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6,426,792,665.07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6,426,792,665.07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67,736,521.36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67,736,521.36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31,247,770.13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31,247,770.13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1,427,814.72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1,427,814.72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738,338.92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738,338.92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772,965.59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772,965.59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911,504.40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911,504.40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6,529,627,580.19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6,529,627,580.19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8,371,636,452.28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8,371,636,452.28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618,583,097.99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618,583,097.99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3,805,001.55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3,805,001.55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100,538.05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-100,538.05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94,847.22</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296,652.06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918,052,050.71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918,052,050.71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76,930,475.19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76,930,475.19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1,542,647,961.18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1,542,647,961.18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345,255,399.76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345,255,399.76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345,255,399.76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345,255,399.76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1,887,903,360.94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1,887,903,360.94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3,543,544,059.00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3,543,544,059.00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5,200,513,804.87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5,200,513,804.87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520,861.36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-2,157,110,018.55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-2,157,110,018.55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6,483,733,091.34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6,483,733,091.34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8,371,636,452.28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8,371,636,452.28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114"/>
        <w:keepNext/>
        <w:keepLines/>
        <w:widowControl w:val="0"/>
        <w:numPr>
          <w:ilvl w:val="0"/>
          <w:numId w:val="45"/>
        </w:numPr>
        <w:shd w:val="clear" w:color="auto" w:fill="auto"/>
        <w:tabs>
          <w:tab w:pos="493" w:val="left"/>
        </w:tabs>
        <w:bidi w:val="0"/>
        <w:spacing w:before="0" w:line="240" w:lineRule="auto"/>
        <w:ind w:left="0" w:right="0" w:firstLine="0"/>
        <w:jc w:val="left"/>
      </w:pPr>
      <w:bookmarkStart w:id="971" w:name="bookmark971"/>
      <w:bookmarkStart w:id="972" w:name="bookmark972"/>
      <w:bookmarkStart w:id="973" w:name="bookmark973"/>
      <w:bookmarkStart w:id="974" w:name="bookmark974"/>
      <w:bookmarkEnd w:id="97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71"/>
      <w:bookmarkEnd w:id="972"/>
      <w:bookmarkEnd w:id="97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sz w:val="24"/>
          <w:szCs w:val="24"/>
        </w:rPr>
        <w:t>六</w:t>
      </w:r>
      <w:bookmarkEnd w:id="977"/>
      <w:r>
        <w:rPr>
          <w:color w:val="000000"/>
          <w:spacing w:val="0"/>
          <w:w w:val="100"/>
          <w:position w:val="0"/>
          <w:sz w:val="24"/>
          <w:szCs w:val="24"/>
        </w:rPr>
        <w:t>、税项</w:t>
      </w:r>
      <w:bookmarkEnd w:id="975"/>
      <w:bookmarkEnd w:id="976"/>
      <w:bookmarkEnd w:id="978"/>
    </w:p>
    <w:p>
      <w:pPr>
        <w:pStyle w:val="Style36"/>
        <w:keepNext/>
        <w:keepLines/>
        <w:widowControl w:val="0"/>
        <w:shd w:val="clear" w:color="auto" w:fill="auto"/>
        <w:bidi w:val="0"/>
        <w:spacing w:before="0" w:after="300" w:line="240" w:lineRule="auto"/>
        <w:ind w:left="0" w:right="0" w:firstLine="0"/>
        <w:jc w:val="left"/>
      </w:pPr>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9"/>
      <w:bookmarkEnd w:id="980"/>
      <w:bookmarkEnd w:id="981"/>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、营业收入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霍尔果斯巨蟹网络科技有限公司、霍尔果斯畅玩信息科技 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杭州每日给力科技有限公司、广州昊苍网络科技有限公司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杭州哲信信息技术有限公司、广州金科文化科技有限公司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北京奥飞特七科技咨询有限公司、杭州嘻动网络科技有限 公司、马鞍山翰哲网络科技有限公司、南京翰达睿信息技 术有限公司、上海惊蛰网络技术有限公司、绍兴上虞金科 哲信科技有限公司、海南金科网络科技有限公司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除上述以外的境内其他纳税主体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6"/>
        <w:keepNext/>
        <w:keepLines/>
        <w:widowControl w:val="0"/>
        <w:shd w:val="clear" w:color="auto" w:fill="auto"/>
        <w:bidi w:val="0"/>
        <w:spacing w:before="0" w:after="420" w:line="240" w:lineRule="auto"/>
        <w:ind w:left="0" w:right="0" w:firstLine="0"/>
        <w:jc w:val="left"/>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82"/>
      <w:bookmarkEnd w:id="983"/>
      <w:bookmarkEnd w:id="984"/>
    </w:p>
    <w:p>
      <w:pPr>
        <w:pStyle w:val="Style40"/>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根据财政部、国家税务总局《关于软件产品增值税的通知》(财税〔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 xml:space="preserve">号)规定，广州昊苍 </w:t>
      </w:r>
      <w:r>
        <w:rPr>
          <w:color w:val="000000"/>
          <w:spacing w:val="0"/>
          <w:w w:val="100"/>
          <w:position w:val="0"/>
        </w:rPr>
        <w:t>网络科技有限公司自行开发研制的软件产品销售先按</w:t>
      </w:r>
      <w:r>
        <w:rPr>
          <w:rFonts w:ascii="Times New Roman" w:eastAsia="Times New Roman" w:hAnsi="Times New Roman" w:cs="Times New Roman"/>
          <w:color w:val="000000"/>
          <w:spacing w:val="0"/>
          <w:w w:val="100"/>
          <w:position w:val="0"/>
        </w:rPr>
        <w:t>16%</w:t>
      </w:r>
      <w:r>
        <w:rPr>
          <w:color w:val="000000"/>
          <w:spacing w:val="0"/>
          <w:w w:val="100"/>
          <w:position w:val="0"/>
        </w:rPr>
        <w:t>或</w:t>
      </w:r>
      <w:r>
        <w:rPr>
          <w:rFonts w:ascii="Times New Roman" w:eastAsia="Times New Roman" w:hAnsi="Times New Roman" w:cs="Times New Roman"/>
          <w:color w:val="000000"/>
          <w:spacing w:val="0"/>
          <w:w w:val="100"/>
          <w:position w:val="0"/>
        </w:rPr>
        <w:t>13%</w:t>
      </w:r>
      <w:r>
        <w:rPr>
          <w:color w:val="000000"/>
          <w:spacing w:val="0"/>
          <w:w w:val="100"/>
          <w:position w:val="0"/>
        </w:rPr>
        <w:t>的税率计缴增值税，其实际税负超过</w:t>
      </w:r>
      <w:r>
        <w:rPr>
          <w:rFonts w:ascii="Times New Roman" w:eastAsia="Times New Roman" w:hAnsi="Times New Roman" w:cs="Times New Roman"/>
          <w:color w:val="000000"/>
          <w:spacing w:val="0"/>
          <w:w w:val="100"/>
          <w:position w:val="0"/>
        </w:rPr>
        <w:t>3%</w:t>
      </w:r>
      <w:r>
        <w:rPr>
          <w:color w:val="000000"/>
          <w:spacing w:val="0"/>
          <w:w w:val="100"/>
          <w:position w:val="0"/>
        </w:rPr>
        <w:t>部 分经主管国家税务局审核后予以退税。</w:t>
      </w:r>
    </w:p>
    <w:p>
      <w:pPr>
        <w:pStyle w:val="Style40"/>
        <w:keepNext w:val="0"/>
        <w:keepLines w:val="0"/>
        <w:widowControl w:val="0"/>
        <w:shd w:val="clear" w:color="auto" w:fill="auto"/>
        <w:bidi w:val="0"/>
        <w:spacing w:before="0" w:after="0" w:line="469"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40"/>
        <w:keepNext w:val="0"/>
        <w:keepLines w:val="0"/>
        <w:widowControl w:val="0"/>
        <w:shd w:val="clear" w:color="auto" w:fill="auto"/>
        <w:tabs>
          <w:tab w:pos="720" w:val="left"/>
        </w:tabs>
        <w:bidi w:val="0"/>
        <w:spacing w:before="0" w:after="0" w:line="469" w:lineRule="exact"/>
        <w:ind w:left="0" w:right="0" w:firstLine="440"/>
        <w:jc w:val="both"/>
      </w:pPr>
      <w:bookmarkStart w:id="986" w:name="bookmark986"/>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w:t>
        <w:tab/>
      </w:r>
      <w:r>
        <w:rPr>
          <w:color w:val="000000"/>
          <w:spacing w:val="0"/>
          <w:w w:val="100"/>
          <w:position w:val="0"/>
        </w:rPr>
        <w:t>根据塞浦路斯税务法规</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Outfit? Limited</w:t>
      </w:r>
      <w:r>
        <w:rPr>
          <w:color w:val="000000"/>
          <w:spacing w:val="0"/>
          <w:w w:val="100"/>
          <w:position w:val="0"/>
        </w:rPr>
        <w:t>公司享受</w:t>
      </w:r>
      <w:r>
        <w:rPr>
          <w:rFonts w:ascii="Times New Roman" w:eastAsia="Times New Roman" w:hAnsi="Times New Roman" w:cs="Times New Roman"/>
          <w:color w:val="000000"/>
          <w:spacing w:val="0"/>
          <w:w w:val="100"/>
          <w:position w:val="0"/>
        </w:rPr>
        <w:t>IP</w:t>
      </w:r>
      <w:r>
        <w:rPr>
          <w:color w:val="000000"/>
          <w:spacing w:val="0"/>
          <w:w w:val="100"/>
          <w:position w:val="0"/>
        </w:rPr>
        <w:t>盒子收入的应纳税额减免</w:t>
      </w:r>
      <w:r>
        <w:rPr>
          <w:rFonts w:ascii="Times New Roman" w:eastAsia="Times New Roman" w:hAnsi="Times New Roman" w:cs="Times New Roman"/>
          <w:color w:val="000000"/>
          <w:spacing w:val="0"/>
          <w:w w:val="100"/>
          <w:position w:val="0"/>
        </w:rPr>
        <w:t>80%</w:t>
      </w:r>
      <w:r>
        <w:rPr>
          <w:color w:val="000000"/>
          <w:spacing w:val="0"/>
          <w:w w:val="100"/>
          <w:position w:val="0"/>
        </w:rPr>
        <w:t>计缴企业所得税的 税收优惠。</w:t>
      </w:r>
    </w:p>
    <w:p>
      <w:pPr>
        <w:pStyle w:val="Style40"/>
        <w:keepNext w:val="0"/>
        <w:keepLines w:val="0"/>
        <w:widowControl w:val="0"/>
        <w:shd w:val="clear" w:color="auto" w:fill="auto"/>
        <w:tabs>
          <w:tab w:pos="720" w:val="left"/>
        </w:tabs>
        <w:bidi w:val="0"/>
        <w:spacing w:before="0" w:after="0" w:line="469" w:lineRule="exact"/>
        <w:ind w:left="0" w:right="0" w:firstLine="440"/>
        <w:jc w:val="both"/>
      </w:pPr>
      <w:bookmarkStart w:id="987" w:name="bookmark987"/>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w:t>
        <w:tab/>
      </w:r>
      <w:r>
        <w:rPr>
          <w:color w:val="000000"/>
          <w:spacing w:val="0"/>
          <w:w w:val="100"/>
          <w:position w:val="0"/>
        </w:rPr>
        <w:t>根据财政部、国家税务总局《关于新疆喀什霍尔果斯两个特殊经济开发区企业所得税优惠政策的通 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112</w:t>
      </w:r>
      <w:r>
        <w:rPr>
          <w:color w:val="000000"/>
          <w:spacing w:val="0"/>
          <w:w w:val="100"/>
          <w:position w:val="0"/>
        </w:rPr>
        <w:t>号文），对在新疆喀什、霍尔果斯两个特殊经济开发区内新办的属于《新疆困难地 区重点鼓励发展产业企业所得税优惠目录》范围内的企业，自取得第一笔生产经营收入所属纳税年度起， 五年内免征企业所得税。霍尔果斯巨蟹网络科技有限公司于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年度取得第一笔生产经营收入，本期予以 免缴企业所得税。霍尔果斯畅玩信息科技有限公司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年度取得第一笔生产经营收入，本期予以免缴企业 所得税</w:t>
      </w:r>
      <w:r>
        <w:rPr>
          <w:rFonts w:ascii="Times New Roman" w:eastAsia="Times New Roman" w:hAnsi="Times New Roman" w:cs="Times New Roman"/>
          <w:color w:val="000000"/>
          <w:spacing w:val="0"/>
          <w:w w:val="100"/>
          <w:position w:val="0"/>
        </w:rPr>
        <w:t>.</w:t>
      </w:r>
    </w:p>
    <w:p>
      <w:pPr>
        <w:pStyle w:val="Style40"/>
        <w:keepNext w:val="0"/>
        <w:keepLines w:val="0"/>
        <w:widowControl w:val="0"/>
        <w:shd w:val="clear" w:color="auto" w:fill="auto"/>
        <w:tabs>
          <w:tab w:pos="645" w:val="left"/>
        </w:tabs>
        <w:bidi w:val="0"/>
        <w:spacing w:before="0" w:after="0" w:line="469" w:lineRule="exact"/>
        <w:ind w:left="0" w:right="0" w:firstLine="440"/>
        <w:jc w:val="both"/>
      </w:pPr>
      <w:bookmarkStart w:id="988" w:name="bookmark988"/>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w:t>
        <w:tab/>
      </w:r>
      <w:r>
        <w:rPr>
          <w:color w:val="000000"/>
          <w:spacing w:val="0"/>
          <w:w w:val="100"/>
          <w:position w:val="0"/>
        </w:rPr>
        <w:t>根据财政部、国家税务总局《关于进一步鼓励软件产业和集成电路产业发展企业所得税政策的通知》 （财税〔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号文），新办软件生产企业经认定后，自开始获利年度起，第一年和第二年免征企业所</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得税，第三年至第五年减半征收企业所得税。杭州每日给力科技有限公司于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日被认定为软件 企业，本期为其获利第四年，减半按</w:t>
      </w:r>
      <w:r>
        <w:rPr>
          <w:rFonts w:ascii="Times New Roman" w:eastAsia="Times New Roman" w:hAnsi="Times New Roman" w:cs="Times New Roman"/>
          <w:color w:val="000000"/>
          <w:spacing w:val="0"/>
          <w:w w:val="100"/>
          <w:position w:val="0"/>
        </w:rPr>
        <w:t>12.5%</w:t>
      </w:r>
      <w:r>
        <w:rPr>
          <w:color w:val="000000"/>
          <w:spacing w:val="0"/>
          <w:w w:val="100"/>
          <w:position w:val="0"/>
        </w:rPr>
        <w:t>的税率计缴企业所得税。广州昊苍网络科技有限公司于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日被认定为软件企业，本期为其获利第四年，减半按</w:t>
      </w:r>
      <w:r>
        <w:rPr>
          <w:rFonts w:ascii="Times New Roman" w:eastAsia="Times New Roman" w:hAnsi="Times New Roman" w:cs="Times New Roman"/>
          <w:color w:val="000000"/>
          <w:spacing w:val="0"/>
          <w:w w:val="100"/>
          <w:position w:val="0"/>
        </w:rPr>
        <w:t>12.5%</w:t>
      </w:r>
      <w:r>
        <w:rPr>
          <w:color w:val="000000"/>
          <w:spacing w:val="0"/>
          <w:w w:val="100"/>
          <w:position w:val="0"/>
        </w:rPr>
        <w:t>的税率计缴企业所得税。</w:t>
      </w:r>
    </w:p>
    <w:p>
      <w:pPr>
        <w:pStyle w:val="Style40"/>
        <w:keepNext w:val="0"/>
        <w:keepLines w:val="0"/>
        <w:widowControl w:val="0"/>
        <w:shd w:val="clear" w:color="auto" w:fill="auto"/>
        <w:tabs>
          <w:tab w:pos="720" w:val="left"/>
        </w:tabs>
        <w:bidi w:val="0"/>
        <w:spacing w:before="0" w:after="0" w:line="469" w:lineRule="exact"/>
        <w:ind w:left="0" w:right="0" w:firstLine="440"/>
        <w:jc w:val="both"/>
      </w:pPr>
      <w:bookmarkStart w:id="989" w:name="bookmark989"/>
      <w:r>
        <w:rPr>
          <w:rFonts w:ascii="Times New Roman" w:eastAsia="Times New Roman" w:hAnsi="Times New Roman" w:cs="Times New Roman"/>
          <w:color w:val="000000"/>
          <w:spacing w:val="0"/>
          <w:w w:val="100"/>
          <w:position w:val="0"/>
        </w:rPr>
        <w:t>4</w:t>
      </w:r>
      <w:bookmarkEnd w:id="989"/>
      <w:r>
        <w:rPr>
          <w:rFonts w:ascii="Times New Roman" w:eastAsia="Times New Roman" w:hAnsi="Times New Roman" w:cs="Times New Roman"/>
          <w:color w:val="000000"/>
          <w:spacing w:val="0"/>
          <w:w w:val="100"/>
          <w:position w:val="0"/>
        </w:rPr>
        <w:t>）</w:t>
        <w:tab/>
      </w:r>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日发布的《关于公示浙江省</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年拟认定高新技术企业名单的通知》，杭州哲信信息技术有限公司被认定为高新技术企业，认定有效期三 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年。本期按照</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40"/>
        <w:keepNext w:val="0"/>
        <w:keepLines w:val="0"/>
        <w:widowControl w:val="0"/>
        <w:shd w:val="clear" w:color="auto" w:fill="auto"/>
        <w:tabs>
          <w:tab w:pos="725" w:val="left"/>
        </w:tabs>
        <w:bidi w:val="0"/>
        <w:spacing w:before="0" w:after="0" w:line="469" w:lineRule="exact"/>
        <w:ind w:left="0" w:right="0" w:firstLine="440"/>
        <w:jc w:val="both"/>
      </w:pPr>
      <w:bookmarkStart w:id="990" w:name="bookmark990"/>
      <w:r>
        <w:rPr>
          <w:rFonts w:ascii="Times New Roman" w:eastAsia="Times New Roman" w:hAnsi="Times New Roman" w:cs="Times New Roman"/>
          <w:color w:val="000000"/>
          <w:spacing w:val="0"/>
          <w:w w:val="100"/>
          <w:position w:val="0"/>
        </w:rPr>
        <w:t>5</w:t>
      </w:r>
      <w:bookmarkEnd w:id="990"/>
      <w:r>
        <w:rPr>
          <w:rFonts w:ascii="Times New Roman" w:eastAsia="Times New Roman" w:hAnsi="Times New Roman" w:cs="Times New Roman"/>
          <w:color w:val="000000"/>
          <w:spacing w:val="0"/>
          <w:w w:val="100"/>
          <w:position w:val="0"/>
        </w:rPr>
        <w:t>）</w:t>
        <w:tab/>
      </w:r>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日发布的《关于公示广东省</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年第三批拟认定高新技术企业名单知》，广州金科文化科技有限公司被认定为高新技术企业，认定有效期 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年。本期按照</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40"/>
        <w:keepNext w:val="0"/>
        <w:keepLines w:val="0"/>
        <w:widowControl w:val="0"/>
        <w:shd w:val="clear" w:color="auto" w:fill="auto"/>
        <w:tabs>
          <w:tab w:pos="744" w:val="left"/>
        </w:tabs>
        <w:bidi w:val="0"/>
        <w:spacing w:before="0" w:after="0" w:line="469" w:lineRule="exact"/>
        <w:ind w:left="0" w:right="0" w:firstLine="440"/>
        <w:jc w:val="both"/>
      </w:pPr>
      <w:bookmarkStart w:id="991" w:name="bookmark991"/>
      <w:r>
        <w:rPr>
          <w:rFonts w:ascii="Times New Roman" w:eastAsia="Times New Roman" w:hAnsi="Times New Roman" w:cs="Times New Roman"/>
          <w:color w:val="000000"/>
          <w:spacing w:val="0"/>
          <w:w w:val="100"/>
          <w:position w:val="0"/>
        </w:rPr>
        <w:t>6</w:t>
      </w:r>
      <w:bookmarkEnd w:id="991"/>
      <w:r>
        <w:rPr>
          <w:color w:val="000000"/>
          <w:spacing w:val="0"/>
          <w:w w:val="100"/>
          <w:position w:val="0"/>
        </w:rPr>
        <w:t>）</w:t>
        <w:tab/>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日发布的《关于广东省</w:t>
      </w:r>
      <w:r>
        <w:rPr>
          <w:rFonts w:ascii="Times New Roman" w:eastAsia="Times New Roman" w:hAnsi="Times New Roman" w:cs="Times New Roman"/>
          <w:color w:val="000000"/>
          <w:spacing w:val="0"/>
          <w:w w:val="100"/>
          <w:position w:val="0"/>
        </w:rPr>
        <w:t>2019</w:t>
      </w:r>
      <w:r>
        <w:rPr>
          <w:color w:val="000000"/>
          <w:spacing w:val="0"/>
          <w:w w:val="100"/>
          <w:position w:val="0"/>
        </w:rPr>
        <w:t>年第 二批高新技术企业备案的复函》，广州昊苍网络科技有限公司被认定为高新技术企业，认定有效期三年， 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40"/>
        <w:keepNext w:val="0"/>
        <w:keepLines w:val="0"/>
        <w:widowControl w:val="0"/>
        <w:shd w:val="clear" w:color="auto" w:fill="auto"/>
        <w:tabs>
          <w:tab w:pos="749" w:val="left"/>
        </w:tabs>
        <w:bidi w:val="0"/>
        <w:spacing w:before="0" w:after="0" w:line="469" w:lineRule="exact"/>
        <w:ind w:left="0" w:right="0" w:firstLine="440"/>
        <w:jc w:val="both"/>
      </w:pPr>
      <w:bookmarkStart w:id="992" w:name="bookmark992"/>
      <w:r>
        <w:rPr>
          <w:rFonts w:ascii="Times New Roman" w:eastAsia="Times New Roman" w:hAnsi="Times New Roman" w:cs="Times New Roman"/>
          <w:color w:val="000000"/>
          <w:spacing w:val="0"/>
          <w:w w:val="100"/>
          <w:position w:val="0"/>
        </w:rPr>
        <w:t>7</w:t>
      </w:r>
      <w:bookmarkEnd w:id="992"/>
      <w:r>
        <w:rPr>
          <w:rFonts w:ascii="Times New Roman" w:eastAsia="Times New Roman" w:hAnsi="Times New Roman" w:cs="Times New Roman"/>
          <w:color w:val="000000"/>
          <w:spacing w:val="0"/>
          <w:w w:val="100"/>
          <w:position w:val="0"/>
        </w:rPr>
        <w:t>）</w:t>
        <w:tab/>
      </w:r>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号文，北京奥飞特七科技咨询有限公司、杭州嘻动网络科技 有限公司、广州麒迹信息科技有限公司、马鞍山翰哲网络科技有限公司、南京翰达睿信息技术有限公司、 上海惊蛰网络技术有限公司、绍兴上虞金科哲信科技有限公司、海南金科网络科技有限公司被认定为小型 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 得税；年应纳税所得额超过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w:t>
      </w:r>
      <w:r>
        <w:br w:type="page"/>
      </w:r>
    </w:p>
    <w:p>
      <w:pPr>
        <w:pStyle w:val="Style40"/>
        <w:keepNext w:val="0"/>
        <w:keepLines w:val="0"/>
        <w:widowControl w:val="0"/>
        <w:shd w:val="clear" w:color="auto" w:fill="auto"/>
        <w:bidi w:val="0"/>
        <w:spacing w:before="0" w:after="420" w:line="240" w:lineRule="auto"/>
        <w:ind w:left="0" w:right="0" w:firstLine="0"/>
        <w:jc w:val="left"/>
      </w:pPr>
      <w:r>
        <w:rPr>
          <w:color w:val="000000"/>
          <w:spacing w:val="0"/>
          <w:w w:val="100"/>
          <w:position w:val="0"/>
        </w:rPr>
        <w:t>缴纳企业所得税。</w:t>
      </w:r>
    </w:p>
    <w:p>
      <w:pPr>
        <w:pStyle w:val="Style36"/>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color w:val="000000"/>
          <w:spacing w:val="0"/>
          <w:w w:val="100"/>
          <w:position w:val="0"/>
        </w:rPr>
        <w:t>、其他</w:t>
      </w:r>
      <w:bookmarkEnd w:id="993"/>
      <w:bookmarkEnd w:id="994"/>
      <w:bookmarkEnd w:id="996"/>
    </w:p>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境外子公司主要税种及税率</w:t>
      </w:r>
    </w:p>
    <w:tbl>
      <w:tblPr>
        <w:tblOverlap w:val="never"/>
        <w:jc w:val="left"/>
        <w:tblLayout w:type="fixed"/>
      </w:tblPr>
      <w:tblGrid>
        <w:gridCol w:w="1973"/>
        <w:gridCol w:w="4646"/>
        <w:gridCol w:w="1925"/>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 础计算销项税额，在扣除当期允许抵扣的进项税额 后，差额部分为应交增值税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widowControl w:val="0"/>
        <w:spacing w:line="1" w:lineRule="exact"/>
      </w:pPr>
    </w:p>
    <w:p>
      <w:pPr>
        <w:pStyle w:val="Style34"/>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：存在不同企业增值税税率纳税主体的，披露情况说明</w:t>
      </w:r>
    </w:p>
    <w:tbl>
      <w:tblPr>
        <w:tblOverlap w:val="never"/>
        <w:jc w:val="center"/>
        <w:tblLayout w:type="fixed"/>
      </w:tblPr>
      <w:tblGrid>
        <w:gridCol w:w="5976"/>
        <w:gridCol w:w="2573"/>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增值税税率（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ZHEXIN TRANSASIA SINGAPORE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Zetta Byte (Hong Kong) Company Limited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爱玩网络有限公司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金科国际（香港）有限公司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United Luck Group Holdings Limited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Lily Technology Co., Ltd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Ryuki Technology Co., Ltd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Investments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Ekipa2, mobilne internetne storitve, d.o.o.</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Brit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AG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Inc.</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Outfit7 Limited </w:t>
            </w:r>
            <w:r>
              <w:rPr>
                <w:color w:val="000000"/>
                <w:spacing w:val="0"/>
                <w:w w:val="100"/>
                <w:position w:val="0"/>
              </w:rPr>
              <w:t>(</w:t>
            </w:r>
            <w:r>
              <w:rPr>
                <w:color w:val="000000"/>
                <w:spacing w:val="0"/>
                <w:w w:val="100"/>
                <w:position w:val="0"/>
              </w:rPr>
              <w:t>香港</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不存在此税种</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BCN, S.R.L.</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Studios Private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Hyper Dot Studios Limited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Inner10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Inner100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20</w:t>
            </w:r>
          </w:p>
        </w:tc>
      </w:tr>
    </w:tbl>
    <w:p>
      <w:pPr>
        <w:widowControl w:val="0"/>
        <w:spacing w:line="1" w:lineRule="exact"/>
      </w:pPr>
    </w:p>
    <w:p>
      <w:pPr>
        <w:pStyle w:val="Style34"/>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：存在不同企业所得税税率纳税主体的，披露情况说明</w:t>
      </w:r>
    </w:p>
    <w:tbl>
      <w:tblPr>
        <w:tblOverlap w:val="never"/>
        <w:jc w:val="center"/>
        <w:tblLayout w:type="fixed"/>
      </w:tblPr>
      <w:tblGrid>
        <w:gridCol w:w="5976"/>
        <w:gridCol w:w="2568"/>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ZHEXIN TRANSASIA SINGAPORE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Zetta Byte (Hong Kong) Company Limited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爱玩网络有限公司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金科国际（香港）有限公司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United Luck Group Holdings Limited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不存在此税种</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Lily Technology Co., Ltd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不存在此税种</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Ryuki Technology Co., Ltd</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不存在此税种</w:t>
            </w:r>
          </w:p>
        </w:tc>
      </w:tr>
    </w:tbl>
    <w:p>
      <w:pPr>
        <w:widowControl w:val="0"/>
        <w:spacing w:line="1" w:lineRule="exact"/>
      </w:pPr>
      <w:r>
        <w:br w:type="page"/>
      </w:r>
    </w:p>
    <w:tbl>
      <w:tblPr>
        <w:tblOverlap w:val="never"/>
        <w:jc w:val="center"/>
        <w:tblLayout w:type="fixed"/>
      </w:tblPr>
      <w:tblGrid>
        <w:gridCol w:w="5976"/>
        <w:gridCol w:w="256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Investments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Ekipa2, mobilne internetne storitve, d.o.o.</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Brit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AG</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Inc.</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Outfit7 Limited </w:t>
            </w:r>
            <w:r>
              <w:rPr>
                <w:color w:val="000000"/>
                <w:spacing w:val="0"/>
                <w:w w:val="100"/>
                <w:position w:val="0"/>
              </w:rPr>
              <w:t>（</w:t>
            </w:r>
            <w:r>
              <w:rPr>
                <w:color w:val="000000"/>
                <w:spacing w:val="0"/>
                <w:w w:val="100"/>
                <w:position w:val="0"/>
              </w:rPr>
              <w:t>香港</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BCN, S.R.L.</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Outfit7 Studios Private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 xml:space="preserve">25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40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Hyper Dot Studios Limited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Inner10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Inner100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sz w:val="24"/>
          <w:szCs w:val="24"/>
        </w:rPr>
        <w:t>七</w:t>
      </w:r>
      <w:bookmarkEnd w:id="999"/>
      <w:r>
        <w:rPr>
          <w:color w:val="000000"/>
          <w:spacing w:val="0"/>
          <w:w w:val="100"/>
          <w:position w:val="0"/>
          <w:sz w:val="24"/>
          <w:szCs w:val="24"/>
        </w:rPr>
        <w:t>、合并财务报表项目注释</w:t>
      </w:r>
      <w:bookmarkEnd w:id="1000"/>
      <w:bookmarkEnd w:id="997"/>
      <w:bookmarkEnd w:id="998"/>
    </w:p>
    <w:p>
      <w:pPr>
        <w:pStyle w:val="Style36"/>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1"/>
      <w:bookmarkEnd w:id="1002"/>
      <w:bookmarkEnd w:id="10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178,479.23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708,617,609.14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995,906,540.61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3,646,238.26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4,475,591.15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712,331,309.00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1,000,560,610.99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603,094,466.60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706,806,357.92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351,331,021.85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356,251,003.66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40"/>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341"/>
        <w:gridCol w:w="2237"/>
        <w:gridCol w:w="2246"/>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存放于专管账户的股权转让款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330,608,734.63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353,313,977.66</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1,182,500.00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1,332,500.00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公司信用卡保证金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1,604,526.00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银行借款质押账户资金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16,539,787.22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信用购机业务监管账户资金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351,331,021.85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356,251,003.66</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04"/>
      <w:bookmarkEnd w:id="1005"/>
      <w:bookmarkEnd w:id="10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9,525,940.10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9,525,940.10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9,525,940.10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color w:val="000000"/>
          <w:spacing w:val="0"/>
          <w:w w:val="100"/>
          <w:position w:val="0"/>
        </w:rPr>
        <w:t>、应收账款</w:t>
      </w:r>
      <w:bookmarkEnd w:id="1007"/>
      <w:bookmarkEnd w:id="1008"/>
      <w:bookmarkEnd w:id="1010"/>
    </w:p>
    <w:p>
      <w:pPr>
        <w:pStyle w:val="Style114"/>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1"/>
      <w:bookmarkEnd w:id="1012"/>
      <w:bookmarkEnd w:id="101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72,039,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27,285,5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659.09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74.36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21,858,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345,200,</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9,727.9</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752.90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975.09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按账龄组合计提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坏账准备的应收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21,858,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345,200,</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9,727.9</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752.90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975.09</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93,898,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372,486,</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9,782.0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411.99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483.61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74,053,341.72</w:t>
      </w:r>
    </w:p>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广州小朋网络科技有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35,394,998.76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31,855,498.89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对方公司可追偿资产 较少，预计收回金额 较小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北京新浪互联信息服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15,225,199.04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15,225,199.04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北京美誉信科技有限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4,231,322.72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4,231,322.72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南京非同凡响信息科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2,392,746.30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2,392,746.30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长沙中智资讯服务有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2,133,735.45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2,133,735.45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星宝乐园（北京）信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1,925,698.18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1,925,698.18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Gamebau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1,122,670.07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1,122,670.07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北京软谷信息技术有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深圳市腾讯计算机系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878,239.34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878,239.34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广州粤辰星电子科技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634,722.22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634,722.22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晶绮科技（香港）股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627,858.00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627,858.00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上海亿应网络科技有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561,702.74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561,702.74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南京圣齐网络科技有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550,000.96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550,000.96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广州万益信息科技股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549,862.31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549,862.31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10,364,085.50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10,364,085.50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终止合作预计难以收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77,592,841.59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74,053,341.72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11,843,332.88</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221,143,817.67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11,057,190.88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2,258,948.77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225,894.86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1,498,479.00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449,543.68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155,695.00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155,694.98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225,056,940.44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11,888,324.40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223,110,017.21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61,950,957.29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4,615,220.20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12,973,587.33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12,973,587.33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302,649,782.03</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4"/>
      <w:bookmarkEnd w:id="1015"/>
      <w:bookmarkEnd w:id="101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应收账款坏帐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93,898,411.99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93,898,411.99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27,041,315.83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10,080,562.93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24,917,498.77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85,941,666.12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93,898,411.99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93,898,411.99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27,041,315.83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10,080,562.93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24,917,498.77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85,941,666.12</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其中本期坏账准备收回或转回金额重要的：无。</w:t>
      </w:r>
    </w:p>
    <w:p>
      <w:pPr>
        <w:pStyle w:val="Style114"/>
        <w:keepNext/>
        <w:keepLines/>
        <w:widowControl w:val="0"/>
        <w:numPr>
          <w:ilvl w:val="0"/>
          <w:numId w:val="47"/>
        </w:numPr>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本期实际核销的应收账款情况</w:t>
      </w:r>
      <w:bookmarkEnd w:id="1017"/>
      <w:bookmarkEnd w:id="1018"/>
      <w:bookmarkEnd w:id="10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10,080,562.93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其中重要的应收账款核销情况：无。</w:t>
      </w:r>
      <w:r>
        <w:br w:type="page"/>
      </w:r>
    </w:p>
    <w:p>
      <w:pPr>
        <w:pStyle w:val="Style114"/>
        <w:keepNext/>
        <w:keepLines/>
        <w:widowControl w:val="0"/>
        <w:numPr>
          <w:ilvl w:val="0"/>
          <w:numId w:val="47"/>
        </w:numPr>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按欠款方归集的期末余额前五名的应收账款情况</w:t>
      </w:r>
      <w:bookmarkEnd w:id="1021"/>
      <w:bookmarkEnd w:id="1022"/>
      <w:bookmarkEnd w:id="10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Google Ireland LTD/</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Google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66,801,438.57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3,340,071.93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广州小朋网络科技有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35,394,998.76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31,855,498.89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北京新浪互联信息服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15,225,199.04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15,225,199.04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SuperAwesome Trading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15,081,399.35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754,070.01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IronSource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12,665,061.34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633,253.07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145,168,097.06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color w:val="000000"/>
          <w:spacing w:val="0"/>
          <w:w w:val="100"/>
          <w:position w:val="0"/>
        </w:rPr>
        <w:t>、预付款项</w:t>
      </w:r>
      <w:bookmarkEnd w:id="1025"/>
      <w:bookmarkEnd w:id="1026"/>
      <w:bookmarkEnd w:id="1028"/>
    </w:p>
    <w:p>
      <w:pPr>
        <w:pStyle w:val="Style114"/>
        <w:keepNext/>
        <w:keepLines/>
        <w:widowControl w:val="0"/>
        <w:shd w:val="clear" w:color="auto" w:fill="auto"/>
        <w:bidi w:val="0"/>
        <w:spacing w:before="0" w:after="320" w:line="240" w:lineRule="auto"/>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9"/>
      <w:bookmarkEnd w:id="1030"/>
      <w:bookmarkEnd w:id="10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10,176,273.08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12,233,310.80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10,388,581.08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12,791,280.76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19" w:line="1" w:lineRule="exact"/>
      </w:pPr>
    </w:p>
    <w:p>
      <w:pPr>
        <w:pStyle w:val="Style114"/>
        <w:keepNext/>
        <w:keepLines/>
        <w:widowControl w:val="0"/>
        <w:shd w:val="clear" w:color="auto" w:fill="auto"/>
        <w:bidi w:val="0"/>
        <w:spacing w:before="0" w:after="640" w:line="240" w:lineRule="auto"/>
        <w:ind w:left="0" w:right="0" w:firstLine="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2"/>
      <w:bookmarkEnd w:id="1033"/>
      <w:bookmarkEnd w:id="1034"/>
    </w:p>
    <w:tbl>
      <w:tblPr>
        <w:tblOverlap w:val="never"/>
        <w:jc w:val="center"/>
        <w:tblLayout w:type="fixed"/>
      </w:tblPr>
      <w:tblGrid>
        <w:gridCol w:w="3509"/>
        <w:gridCol w:w="2126"/>
        <w:gridCol w:w="2136"/>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重庆聚企智业大数据有限公司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1,110,988.25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深圳市指尖动力网络技术有限公司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786,053.40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7.57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杭州风特网络科技有限公司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564,993.43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5.44</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 Annie Europe Limited</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564,311.02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5.43</w:t>
            </w:r>
          </w:p>
        </w:tc>
      </w:tr>
    </w:tbl>
    <w:p>
      <w:pPr>
        <w:widowControl w:val="0"/>
        <w:spacing w:line="1" w:lineRule="exact"/>
      </w:pPr>
      <w:r>
        <w:br w:type="page"/>
      </w:r>
    </w:p>
    <w:tbl>
      <w:tblPr>
        <w:tblOverlap w:val="never"/>
        <w:jc w:val="center"/>
        <w:tblLayout w:type="fixed"/>
      </w:tblPr>
      <w:tblGrid>
        <w:gridCol w:w="3509"/>
        <w:gridCol w:w="2126"/>
        <w:gridCol w:w="2136"/>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AppsFlyer Ltd.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500,678.06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3,527,024.16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5</w:t>
      </w:r>
      <w:bookmarkEnd w:id="1037"/>
      <w:r>
        <w:rPr>
          <w:color w:val="000000"/>
          <w:spacing w:val="0"/>
          <w:w w:val="100"/>
          <w:position w:val="0"/>
        </w:rPr>
        <w:t>、其他应收款</w:t>
      </w:r>
      <w:bookmarkEnd w:id="1035"/>
      <w:bookmarkEnd w:id="1036"/>
      <w:bookmarkEnd w:id="10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21,138,056.80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1,837,119,716.46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21,178,056.80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1,837,119,716.46</w:t>
            </w:r>
          </w:p>
        </w:tc>
      </w:tr>
    </w:tbl>
    <w:p>
      <w:pPr>
        <w:widowControl w:val="0"/>
        <w:spacing w:after="319" w:line="1" w:lineRule="exact"/>
      </w:pPr>
    </w:p>
    <w:p>
      <w:pPr>
        <w:pStyle w:val="Style114"/>
        <w:keepNext/>
        <w:keepLines/>
        <w:widowControl w:val="0"/>
        <w:shd w:val="clear" w:color="auto" w:fill="auto"/>
        <w:bidi w:val="0"/>
        <w:spacing w:before="0" w:after="320" w:line="240" w:lineRule="auto"/>
        <w:ind w:left="0" w:right="0" w:firstLine="0"/>
        <w:jc w:val="left"/>
      </w:pPr>
      <w:bookmarkStart w:id="1039" w:name="bookmark1039"/>
      <w:bookmarkStart w:id="1040" w:name="bookmark1040"/>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39"/>
      <w:bookmarkEnd w:id="1040"/>
      <w:bookmarkEnd w:id="1041"/>
    </w:p>
    <w:p>
      <w:pPr>
        <w:pStyle w:val="Style148"/>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042"/>
      <w:bookmarkEnd w:id="1043"/>
      <w:bookmarkEnd w:id="104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成都佳讯文化传播有限责任公司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48"/>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045"/>
      <w:bookmarkEnd w:id="1046"/>
      <w:bookmarkEnd w:id="104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4"/>
        <w:keepNext/>
        <w:keepLines/>
        <w:widowControl w:val="0"/>
        <w:shd w:val="clear" w:color="auto" w:fill="auto"/>
        <w:bidi w:val="0"/>
        <w:spacing w:before="0" w:after="320" w:line="240" w:lineRule="auto"/>
        <w:ind w:left="0" w:right="0" w:firstLine="0"/>
        <w:jc w:val="left"/>
      </w:pPr>
      <w:bookmarkStart w:id="1048" w:name="bookmark1048"/>
      <w:bookmarkStart w:id="1049" w:name="bookmark1049"/>
      <w:bookmarkStart w:id="1050" w:name="bookmark10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48"/>
      <w:bookmarkEnd w:id="1049"/>
      <w:bookmarkEnd w:id="1050"/>
    </w:p>
    <w:p>
      <w:pPr>
        <w:pStyle w:val="Style148"/>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51"/>
      <w:bookmarkEnd w:id="1052"/>
      <w:bookmarkEnd w:id="10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对金科控股集团有限公司资金拆借款 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1,613,472,999.34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万锦商贸有限公司（被收购前）对金科 控股集团有限公司资金拆借款及利息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214,554,943.72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预付供应商拆借性质款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16,347,459.95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13,252,925.92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其他小额资金拆借款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5,397,721.12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应退回推广费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5,965,186.30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26,080,052.52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应收信用购机款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4,024,808.10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25,432,204.11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12,205,944.77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5,975,863.79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835,650.68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3,267,109.73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2,774,442.31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1,563,065.36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418,364.83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277,977.00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57,003.68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43,683,289.63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1,921,313,855.56</w:t>
            </w:r>
          </w:p>
        </w:tc>
      </w:tr>
    </w:tbl>
    <w:p>
      <w:pPr>
        <w:widowControl w:val="0"/>
        <w:spacing w:after="299" w:line="1" w:lineRule="exact"/>
      </w:pPr>
    </w:p>
    <w:p>
      <w:pPr>
        <w:pStyle w:val="Style148"/>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054"/>
      <w:bookmarkEnd w:id="1055"/>
      <w:bookmarkEnd w:id="10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82,871,334.17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84,194,139.10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-610,938.43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980,386.24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16,101,172.13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17,081,558.37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77,430,156.24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-1,300,308.40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-1,300,308.40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4,510,317.34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18,034,915.49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22,545,232.83</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其他应收款项账面余额变动如下：</w:t>
      </w:r>
    </w:p>
    <w:tbl>
      <w:tblPr>
        <w:tblOverlap w:val="never"/>
        <w:jc w:val="center"/>
        <w:tblLayout w:type="fixed"/>
      </w:tblPr>
      <w:tblGrid>
        <w:gridCol w:w="2165"/>
        <w:gridCol w:w="1478"/>
        <w:gridCol w:w="1406"/>
        <w:gridCol w:w="1291"/>
        <w:gridCol w:w="1483"/>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8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 信用减值</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 生信用减值</w:t>
            </w: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1,916,657,996.12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3,703,393.90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952,465.54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1,921,313,855.56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-12,218,768.56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-3,703,393.90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15,922,162.46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1,160,287.49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1,160,287.49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1,871,907,991.17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1,871,907,991.17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-6,882,862.25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-6,882,862.25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25,648,374.14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18,034,915.49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43,683,289.63</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22,850,347.51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16,992,184.25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870,455.62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2,970,302.25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2,970,302.25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43,683,289.63</w:t>
            </w:r>
          </w:p>
        </w:tc>
      </w:tr>
    </w:tbl>
    <w:p>
      <w:pPr>
        <w:widowControl w:val="0"/>
        <w:spacing w:after="299" w:line="1" w:lineRule="exact"/>
      </w:pPr>
    </w:p>
    <w:p>
      <w:pPr>
        <w:pStyle w:val="Style148"/>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color w:val="000000"/>
          <w:spacing w:val="0"/>
          <w:w w:val="100"/>
          <w:position w:val="0"/>
        </w:rPr>
        <w:t>）本期计提、收回或转回的坏账准备情况</w:t>
      </w:r>
      <w:bookmarkEnd w:id="1057"/>
      <w:bookmarkEnd w:id="1058"/>
      <w:bookmarkEnd w:id="106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其他应收款项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坏帐准备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84,194,139.</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17,081,558.37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-1,300,308.40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22,545,232.83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84,194,139.</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17,081,558.37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-1,300,308.40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22,545,232.83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银行转账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48"/>
        <w:keepNext/>
        <w:keepLines/>
        <w:widowControl w:val="0"/>
        <w:shd w:val="clear" w:color="auto" w:fill="auto"/>
        <w:tabs>
          <w:tab w:pos="397"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color w:val="000000"/>
          <w:spacing w:val="0"/>
          <w:w w:val="100"/>
          <w:position w:val="0"/>
        </w:rPr>
        <w:t>）</w:t>
        <w:tab/>
        <w:t>本期实际核销的其他应收款情况</w:t>
      </w:r>
      <w:bookmarkEnd w:id="1061"/>
      <w:bookmarkEnd w:id="1062"/>
      <w:bookmarkEnd w:id="1064"/>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本期无实际核销的其他应收款项情况。</w:t>
      </w:r>
    </w:p>
    <w:p>
      <w:pPr>
        <w:pStyle w:val="Style148"/>
        <w:keepNext/>
        <w:keepLines/>
        <w:widowControl w:val="0"/>
        <w:shd w:val="clear" w:color="auto" w:fill="auto"/>
        <w:tabs>
          <w:tab w:pos="397"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5</w:t>
      </w:r>
      <w:bookmarkEnd w:id="1067"/>
      <w:r>
        <w:rPr>
          <w:color w:val="000000"/>
          <w:spacing w:val="0"/>
          <w:w w:val="100"/>
          <w:position w:val="0"/>
        </w:rPr>
        <w:t>）</w:t>
        <w:tab/>
        <w:t>按欠款方归集的期末余额前五名的其他应收款情况</w:t>
      </w:r>
      <w:bookmarkEnd w:id="1065"/>
      <w:bookmarkEnd w:id="1066"/>
      <w:bookmarkEnd w:id="10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坏账准备期末余 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People Moving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Pixels S.L.U.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预付供应商拆借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性质款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15,940,367.35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797,018.37</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北京风驰网际科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江西纵趣科技有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应退回推广费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5,965,186.30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5,965,186.30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绍兴上虞庆福母 婴专护服务有限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房租、餐费等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2,553,555.56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2,553,555.56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上海数果科技有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33,009,109.21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17,865,760.23</w:t>
            </w:r>
          </w:p>
        </w:tc>
      </w:tr>
    </w:tbl>
    <w:p>
      <w:pPr>
        <w:widowControl w:val="0"/>
        <w:spacing w:after="339" w:line="1" w:lineRule="exact"/>
      </w:pPr>
    </w:p>
    <w:p>
      <w:pPr>
        <w:pStyle w:val="Style148"/>
        <w:keepNext/>
        <w:keepLines/>
        <w:widowControl w:val="0"/>
        <w:shd w:val="clear" w:color="auto" w:fill="auto"/>
        <w:tabs>
          <w:tab w:pos="397" w:val="left"/>
        </w:tabs>
        <w:bidi w:val="0"/>
        <w:spacing w:before="0" w:after="34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6</w:t>
      </w:r>
      <w:bookmarkEnd w:id="1071"/>
      <w:r>
        <w:rPr>
          <w:color w:val="000000"/>
          <w:spacing w:val="0"/>
          <w:w w:val="100"/>
          <w:position w:val="0"/>
        </w:rPr>
        <w:t>）</w:t>
        <w:tab/>
        <w:t>涉及政府补助的应收款项</w:t>
      </w:r>
      <w:bookmarkEnd w:id="1069"/>
      <w:bookmarkEnd w:id="1070"/>
      <w:bookmarkEnd w:id="1072"/>
    </w:p>
    <w:p>
      <w:pPr>
        <w:pStyle w:val="Style4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本期末其他应收款中无应收政府补助情况。</w:t>
      </w:r>
    </w:p>
    <w:p>
      <w:pPr>
        <w:pStyle w:val="Style148"/>
        <w:keepNext/>
        <w:keepLines/>
        <w:widowControl w:val="0"/>
        <w:shd w:val="clear" w:color="auto" w:fill="auto"/>
        <w:tabs>
          <w:tab w:pos="397" w:val="left"/>
        </w:tabs>
        <w:bidi w:val="0"/>
        <w:spacing w:before="0" w:after="34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7</w:t>
      </w:r>
      <w:bookmarkEnd w:id="1075"/>
      <w:r>
        <w:rPr>
          <w:color w:val="000000"/>
          <w:spacing w:val="0"/>
          <w:w w:val="100"/>
          <w:position w:val="0"/>
        </w:rPr>
        <w:t>）</w:t>
        <w:tab/>
        <w:t>因金融资产转移而终止确认的其他应收款</w:t>
      </w:r>
      <w:bookmarkEnd w:id="1073"/>
      <w:bookmarkEnd w:id="1074"/>
      <w:bookmarkEnd w:id="1076"/>
    </w:p>
    <w:p>
      <w:pPr>
        <w:pStyle w:val="Style4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本期无因金融资产转移而终止确认的其他应收款项。</w:t>
      </w:r>
    </w:p>
    <w:p>
      <w:pPr>
        <w:pStyle w:val="Style148"/>
        <w:keepNext/>
        <w:keepLines/>
        <w:widowControl w:val="0"/>
        <w:shd w:val="clear" w:color="auto" w:fill="auto"/>
        <w:tabs>
          <w:tab w:pos="397" w:val="left"/>
        </w:tabs>
        <w:bidi w:val="0"/>
        <w:spacing w:before="0" w:after="34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8</w:t>
      </w:r>
      <w:bookmarkEnd w:id="1079"/>
      <w:r>
        <w:rPr>
          <w:color w:val="000000"/>
          <w:spacing w:val="0"/>
          <w:w w:val="100"/>
          <w:position w:val="0"/>
        </w:rPr>
        <w:t>）</w:t>
        <w:tab/>
        <w:t>转移其他应收款且继续涉入形成的资产、负债金额</w:t>
      </w:r>
      <w:bookmarkEnd w:id="1077"/>
      <w:bookmarkEnd w:id="1078"/>
      <w:bookmarkEnd w:id="1080"/>
    </w:p>
    <w:p>
      <w:pPr>
        <w:pStyle w:val="Style4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本期无因金融资产转移而终止确认的其他应收款项。</w:t>
      </w:r>
    </w:p>
    <w:p>
      <w:pPr>
        <w:pStyle w:val="Style36"/>
        <w:keepNext/>
        <w:keepLines/>
        <w:widowControl w:val="0"/>
        <w:shd w:val="clear" w:color="auto" w:fill="auto"/>
        <w:bidi w:val="0"/>
        <w:spacing w:before="0" w:after="34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6</w:t>
      </w:r>
      <w:bookmarkEnd w:id="1083"/>
      <w:r>
        <w:rPr>
          <w:color w:val="000000"/>
          <w:spacing w:val="0"/>
          <w:w w:val="100"/>
          <w:position w:val="0"/>
        </w:rPr>
        <w:t>、存货</w:t>
      </w:r>
      <w:bookmarkEnd w:id="1081"/>
      <w:bookmarkEnd w:id="1082"/>
      <w:bookmarkEnd w:id="108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114"/>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7" w:name="bookmark1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5"/>
      <w:bookmarkEnd w:id="1086"/>
      <w:bookmarkEnd w:id="10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2,895,080.07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2,895,080.07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4,773,367.79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4,773,367.79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32,668.51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2,359,084.45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643,210.90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1,715,873.55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6,571,319.27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2,118,705.89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4,452,613.38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32,885.56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5,254,164.52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643,210.90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4,610,953.62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11,410,241.13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2,118,705.89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9,291,535.24</w:t>
            </w:r>
          </w:p>
        </w:tc>
      </w:tr>
    </w:tbl>
    <w:p>
      <w:pPr>
        <w:spacing w:lineRule="exact" w:line="1"/>
        <w:rPr>
          <w:sz w:val="2"/>
          <w:szCs w:val="2"/>
        </w:rPr>
      </w:pPr>
      <w:r>
        <w:br w:type="page"/>
      </w:r>
    </w:p>
    <w:p>
      <w:pPr>
        <w:pStyle w:val="Style114"/>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88"/>
      <w:bookmarkEnd w:id="1089"/>
      <w:bookmarkEnd w:id="10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2,118,705.89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643,210.90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2,118,705.89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643,210.90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2,118,705.89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643,210.90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2,118,705.89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643,210.90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7</w:t>
      </w:r>
      <w:bookmarkEnd w:id="1093"/>
      <w:r>
        <w:rPr>
          <w:color w:val="000000"/>
          <w:spacing w:val="0"/>
          <w:w w:val="100"/>
          <w:position w:val="0"/>
        </w:rPr>
        <w:t>、其他流动资产</w:t>
      </w:r>
      <w:bookmarkEnd w:id="1091"/>
      <w:bookmarkEnd w:id="1092"/>
      <w:bookmarkEnd w:id="10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7,474,495.41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16,406,363.85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15,739,154.22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8,118,723.83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1,998,496.30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23,988,883.31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26,523,583.98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8</w:t>
      </w:r>
      <w:bookmarkEnd w:id="1097"/>
      <w:r>
        <w:rPr>
          <w:color w:val="000000"/>
          <w:spacing w:val="0"/>
          <w:w w:val="100"/>
          <w:position w:val="0"/>
        </w:rPr>
        <w:t>、长期股权投资</w:t>
      </w:r>
      <w:bookmarkEnd w:id="1095"/>
      <w:bookmarkEnd w:id="1096"/>
      <w:bookmarkEnd w:id="10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 星河互 动科技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863,14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-220,26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024.48</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绍兴上 虞金哲 成长之 心企业 管理咨 询合伙 企业</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4,801,1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25,636,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433.87</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DISCO</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VERY</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NUSA</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NTAR</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CAPIT</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ALL.P.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14,986,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6,193,8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8,792,2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16,413,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744.78</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绍兴上 虞远景 创业投 资合伙 企业</w:t>
            </w:r>
          </w:p>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22,224,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1,120,1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18,084,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645.07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上海合 志信息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24,863,</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4,625,4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5,476,6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14,761,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20,100,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977.92</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 艾闪科 技控股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杭州摘 星社信 息科技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南京有 机汇网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2,908,6</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-616,53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8,623,3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38.74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北京龙 之火科 技发展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583,46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54.12</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合肥金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珂哲欣</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信息科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666,62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技有限</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艺信息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3,174,5</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14.86</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风科技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382,69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1,599,9</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游坊科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世宁科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技有限</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责任公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乐品牌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岸科技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岸网络</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12,822,</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016.37</w:t>
            </w: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ALMU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ATHIR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5,861,7</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NOLO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02.67</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GYFZ</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LLC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岚影视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合肥爱 玩动漫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4,541,1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98.15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河南省 华畅文 化传媒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杭州软 云智造 文化传 播有限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金科哲 信（苏 州）信 息科技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1,804,7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广州棉 花糖网 络科技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浙江禾 贝网络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1,002,5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69.82</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壹电智 联（武 汉）科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河北甘 棠信息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广东汤 姆猫产 业发展 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798,01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336,33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1,498,4</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科博锐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954,08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2,983,4</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475,00</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塔科技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1,226,0</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129,43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0,163.5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805,50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8,526.6</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957.80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805,50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148,03</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0,163.5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3,333.1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957.80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8,526.6</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说明：上海祥岚影视文化有限公司、河南省华畅文化传媒有限公司、杭州软云智造文化传播有限公司、广州棉花糖网络科技</w:t>
      </w:r>
    </w:p>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有限公司、壹电智联（武汉）科技有限公司、河北甘棠信息技术有限公司上年年末余额均为</w:t>
      </w:r>
      <w:r>
        <w:rPr>
          <w:rFonts w:ascii="Times New Roman" w:eastAsia="Times New Roman" w:hAnsi="Times New Roman" w:cs="Times New Roman"/>
          <w:color w:val="000000"/>
          <w:spacing w:val="0"/>
          <w:w w:val="100"/>
          <w:position w:val="0"/>
        </w:rPr>
        <w:t>0</w:t>
      </w:r>
      <w:r>
        <w:rPr>
          <w:color w:val="000000"/>
          <w:spacing w:val="0"/>
          <w:w w:val="100"/>
          <w:position w:val="0"/>
        </w:rPr>
        <w:t>,本期已处置。</w:t>
      </w:r>
    </w:p>
    <w:p>
      <w:pPr>
        <w:pStyle w:val="Style36"/>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9</w:t>
      </w:r>
      <w:bookmarkEnd w:id="1101"/>
      <w:r>
        <w:rPr>
          <w:color w:val="000000"/>
          <w:spacing w:val="0"/>
          <w:w w:val="100"/>
          <w:position w:val="0"/>
        </w:rPr>
        <w:t>、其他权益工具投资</w:t>
      </w:r>
      <w:bookmarkEnd w:id="1099"/>
      <w:bookmarkEnd w:id="1100"/>
      <w:bookmarkEnd w:id="11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浙江聚力文化发展股份有限公司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49,914,746.57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83,880,402.52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北京欧应科技有限公司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54,140,012.17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54,140,012.17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北京天际微动科技有限公司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6,471,400.00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上海数果科技有限公司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必果互娱（北京）科技有限公司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APPLOVIN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3,060,864.12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2,980,957.45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福州白鲸网络科技有限公司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杭州古稆科技有限公司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杭州手滑科技有限公司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广西亚讯咨询服务有限责任公司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杭州崇卓科技有限公司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829,670.11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杭州敏远达投资管理有限公司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725,109.19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ALLINMD TECHNOLOGY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REACHJUNCTION INTERNATIONAL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深圳元气互娱科技有限公司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有点功夫（上海）体育管理有限公司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杭州淘卡淘科技有限公司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沈阳约动么体育科技有限公司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沈阳涵天通讯技术有限公司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杭州粉萌科技有限公司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南京聚众视界信息科技有限公司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浙江弥谷网络科技有限公司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南京新梦乐动软件科技有限公司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南京东嘉网络科技有限公司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南昌汇轩社信息科技有限公司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浙江金海岸体育发展有限公司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118,594,422.43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178,656,641.82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确认的股利收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其他综合收益</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转入留存收益</w:t>
            </w:r>
          </w:p>
          <w:p>
            <w:pPr>
              <w:pStyle w:val="Style2"/>
              <w:keepNext w:val="0"/>
              <w:keepLines w:val="0"/>
              <w:widowControl w:val="0"/>
              <w:shd w:val="clear" w:color="auto" w:fill="auto"/>
              <w:bidi w:val="0"/>
              <w:spacing w:before="0" w:after="100" w:line="240" w:lineRule="auto"/>
              <w:ind w:left="0" w:right="0"/>
              <w:jc w:val="left"/>
              <w:rPr>
                <w:sz w:val="18"/>
                <w:szCs w:val="18"/>
              </w:rPr>
            </w:pPr>
            <w:r>
              <w:rPr>
                <w:color w:val="000000"/>
                <w:spacing w:val="0"/>
                <w:w w:val="100"/>
                <w:position w:val="0"/>
                <w:sz w:val="18"/>
                <w:szCs w:val="18"/>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其他综合收益 转入留存收益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浙江聚力文化 发展股份有限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242,485,253.43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北京欧应科技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19,994,012.17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北京天际微动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上海数果科技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2,165,031.13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2,165,031.13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并非用于交易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必果互娱（北 京）科技有限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APPLOVIN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福州白鲸网络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2,599,206.65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杭州古稆科技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杭州手滑科技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广西亚讯咨询 服务有限责任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杭州崇卓科技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403,508.28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杭州敏远达投 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24,890.81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ALLINMD</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REACHJUNC</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TION INTERNATIO NAL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27,535,740.00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深圳元气互娱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3,590,241.52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有点功夫（上 海）体育管理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杭州淘卡淘科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1,892,986.85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沈阳约动么体 育科技有限公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沈阳涵天通讯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杭州粉萌科技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742,346.69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-742,346.69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南京聚众视界 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浙江弥谷网络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南京新梦乐动 软件科技有限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南京东嘉网络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南昌汇轩社信 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浙江金海岸体 育发展有限公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并非用于交易 目的而计划长 期持有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103"/>
      <w:bookmarkEnd w:id="1104"/>
      <w:bookmarkEnd w:id="11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41,494,124.86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34,247,770.13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41,494,124.86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34,247,770.13</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07"/>
      <w:bookmarkEnd w:id="1108"/>
      <w:bookmarkEnd w:id="1110"/>
    </w:p>
    <w:p>
      <w:pPr>
        <w:pStyle w:val="Style114"/>
        <w:keepNext/>
        <w:keepLines/>
        <w:widowControl w:val="0"/>
        <w:shd w:val="clear" w:color="auto" w:fill="auto"/>
        <w:bidi w:val="0"/>
        <w:spacing w:before="0" w:after="340" w:line="240" w:lineRule="auto"/>
        <w:ind w:left="0" w:right="0" w:firstLine="0"/>
        <w:jc w:val="left"/>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11"/>
      <w:bookmarkEnd w:id="1112"/>
      <w:bookmarkEnd w:id="111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385,030,806.41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385,030,806.41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385,030,806.41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385,030,806.41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385,030,806.41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385,030,806.41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138,176,910.28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138,176,910.28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3,570,822.99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3,570,822.99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 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134,606,087.29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134,606,087.29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138,176,910.28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138,176,910.28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246,853,896.13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246,853,896.13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14"/>
      <w:bookmarkEnd w:id="1115"/>
      <w:bookmarkEnd w:id="111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17"/>
      <w:bookmarkEnd w:id="1118"/>
      <w:bookmarkEnd w:id="11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279,642,588.42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546,140,843.05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279,642,588.42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546,140,843.05</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1"/>
      <w:bookmarkEnd w:id="1122"/>
      <w:bookmarkEnd w:id="11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酒店业家具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651,410,851.62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10,287,962.30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106,671,082.45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15,886,492.19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17,655,958.42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801,912,346.98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3,199,785.61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3,864,970.45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7,109,374.20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14,200,393.96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3,199,785.61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3,659,939.68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6,713,058.69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13,596,792.83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 币报表折算差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205,030.77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603,601.13</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385,030,806.41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345,179.00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8,741,890.26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2,380,716.15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396,503,991.82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345,179.00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5,153,240.62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2,380,716.15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7,884,535.77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3,588,649.64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3,588,649.64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7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转入投资性房</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385,030,806.41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385,030,806.41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269,579,830.82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9,945,038.15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101,794,162.64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20,615,150.24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17,674,567.27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419,608,749.12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140,308,955.37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7,776,066.03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80,565,804.93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10,891,244.67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16,229,432.93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255,771,503.93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14,673,834.27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1,299,175.17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7,970,489.26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29,071,305.52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14,673,834.27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1,298,829.87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7,848,560.67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4,686,015.51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28,669,916.90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外币报表折算</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121,928.59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279,114.73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401,388.62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134,606,087.29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334,823.52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7,855,832.66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144,876,648.75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334,823.52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4,808,323.46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7,223,052.26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3,047,509.20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3,047,509.20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转入投资性房</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134,606,087.29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134,606,087.29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20,376,702.35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8,740,417.68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80,680,461.53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13,780,488.13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16,388,091.01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139,966,160.70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249,203,128.47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1,204,620.47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21,113,701.11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6,834,662.11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279,642,588.42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511,101,896.25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2,511,896.27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26,105,277.52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4,995,247.52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1,426,525.49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546,140,843.05</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24"/>
      <w:bookmarkEnd w:id="1125"/>
      <w:bookmarkEnd w:id="11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5,221,718.89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酒店业家具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1,286,476.26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6,508,195.15</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27"/>
      <w:bookmarkEnd w:id="1128"/>
      <w:bookmarkEnd w:id="1130"/>
    </w:p>
    <w:p>
      <w:pPr>
        <w:pStyle w:val="Style114"/>
        <w:keepNext/>
        <w:keepLines/>
        <w:widowControl w:val="0"/>
        <w:shd w:val="clear" w:color="auto" w:fill="auto"/>
        <w:bidi w:val="0"/>
        <w:spacing w:before="0" w:after="960" w:line="240" w:lineRule="auto"/>
        <w:ind w:left="0" w:right="0" w:firstLine="0"/>
        <w:jc w:val="both"/>
      </w:pPr>
      <w:bookmarkStart w:id="1127" w:name="bookmark1127"/>
      <w:bookmarkStart w:id="1128" w:name="bookmark1128"/>
      <w:r>
        <w:rPr>
          <w:color w:val="000000"/>
          <w:spacing w:val="0"/>
          <w:w w:val="100"/>
          <w:position w:val="0"/>
        </w:rPr>
        <w:t>期末无未办妥产权证书的固定资产情况。</w:t>
      </w:r>
      <w:bookmarkEnd w:id="1127"/>
      <w:bookmarkEnd w:id="1128"/>
    </w:p>
    <w:p>
      <w:pPr>
        <w:pStyle w:val="Style36"/>
        <w:keepNext/>
        <w:keepLines/>
        <w:widowControl w:val="0"/>
        <w:shd w:val="clear" w:color="auto" w:fill="auto"/>
        <w:bidi w:val="0"/>
        <w:spacing w:before="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31"/>
      <w:bookmarkEnd w:id="1132"/>
      <w:bookmarkEnd w:id="11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706,167.29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706,167.29</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220"/>
        <w:jc w:val="both"/>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5"/>
      <w:bookmarkEnd w:id="1136"/>
      <w:bookmarkEnd w:id="11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706,167.29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706,167.29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339,835.05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706,167.29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706,167.29</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38"/>
      <w:bookmarkEnd w:id="1139"/>
      <w:bookmarkEnd w:id="1141"/>
    </w:p>
    <w:p>
      <w:pPr>
        <w:pStyle w:val="Style114"/>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2"/>
      <w:bookmarkEnd w:id="1143"/>
      <w:bookmarkEnd w:id="114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74"/>
        <w:gridCol w:w="869"/>
        <w:gridCol w:w="869"/>
        <w:gridCol w:w="869"/>
        <w:gridCol w:w="869"/>
        <w:gridCol w:w="8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非专利 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版权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视频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及 支持系 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注册 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370,489,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1,081,14</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816.95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9,297.25</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220,869,</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854.92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405.91</w:t>
            </w:r>
          </w:p>
        </w:tc>
      </w:tr>
      <w:tr>
        <w:trPr>
          <w:trHeight w:val="52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9,873,08</w:t>
            </w:r>
          </w:p>
        </w:tc>
      </w:tr>
      <w:tr>
        <w:trPr>
          <w:trHeight w:val="49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52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240"/>
              <w:jc w:val="left"/>
              <w:rPr>
                <w:sz w:val="18"/>
                <w:szCs w:val="18"/>
              </w:rPr>
            </w:pPr>
            <w:r>
              <w:rPr>
                <w:color w:val="000000"/>
                <w:spacing w:val="0"/>
                <w:w w:val="100"/>
                <w:position w:val="0"/>
                <w:sz w:val="18"/>
                <w:szCs w:val="18"/>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196,000,</w:t>
            </w:r>
          </w:p>
        </w:tc>
      </w:tr>
      <w:tr>
        <w:trPr>
          <w:trHeight w:val="49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996.23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856.80</w:t>
            </w:r>
          </w:p>
        </w:tc>
      </w:tr>
      <w:tr>
        <w:trPr>
          <w:trHeight w:val="66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4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 币报表 折算差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8,289,85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14,995,4</w:t>
            </w:r>
          </w:p>
        </w:tc>
      </w:tr>
      <w:tr>
        <w:trPr>
          <w:trHeight w:val="451"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60.01</w:t>
            </w: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 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545,183,</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364.47</w:t>
            </w:r>
          </w:p>
        </w:tc>
      </w:tr>
      <w:tr>
        <w:trPr>
          <w:trHeight w:val="52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73,836,9</w:t>
            </w:r>
          </w:p>
        </w:tc>
      </w:tr>
      <w:tr>
        <w:trPr>
          <w:trHeight w:val="49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50.46</w:t>
            </w:r>
          </w:p>
        </w:tc>
      </w:tr>
      <w:tr>
        <w:trPr>
          <w:trHeight w:val="68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471,346,</w:t>
            </w:r>
          </w:p>
        </w:tc>
      </w:tr>
      <w:tr>
        <w:trPr>
          <w:trHeight w:val="29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414.01</w:t>
            </w: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869"/>
        <w:gridCol w:w="869"/>
        <w:gridCol w:w="869"/>
        <w:gridCol w:w="869"/>
        <w:gridCol w:w="874"/>
        <w:gridCol w:w="869"/>
        <w:gridCol w:w="869"/>
        <w:gridCol w:w="869"/>
        <w:gridCol w:w="869"/>
        <w:gridCol w:w="8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4,443,99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35,180,0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429,923,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756,835,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76,253,4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447,167,</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616.31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712.26</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9,298,58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75,535,7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4,758,56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121,137,</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988.37</w:t>
            </w:r>
          </w:p>
        </w:tc>
      </w:tr>
      <w:tr>
        <w:trPr>
          <w:trHeight w:val="52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9,298,58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71,375,2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4,345,87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114,023,</w:t>
            </w:r>
          </w:p>
        </w:tc>
      </w:tr>
      <w:tr>
        <w:trPr>
          <w:trHeight w:val="49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662.65</w:t>
            </w:r>
          </w:p>
        </w:tc>
      </w:tr>
      <w:tr>
        <w:trPr>
          <w:trHeight w:val="84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200"/>
              <w:jc w:val="left"/>
              <w:rPr>
                <w:sz w:val="18"/>
                <w:szCs w:val="18"/>
              </w:rPr>
            </w:pPr>
            <w:r>
              <w:rPr>
                <w:color w:val="000000"/>
                <w:spacing w:val="0"/>
                <w:w w:val="100"/>
                <w:position w:val="0"/>
                <w:sz w:val="18"/>
                <w:szCs w:val="18"/>
              </w:rPr>
              <w:t>⑵外 币报表 折算差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7,114,32</w:t>
            </w:r>
          </w:p>
        </w:tc>
      </w:tr>
      <w:tr>
        <w:trPr>
          <w:trHeight w:val="451"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5.72</w:t>
            </w: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193,805,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26,201,1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220,850,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145.35</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26,201,1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）处 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193,805,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193,808,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534.53</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79"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205,895,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347,455,</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731.84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555.28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79"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318,829,</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353.00</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本期增 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4,686,66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4,686,66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6.82</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74"/>
        <w:gridCol w:w="869"/>
        <w:gridCol w:w="869"/>
        <w:gridCol w:w="869"/>
        <w:gridCol w:w="869"/>
        <w:gridCol w:w="874"/>
      </w:tblGrid>
      <w:tr>
        <w:trPr>
          <w:trHeight w:val="103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4,686,66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277,441,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25,808,4</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303,249,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25,808,4</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25,808,4</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73.38</w:t>
            </w: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）处 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277,441,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277,441,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212.81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79"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20,266,3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20,266,3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224,027,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28,279,3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389,113,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449.78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346"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1,136,23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5,726,66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87,102,2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188,120,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23,768,2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315,152,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231.99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89.62%</w:t>
      </w:r>
      <w:r>
        <w:rPr>
          <w:color w:val="000000"/>
          <w:spacing w:val="0"/>
          <w:w w:val="100"/>
          <w:position w:val="0"/>
        </w:rPr>
        <w:t>。</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45"/>
      <w:bookmarkEnd w:id="1146"/>
      <w:bookmarkEnd w:id="11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游戏</w:t>
            </w:r>
            <w:r>
              <w:rPr>
                <w:rFonts w:ascii="Times New Roman" w:eastAsia="Times New Roman" w:hAnsi="Times New Roman" w:cs="Times New Roman"/>
                <w:color w:val="000000"/>
                <w:spacing w:val="0"/>
                <w:w w:val="100"/>
                <w:position w:val="0"/>
                <w:sz w:val="18"/>
                <w:szCs w:val="18"/>
              </w:rPr>
              <w:t>APP</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26,937,378</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17,281,092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37,993,751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6,224,720.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Tom</w:t>
            </w:r>
            <w:r>
              <w:rPr>
                <w:color w:val="000000"/>
                <w:spacing w:val="0"/>
                <w:w w:val="100"/>
                <w:position w:val="0"/>
                <w:sz w:val="18"/>
                <w:szCs w:val="18"/>
              </w:rPr>
              <w:t>猫系 列</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47,108,310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107,699,66</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68,322,257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47,902,999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38,582,717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Tom</w:t>
            </w:r>
            <w:r>
              <w:rPr>
                <w:color w:val="000000"/>
                <w:spacing w:val="0"/>
                <w:w w:val="100"/>
                <w:position w:val="0"/>
                <w:sz w:val="18"/>
                <w:szCs w:val="18"/>
              </w:rPr>
              <w:t>猫系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列视频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66,594,277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10,021,311</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71,976,860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4,638,728.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汤姆猫飞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13,157,838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4,550,148.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17,707,987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153,797,80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139,552,21</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47,902,999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149"/>
      <w:bookmarkEnd w:id="1150"/>
      <w:bookmarkEnd w:id="1152"/>
    </w:p>
    <w:p>
      <w:pPr>
        <w:pStyle w:val="Style114"/>
        <w:keepNext/>
        <w:keepLines/>
        <w:widowControl w:val="0"/>
        <w:shd w:val="clear" w:color="auto" w:fill="auto"/>
        <w:bidi w:val="0"/>
        <w:spacing w:before="0" w:after="340" w:line="240" w:lineRule="auto"/>
        <w:ind w:left="0" w:right="0" w:firstLine="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3"/>
      <w:bookmarkEnd w:id="1154"/>
      <w:bookmarkEnd w:id="11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3,650,966,309.</w:t>
            </w:r>
          </w:p>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3,650,966,309.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杭州哲信信息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2,320,216,472.</w:t>
            </w:r>
          </w:p>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2,320,216,472.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杭州每日给力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270,430,395.21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270,430,395.21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星宝乐园(北 京)信息科技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7,275,931.98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7,275,931.98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广州昊苍网络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6,349,736.54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6,349,736.54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杭州零界线数 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2,010,845.14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珠海安德菲信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1,978,079.39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1,978,079.39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成都佳讯文化 传播有限责任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1,049,998.79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1,049,998.79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河南元之荣电 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广州米墅信息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241,466.25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241,466.25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杭州嘻动网络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104,672.11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104,672.11</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南京游戏谷创 业孵化器管理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51,271.51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南京翰达睿信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19,529.54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6,260,994,708.</w:t>
            </w:r>
          </w:p>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8,867,397.02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6,252,127,311.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56"/>
      <w:bookmarkEnd w:id="1157"/>
      <w:bookmarkEnd w:id="11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261,528,709.05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261,528,709.05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杭州哲信信息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2,320,216,472.</w:t>
            </w:r>
          </w:p>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2,320,216,472.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杭州每日给力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12,218,115.66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12,218,115.66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星宝乐园(北 京)信息科技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7,275,931.98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7,275,931.98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广州昊苍网络</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6,349,736.54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6,349,736.54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杭州零界线数 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2,010,845.14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珠海安德菲信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1,978,079.39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1,978,079.39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成都佳讯文化 传播有限责任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1,049,998.79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1,049,998.79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广州米墅信息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241,466.25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南京游戏谷创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业孵化器管理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51,271.51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51,271.51</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南京翰达睿信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19,529.54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2,610,962,076.</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1,978,079.39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8,567,397.02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2,604,372,758.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1824"/>
        <w:gridCol w:w="2395"/>
        <w:gridCol w:w="1469"/>
        <w:gridCol w:w="1805"/>
        <w:gridCol w:w="1051"/>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期末商誉账面价值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主要构成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本期是否发 生变动</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3,389,437,600.67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Outfit7 Inve stmentsL imited </w:t>
            </w:r>
            <w:r>
              <w:rPr>
                <w:color w:val="000000"/>
                <w:spacing w:val="0"/>
                <w:w w:val="100"/>
                <w:position w:val="0"/>
              </w:rPr>
              <w:t>与商誉相关能够独立产生 现金流量的非流动资产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606,627,628.14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商誉所在的资产组 可以带来独立的现 金流，可将其认定为 一个单独的资产组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32"/>
                <w:szCs w:val="32"/>
              </w:rPr>
            </w:pPr>
            <w:r>
              <w:rPr>
                <w:color w:val="000000"/>
                <w:spacing w:val="0"/>
                <w:w w:val="100"/>
                <w:position w:val="0"/>
                <w:sz w:val="32"/>
                <w:szCs w:val="32"/>
                <w:vertAlign w:val="subscript"/>
              </w:rPr>
              <w:t>否</w:t>
            </w:r>
          </w:p>
        </w:tc>
      </w:tr>
      <w:tr>
        <w:trPr>
          <w:trHeight w:val="12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258,212,279.55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杭州每日给力科技有限公 司与商誉相关能够独立产 生现金流量的非流动资产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27,489,999.36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商誉所在的资产组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可以带来独立的现 金流，可将其认定为 一个单独的资产组</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vertAlign w:val="subscript"/>
              </w:rPr>
              <w:t>否</w:t>
            </w:r>
          </w:p>
        </w:tc>
      </w:tr>
    </w:tbl>
    <w:p>
      <w:pPr>
        <w:widowControl w:val="0"/>
        <w:spacing w:after="239" w:line="1" w:lineRule="exact"/>
      </w:pPr>
    </w:p>
    <w:p>
      <w:pPr>
        <w:pStyle w:val="Style40"/>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40"/>
        <w:keepNext w:val="0"/>
        <w:keepLines w:val="0"/>
        <w:widowControl w:val="0"/>
        <w:shd w:val="clear" w:color="auto" w:fill="auto"/>
        <w:bidi w:val="0"/>
        <w:spacing w:before="0" w:after="40" w:line="475" w:lineRule="exact"/>
        <w:ind w:left="0" w:right="0" w:firstLine="440"/>
        <w:jc w:val="left"/>
      </w:pPr>
      <w:r>
        <w:rPr>
          <w:color w:val="000000"/>
          <w:spacing w:val="0"/>
          <w:w w:val="100"/>
          <w:position w:val="0"/>
        </w:rPr>
        <w:t>预计未来现金流：主要以企业合并中取得的相关资产组所处外部环境预计市场行情，以</w:t>
      </w:r>
      <w:r>
        <w:rPr>
          <w:rFonts w:ascii="Times New Roman" w:eastAsia="Times New Roman" w:hAnsi="Times New Roman" w:cs="Times New Roman"/>
          <w:color w:val="000000"/>
          <w:spacing w:val="0"/>
          <w:w w:val="100"/>
          <w:position w:val="0"/>
        </w:rPr>
        <w:t>5</w:t>
      </w:r>
      <w:r>
        <w:rPr>
          <w:color w:val="000000"/>
          <w:spacing w:val="0"/>
          <w:w w:val="100"/>
          <w:position w:val="0"/>
        </w:rPr>
        <w:t>年期财务预 算为基础合理测算资产组的未来现金流。</w:t>
      </w:r>
    </w:p>
    <w:p>
      <w:pPr>
        <w:pStyle w:val="Style40"/>
        <w:keepNext w:val="0"/>
        <w:keepLines w:val="0"/>
        <w:widowControl w:val="0"/>
        <w:shd w:val="clear" w:color="auto" w:fill="auto"/>
        <w:bidi w:val="0"/>
        <w:spacing w:before="0" w:after="40" w:line="462" w:lineRule="exact"/>
        <w:ind w:left="0" w:right="0" w:firstLine="440"/>
        <w:jc w:val="left"/>
      </w:pPr>
      <w:r>
        <w:rPr>
          <w:color w:val="000000"/>
          <w:spacing w:val="0"/>
          <w:w w:val="100"/>
          <w:position w:val="0"/>
        </w:rPr>
        <w:t>折现率的确定：根据企业加权平均资金成本，考虑与资产预计现金流量有关的特点风险作适当调整后 的税前利率，确定计算预计未来现金流的现值时，采用子公司相关行业适用的折现率</w:t>
      </w:r>
      <w:r>
        <w:rPr>
          <w:rFonts w:ascii="Times New Roman" w:eastAsia="Times New Roman" w:hAnsi="Times New Roman" w:cs="Times New Roman"/>
          <w:color w:val="000000"/>
          <w:spacing w:val="0"/>
          <w:w w:val="100"/>
          <w:position w:val="0"/>
        </w:rPr>
        <w:t xml:space="preserve">Outfit? Investments Limited </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年的税前折现率为</w:t>
      </w:r>
      <w:r>
        <w:rPr>
          <w:rFonts w:ascii="Times New Roman" w:eastAsia="Times New Roman" w:hAnsi="Times New Roman" w:cs="Times New Roman"/>
          <w:color w:val="000000"/>
          <w:spacing w:val="0"/>
          <w:w w:val="100"/>
          <w:position w:val="0"/>
        </w:rPr>
        <w:t>11.59%</w:t>
      </w:r>
      <w:r>
        <w:rPr>
          <w:color w:val="000000"/>
          <w:spacing w:val="0"/>
          <w:w w:val="100"/>
          <w:position w:val="0"/>
        </w:rPr>
        <w:t>；杭州每日给力科技有限公司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年的税前 折现率为</w:t>
      </w:r>
      <w:r>
        <w:rPr>
          <w:rFonts w:ascii="Times New Roman" w:eastAsia="Times New Roman" w:hAnsi="Times New Roman" w:cs="Times New Roman"/>
          <w:color w:val="000000"/>
          <w:spacing w:val="0"/>
          <w:w w:val="100"/>
          <w:position w:val="0"/>
        </w:rPr>
        <w:t>16.89%</w:t>
      </w:r>
      <w:r>
        <w:rPr>
          <w:color w:val="000000"/>
          <w:spacing w:val="0"/>
          <w:w w:val="100"/>
          <w:position w:val="0"/>
        </w:rPr>
        <w:t>，</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年的税前折现率为</w:t>
      </w:r>
      <w:r>
        <w:rPr>
          <w:rFonts w:ascii="Times New Roman" w:eastAsia="Times New Roman" w:hAnsi="Times New Roman" w:cs="Times New Roman"/>
          <w:color w:val="000000"/>
          <w:spacing w:val="0"/>
          <w:w w:val="100"/>
          <w:position w:val="0"/>
        </w:rPr>
        <w:t>16.93%</w:t>
      </w:r>
    </w:p>
    <w:p>
      <w:pPr>
        <w:pStyle w:val="Style40"/>
        <w:keepNext w:val="0"/>
        <w:keepLines w:val="0"/>
        <w:widowControl w:val="0"/>
        <w:shd w:val="clear" w:color="auto" w:fill="auto"/>
        <w:bidi w:val="0"/>
        <w:spacing w:before="0" w:after="540" w:line="470" w:lineRule="exact"/>
        <w:ind w:left="0" w:right="0" w:firstLine="440"/>
        <w:jc w:val="left"/>
      </w:pPr>
      <w:r>
        <w:rPr>
          <w:color w:val="000000"/>
          <w:spacing w:val="0"/>
          <w:w w:val="100"/>
          <w:position w:val="0"/>
        </w:rPr>
        <w:t>商誉减值损失的确认方法：与资产组或资产组组合相关的减值损失，资产组可收回金额低于资产组（含 商誉）账面价值的部分计提商誉减值准备。</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商誉减值测试的影响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w:t>
      </w:r>
      <w:r>
        <w:rPr>
          <w:rFonts w:ascii="Times New Roman" w:eastAsia="Times New Roman" w:hAnsi="Times New Roman" w:cs="Times New Roman"/>
          <w:color w:val="000000"/>
          <w:spacing w:val="0"/>
          <w:w w:val="100"/>
          <w:position w:val="0"/>
        </w:rPr>
        <w:t>Outfit7 Investments Limited</w:t>
      </w:r>
      <w:r>
        <w:rPr>
          <w:color w:val="000000"/>
          <w:spacing w:val="0"/>
          <w:w w:val="100"/>
          <w:position w:val="0"/>
        </w:rPr>
        <w:t>中能够独立产生现金流入的资产作为资产组，该公司自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月纳入合并报表范围。根据银信资产评估有限公司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月出具的银信评报字（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1231</w:t>
      </w:r>
      <w:r>
        <w:rPr>
          <w:color w:val="000000"/>
          <w:spacing w:val="0"/>
          <w:w w:val="100"/>
          <w:position w:val="0"/>
        </w:rPr>
        <w:t>号 评估报告，评估基准日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Outfit7 Investments Limited</w:t>
      </w:r>
      <w:r>
        <w:rPr>
          <w:color w:val="000000"/>
          <w:spacing w:val="0"/>
          <w:w w:val="100"/>
          <w:position w:val="0"/>
        </w:rPr>
        <w:t xml:space="preserve">商誉所在资产组可收回金额高于 </w:t>
      </w:r>
      <w:r>
        <w:rPr>
          <w:color w:val="000000"/>
          <w:spacing w:val="0"/>
          <w:w w:val="100"/>
          <w:position w:val="0"/>
        </w:rPr>
        <w:t>该资产组账面价值与商誉之和，无需计提商誉减值准备。</w:t>
      </w:r>
    </w:p>
    <w:p>
      <w:pPr>
        <w:pStyle w:val="Style4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公司将杭州每日给力科技有限公司中能够独立产生现金流入的资产作为资产组，该公司自</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40"/>
        <w:keepNext w:val="0"/>
        <w:keepLines w:val="0"/>
        <w:widowControl w:val="0"/>
        <w:shd w:val="clear" w:color="auto" w:fill="auto"/>
        <w:bidi w:val="0"/>
        <w:spacing w:before="0" w:after="200" w:line="473"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月纳入合并报表范围。根据银信资产评估有限公司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月出具的银信评报字（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 xml:space="preserve">1234 </w:t>
      </w:r>
      <w:r>
        <w:rPr>
          <w:color w:val="000000"/>
          <w:spacing w:val="0"/>
          <w:w w:val="100"/>
          <w:position w:val="0"/>
        </w:rPr>
        <w:t>号评估报告，评估基准日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日杭州每日给力科技有限公司商誉所在资产组可收回金额高 于该资产组账面价值与商誉之和，无需计提商誉减值准备。</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4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杭州哲信信息技术有限公司、广州昊苍网络科技有限公司、杭州零界线数字科技有限公司、南京游戏 谷创业孵化器管理有限公司、南京翰达睿信息技术有限公司以前年度已全额计提商誉减值准备。根据公司 管理层分析，上述公司经营情况无明显改善。</w:t>
      </w:r>
    </w:p>
    <w:p>
      <w:pPr>
        <w:pStyle w:val="Style36"/>
        <w:keepNext/>
        <w:keepLines/>
        <w:widowControl w:val="0"/>
        <w:shd w:val="clear" w:color="auto" w:fill="auto"/>
        <w:bidi w:val="0"/>
        <w:spacing w:before="0" w:after="140" w:line="494"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59"/>
      <w:bookmarkEnd w:id="1160"/>
      <w:bookmarkEnd w:id="11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境外贷款利息补 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12,500,319.32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9,430,546.76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295,479.56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2,774,293.00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14,973,280.35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2,476,742.73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5,724,538.67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179,434.60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11,546,049.81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664,337.22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283,395.72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380,941.50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28,137,936.89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2,476,742.73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15,438,481.15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474,914.16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14,701,284.31</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3"/>
      <w:bookmarkEnd w:id="1164"/>
      <w:bookmarkEnd w:id="1166"/>
    </w:p>
    <w:p>
      <w:pPr>
        <w:pStyle w:val="Style114"/>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7"/>
      <w:bookmarkEnd w:id="1168"/>
      <w:bookmarkEnd w:id="116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5,039,903.69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564,987.88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21,239,479.59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2,716,929.64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设定受益计划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1,100,374.04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398,240.55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6,140,277.73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963,228.43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21,239,479.59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2,716,929.64</w:t>
            </w:r>
          </w:p>
        </w:tc>
      </w:tr>
    </w:tbl>
    <w:p>
      <w:pPr>
        <w:widowControl w:val="0"/>
        <w:spacing w:after="319" w:line="1" w:lineRule="exact"/>
      </w:pPr>
    </w:p>
    <w:p>
      <w:pPr>
        <w:pStyle w:val="Style114"/>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170"/>
      <w:bookmarkEnd w:id="1171"/>
      <w:bookmarkEnd w:id="11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 债期末互抵金额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 产或负债期末余额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 债期初互抵金额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 产或负债期初余额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963,228.43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2,716,929.64</w:t>
            </w:r>
          </w:p>
        </w:tc>
      </w:tr>
    </w:tbl>
    <w:p>
      <w:pPr>
        <w:widowControl w:val="0"/>
        <w:spacing w:after="299" w:line="1" w:lineRule="exact"/>
      </w:pPr>
    </w:p>
    <w:p>
      <w:pPr>
        <w:pStyle w:val="Style114"/>
        <w:keepNext/>
        <w:keepLines/>
        <w:widowControl w:val="0"/>
        <w:numPr>
          <w:ilvl w:val="0"/>
          <w:numId w:val="49"/>
        </w:numPr>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未确认递延所得税资产明细</w:t>
      </w:r>
      <w:bookmarkEnd w:id="1173"/>
      <w:bookmarkEnd w:id="1174"/>
      <w:bookmarkEnd w:id="11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3,156,313,979.82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3,285,613,442.93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445,476,219.43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501,400,187.63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3,601,790,199.25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3,787,013,630.56</w:t>
            </w:r>
          </w:p>
        </w:tc>
      </w:tr>
    </w:tbl>
    <w:p>
      <w:pPr>
        <w:widowControl w:val="0"/>
        <w:spacing w:after="299" w:line="1" w:lineRule="exact"/>
      </w:pPr>
    </w:p>
    <w:p>
      <w:pPr>
        <w:pStyle w:val="Style114"/>
        <w:keepNext/>
        <w:keepLines/>
        <w:widowControl w:val="0"/>
        <w:numPr>
          <w:ilvl w:val="0"/>
          <w:numId w:val="49"/>
        </w:numPr>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未确认递延所得税资产的可抵扣亏损将于以下年度到期</w:t>
      </w:r>
      <w:bookmarkEnd w:id="1177"/>
      <w:bookmarkEnd w:id="1178"/>
      <w:bookmarkEnd w:id="11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16,949,088.22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24,607,837.31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10,254,278.54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12,977,569.44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23,750,017.63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133,168,269.61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181,696,902.15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330,028,403.23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196,055,453.69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sz w:val="18"/>
                <w:szCs w:val="18"/>
              </w:rPr>
              <w:t>年及以后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16,770,479.20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618,108.04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445,476,219.43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501,400,187.63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181"/>
      <w:bookmarkEnd w:id="1182"/>
      <w:bookmarkEnd w:id="11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预付购房款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1,660,325.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1,660,325.</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收藏品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911,504.40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911,504.40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911,504.40</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3,948,734.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3,948,734.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291,881.27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291,881.27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7,812,445.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6,812,445.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3,571,830.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2,571,830.</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185"/>
      <w:bookmarkEnd w:id="1186"/>
      <w:bookmarkEnd w:id="1188"/>
    </w:p>
    <w:p>
      <w:pPr>
        <w:pStyle w:val="Style114"/>
        <w:keepNext/>
        <w:keepLines/>
        <w:widowControl w:val="0"/>
        <w:shd w:val="clear" w:color="auto" w:fill="auto"/>
        <w:bidi w:val="0"/>
        <w:spacing w:before="0" w:line="240" w:lineRule="auto"/>
        <w:ind w:left="0" w:right="0" w:firstLine="0"/>
        <w:jc w:val="both"/>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9"/>
      <w:bookmarkEnd w:id="1190"/>
      <w:bookmarkEnd w:id="11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55,085,330.89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80,109,595.84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390,299,717.45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292,115,464.65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294,425,102.98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312,558,037.50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739,810,151.32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684,783,097.99</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短期借款分类的说明：无。</w:t>
      </w:r>
    </w:p>
    <w:p>
      <w:pPr>
        <w:pStyle w:val="Style114"/>
        <w:keepNext/>
        <w:keepLines/>
        <w:widowControl w:val="0"/>
        <w:shd w:val="clear" w:color="auto" w:fill="auto"/>
        <w:bidi w:val="0"/>
        <w:spacing w:before="0" w:line="240" w:lineRule="auto"/>
        <w:ind w:left="0" w:right="0" w:firstLine="0"/>
        <w:jc w:val="both"/>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192"/>
      <w:bookmarkEnd w:id="1193"/>
      <w:bookmarkEnd w:id="1194"/>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期末无已逾期未偿还的短期借款</w:t>
      </w:r>
    </w:p>
    <w:p>
      <w:pPr>
        <w:pStyle w:val="Style36"/>
        <w:keepNext/>
        <w:keepLines/>
        <w:widowControl w:val="0"/>
        <w:shd w:val="clear" w:color="auto" w:fill="auto"/>
        <w:bidi w:val="0"/>
        <w:spacing w:before="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195"/>
      <w:bookmarkEnd w:id="1196"/>
      <w:bookmarkEnd w:id="1198"/>
    </w:p>
    <w:p>
      <w:pPr>
        <w:pStyle w:val="Style114"/>
        <w:keepNext/>
        <w:keepLines/>
        <w:widowControl w:val="0"/>
        <w:shd w:val="clear" w:color="auto" w:fill="auto"/>
        <w:bidi w:val="0"/>
        <w:spacing w:before="0" w:line="240" w:lineRule="auto"/>
        <w:ind w:left="0" w:right="0" w:firstLine="0"/>
        <w:jc w:val="both"/>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9"/>
      <w:bookmarkEnd w:id="1200"/>
      <w:bookmarkEnd w:id="12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36,394,364.55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40,423,404.95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应付著作权款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42,952,219.38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应付设备工程款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5,887,888.14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7,456,019.01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4,189,240.05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11,558,706.42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13,872,084.63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7,579,633.87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62,943,577.37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109,969,983.63</w:t>
            </w:r>
          </w:p>
        </w:tc>
      </w:tr>
    </w:tbl>
    <w:p>
      <w:pPr>
        <w:widowControl w:val="0"/>
        <w:spacing w:after="359" w:line="1" w:lineRule="exact"/>
      </w:pPr>
    </w:p>
    <w:p>
      <w:pPr>
        <w:pStyle w:val="Style114"/>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02"/>
      <w:bookmarkEnd w:id="1203"/>
      <w:bookmarkEnd w:id="1204"/>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期末无账龄超过一年的重要应付账款</w:t>
      </w:r>
    </w:p>
    <w:p>
      <w:pPr>
        <w:pStyle w:val="Style36"/>
        <w:keepNext/>
        <w:keepLines/>
        <w:widowControl w:val="0"/>
        <w:shd w:val="clear" w:color="auto" w:fill="auto"/>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05"/>
      <w:bookmarkEnd w:id="1206"/>
      <w:bookmarkEnd w:id="1208"/>
    </w:p>
    <w:p>
      <w:pPr>
        <w:pStyle w:val="Style114"/>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09"/>
      <w:bookmarkEnd w:id="1210"/>
      <w:bookmarkEnd w:id="12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预收租金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3,333,621.62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2,476,430.00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3,333,621.62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2,476,430.00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12"/>
      <w:bookmarkEnd w:id="1213"/>
      <w:bookmarkEnd w:id="12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4,488,892.77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18,967,902.76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预收游戏发行款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5,855,490.70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361,319.28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328,405.28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10,689,626.42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19,657,627.32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16"/>
      <w:bookmarkEnd w:id="1217"/>
      <w:bookmarkEnd w:id="1219"/>
    </w:p>
    <w:p>
      <w:pPr>
        <w:pStyle w:val="Style114"/>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20"/>
      <w:bookmarkEnd w:id="1221"/>
      <w:bookmarkEnd w:id="12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57,738,525.35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380,154,106.17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370,298,616.64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67,594,014.88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11,441,997.90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10,372,081.64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2,219,774.77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590,576.89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3,147,186.02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3,645,262.91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59,478,960.75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394,743,290.09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384,315,961.19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69,906,289.65</w:t>
            </w:r>
          </w:p>
        </w:tc>
      </w:tr>
    </w:tbl>
    <w:p>
      <w:pPr>
        <w:widowControl w:val="0"/>
        <w:spacing w:after="319" w:line="1" w:lineRule="exact"/>
      </w:pPr>
    </w:p>
    <w:p>
      <w:pPr>
        <w:pStyle w:val="Style114"/>
        <w:keepNext/>
        <w:keepLines/>
        <w:widowControl w:val="0"/>
        <w:shd w:val="clear" w:color="auto" w:fill="auto"/>
        <w:bidi w:val="0"/>
        <w:spacing w:before="0" w:line="240" w:lineRule="auto"/>
        <w:ind w:left="0" w:right="0" w:firstLine="14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23"/>
      <w:bookmarkEnd w:id="1224"/>
      <w:bookmarkEnd w:id="12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52,933,041.14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332,029,179.88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326,544,385.50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58,417,835.52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432,360.73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21,901,571.54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22,004,759.78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329,172.49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949,398.67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14,329,235.25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13,360,571.24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1,918,062.68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其中：医疗保险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694,015.77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12,926,495.33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11,769,601.64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1,850,909.46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8"/>
                <w:szCs w:val="18"/>
              </w:rPr>
            </w:pPr>
            <w:r>
              <w:rPr>
                <w:color w:val="000000"/>
                <w:spacing w:val="0"/>
                <w:w w:val="100"/>
                <w:position w:val="0"/>
                <w:sz w:val="18"/>
                <w:szCs w:val="18"/>
              </w:rPr>
              <w:t>工伤保险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107,864.61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659,907.96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716,681.96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51,090.61</w:t>
            </w:r>
          </w:p>
        </w:tc>
      </w:tr>
    </w:tbl>
    <w:p>
      <w:pPr>
        <w:widowControl w:val="0"/>
        <w:spacing w:line="1" w:lineRule="exact"/>
        <w:sectPr>
          <w:footnotePr>
            <w:pos w:val="pageBottom"/>
            <w:numFmt w:val="decimal"/>
            <w:numRestart w:val="continuous"/>
          </w:footnotePr>
          <w:pgSz w:w="11900" w:h="16840"/>
          <w:pgMar w:top="1243" w:right="570" w:bottom="1438" w:left="569" w:header="0" w:footer="3" w:gutter="0"/>
          <w:cols w:space="720"/>
          <w:noEndnote/>
          <w:rtlGutter w:val="0"/>
          <w:docGrid w:linePitch="360"/>
        </w:sectPr>
      </w:pP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8"/>
                <w:szCs w:val="18"/>
              </w:rPr>
            </w:pPr>
            <w:r>
              <w:rPr>
                <w:color w:val="000000"/>
                <w:spacing w:val="0"/>
                <w:w w:val="100"/>
                <w:position w:val="0"/>
                <w:sz w:val="18"/>
                <w:szCs w:val="18"/>
              </w:rPr>
              <w:t>生育保险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327,091.63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326,023.48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16,062.61</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132,523.83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415,740.33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548,264.16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459,547.09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5,247,741.31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5,657,332.40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2,964,177.72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396,744.47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2,416,595.70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6,797,215.74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2,334,823.25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4,462,392.49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57,738,525.35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380,154,106.17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370,298,616.64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67,594,014.88</w:t>
            </w:r>
          </w:p>
        </w:tc>
      </w:tr>
    </w:tbl>
    <w:p>
      <w:pPr>
        <w:widowControl w:val="0"/>
        <w:spacing w:after="299" w:line="1" w:lineRule="exact"/>
      </w:pPr>
    </w:p>
    <w:p>
      <w:pPr>
        <w:pStyle w:val="Style114"/>
        <w:keepNext/>
        <w:keepLines/>
        <w:widowControl w:val="0"/>
        <w:numPr>
          <w:ilvl w:val="0"/>
          <w:numId w:val="51"/>
        </w:numPr>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设定提存计划列示</w:t>
      </w:r>
      <w:bookmarkEnd w:id="1226"/>
      <w:bookmarkEnd w:id="1227"/>
      <w:bookmarkEnd w:id="12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1,136,144.21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10,712,668.78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9,647,744.77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2,201,068.22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729,329.12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724,336.87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1,149,858.51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11,441,997.90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10,372,081.64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2,219,774.77</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30"/>
      <w:bookmarkEnd w:id="1231"/>
      <w:bookmarkEnd w:id="12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9,236,035.39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10,316,184.40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16,238,942.88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17,075,462.65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3,434,936.89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3,423,459.15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269,374.38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291,541.52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1,211,758.65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2,159,008.89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18,832.37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137,633.58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149,452.77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120,277.82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136,930.24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78,999.85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国防税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126,777.57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13,616.83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30,786,419.75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33,790,266.24</w:t>
            </w:r>
          </w:p>
        </w:tc>
      </w:tr>
    </w:tbl>
    <w:p>
      <w:pPr>
        <w:widowControl w:val="0"/>
        <w:spacing w:after="299" w:line="1" w:lineRule="exact"/>
      </w:pPr>
    </w:p>
    <w:p>
      <w:pPr>
        <w:pStyle w:val="Style36"/>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34"/>
      <w:bookmarkEnd w:id="1235"/>
      <w:bookmarkEnd w:id="1237"/>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76,930,475.19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784,863,128.95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671,465,889.30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804,040,296.34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748,396,364.49</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38"/>
      <w:bookmarkEnd w:id="1239"/>
      <w:bookmarkEnd w:id="12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76,930,475.19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19,177,167.39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76,930,475.19</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114"/>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41"/>
      <w:bookmarkEnd w:id="1242"/>
      <w:bookmarkEnd w:id="1243"/>
    </w:p>
    <w:p>
      <w:pPr>
        <w:pStyle w:val="Style148"/>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44"/>
      <w:bookmarkEnd w:id="1245"/>
      <w:bookmarkEnd w:id="12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771,793,334.63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383,913,977.66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暂收应付款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1,440,646.83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79,457,908.83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175,493,621.39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代收渠道推广费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18,369,169.82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2,247,811.02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3,328,374.52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9,065,012.18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10,902,837.08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784,863,128.95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671,465,889.30</w:t>
            </w:r>
          </w:p>
        </w:tc>
      </w:tr>
    </w:tbl>
    <w:p>
      <w:pPr>
        <w:widowControl w:val="0"/>
        <w:spacing w:after="299" w:line="1" w:lineRule="exact"/>
      </w:pPr>
    </w:p>
    <w:p>
      <w:pPr>
        <w:pStyle w:val="Style148"/>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47"/>
      <w:bookmarkEnd w:id="1248"/>
      <w:bookmarkEnd w:id="12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330,608,734.63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见说明</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330,608,734.63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8"/>
        <w:keepNext w:val="0"/>
        <w:keepLines w:val="0"/>
        <w:widowControl w:val="0"/>
        <w:shd w:val="clear" w:color="auto" w:fill="auto"/>
        <w:bidi w:val="0"/>
        <w:spacing w:before="0" w:after="360" w:line="317" w:lineRule="exact"/>
        <w:ind w:left="0" w:right="0" w:firstLine="0"/>
        <w:jc w:val="left"/>
      </w:pPr>
      <w:r>
        <w:rPr>
          <w:rFonts w:ascii="SimSun" w:eastAsia="SimSun" w:hAnsi="SimSun" w:cs="SimSun"/>
          <w:color w:val="000000"/>
          <w:spacing w:val="0"/>
          <w:w w:val="100"/>
          <w:position w:val="0"/>
        </w:rPr>
        <w:t xml:space="preserve">其他说明：应付股权转让款中 </w:t>
      </w:r>
      <w:r>
        <w:rPr>
          <w:color w:val="000000"/>
          <w:spacing w:val="0"/>
          <w:w w:val="100"/>
          <w:position w:val="0"/>
        </w:rPr>
        <w:t xml:space="preserve">330,608,734.63 </w:t>
      </w:r>
      <w:r>
        <w:rPr>
          <w:rFonts w:ascii="SimSun" w:eastAsia="SimSun" w:hAnsi="SimSun" w:cs="SimSun"/>
          <w:color w:val="000000"/>
          <w:spacing w:val="0"/>
          <w:w w:val="100"/>
          <w:position w:val="0"/>
        </w:rPr>
        <w:t xml:space="preserve">元系子公司 </w:t>
      </w:r>
      <w:r>
        <w:rPr>
          <w:color w:val="000000"/>
          <w:spacing w:val="0"/>
          <w:w w:val="100"/>
          <w:position w:val="0"/>
        </w:rPr>
        <w:t xml:space="preserve">United Luck Group Holdings Limited </w:t>
      </w:r>
      <w:r>
        <w:rPr>
          <w:rFonts w:ascii="SimSun" w:eastAsia="SimSun" w:hAnsi="SimSun" w:cs="SimSun"/>
          <w:color w:val="000000"/>
          <w:spacing w:val="0"/>
          <w:w w:val="100"/>
          <w:position w:val="0"/>
        </w:rPr>
        <w:t xml:space="preserve">应付 </w:t>
      </w:r>
      <w:r>
        <w:rPr>
          <w:color w:val="000000"/>
          <w:spacing w:val="0"/>
          <w:w w:val="100"/>
          <w:position w:val="0"/>
        </w:rPr>
        <w:t xml:space="preserve">Outfit? Investments Limited </w:t>
      </w:r>
      <w:r>
        <w:rPr>
          <w:rFonts w:ascii="SimSun" w:eastAsia="SimSun" w:hAnsi="SimSun" w:cs="SimSun"/>
          <w:color w:val="000000"/>
          <w:spacing w:val="0"/>
          <w:w w:val="100"/>
          <w:position w:val="0"/>
        </w:rPr>
        <w:t>原股东的股权转让款</w:t>
      </w:r>
      <w:r>
        <w:rPr>
          <w:color w:val="000000"/>
          <w:spacing w:val="0"/>
          <w:w w:val="100"/>
          <w:position w:val="0"/>
        </w:rPr>
        <w:t>5,000.00</w:t>
      </w:r>
      <w:r>
        <w:rPr>
          <w:rFonts w:ascii="SimSun" w:eastAsia="SimSun" w:hAnsi="SimSun" w:cs="SimSun"/>
          <w:color w:val="000000"/>
          <w:spacing w:val="0"/>
          <w:w w:val="100"/>
          <w:position w:val="0"/>
        </w:rPr>
        <w:t>万美元及其利息。上述剩余股权转让款将于</w:t>
      </w:r>
      <w:r>
        <w:rPr>
          <w:color w:val="000000"/>
          <w:spacing w:val="0"/>
          <w:w w:val="100"/>
          <w:position w:val="0"/>
        </w:rPr>
        <w:t>Ekipa2, mobilne internetne storitve, d.o.o.</w:t>
      </w:r>
      <w:r>
        <w:rPr>
          <w:rFonts w:ascii="SimSun" w:eastAsia="SimSun" w:hAnsi="SimSun" w:cs="SimSun"/>
          <w:color w:val="000000"/>
          <w:spacing w:val="0"/>
          <w:w w:val="100"/>
          <w:position w:val="0"/>
        </w:rPr>
        <w:t>完成斯洛 文尼亚税务检查后支付。</w:t>
      </w:r>
      <w:r>
        <w:br w:type="page"/>
      </w:r>
    </w:p>
    <w:p>
      <w:pPr>
        <w:pStyle w:val="Style36"/>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250"/>
      <w:bookmarkEnd w:id="1251"/>
      <w:bookmarkEnd w:id="12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502,380,949.22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486,241,140.00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502,380,949.22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486,241,140.00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54"/>
      <w:bookmarkEnd w:id="1255"/>
      <w:bookmarkEnd w:id="12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1,179,457.64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1,179,457.64</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258"/>
      <w:bookmarkEnd w:id="1259"/>
      <w:bookmarkEnd w:id="1261"/>
    </w:p>
    <w:p>
      <w:pPr>
        <w:pStyle w:val="Style114"/>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62"/>
      <w:bookmarkEnd w:id="1263"/>
      <w:bookmarkEnd w:id="12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1,377,201,252.73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2,309,999,168.79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286,000,000.00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1,663,201,252.73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2,595,999,168.79</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265"/>
      <w:bookmarkEnd w:id="1266"/>
      <w:bookmarkEnd w:id="1268"/>
    </w:p>
    <w:p>
      <w:pPr>
        <w:pStyle w:val="Style114"/>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269"/>
      <w:bookmarkEnd w:id="1270"/>
      <w:bookmarkEnd w:id="12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设定受益计划净负债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1,100,374.04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1,100,374.04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4"/>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272"/>
      <w:bookmarkEnd w:id="1273"/>
      <w:bookmarkEnd w:id="1274"/>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二、计入当期损益的设定受益成本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1,445,867.54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当期服务成本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1,431,344.07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过去服务成本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利息净额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1,445,867.54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345,493.50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、利息净额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345,493.50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345,493.50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上年年末余额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计入当期损益的设定受益成本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1,100,374.04</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计入其他综合收益的设定受益成本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其他变动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1,100,374.04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55" w:lineRule="exact"/>
        <w:ind w:left="0" w:right="0" w:firstLine="0"/>
        <w:jc w:val="both"/>
      </w:pPr>
      <w:r>
        <w:rPr>
          <w:color w:val="000000"/>
          <w:spacing w:val="0"/>
          <w:w w:val="100"/>
          <w:position w:val="0"/>
        </w:rPr>
        <w:t>设定受益计划的内容及与之相关风险、对公司未来现金流量、时间和不确定性的影响说明：无 设定受益计划重大精算假设及敏感性分析结果说明：无</w:t>
      </w:r>
    </w:p>
    <w:p>
      <w:pPr>
        <w:pStyle w:val="Style31"/>
        <w:keepNext w:val="0"/>
        <w:keepLines w:val="0"/>
        <w:widowControl w:val="0"/>
        <w:shd w:val="clear" w:color="auto" w:fill="auto"/>
        <w:bidi w:val="0"/>
        <w:spacing w:before="0" w:after="360" w:line="355" w:lineRule="exact"/>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275"/>
      <w:bookmarkEnd w:id="1276"/>
      <w:bookmarkEnd w:id="12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3,543,544,05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-27,733,120.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-27,733,120.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3,515,810,93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bl>
    <w:p>
      <w:pPr>
        <w:pStyle w:val="Style31"/>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其他说明：股本变动情况说明：根据公司第三届董事会第三十七次会议及《关于重大资产重组业绩承诺实现情况及业绩补偿 方案暨回购注销对应补偿股份的议案》,公司以人民币</w:t>
      </w:r>
      <w:r>
        <w:rPr>
          <w:rFonts w:ascii="Times New Roman" w:eastAsia="Times New Roman" w:hAnsi="Times New Roman" w:cs="Times New Roman"/>
          <w:color w:val="000000"/>
          <w:spacing w:val="0"/>
          <w:w w:val="100"/>
          <w:position w:val="0"/>
        </w:rPr>
        <w:t>1</w:t>
      </w:r>
      <w:r>
        <w:rPr>
          <w:color w:val="000000"/>
          <w:spacing w:val="0"/>
          <w:w w:val="100"/>
          <w:position w:val="0"/>
        </w:rPr>
        <w:t>元的回购总价分别回购注销了朱志刚和王健业绩补偿股份</w:t>
      </w:r>
      <w:r>
        <w:rPr>
          <w:rFonts w:ascii="Times New Roman" w:eastAsia="Times New Roman" w:hAnsi="Times New Roman" w:cs="Times New Roman"/>
          <w:color w:val="000000"/>
          <w:spacing w:val="0"/>
          <w:w w:val="100"/>
          <w:position w:val="0"/>
        </w:rPr>
        <w:t xml:space="preserve">13,866,560 </w:t>
      </w:r>
      <w:r>
        <w:rPr>
          <w:color w:val="000000"/>
          <w:spacing w:val="0"/>
          <w:w w:val="100"/>
          <w:position w:val="0"/>
        </w:rPr>
        <w:t>股，合计</w:t>
      </w:r>
      <w:r>
        <w:rPr>
          <w:rFonts w:ascii="Times New Roman" w:eastAsia="Times New Roman" w:hAnsi="Times New Roman" w:cs="Times New Roman"/>
          <w:color w:val="000000"/>
          <w:spacing w:val="0"/>
          <w:w w:val="100"/>
          <w:position w:val="0"/>
        </w:rPr>
        <w:t>27,733,120</w:t>
      </w:r>
      <w:r>
        <w:rPr>
          <w:color w:val="000000"/>
          <w:spacing w:val="0"/>
          <w:w w:val="100"/>
          <w:position w:val="0"/>
        </w:rPr>
        <w:t>股。根据回购日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日的股票价格</w:t>
      </w:r>
      <w:r>
        <w:rPr>
          <w:rFonts w:ascii="Times New Roman" w:eastAsia="Times New Roman" w:hAnsi="Times New Roman" w:cs="Times New Roman"/>
          <w:color w:val="000000"/>
          <w:spacing w:val="0"/>
          <w:w w:val="100"/>
          <w:position w:val="0"/>
        </w:rPr>
        <w:t>3.80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w:t>
      </w:r>
      <w:r>
        <w:rPr>
          <w:rFonts w:ascii="Times New Roman" w:eastAsia="Times New Roman" w:hAnsi="Times New Roman" w:cs="Times New Roman"/>
          <w:color w:val="000000"/>
          <w:spacing w:val="0"/>
          <w:w w:val="100"/>
          <w:position w:val="0"/>
        </w:rPr>
        <w:t>27,733,120</w:t>
      </w:r>
      <w:r>
        <w:rPr>
          <w:color w:val="000000"/>
          <w:spacing w:val="0"/>
          <w:w w:val="100"/>
          <w:position w:val="0"/>
        </w:rPr>
        <w:t>股，注销股本</w:t>
      </w:r>
      <w:r>
        <w:rPr>
          <w:rFonts w:ascii="Times New Roman" w:eastAsia="Times New Roman" w:hAnsi="Times New Roman" w:cs="Times New Roman"/>
          <w:color w:val="000000"/>
          <w:spacing w:val="0"/>
          <w:w w:val="100"/>
          <w:position w:val="0"/>
        </w:rPr>
        <w:t xml:space="preserve">27,733,120.00 </w:t>
      </w:r>
      <w:r>
        <w:rPr>
          <w:color w:val="000000"/>
          <w:spacing w:val="0"/>
          <w:w w:val="100"/>
          <w:position w:val="0"/>
        </w:rPr>
        <w:t>元，减少资本公积</w:t>
      </w:r>
      <w:r>
        <w:rPr>
          <w:rFonts w:ascii="Times New Roman" w:eastAsia="Times New Roman" w:hAnsi="Times New Roman" w:cs="Times New Roman"/>
          <w:color w:val="000000"/>
          <w:spacing w:val="0"/>
          <w:w w:val="100"/>
          <w:position w:val="0"/>
        </w:rPr>
        <w:t>77,652,736.00</w:t>
      </w:r>
      <w:r>
        <w:rPr>
          <w:color w:val="000000"/>
          <w:spacing w:val="0"/>
          <w:w w:val="100"/>
          <w:position w:val="0"/>
        </w:rPr>
        <w:t>元，确认投资收益</w:t>
      </w:r>
      <w:r>
        <w:rPr>
          <w:rFonts w:ascii="Times New Roman" w:eastAsia="Times New Roman" w:hAnsi="Times New Roman" w:cs="Times New Roman"/>
          <w:color w:val="000000"/>
          <w:spacing w:val="0"/>
          <w:w w:val="100"/>
          <w:position w:val="0"/>
        </w:rPr>
        <w:t>105,385,856.00</w:t>
      </w:r>
      <w:r>
        <w:rPr>
          <w:color w:val="000000"/>
          <w:spacing w:val="0"/>
          <w:w w:val="100"/>
          <w:position w:val="0"/>
        </w:rPr>
        <w:t>元。</w:t>
      </w:r>
    </w:p>
    <w:p>
      <w:pPr>
        <w:pStyle w:val="Style36"/>
        <w:keepNext/>
        <w:keepLines/>
        <w:widowControl w:val="0"/>
        <w:shd w:val="clear" w:color="auto" w:fill="auto"/>
        <w:bidi w:val="0"/>
        <w:spacing w:before="0" w:after="26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279"/>
      <w:bookmarkEnd w:id="1280"/>
      <w:bookmarkEnd w:id="1282"/>
    </w:p>
    <w:p>
      <w:pPr>
        <w:pStyle w:val="Style31"/>
        <w:keepNext w:val="0"/>
        <w:keepLines w:val="0"/>
        <w:widowControl w:val="0"/>
        <w:shd w:val="clear" w:color="auto" w:fill="auto"/>
        <w:bidi w:val="0"/>
        <w:spacing w:before="0" w:after="320" w:line="307" w:lineRule="exact"/>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2,135,887,893.62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1,637,652,736.00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498,235,157.62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55,549,903.36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1,807,470.15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53,742,433.21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2,191,437,796.98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1,639,460,206.15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551,977,590.83</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资本公积变动说明：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：公司回购并注销业绩补偿股份减少资本溢价（股本溢价）</w:t>
      </w:r>
      <w:r>
        <w:rPr>
          <w:rFonts w:ascii="Times New Roman" w:eastAsia="Times New Roman" w:hAnsi="Times New Roman" w:cs="Times New Roman"/>
          <w:color w:val="000000"/>
          <w:spacing w:val="0"/>
          <w:w w:val="100"/>
          <w:position w:val="0"/>
        </w:rPr>
        <w:t>77,652,736.00</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：公司子公司万锦商贸有限公司完成对绍兴上虞时代广场商贸有限公司同一控制下企业合并相应减少资本溢价（股本溢 价）</w:t>
      </w:r>
      <w:r>
        <w:rPr>
          <w:rFonts w:ascii="Times New Roman" w:eastAsia="Times New Roman" w:hAnsi="Times New Roman" w:cs="Times New Roman"/>
          <w:color w:val="000000"/>
          <w:spacing w:val="0"/>
          <w:w w:val="100"/>
          <w:position w:val="0"/>
        </w:rPr>
        <w:t xml:space="preserve">10,000,000.00 </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：公司收购母公司金科控股集团持有的万锦商贸有限公司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股权，属于同一控制下企业合并，相应减少资本溢价（股 本溢价）</w:t>
      </w:r>
      <w:r>
        <w:rPr>
          <w:rFonts w:ascii="Times New Roman" w:eastAsia="Times New Roman" w:hAnsi="Times New Roman" w:cs="Times New Roman"/>
          <w:color w:val="000000"/>
          <w:spacing w:val="0"/>
          <w:w w:val="100"/>
          <w:position w:val="0"/>
        </w:rPr>
        <w:t xml:space="preserve">1,550,000,000.00 </w:t>
      </w:r>
      <w:r>
        <w:rPr>
          <w:color w:val="000000"/>
          <w:spacing w:val="0"/>
          <w:w w:val="100"/>
          <w:position w:val="0"/>
        </w:rPr>
        <w:t>元；</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：联营企业深圳市星河互动科技有限公司其他权益变动导致相应减少其他资本公积</w:t>
      </w:r>
      <w:r>
        <w:rPr>
          <w:rFonts w:ascii="Times New Roman" w:eastAsia="Times New Roman" w:hAnsi="Times New Roman" w:cs="Times New Roman"/>
          <w:color w:val="000000"/>
          <w:spacing w:val="0"/>
          <w:w w:val="100"/>
          <w:position w:val="0"/>
        </w:rPr>
        <w:t>220,263.88</w:t>
      </w:r>
      <w:r>
        <w:rPr>
          <w:color w:val="000000"/>
          <w:spacing w:val="0"/>
          <w:w w:val="100"/>
          <w:position w:val="0"/>
        </w:rPr>
        <w:t>元，本期处置联营企业杭 州谦游坊科技有限公司相应减少其他资本公积</w:t>
      </w:r>
      <w:r>
        <w:rPr>
          <w:rFonts w:ascii="Times New Roman" w:eastAsia="Times New Roman" w:hAnsi="Times New Roman" w:cs="Times New Roman"/>
          <w:color w:val="000000"/>
          <w:spacing w:val="0"/>
          <w:w w:val="100"/>
          <w:position w:val="0"/>
        </w:rPr>
        <w:t>115,000.00</w:t>
      </w:r>
      <w:r>
        <w:rPr>
          <w:color w:val="000000"/>
          <w:spacing w:val="0"/>
          <w:w w:val="100"/>
          <w:position w:val="0"/>
        </w:rPr>
        <w:t>元,本期处置联营企业杭州摘星社信息科技有限公司相应减少其他 资本公积</w:t>
      </w:r>
      <w:r>
        <w:rPr>
          <w:rFonts w:ascii="Times New Roman" w:eastAsia="Times New Roman" w:hAnsi="Times New Roman" w:cs="Times New Roman"/>
          <w:color w:val="000000"/>
          <w:spacing w:val="0"/>
          <w:w w:val="100"/>
          <w:position w:val="0"/>
        </w:rPr>
        <w:t>1,145,171.67</w:t>
      </w:r>
      <w:r>
        <w:rPr>
          <w:color w:val="000000"/>
          <w:spacing w:val="0"/>
          <w:w w:val="100"/>
          <w:position w:val="0"/>
        </w:rPr>
        <w:t>元，本期处置联营企业上海合志信息技术有限公司部分股权相应减少其他资本公积</w:t>
      </w:r>
      <w:r>
        <w:rPr>
          <w:rFonts w:ascii="Times New Roman" w:eastAsia="Times New Roman" w:hAnsi="Times New Roman" w:cs="Times New Roman"/>
          <w:color w:val="000000"/>
          <w:spacing w:val="0"/>
          <w:w w:val="100"/>
          <w:position w:val="0"/>
        </w:rPr>
        <w:t>327,034.60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283"/>
      <w:bookmarkEnd w:id="1284"/>
      <w:bookmarkEnd w:id="12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150,504,934.60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150,504,934.60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150,504,934.60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其他说明，包括本期增减变动情况、变动原因说明：无。</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287"/>
      <w:bookmarkEnd w:id="1288"/>
      <w:bookmarkEnd w:id="12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本期所</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得税前</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税后归 属于少 数股东</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-207,645,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-31,839,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40"/>
              <w:jc w:val="left"/>
              <w:rPr>
                <w:sz w:val="18"/>
                <w:szCs w:val="18"/>
              </w:rPr>
            </w:pPr>
            <w:r>
              <w:rPr>
                <w:color w:val="000000"/>
                <w:spacing w:val="0"/>
                <w:w w:val="100"/>
                <w:position w:val="0"/>
                <w:sz w:val="18"/>
                <w:szCs w:val="18"/>
              </w:rPr>
              <w:t>权益法下不能转损益的 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-207,645,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-31,839,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line="1" w:lineRule="exact"/>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-288,046,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其中：权益法下可转损益的其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979.28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-288,047,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64,057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-495,692,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97,597,0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95,843,9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48,591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36"/>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291"/>
      <w:bookmarkEnd w:id="1292"/>
      <w:bookmarkEnd w:id="12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46,769,319.26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46,769,319.26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46,769,319.26</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盈余公积说明，包括本期增减变动情况、变动原因说明：无。</w:t>
      </w:r>
    </w:p>
    <w:p>
      <w:pPr>
        <w:pStyle w:val="Style36"/>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295"/>
      <w:bookmarkEnd w:id="1296"/>
      <w:bookmarkEnd w:id="129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-1,424,471,594.62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1,482,603,086.16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-147,608,969.80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-118,655,795.66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-1,572,080,564.42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1,363,947,290.50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752,917,670.98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-2,809,092,332.65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129,715,530.47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2,780,008.20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-817,409,789.00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-1,572,080,564.42</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440" w:val="left"/>
        </w:tabs>
        <w:bidi w:val="0"/>
        <w:spacing w:before="0" w:after="100" w:line="240" w:lineRule="auto"/>
        <w:ind w:left="0" w:right="0" w:firstLine="0"/>
        <w:jc w:val="left"/>
      </w:pPr>
      <w:bookmarkStart w:id="1299" w:name="bookmark1299"/>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w:t>
        <w:tab/>
        <w:t>由于《企业会计准则》及其相关新规定进行追溯调整，影响期初未分配利润元。</w:t>
      </w:r>
    </w:p>
    <w:p>
      <w:pPr>
        <w:pStyle w:val="Style31"/>
        <w:keepNext w:val="0"/>
        <w:keepLines w:val="0"/>
        <w:widowControl w:val="0"/>
        <w:shd w:val="clear" w:color="auto" w:fill="auto"/>
        <w:tabs>
          <w:tab w:pos="440" w:val="left"/>
        </w:tabs>
        <w:bidi w:val="0"/>
        <w:spacing w:before="0" w:after="100" w:line="240" w:lineRule="auto"/>
        <w:ind w:left="0" w:right="0" w:firstLine="0"/>
        <w:jc w:val="left"/>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由于会计政策变更，影响期初未分配利润元。</w:t>
      </w:r>
    </w:p>
    <w:p>
      <w:pPr>
        <w:pStyle w:val="Style31"/>
        <w:keepNext w:val="0"/>
        <w:keepLines w:val="0"/>
        <w:widowControl w:val="0"/>
        <w:shd w:val="clear" w:color="auto" w:fill="auto"/>
        <w:tabs>
          <w:tab w:pos="440" w:val="left"/>
        </w:tabs>
        <w:bidi w:val="0"/>
        <w:spacing w:before="0" w:after="100" w:line="240" w:lineRule="auto"/>
        <w:ind w:left="0" w:right="0" w:firstLine="0"/>
        <w:jc w:val="left"/>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-42,841,513.04</w:t>
      </w:r>
      <w:r>
        <w:rPr>
          <w:color w:val="000000"/>
          <w:spacing w:val="0"/>
          <w:w w:val="100"/>
          <w:position w:val="0"/>
        </w:rPr>
        <w:t>元。</w:t>
      </w:r>
    </w:p>
    <w:p>
      <w:pPr>
        <w:pStyle w:val="Style31"/>
        <w:keepNext w:val="0"/>
        <w:keepLines w:val="0"/>
        <w:widowControl w:val="0"/>
        <w:shd w:val="clear" w:color="auto" w:fill="auto"/>
        <w:tabs>
          <w:tab w:pos="440" w:val="left"/>
        </w:tabs>
        <w:bidi w:val="0"/>
        <w:spacing w:before="0" w:after="100" w:line="240" w:lineRule="auto"/>
        <w:ind w:left="0" w:right="0" w:firstLine="0"/>
        <w:jc w:val="left"/>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-104,767,456.76</w:t>
      </w:r>
      <w:r>
        <w:rPr>
          <w:color w:val="000000"/>
          <w:spacing w:val="0"/>
          <w:w w:val="100"/>
          <w:position w:val="0"/>
        </w:rPr>
        <w:t>元。</w:t>
      </w:r>
    </w:p>
    <w:p>
      <w:pPr>
        <w:pStyle w:val="Style31"/>
        <w:keepNext w:val="0"/>
        <w:keepLines w:val="0"/>
        <w:widowControl w:val="0"/>
        <w:shd w:val="clear" w:color="auto" w:fill="auto"/>
        <w:tabs>
          <w:tab w:pos="440" w:val="left"/>
        </w:tabs>
        <w:bidi w:val="0"/>
        <w:spacing w:before="0" w:after="100" w:line="240" w:lineRule="auto"/>
        <w:ind w:left="0" w:right="0" w:firstLine="0"/>
        <w:jc w:val="left"/>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w:t>
        <w:tab/>
        <w:t>其他调整合计影响期初未分配利润元。</w:t>
      </w:r>
      <w:r>
        <w:br w:type="page"/>
      </w:r>
    </w:p>
    <w:p>
      <w:pPr>
        <w:pStyle w:val="Style36"/>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04"/>
      <w:bookmarkEnd w:id="1305"/>
      <w:bookmarkEnd w:id="13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1,783,058,044.51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390,434,501.69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1,931,847,719.69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537,106,834.71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24,164,527.61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8,508,445.21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11,184,201.68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13,257,216.99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1,807,222,572.12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398,942,946.90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1,943,031,921.37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550,364,051.70</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经审计扣除非经常损益前后净利润孰低是否为负值 口是"否</w:t>
      </w:r>
    </w:p>
    <w:p>
      <w:pPr>
        <w:pStyle w:val="Style31"/>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43"/>
        <w:gridCol w:w="1632"/>
        <w:gridCol w:w="1915"/>
        <w:gridCol w:w="1920"/>
      </w:tblGrid>
      <w:tr>
        <w:trPr>
          <w:trHeight w:val="403"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其中：游戏发行业务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233,591,505.45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233,591,505.45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1,383,104,865.74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1,383,104,865.74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新商业服务业务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62,257,378.70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62,257,378.70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媒体影视业务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41,065,139.82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41,065,139.82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授权业务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44,832,919.60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44,832,919.60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18,206,235.20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18,206,235.20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24,164,527.61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24,164,527.61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1,807,222,572.12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1,807,222,572.12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与履约义务相关的信息：不适用</w:t>
      </w:r>
    </w:p>
    <w:p>
      <w:pPr>
        <w:pStyle w:val="Style36"/>
        <w:keepNext/>
        <w:keepLines/>
        <w:widowControl w:val="0"/>
        <w:shd w:val="clear" w:color="auto" w:fill="auto"/>
        <w:bidi w:val="0"/>
        <w:spacing w:before="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08"/>
      <w:bookmarkEnd w:id="1309"/>
      <w:bookmarkEnd w:id="13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1,752,880.55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2,804,861.44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800,453.16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1,445,894.65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3,606,850.03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5,236,111.48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1,086,691.75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1,509,592.77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1,913,566.86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601,508.70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534,719.24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916,933.71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284,992.03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8,301,537.87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14,308,153.62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12"/>
      <w:bookmarkEnd w:id="1313"/>
      <w:bookmarkEnd w:id="13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17,180,907.35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134,733,276.37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69,086,328.35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48,724,914.63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1,140,585.50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11,636,409.97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6,237,326.11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11,803,178.01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3,940,729.57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4,705,571.51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1,758,117.14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680,813.95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99,343,994.02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212,284,164.44</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16"/>
      <w:bookmarkEnd w:id="1317"/>
      <w:bookmarkEnd w:id="13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133,763,724.62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158,127,284.31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163,067,928.95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143,299,491.90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30,521,631.84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34,377,125.29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17,247,987.23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29,371,361.63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10,529,319.24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19,943,310.93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云服务器费用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11,714,775.52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3,258,627.26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3,998,202.80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370,103,994.66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389,116,776.86</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20"/>
      <w:bookmarkEnd w:id="1321"/>
      <w:bookmarkEnd w:id="13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130,964,420.57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131,599,163.71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4,307,567.88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54,701,072.79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1,650,732.22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13,206,751.43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11,798,885.27</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1,542,998.57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7,393,158.43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138,465,719.24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218,699,031.63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24"/>
      <w:bookmarkEnd w:id="1325"/>
      <w:bookmarkEnd w:id="13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147,434,948.20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243,531,518.27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6,677,838.58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减：资金拆借利息收入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50,035,954.19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69,778,349.56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17,838,679.88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-19,735,230.93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2,467,001.69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1,504,325.26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116,797,843.66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148,844,424.46</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28"/>
      <w:bookmarkEnd w:id="1329"/>
      <w:bookmarkEnd w:id="13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12,924,175.23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4,972,644.48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1,361,637.66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2,012,618.19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直接减免的增值税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2,277,541.82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16,763,006.49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7,107,416.37</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32"/>
      <w:bookmarkEnd w:id="1333"/>
      <w:bookmarkEnd w:id="13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-18,144,356.15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-29,948,848.63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4,266,886.21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28,749,678.97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-2,627,003.33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9,032,524.59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其他非流动金融资产在持有期间的投资收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791,683.92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105,385,856.00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93,328,218.13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5,998,035.52</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36"/>
      <w:bookmarkEnd w:id="1337"/>
      <w:bookmarkEnd w:id="13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9,525,940.10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rPr>
                <w:sz w:val="18"/>
                <w:szCs w:val="18"/>
              </w:rPr>
            </w:pPr>
            <w:r>
              <w:rPr>
                <w:color w:val="000000"/>
                <w:spacing w:val="0"/>
                <w:w w:val="100"/>
                <w:position w:val="0"/>
                <w:sz w:val="18"/>
                <w:szCs w:val="18"/>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9,525,940.10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2,288,423.06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11,814,363.16</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40"/>
      <w:bookmarkEnd w:id="1341"/>
      <w:bookmarkEnd w:id="13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60,348,597.87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-89,620,846.91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-27,041,315.83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-21,830,391.41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33,307,282.04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-111,451,238.32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44"/>
      <w:bookmarkEnd w:id="1345"/>
      <w:bookmarkEnd w:id="134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-2,118,705.89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-32,132,675.85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-128,386,597.42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-780,108.05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-4,686,666.82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-318,829,353.00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-1,978,079.39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-2,610,962,076.59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-23,297,558.73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-39,440,632.96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-3,084,374,399.68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348"/>
      <w:bookmarkEnd w:id="1349"/>
      <w:bookmarkEnd w:id="135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412,409.37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8,510,732.63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412,409.37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8,510,732.63</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52"/>
      <w:bookmarkEnd w:id="1353"/>
      <w:bookmarkEnd w:id="13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4,890,312.11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4,890,312.11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131,175.79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68,762.50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131,175.79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684,603.45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113,187.07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684,603.45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业绩补偿返还股利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1,325,976.54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1,325,976.54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60,923.21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73,132.69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60,923.21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7,092,991.10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275,082.26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7,092,991.10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政府补助明细详见本报告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“57</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6"/>
        <w:keepNext/>
        <w:keepLines/>
        <w:widowControl w:val="0"/>
        <w:shd w:val="clear" w:color="auto" w:fill="auto"/>
        <w:bidi w:val="0"/>
        <w:spacing w:before="0" w:after="34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56"/>
      <w:bookmarkEnd w:id="1357"/>
      <w:bookmarkEnd w:id="13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19,613,966.07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134,767.79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19,613,966.07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2,012,783.76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12,513,861.73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2,012,783.76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34,944.22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12,380.54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34,944.22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32,790.57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22,705.00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32,790.57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40,894.11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163,881.69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124,389.33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163,881.69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21,899,260.42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12,808,104.39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21,899,260.42</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5</w:t>
      </w:r>
      <w:bookmarkEnd w:id="136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60"/>
      <w:bookmarkEnd w:id="1361"/>
      <w:bookmarkEnd w:id="1363"/>
    </w:p>
    <w:p>
      <w:pPr>
        <w:pStyle w:val="Style114"/>
        <w:keepNext/>
        <w:keepLines/>
        <w:widowControl w:val="0"/>
        <w:shd w:val="clear" w:color="auto" w:fill="auto"/>
        <w:bidi w:val="0"/>
        <w:spacing w:before="0" w:after="34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4"/>
      <w:bookmarkEnd w:id="1365"/>
      <w:bookmarkEnd w:id="13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18,617,146.24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22,369,021.06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2,072,555.54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5,289,233.56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20,689,701.78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27,658,254.62</w:t>
            </w:r>
          </w:p>
        </w:tc>
      </w:tr>
    </w:tbl>
    <w:p>
      <w:pPr>
        <w:spacing w:lineRule="exact" w:line="1"/>
        <w:rPr>
          <w:sz w:val="2"/>
          <w:szCs w:val="2"/>
        </w:rPr>
      </w:pPr>
      <w:r>
        <w:br w:type="page"/>
      </w:r>
    </w:p>
    <w:p>
      <w:pPr>
        <w:pStyle w:val="Style114"/>
        <w:keepNext/>
        <w:keepLines/>
        <w:widowControl w:val="0"/>
        <w:shd w:val="clear" w:color="auto" w:fill="auto"/>
        <w:bidi w:val="0"/>
        <w:spacing w:before="0" w:after="340" w:line="240" w:lineRule="auto"/>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67"/>
      <w:bookmarkEnd w:id="1368"/>
      <w:bookmarkEnd w:id="136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772,274,418.59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193,068,604.65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-18,519,034.64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7,061,977.10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-40,390,409.10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-123,859,416.91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-3,025,111.79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境外子公司来自境内收入的预提税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6,296,371.99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20,689,701.78</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5</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70"/>
      <w:bookmarkEnd w:id="1371"/>
      <w:bookmarkEnd w:id="137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详见附注“第十一节、财务报告”之“七、合并财务报表项目注释”之“</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p>
    <w:p>
      <w:pPr>
        <w:pStyle w:val="Style36"/>
        <w:keepNext/>
        <w:keepLines/>
        <w:widowControl w:val="0"/>
        <w:shd w:val="clear" w:color="auto" w:fill="auto"/>
        <w:bidi w:val="0"/>
        <w:spacing w:before="0" w:after="34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5</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374"/>
      <w:bookmarkEnd w:id="1375"/>
      <w:bookmarkEnd w:id="1377"/>
    </w:p>
    <w:p>
      <w:pPr>
        <w:pStyle w:val="Style114"/>
        <w:keepNext/>
        <w:keepLines/>
        <w:widowControl w:val="0"/>
        <w:shd w:val="clear" w:color="auto" w:fill="auto"/>
        <w:bidi w:val="0"/>
        <w:spacing w:before="0" w:after="34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8"/>
      <w:bookmarkEnd w:id="1379"/>
      <w:bookmarkEnd w:id="13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暂收授权款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48,825,132.06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暂收推广结算款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39,550,935.62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收回保证金存款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1,542,124.82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7,676,754.72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17,814,487.34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4,198,143.22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6,782,106.86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收到其他保证金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3,696,030.00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收到经营性往来款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226,609,725.15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314,475,772.26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4,576,590.43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1,790,050.20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251,449,759.66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426,994,924.94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收到的其他与经营活动有关的现金说明：无。</w:t>
      </w:r>
      <w:r>
        <w:br w:type="page"/>
      </w:r>
    </w:p>
    <w:p>
      <w:pPr>
        <w:pStyle w:val="Style114"/>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1"/>
      <w:bookmarkEnd w:id="1382"/>
      <w:bookmarkEnd w:id="13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17,794,710.09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135,069,519.48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代垫款项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49,824,286.68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5,850,566.45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57,942,342.24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支付银行保证金存款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3,539,248.79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45,020,449.44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办公费及保险费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33,250,013.49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43,234,585.78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17,927,877.27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31,746,488.94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18,772,576.21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29,374,901.63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2,012,783.76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12,513,861.73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1,140,585.50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11,636,409.97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2,337,160.53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1,504,325.26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支付经营性往来款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250,395,716.48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295,762,193.39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退回授权款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44,867,924.53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17,202,939.66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398,375,983.55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730,832,304.20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支付的其他与经营活动有关的现金说明：无。</w:t>
      </w:r>
    </w:p>
    <w:p>
      <w:pPr>
        <w:pStyle w:val="Style11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84"/>
      <w:bookmarkEnd w:id="1385"/>
      <w:bookmarkEnd w:id="13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收回金科控股集团有限公司拆借款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4,526,078,185.77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3,342,599,303.14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收到绍兴海元信息科技有限公司拆借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收到绍兴上虞洪晨贸易有限公司拆借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78,298,192.00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收回江西纵趣科技有限公司拆借款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4,351,823.85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12,947,953.42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未完成业绩承诺补偿款及返还股利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10,851,916.64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万锦商贸有限公司（被收购前）收回金 科控股集团有限公司拆借款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128,715,375.00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收到资金拆借利息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114,051,039.32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4,784,048,340.58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3,573,845,448.56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收到的其他与投资活动有关的现金说明：无。</w:t>
      </w:r>
      <w:r>
        <w:br w:type="page"/>
      </w:r>
    </w:p>
    <w:p>
      <w:pPr>
        <w:pStyle w:val="Style114"/>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88"/>
      <w:bookmarkEnd w:id="1389"/>
      <w:bookmarkEnd w:id="13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支付金科控股集团有限公司拆出款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2,966,528,915.60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4,679,473,430.02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支付绍兴海元信息科技有限公司拆出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支付绍兴上虞洪晨贸易有限公司拆出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78,298,192.00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支付江西纵趣科技有限公司拆出款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借出拆借款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6,418,114.66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18,229,785.56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处置子公司收到的现金净额负数重分 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11,320,343.04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万锦商贸有限公司（被收购前）支付金 科控股集团有限公司拆出款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48,588,008.02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3,032,855,381.32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4,916,001,407.58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支付的其他与投资活动有关的现金说明：无。</w:t>
      </w:r>
    </w:p>
    <w:p>
      <w:pPr>
        <w:pStyle w:val="Style114"/>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92"/>
      <w:bookmarkEnd w:id="1393"/>
      <w:bookmarkEnd w:id="13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借入绍兴上虞洪晨贸易有限公司拆借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1,290,000,010.00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借入金科控股集团有限公司拆借款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36,240,816.68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借入江西纵趣科技有限公司拆借款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借入蔡明增拆借款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借入深圳市艾闪科技有限公司拆借款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收回用于质押借款定期存款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2,264,350,000.00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收到胡仁勇拆借款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收到其他拆借款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收回银行借款受托支付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572,094,022.15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万锦商贸有限公司（被收购前）借入拆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95,742,666.67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582,160,927.15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3,744,333,493.35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收到的其他与筹资活动有关的现金说明：无。</w:t>
      </w:r>
      <w:r>
        <w:br w:type="page"/>
      </w:r>
    </w:p>
    <w:p>
      <w:pPr>
        <w:pStyle w:val="Style114"/>
        <w:keepNext/>
        <w:keepLines/>
        <w:widowControl w:val="0"/>
        <w:numPr>
          <w:ilvl w:val="0"/>
          <w:numId w:val="53"/>
        </w:numPr>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支付的其他与筹资活动有关的现金</w:t>
      </w:r>
      <w:bookmarkEnd w:id="1396"/>
      <w:bookmarkEnd w:id="1397"/>
      <w:bookmarkEnd w:id="13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定期存款质押借款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1,588,400,000.00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归还绍兴上虞洪晨贸易有限公司拆借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1,290,000,010.00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归还浙江金科日化原料有限公司拆借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857,856.77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185,878,579.04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108,785,304.34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收购少数股权支付的现金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归还江西纵趣科技有限公司拆借款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归还蔡明增拆借款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归还胡仁勇拆借款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取得银行借款后受托支付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572,094,022.15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归还金科控股集团有限公司拆借款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41,969,227.02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归还其他拆借款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1,549,466.81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万锦商贸有限公司(被收购前)归还拆 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110,463,071.44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79,702,064.00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736,933,644.19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3,345,765,957.38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支付的其他与筹资活动有关的现金说明：无。</w:t>
      </w:r>
    </w:p>
    <w:p>
      <w:pPr>
        <w:pStyle w:val="Style36"/>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5</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00"/>
      <w:bookmarkEnd w:id="1401"/>
      <w:bookmarkEnd w:id="1403"/>
    </w:p>
    <w:p>
      <w:pPr>
        <w:pStyle w:val="Style114"/>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4"/>
      <w:bookmarkEnd w:id="1405"/>
      <w:bookmarkEnd w:id="14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751,584,716.81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-2,793,171,048.41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6,133,350.92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3,195,825,638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rPr>
                <w:sz w:val="18"/>
                <w:szCs w:val="18"/>
              </w:rPr>
            </w:pPr>
            <w:r>
              <w:rPr>
                <w:color w:val="000000"/>
                <w:spacing w:val="0"/>
                <w:w w:val="100"/>
                <w:position w:val="0"/>
                <w:sz w:val="18"/>
                <w:szCs w:val="18"/>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32,240,739.87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49,462,387.99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114,023,662.64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151,573,093.14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15,462,062.75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16,613,702.42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处置固定资产、无形资产和其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-8,510,732.63</w:t>
            </w:r>
          </w:p>
        </w:tc>
      </w:tr>
    </w:tbl>
    <w:p>
      <w:pPr>
        <w:widowControl w:val="0"/>
        <w:spacing w:line="1" w:lineRule="exact"/>
      </w:pPr>
      <w:r>
        <w:br w:type="page"/>
      </w:r>
    </w:p>
    <w:tbl>
      <w:tblPr>
        <w:tblOverlap w:val="never"/>
        <w:jc w:val="center"/>
        <w:tblLayout w:type="fixed"/>
      </w:tblPr>
      <w:tblGrid>
        <w:gridCol w:w="3331"/>
        <w:gridCol w:w="3058"/>
        <w:gridCol w:w="31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他长期资产的损失（收益以"一”号填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固定资产报废损失（收益以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19,613,966.07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公允价值变动损失（收益以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-11,814,363.16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176,939,520.28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162,546,047.01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-93,328,218.13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-5,998,035.52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5,289,233.56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-15,192,020.85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rPr>
                <w:sz w:val="18"/>
                <w:szCs w:val="18"/>
              </w:rPr>
            </w:pPr>
            <w:r>
              <w:rPr>
                <w:color w:val="000000"/>
                <w:spacing w:val="0"/>
                <w:w w:val="100"/>
                <w:position w:val="0"/>
                <w:sz w:val="18"/>
                <w:szCs w:val="18"/>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5,172,395.34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7,062,665.13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rPr>
                <w:sz w:val="18"/>
                <w:szCs w:val="18"/>
              </w:rPr>
            </w:pPr>
            <w:r>
              <w:rPr>
                <w:color w:val="000000"/>
                <w:spacing w:val="0"/>
                <w:w w:val="100"/>
                <w:position w:val="0"/>
                <w:sz w:val="18"/>
                <w:szCs w:val="18"/>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153,803,228.64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-1,993,651,574.00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rPr>
                <w:sz w:val="18"/>
                <w:szCs w:val="18"/>
              </w:rPr>
            </w:pPr>
            <w:r>
              <w:rPr>
                <w:color w:val="000000"/>
                <w:spacing w:val="0"/>
                <w:w w:val="100"/>
                <w:position w:val="0"/>
                <w:sz w:val="18"/>
                <w:szCs w:val="18"/>
              </w:rPr>
              <w:t>经营性应付项目的增加（减少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-99,157,340.60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2,301,355,203.12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1,294,426.06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1,075,838,684.38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1,062,819,389.65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361,000,287.15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644,309,607.33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644,309,607.33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1,094,974,575.58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-283,309,320.18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-450,664,968.25</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07"/>
      <w:bookmarkEnd w:id="1408"/>
      <w:bookmarkEnd w:id="140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1,015,396,576.49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绍兴上虞时代广场商贸有限公司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万锦商贸有限公司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1,014,396,576.49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杭州每日给力科技有限公司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1,045,396,576.49</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10"/>
      <w:bookmarkEnd w:id="1411"/>
      <w:bookmarkEnd w:id="141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13,025,454.47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霍尔果斯东胜傲来文化发展有限公司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喀什东胜傲来信息科技有限公司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霍尔果斯南瞻信息科技有限公司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杭州芝视文化传媒有限公司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成都佳讯文化传播有限责任公司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金莉哲信（深圳）科技有限公司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河南元之荣电子科技有限公司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17,454.47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星宝乐园（北京）信息科技有限公司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西藏哲塔科技文化有限公司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杭州傲来企业管理有限公司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杭州猫衍科技有限公司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14,061,738.96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霍尔果斯东胜傲来文化发展有限公司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594,970.35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喀什东胜傲来信息科技有限公司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79,839.01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霍尔果斯南瞻信息科技有限公司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46,132.09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杭州芝视文化传媒有限公司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成都佳讯文化传播有限责任公司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40,356.64</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金莉哲信（深圳）科技有限公司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2,830,528.72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河南元之荣电子科技有限公司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星宝乐园（北京）信息科技有限公司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389,938.52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西藏哲塔科技文化有限公司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杭州傲来企业管理有限公司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杭州金科博锐科技有限公司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9,387,820.57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杭州猫衍科技有限公司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555,955.96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加：负数重分类至支付的其他与投资活动有关的现金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11,320,343.04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10,284,058.55</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14"/>
      <w:bookmarkEnd w:id="1415"/>
      <w:bookmarkEnd w:id="14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361,000,287.15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644,309,607.33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178,479.23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358,469,087.29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640,988,036.95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2,463,738.26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3,143,091.15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361,000,287.15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644,309,607.33</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18"/>
      <w:bookmarkEnd w:id="1419"/>
      <w:bookmarkEnd w:id="14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351,331,021.85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存放于专管账户的股权转让款及其他 受限制账户资金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238,437,731.32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380,897,448.86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银行借款抵押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49,914,746.57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14,761,302.22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214,405,481.90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银行借款抵押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1,249,747,732.72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0"/>
        <w:keepNext w:val="0"/>
        <w:keepLines w:val="0"/>
        <w:widowControl w:val="0"/>
        <w:shd w:val="clear" w:color="auto" w:fill="auto"/>
        <w:bidi w:val="0"/>
        <w:spacing w:before="0" w:after="320" w:line="317" w:lineRule="exact"/>
        <w:ind w:left="0" w:right="0" w:firstLine="0"/>
        <w:jc w:val="left"/>
      </w:pPr>
      <w:r>
        <w:rPr>
          <w:rFonts w:ascii="SimSun" w:eastAsia="SimSun" w:hAnsi="SimSun" w:cs="SimSun"/>
          <w:color w:val="000000"/>
          <w:spacing w:val="0"/>
          <w:w w:val="100"/>
          <w:position w:val="0"/>
          <w:sz w:val="18"/>
          <w:szCs w:val="18"/>
        </w:rPr>
        <w:t>其他说明：</w:t>
      </w:r>
      <w:r>
        <w:rPr>
          <w:color w:val="000000"/>
          <w:spacing w:val="0"/>
          <w:w w:val="100"/>
          <w:position w:val="0"/>
        </w:rPr>
        <w:t>United Luck Group Holdings Limited</w:t>
      </w:r>
      <w:r>
        <w:rPr>
          <w:rFonts w:ascii="SimSun" w:eastAsia="SimSun" w:hAnsi="SimSun" w:cs="SimSun"/>
          <w:color w:val="000000"/>
          <w:spacing w:val="0"/>
          <w:w w:val="100"/>
          <w:position w:val="0"/>
        </w:rPr>
        <w:t>将期末余额人民币</w:t>
      </w:r>
      <w:r>
        <w:rPr>
          <w:color w:val="000000"/>
          <w:spacing w:val="0"/>
          <w:w w:val="100"/>
          <w:position w:val="0"/>
        </w:rPr>
        <w:t>285,932,154.66</w:t>
      </w:r>
      <w:r>
        <w:rPr>
          <w:rFonts w:ascii="SimSun" w:eastAsia="SimSun" w:hAnsi="SimSun" w:cs="SimSun"/>
          <w:color w:val="000000"/>
          <w:spacing w:val="0"/>
          <w:w w:val="100"/>
          <w:position w:val="0"/>
        </w:rPr>
        <w:t>元的应收账款（全部对合 并范围内）用于银行借款质押。</w:t>
      </w:r>
      <w:r>
        <w:br w:type="page"/>
      </w:r>
    </w:p>
    <w:p>
      <w:pPr>
        <w:pStyle w:val="Style36"/>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22"/>
      <w:bookmarkEnd w:id="1423"/>
      <w:bookmarkEnd w:id="1425"/>
    </w:p>
    <w:p>
      <w:pPr>
        <w:pStyle w:val="Style114"/>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26"/>
      <w:bookmarkEnd w:id="1427"/>
      <w:bookmarkEnd w:id="14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606,784,610.27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88,493,486.95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577,411,153.00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2,699,030.18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21,659,717.19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5,676,479.98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4,777,325.55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300,590.36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2,672,338.48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30,702.90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印度卢比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2,619,227.32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233,373.15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171,165,482.95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14,670,922.01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95,726,299.02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9,314,952.63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74,752,494.86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396,548.56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333,735.27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39,701.00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352,953.80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1,148,669,279.23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176,043,966.84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1,148,669,279.23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16,317,061.25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2,012,957.41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16,153,983.22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147,578.98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印度卢比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173,951.20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15,499.05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28,350,937.68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2,651,928.09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17,303,565.59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1,324,417.22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10,628,448.19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11,614.08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29,572.04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262,904.31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15,859.91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印度卢比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1,335,497.03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118,992.79</w:t>
            </w: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330,612,494.02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50,668,781.84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330,608,734.63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423,483,436.90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64,902,670.83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423,483,436.90</w:t>
            </w:r>
          </w:p>
        </w:tc>
      </w:tr>
    </w:tbl>
    <w:p>
      <w:pPr>
        <w:widowControl w:val="0"/>
        <w:spacing w:after="259" w:line="1" w:lineRule="exact"/>
      </w:pPr>
    </w:p>
    <w:p>
      <w:pPr>
        <w:pStyle w:val="Style40"/>
        <w:keepNext w:val="0"/>
        <w:keepLines w:val="0"/>
        <w:widowControl w:val="0"/>
        <w:shd w:val="clear" w:color="auto" w:fill="auto"/>
        <w:bidi w:val="0"/>
        <w:spacing w:before="0" w:after="360" w:line="317" w:lineRule="exact"/>
        <w:ind w:left="0" w:right="0" w:firstLine="0"/>
        <w:jc w:val="left"/>
      </w:pPr>
      <w:bookmarkStart w:id="1429" w:name="bookmark1429"/>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)境外经营实体说明，包括对于重要的境外经营实体，应披露其境外主要经营地、记账本位币及选择 依据，记账本位币发生变化的还应披露原因。</w:t>
      </w:r>
      <w:bookmarkEnd w:id="142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640"/>
        <w:gridCol w:w="1843"/>
        <w:gridCol w:w="218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主要经营地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记账本位币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ZHEXIN TRANSASIA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Zetta Byte (Hong Kong)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爱玩网络有限公司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Luck Group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英属维尔京群岛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Lily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英属维尔京群岛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Ryuki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英属维尔京群岛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Ekipa2, mobilne internetne storitve, d.o.o.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斯洛文尼亚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Brit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瑞士法郎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Outfit7 Limited </w:t>
            </w: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BCN, 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西班牙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Studios 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卢比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Hyper Dot Studios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Inner10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Inner100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30"/>
      <w:bookmarkEnd w:id="1431"/>
      <w:bookmarkEnd w:id="1433"/>
    </w:p>
    <w:p>
      <w:pPr>
        <w:pStyle w:val="Style114"/>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34"/>
      <w:bookmarkEnd w:id="1435"/>
      <w:bookmarkEnd w:id="14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市重大科技创新后补助经费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塞浦路斯</w:t>
            </w:r>
            <w:r>
              <w:rPr>
                <w:rFonts w:ascii="Times New Roman" w:eastAsia="Times New Roman" w:hAnsi="Times New Roman" w:cs="Times New Roman"/>
                <w:color w:val="000000"/>
                <w:spacing w:val="0"/>
                <w:w w:val="100"/>
                <w:position w:val="0"/>
                <w:sz w:val="18"/>
                <w:szCs w:val="18"/>
              </w:rPr>
              <w:t>Covid-19</w:t>
            </w:r>
            <w:r>
              <w:rPr>
                <w:color w:val="000000"/>
                <w:spacing w:val="0"/>
                <w:w w:val="100"/>
                <w:position w:val="0"/>
                <w:sz w:val="18"/>
                <w:szCs w:val="18"/>
              </w:rPr>
              <w:t>疫情补贴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3,803,028.48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3,803,028.48</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霍尔果斯文旅局企业扶持资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星级酒店疫情补助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512,200.00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大学生就业见习实习补贴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511,692.35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511,692.35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438,535.90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438,535.90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文创企业及文创金融机构贷 款贴息补助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420,500.00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住宿餐饮上台阶奖励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服务业经济贡献奖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西湖区文化创意资金资助项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115,500.00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浙江省重点流通企业奖励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游小镇经济开发重大贡献 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天河区科技创新政策软件业 政策资金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复工复产奖励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64,208.00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引进人才补助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52,083.32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52,083.32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服务业十强企业奖励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小微企业两直补助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小微企业招用补贴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24,475.97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24,475.97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工业企业结构调整专项奖补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24,180.00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中关村小微企业研发支持资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14,799.90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14,799.90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其他零星政府补助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27,771.31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27,771.31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绍兴市上虞区</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游小镇</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年度地方财政贡献奖励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2,206,912.11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2,206,912.11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四季青街道</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年度突出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贡献企业奖励资金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江干区优秀企业表彰奖励资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710,000.00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年度上虞区服务业发 展政策奖励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555,000.00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555,000.00</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促进现代服务业发展资金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节水型企业创建奖励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其他零星补助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w:t>
            </w:r>
          </w:p>
        </w:tc>
      </w:tr>
    </w:tbl>
    <w:p>
      <w:pPr>
        <w:widowControl w:val="0"/>
        <w:spacing w:after="339" w:line="1" w:lineRule="exact"/>
      </w:pPr>
    </w:p>
    <w:p>
      <w:pPr>
        <w:pStyle w:val="Style114"/>
        <w:keepNext/>
        <w:keepLines/>
        <w:widowControl w:val="0"/>
        <w:shd w:val="clear" w:color="auto" w:fill="auto"/>
        <w:bidi w:val="0"/>
        <w:spacing w:before="0" w:after="34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37"/>
      <w:bookmarkEnd w:id="1438"/>
      <w:bookmarkEnd w:id="1439"/>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sz w:val="24"/>
          <w:szCs w:val="24"/>
        </w:rPr>
        <w:t>八</w:t>
      </w:r>
      <w:bookmarkEnd w:id="1442"/>
      <w:r>
        <w:rPr>
          <w:color w:val="000000"/>
          <w:spacing w:val="0"/>
          <w:w w:val="100"/>
          <w:position w:val="0"/>
          <w:sz w:val="24"/>
          <w:szCs w:val="24"/>
        </w:rPr>
        <w:t>、合并范围的变更</w:t>
      </w:r>
      <w:bookmarkEnd w:id="1440"/>
      <w:bookmarkEnd w:id="1441"/>
      <w:bookmarkEnd w:id="1443"/>
    </w:p>
    <w:p>
      <w:pPr>
        <w:pStyle w:val="Style36"/>
        <w:keepNext/>
        <w:keepLines/>
        <w:widowControl w:val="0"/>
        <w:shd w:val="clear" w:color="auto" w:fill="auto"/>
        <w:bidi w:val="0"/>
        <w:spacing w:before="0" w:after="340" w:line="240" w:lineRule="auto"/>
        <w:ind w:left="0" w:right="0" w:firstLine="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1444"/>
      <w:bookmarkEnd w:id="1445"/>
      <w:bookmarkEnd w:id="1446"/>
    </w:p>
    <w:p>
      <w:pPr>
        <w:pStyle w:val="Style114"/>
        <w:keepNext/>
        <w:keepLines/>
        <w:widowControl w:val="0"/>
        <w:shd w:val="clear" w:color="auto" w:fill="auto"/>
        <w:bidi w:val="0"/>
        <w:spacing w:before="0" w:after="34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447"/>
      <w:bookmarkEnd w:id="1448"/>
      <w:bookmarkEnd w:id="14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被合并方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企业合并 中取得的 权益比例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构成同一 控制下企 业合并的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合并当期 期初至合 并日被合 并方的收</w:t>
            </w:r>
          </w:p>
          <w:p>
            <w:pPr>
              <w:pStyle w:val="Style2"/>
              <w:keepNext w:val="0"/>
              <w:keepLines w:val="0"/>
              <w:widowControl w:val="0"/>
              <w:shd w:val="clear" w:color="auto" w:fill="auto"/>
              <w:bidi w:val="0"/>
              <w:spacing w:before="0" w:after="0" w:line="312" w:lineRule="exact"/>
              <w:ind w:left="0" w:right="0" w:firstLine="440"/>
              <w:jc w:val="left"/>
              <w:rPr>
                <w:sz w:val="18"/>
                <w:szCs w:val="18"/>
              </w:rPr>
            </w:pPr>
            <w:r>
              <w:rPr>
                <w:color w:val="000000"/>
                <w:spacing w:val="0"/>
                <w:w w:val="100"/>
                <w:position w:val="0"/>
                <w:sz w:val="18"/>
                <w:szCs w:val="18"/>
              </w:rPr>
              <w:t>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合并当期 期初至合 并日被合 并方的净</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比较期间 被合并方 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比较期间 被合并方 的净利润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绍兴上虞 时代广场 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合并前后 同受金科 控股集团 有限公司 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相关协议 经批准，支 付大部分 收购款项 及完成工 商变更手 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3,486,626.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1,148,155.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9,399,642.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3,443,395.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万锦商贸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合并前后 同受金科 控股集团 有限公司 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相关协议 经批准，支 付大部分 收购款项 及完成工 商变更手 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45,944,528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2,943,863.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13,430,395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pStyle w:val="Style40"/>
        <w:keepNext w:val="0"/>
        <w:keepLines w:val="0"/>
        <w:widowControl w:val="0"/>
        <w:shd w:val="clear" w:color="auto" w:fill="auto"/>
        <w:bidi w:val="0"/>
        <w:spacing w:before="0" w:after="340" w:line="389" w:lineRule="exact"/>
        <w:ind w:left="0" w:right="0" w:firstLine="0"/>
        <w:jc w:val="left"/>
      </w:pPr>
      <w:r>
        <w:rPr>
          <w:color w:val="000000"/>
          <w:spacing w:val="0"/>
          <w:w w:val="100"/>
          <w:position w:val="0"/>
        </w:rPr>
        <w:t>说明：万锦商贸有限公司被收购时持有子公司绍兴上虞时代广场商贸有限公司、绍兴上虞雷迪森万锦大酒 店有限公司。</w:t>
      </w:r>
    </w:p>
    <w:p>
      <w:pPr>
        <w:pStyle w:val="Style114"/>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450"/>
      <w:bookmarkEnd w:id="1451"/>
      <w:bookmarkEnd w:id="145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绍兴上虞时代广场商贸有限公司</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万锦商贸有限公司</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1,455,581,176.49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94,418,823.51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1,550,000,000.00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或有对价及其变动的说明：无。</w:t>
      </w:r>
    </w:p>
    <w:p>
      <w:pPr>
        <w:pStyle w:val="Style114"/>
        <w:keepNext/>
        <w:keepLines/>
        <w:widowControl w:val="0"/>
        <w:numPr>
          <w:ilvl w:val="0"/>
          <w:numId w:val="55"/>
        </w:numPr>
        <w:shd w:val="clear" w:color="auto" w:fill="auto"/>
        <w:bidi w:val="0"/>
        <w:spacing w:before="0" w:line="240" w:lineRule="auto"/>
        <w:ind w:left="0" w:right="0" w:firstLine="0"/>
        <w:jc w:val="both"/>
      </w:pPr>
      <w:bookmarkStart w:id="1453" w:name="bookmark1453"/>
      <w:bookmarkStart w:id="1454" w:name="bookmark1454"/>
      <w:bookmarkStart w:id="1455" w:name="bookmark1455"/>
      <w:bookmarkStart w:id="1456" w:name="bookmark1456"/>
      <w:bookmarkEnd w:id="1455"/>
      <w:r>
        <w:rPr>
          <w:color w:val="000000"/>
          <w:spacing w:val="0"/>
          <w:w w:val="100"/>
          <w:position w:val="0"/>
        </w:rPr>
        <w:t>合并日被合并方资产、负债的账面价值</w:t>
      </w:r>
      <w:bookmarkEnd w:id="1453"/>
      <w:bookmarkEnd w:id="1454"/>
      <w:bookmarkEnd w:id="14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绍兴上虞时代广场商贸有限公司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万锦商贸有限公司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合并日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上期期末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75,689,094.51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92,210,697.74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298,018,641.83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439,183,465.23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1,758,775.26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1,778,608.78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4,738,371.71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10,247,321.10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3,271,865.00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15,359,011.73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112,462,957.53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233,122,046.00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1,519,335.63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2,015,738.69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70,658,454.25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72,073,077.23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173,438,576.77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177,989,730.00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5,859,398.88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6,716,673.03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1,666,956.41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86,553,090.69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104,222,849.15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348,267,235.18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483,950,921.99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309,510,035.83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64,027,077.27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82,185,436.18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36,935,022.93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173,727,840.71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526,013.42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1,822,176.42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2,223,081.28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-10,863,996.18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-12,012,151.41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-50,248,593.35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-44,767,456.76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-10,863,996.18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-12,012,151.41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-50,248,593.35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-44,767,456.76</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企业合并中承担的被合并方的或有负债：无。</w:t>
      </w:r>
    </w:p>
    <w:p>
      <w:pPr>
        <w:pStyle w:val="Style36"/>
        <w:keepNext/>
        <w:keepLines/>
        <w:widowControl w:val="0"/>
        <w:shd w:val="clear" w:color="auto" w:fill="auto"/>
        <w:tabs>
          <w:tab w:pos="378" w:val="left"/>
        </w:tabs>
        <w:bidi w:val="0"/>
        <w:spacing w:before="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color w:val="000000"/>
          <w:spacing w:val="0"/>
          <w:w w:val="100"/>
          <w:position w:val="0"/>
        </w:rPr>
        <w:t>、</w:t>
        <w:tab/>
        <w:t>反向购买</w:t>
      </w:r>
      <w:bookmarkEnd w:id="1457"/>
      <w:bookmarkEnd w:id="1458"/>
      <w:bookmarkEnd w:id="1460"/>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交易基本信息、交易构成反向购买的依据、上市公司保留的资产、负债是否构成业务及其依据、合并成本的确定、按照权益</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性交易处理时调整权益的金额及其计算：</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本期未发生反向购买。</w:t>
      </w:r>
    </w:p>
    <w:p>
      <w:pPr>
        <w:pStyle w:val="Style36"/>
        <w:keepNext/>
        <w:keepLines/>
        <w:widowControl w:val="0"/>
        <w:shd w:val="clear" w:color="auto" w:fill="auto"/>
        <w:tabs>
          <w:tab w:pos="378" w:val="left"/>
        </w:tabs>
        <w:bidi w:val="0"/>
        <w:spacing w:before="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color w:val="000000"/>
          <w:spacing w:val="0"/>
          <w:w w:val="100"/>
          <w:position w:val="0"/>
        </w:rPr>
        <w:t>、</w:t>
        <w:tab/>
        <w:t>处置子公司</w:t>
      </w:r>
      <w:bookmarkEnd w:id="1461"/>
      <w:bookmarkEnd w:id="1462"/>
      <w:bookmarkEnd w:id="1464"/>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p>
      <w:pPr>
        <w:pStyle w:val="Style3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262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180" w:right="0" w:firstLine="0"/>
              <w:jc w:val="left"/>
              <w:rPr>
                <w:sz w:val="18"/>
                <w:szCs w:val="18"/>
              </w:rPr>
            </w:pPr>
            <w:r>
              <w:rPr>
                <w:color w:val="000000"/>
                <w:spacing w:val="0"/>
                <w:w w:val="100"/>
                <w:position w:val="0"/>
                <w:sz w:val="18"/>
                <w:szCs w:val="18"/>
              </w:rPr>
              <w:t>丧失</w:t>
            </w:r>
          </w:p>
          <w:p>
            <w:pPr>
              <w:pStyle w:val="Style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both"/>
              <w:rPr>
                <w:sz w:val="18"/>
                <w:szCs w:val="18"/>
              </w:rPr>
            </w:pPr>
            <w:r>
              <w:rPr>
                <w:color w:val="000000"/>
                <w:spacing w:val="0"/>
                <w:w w:val="100"/>
                <w:position w:val="0"/>
                <w:sz w:val="18"/>
                <w:szCs w:val="18"/>
              </w:rPr>
              <w:t>丧失 控制 权时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80"/>
              <w:jc w:val="both"/>
              <w:rPr>
                <w:sz w:val="18"/>
                <w:szCs w:val="18"/>
              </w:rPr>
            </w:pPr>
            <w:r>
              <w:rPr>
                <w:color w:val="000000"/>
                <w:spacing w:val="0"/>
                <w:w w:val="100"/>
                <w:position w:val="0"/>
                <w:sz w:val="18"/>
                <w:szCs w:val="18"/>
              </w:rPr>
              <w:t>处置 价款 与处 置投 资对 应的 合并 财务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丧失</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控制</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权之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按照 公允 价值 重新 计量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丧失 控制 权之 日剩 余股 权公</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3" w:lineRule="exact"/>
              <w:ind w:left="180" w:right="0" w:firstLine="0"/>
              <w:jc w:val="left"/>
              <w:rPr>
                <w:sz w:val="18"/>
                <w:szCs w:val="18"/>
              </w:rPr>
            </w:pPr>
            <w:r>
              <w:rPr>
                <w:color w:val="000000"/>
                <w:spacing w:val="0"/>
                <w:w w:val="100"/>
                <w:position w:val="0"/>
                <w:sz w:val="18"/>
                <w:szCs w:val="18"/>
              </w:rPr>
              <w:t>与原 子公 司股 权投 资相 关的 其他</w:t>
            </w:r>
          </w:p>
        </w:tc>
      </w:tr>
      <w:tr>
        <w:trPr>
          <w:trHeight w:val="93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司名 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处置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180"/>
              <w:jc w:val="left"/>
              <w:rPr>
                <w:sz w:val="18"/>
                <w:szCs w:val="18"/>
              </w:rPr>
            </w:pPr>
            <w:r>
              <w:rPr>
                <w:color w:val="000000"/>
                <w:spacing w:val="0"/>
                <w:w w:val="100"/>
                <w:position w:val="0"/>
                <w:sz w:val="18"/>
                <w:szCs w:val="18"/>
              </w:rPr>
              <w:t>处置 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31" w:lineRule="exact"/>
              <w:ind w:left="180" w:right="0" w:firstLine="0"/>
              <w:jc w:val="left"/>
              <w:rPr>
                <w:sz w:val="18"/>
                <w:szCs w:val="18"/>
              </w:rPr>
            </w:pPr>
            <w:r>
              <w:rPr>
                <w:color w:val="000000"/>
                <w:spacing w:val="0"/>
                <w:w w:val="100"/>
                <w:position w:val="0"/>
                <w:sz w:val="18"/>
                <w:szCs w:val="18"/>
              </w:rPr>
              <w:t>处置 方式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权的 时点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180" w:right="0" w:firstLine="0"/>
              <w:jc w:val="both"/>
              <w:rPr>
                <w:sz w:val="18"/>
                <w:szCs w:val="18"/>
              </w:rPr>
            </w:pPr>
            <w:r>
              <w:rPr>
                <w:color w:val="000000"/>
                <w:spacing w:val="0"/>
                <w:w w:val="100"/>
                <w:position w:val="0"/>
                <w:sz w:val="18"/>
                <w:szCs w:val="18"/>
              </w:rPr>
              <w:t>点的 确定 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报表</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层面</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享有</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05" w:lineRule="exact"/>
              <w:ind w:left="180" w:right="0" w:firstLine="0"/>
              <w:jc w:val="left"/>
              <w:rPr>
                <w:sz w:val="18"/>
                <w:szCs w:val="18"/>
              </w:rPr>
            </w:pPr>
            <w:r>
              <w:rPr>
                <w:color w:val="000000"/>
                <w:spacing w:val="0"/>
                <w:w w:val="100"/>
                <w:position w:val="0"/>
                <w:sz w:val="18"/>
                <w:szCs w:val="18"/>
              </w:rPr>
              <w:t>日剩 余股 权的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180" w:right="0" w:firstLine="0"/>
              <w:jc w:val="left"/>
              <w:rPr>
                <w:sz w:val="18"/>
                <w:szCs w:val="18"/>
              </w:rPr>
            </w:pPr>
            <w:r>
              <w:rPr>
                <w:color w:val="000000"/>
                <w:spacing w:val="0"/>
                <w:w w:val="100"/>
                <w:position w:val="0"/>
                <w:sz w:val="18"/>
                <w:szCs w:val="18"/>
              </w:rPr>
              <w:t>余股 权的 账面</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180" w:right="0" w:firstLine="0"/>
              <w:jc w:val="left"/>
              <w:rPr>
                <w:sz w:val="18"/>
                <w:szCs w:val="18"/>
              </w:rPr>
            </w:pPr>
            <w:r>
              <w:rPr>
                <w:color w:val="000000"/>
                <w:spacing w:val="0"/>
                <w:w w:val="100"/>
                <w:position w:val="0"/>
                <w:sz w:val="18"/>
                <w:szCs w:val="18"/>
              </w:rPr>
              <w:t>余股 权的 公允</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180" w:right="0" w:firstLine="0"/>
              <w:jc w:val="left"/>
              <w:rPr>
                <w:sz w:val="18"/>
                <w:szCs w:val="18"/>
              </w:rPr>
            </w:pPr>
            <w:r>
              <w:rPr>
                <w:color w:val="000000"/>
                <w:spacing w:val="0"/>
                <w:w w:val="100"/>
                <w:position w:val="0"/>
                <w:sz w:val="18"/>
                <w:szCs w:val="18"/>
              </w:rPr>
              <w:t>剩余 股权 产生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允价 值的 确定</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转入</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该子</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的利 得或</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方法</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投资</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bottom"/>
          </w:tcPr>
          <w:p>
            <w:pP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180"/>
              <w:jc w:val="left"/>
              <w:rPr>
                <w:sz w:val="18"/>
                <w:szCs w:val="18"/>
              </w:rPr>
            </w:pPr>
            <w:r>
              <w:rPr>
                <w:color w:val="000000"/>
                <w:spacing w:val="0"/>
                <w:w w:val="100"/>
                <w:position w:val="0"/>
                <w:sz w:val="18"/>
                <w:szCs w:val="18"/>
              </w:rPr>
              <w:t>公司 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180" w:right="0" w:firstLine="0"/>
              <w:jc w:val="left"/>
              <w:rPr>
                <w:sz w:val="18"/>
                <w:szCs w:val="18"/>
              </w:rPr>
            </w:pPr>
            <w:r>
              <w:rPr>
                <w:color w:val="000000"/>
                <w:spacing w:val="0"/>
                <w:w w:val="100"/>
                <w:position w:val="0"/>
                <w:sz w:val="18"/>
                <w:szCs w:val="18"/>
              </w:rPr>
              <w:t>及主 要假</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损益</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损失</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的金</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霍尔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果斯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星宝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乐园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京）信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息科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佳讯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转让</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传播</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哲信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变更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圳）科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喀什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傲来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河南 元之 荣电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子科</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猫衍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宠觅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博锐</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w:t>
            </w: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企业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果斯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东胜</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傲来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芝视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传媒</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哲塔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w:t>
            </w:r>
          </w:p>
        </w:tc>
        <w:tc>
          <w:tcPr>
            <w:vMerge w:val="restart"/>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傲来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w:t>
            </w:r>
          </w:p>
        </w:tc>
        <w:tc>
          <w:tcPr>
            <w:vMerge w:val="restart"/>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科时</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代潮</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是否存在通过多次交易分步处置对子公司投资且在本期丧失控制权的情形 口是"否</w:t>
      </w:r>
    </w:p>
    <w:p>
      <w:pPr>
        <w:pStyle w:val="Style36"/>
        <w:keepNext/>
        <w:keepLines/>
        <w:widowControl w:val="0"/>
        <w:shd w:val="clear" w:color="auto" w:fill="auto"/>
        <w:bidi w:val="0"/>
        <w:spacing w:before="0" w:after="400" w:line="470" w:lineRule="exact"/>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color w:val="000000"/>
          <w:spacing w:val="0"/>
          <w:w w:val="100"/>
          <w:position w:val="0"/>
        </w:rPr>
        <w:t>、其他原因的合并范围变动</w:t>
      </w:r>
      <w:bookmarkEnd w:id="1465"/>
      <w:bookmarkEnd w:id="1466"/>
      <w:bookmarkEnd w:id="1468"/>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0"/>
        <w:keepNext w:val="0"/>
        <w:keepLines w:val="0"/>
        <w:widowControl w:val="0"/>
        <w:numPr>
          <w:ilvl w:val="0"/>
          <w:numId w:val="57"/>
        </w:numPr>
        <w:shd w:val="clear" w:color="auto" w:fill="auto"/>
        <w:tabs>
          <w:tab w:pos="729" w:val="left"/>
        </w:tabs>
        <w:bidi w:val="0"/>
        <w:spacing w:before="0" w:after="0" w:line="492" w:lineRule="auto"/>
        <w:ind w:left="0" w:right="0" w:firstLine="440"/>
        <w:jc w:val="both"/>
      </w:pPr>
      <w:bookmarkStart w:id="1469" w:name="bookmark1469"/>
      <w:bookmarkEnd w:id="1469"/>
      <w:r>
        <w:rPr>
          <w:color w:val="000000"/>
          <w:spacing w:val="0"/>
          <w:w w:val="100"/>
          <w:position w:val="0"/>
        </w:rPr>
        <w:t>合并范围增加</w:t>
      </w:r>
    </w:p>
    <w:p>
      <w:pPr>
        <w:pStyle w:val="Style40"/>
        <w:keepNext w:val="0"/>
        <w:keepLines w:val="0"/>
        <w:widowControl w:val="0"/>
        <w:shd w:val="clear" w:color="auto" w:fill="auto"/>
        <w:bidi w:val="0"/>
        <w:spacing w:before="0" w:after="240" w:line="47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日设立霍尔果斯畅玩信息科技有限公司，持股比例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，故从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日起将霍尔果斯畅玩信息科技有限公司纳入合并范围。本公司于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日设立杭州金武门 电子商务有限公司，持股比例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，故从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日起将杭州金武门电子商务有限公司纳入合 并范围。</w:t>
      </w:r>
    </w:p>
    <w:p>
      <w:pPr>
        <w:pStyle w:val="Style40"/>
        <w:keepNext w:val="0"/>
        <w:keepLines w:val="0"/>
        <w:widowControl w:val="0"/>
        <w:numPr>
          <w:ilvl w:val="0"/>
          <w:numId w:val="57"/>
        </w:numPr>
        <w:shd w:val="clear" w:color="auto" w:fill="auto"/>
        <w:tabs>
          <w:tab w:pos="748" w:val="left"/>
        </w:tabs>
        <w:bidi w:val="0"/>
        <w:spacing w:before="0" w:after="0" w:line="492" w:lineRule="auto"/>
        <w:ind w:left="0" w:right="0" w:firstLine="440"/>
        <w:jc w:val="both"/>
      </w:pPr>
      <w:bookmarkStart w:id="1470" w:name="bookmark1470"/>
      <w:bookmarkEnd w:id="1470"/>
      <w:r>
        <w:rPr>
          <w:color w:val="000000"/>
          <w:spacing w:val="0"/>
          <w:w w:val="100"/>
          <w:position w:val="0"/>
        </w:rPr>
        <w:t>合并范围减少</w:t>
      </w:r>
    </w:p>
    <w:p>
      <w:pPr>
        <w:pStyle w:val="Style40"/>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日注销杭州会说话家族网络科技有限公司，故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日起杭州会说 话家族网络科技有限公司不再纳入合并范围;本公司于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日注销舟山哲信设备租赁有限公司， 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日起舟山哲信设备租赁有限公司不再纳入合并范围；本公司于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日注销宁 波麒瑞信息技术有限公司，故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日起宁波麒瑞信息技术有限公司不再纳入合并范围；本公司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日注销广州米墅信息科技有限公司，故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日起广州米墅信息科技有限公 司不再纳入合并范围；本公司于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日注销宁波汤姆猫文化管理有限公司，故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日起宁波汤姆猫文化管理有限公司不再纳入合并范围；本公司于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日注销上饶市麒漾信息科 技有限公司，故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日起上饶市麒漾信息科技有限公司不再纳入合并范围；本公司于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日注销杭州金武门电子商务有限公司，故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日起杭州金武门电子商务有限公司不再 纳入合并范围。</w:t>
      </w:r>
    </w:p>
    <w:p>
      <w:pPr>
        <w:pStyle w:val="Style29"/>
        <w:keepNext/>
        <w:keepLines/>
        <w:widowControl w:val="0"/>
        <w:shd w:val="clear" w:color="auto" w:fill="auto"/>
        <w:bidi w:val="0"/>
        <w:spacing w:before="0" w:after="12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sz w:val="24"/>
          <w:szCs w:val="24"/>
        </w:rPr>
        <w:t>九</w:t>
      </w:r>
      <w:bookmarkEnd w:id="1473"/>
      <w:r>
        <w:rPr>
          <w:color w:val="000000"/>
          <w:spacing w:val="0"/>
          <w:w w:val="100"/>
          <w:position w:val="0"/>
          <w:sz w:val="24"/>
          <w:szCs w:val="24"/>
        </w:rPr>
        <w:t>、在其他主体中的权益</w:t>
      </w:r>
      <w:bookmarkEnd w:id="1471"/>
      <w:bookmarkEnd w:id="1472"/>
      <w:bookmarkEnd w:id="1474"/>
    </w:p>
    <w:p>
      <w:pPr>
        <w:pStyle w:val="Style36"/>
        <w:keepNext/>
        <w:keepLines/>
        <w:widowControl w:val="0"/>
        <w:shd w:val="clear" w:color="auto" w:fill="auto"/>
        <w:bidi w:val="0"/>
        <w:spacing w:before="0" w:after="340" w:line="470" w:lineRule="exact"/>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75"/>
      <w:bookmarkEnd w:id="1476"/>
      <w:bookmarkEnd w:id="1477"/>
    </w:p>
    <w:p>
      <w:pPr>
        <w:pStyle w:val="Style34"/>
        <w:keepNext w:val="0"/>
        <w:keepLines w:val="0"/>
        <w:widowControl w:val="0"/>
        <w:shd w:val="clear" w:color="auto" w:fill="auto"/>
        <w:bidi w:val="0"/>
        <w:spacing w:before="0" w:after="0" w:line="240" w:lineRule="auto"/>
        <w:ind w:left="96" w:right="0" w:firstLine="0"/>
        <w:jc w:val="left"/>
        <w:rPr>
          <w:sz w:val="20"/>
          <w:szCs w:val="20"/>
        </w:rPr>
      </w:pPr>
      <w:bookmarkStart w:id="1478" w:name="bookmark147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47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Outfit7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Hyper Dot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塞浦路斯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Studios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InnerlO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Inner100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Ekipa2, mobilne internetne storitve, d.o.o.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斯洛文尼亚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斯洛文尼亚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Outfit? Brit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Outfit? Limited</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Outfit?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Outfit7AG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Outfit?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BCN,S.R.L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西班牙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西班牙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Outfit? Studios</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北京奥飞特七 科技咨询有限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万锦商贸有限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绍兴上虞雷迪 森万锦大酒店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酒店、租赁业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绍兴上虞时代 广场商贸有限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杭州每日给力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霍尔果斯巨蟹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爱玩网络有限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杭州嘻动网络</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金科国际（香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United Luck</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Group Holdings</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英属维尔京群 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英属维尔京群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杭州逗宝网络</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绍兴上虞码牛 通讯技术有限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Lily</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英属维尔京群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英属维尔京群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Ryuki</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英属维尔京群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英属维尔京群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绍兴上虞和胜 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广州金科文化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广州昊苍网络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广州麒迹信息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珠海安德菲信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霍尔果斯畅玩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海南金科网络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海南省澄迈县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海南省澄迈县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Zetta Byte (Hong Kong) Company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杭州哲信信息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宁波哲信创客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南京翰达睿信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马鞍山翰哲网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马鞍山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马鞍山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ZHEXIN</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TRANSASIA</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南京游戏谷创 业孵化器管理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浙江金科汤姆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猫网络科技有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绍兴金猫网络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霍尔果斯金科 汤姆猫文化发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杭州零界线数 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绍兴汤姆猫文 化传播有限公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浙江金科汤姆 猫投资发展有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浙江汤姆猫文 化发展有限公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杭州汤姆猫文 化管理有限公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line="1" w:lineRule="exact"/>
      </w:pPr>
    </w:p>
    <w:tbl>
      <w:tblPr>
        <w:tblOverlap w:val="never"/>
        <w:jc w:val="center"/>
        <w:tblLayout w:type="fixed"/>
      </w:tblPr>
      <w:tblGrid>
        <w:gridCol w:w="1378"/>
        <w:gridCol w:w="1368"/>
        <w:gridCol w:w="1363"/>
        <w:gridCol w:w="1368"/>
        <w:gridCol w:w="1368"/>
        <w:gridCol w:w="1368"/>
        <w:gridCol w:w="136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上海汤姆猫之</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家商业管理有</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浙江金科汤姆 猫武林电子商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上海惊蛰网络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绍兴上虞金科 哲信科技有限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广东博信产业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确定公司是代理人还是委托人的依据：</w:t>
      </w:r>
    </w:p>
    <w:p>
      <w:pPr>
        <w:pStyle w:val="Style114"/>
        <w:keepNext/>
        <w:keepLines/>
        <w:widowControl w:val="0"/>
        <w:shd w:val="clear" w:color="auto" w:fill="auto"/>
        <w:tabs>
          <w:tab w:pos="493" w:val="left"/>
        </w:tabs>
        <w:bidi w:val="0"/>
        <w:spacing w:before="0" w:after="24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479"/>
      <w:bookmarkEnd w:id="1480"/>
      <w:bookmarkEnd w:id="1482"/>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不适用</w:t>
      </w:r>
    </w:p>
    <w:p>
      <w:pPr>
        <w:pStyle w:val="Style114"/>
        <w:keepNext/>
        <w:keepLines/>
        <w:widowControl w:val="0"/>
        <w:shd w:val="clear" w:color="auto" w:fill="auto"/>
        <w:tabs>
          <w:tab w:pos="493" w:val="left"/>
        </w:tabs>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483"/>
      <w:bookmarkEnd w:id="1484"/>
      <w:bookmarkEnd w:id="1486"/>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14"/>
        <w:keepNext/>
        <w:keepLines/>
        <w:widowControl w:val="0"/>
        <w:shd w:val="clear" w:color="auto" w:fill="auto"/>
        <w:tabs>
          <w:tab w:pos="493" w:val="left"/>
        </w:tabs>
        <w:bidi w:val="0"/>
        <w:spacing w:before="0" w:after="24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w:t>
        <w:tab/>
        <w:t>使用企业集团资产和清偿企业集团债务的重大限制</w:t>
      </w:r>
      <w:bookmarkEnd w:id="1487"/>
      <w:bookmarkEnd w:id="1488"/>
      <w:bookmarkEnd w:id="1490"/>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不适用</w:t>
      </w:r>
    </w:p>
    <w:p>
      <w:pPr>
        <w:pStyle w:val="Style114"/>
        <w:keepNext/>
        <w:keepLines/>
        <w:widowControl w:val="0"/>
        <w:shd w:val="clear" w:color="auto" w:fill="auto"/>
        <w:tabs>
          <w:tab w:pos="493" w:val="left"/>
        </w:tabs>
        <w:bidi w:val="0"/>
        <w:spacing w:before="0" w:after="24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w:t>
        <w:tab/>
        <w:t>向纳入合并财务报表范围的结构化主体提供的财务支持或其他支持</w:t>
      </w:r>
      <w:bookmarkEnd w:id="1491"/>
      <w:bookmarkEnd w:id="1492"/>
      <w:bookmarkEnd w:id="1494"/>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color w:val="000000"/>
          <w:spacing w:val="0"/>
          <w:w w:val="100"/>
          <w:position w:val="0"/>
        </w:rPr>
        <w:t>、在合营安排或联营企业中的权益</w:t>
      </w:r>
      <w:bookmarkEnd w:id="1495"/>
      <w:bookmarkEnd w:id="1496"/>
      <w:bookmarkEnd w:id="1498"/>
    </w:p>
    <w:p>
      <w:pPr>
        <w:pStyle w:val="Style114"/>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99"/>
      <w:bookmarkEnd w:id="1500"/>
      <w:bookmarkEnd w:id="1501"/>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广东汤姆猫产 业发展有限公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在合营企业或联营企业的持股比例不同于表决权比例的说明：公司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日第四届董事会第四次会议决议，与广东 坤山集团有限公司共同投资成立广东汤姆猫产业发展有限公司，用于在粤港澳大湾区腹地一广东省佛山市投资建设“会说 话的汤姆猫家族”</w:t>
      </w:r>
      <w:r>
        <w:rPr>
          <w:rFonts w:ascii="Times New Roman" w:eastAsia="Times New Roman" w:hAnsi="Times New Roman" w:cs="Times New Roman"/>
          <w:color w:val="000000"/>
          <w:spacing w:val="0"/>
          <w:w w:val="100"/>
          <w:position w:val="0"/>
        </w:rPr>
        <w:t>IP</w:t>
      </w:r>
      <w:r>
        <w:rPr>
          <w:color w:val="000000"/>
          <w:spacing w:val="0"/>
          <w:w w:val="100"/>
          <w:position w:val="0"/>
        </w:rPr>
        <w:t>超大型主题乐园项目。广东汤姆猫产业发展有限公司成立于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日，注册资本为人民币</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万元，投资总额为人民币</w:t>
      </w:r>
      <w:r>
        <w:rPr>
          <w:rFonts w:ascii="Times New Roman" w:eastAsia="Times New Roman" w:hAnsi="Times New Roman" w:cs="Times New Roman"/>
          <w:color w:val="000000"/>
          <w:spacing w:val="0"/>
          <w:w w:val="100"/>
          <w:position w:val="0"/>
        </w:rPr>
        <w:t>228,000</w:t>
      </w:r>
      <w:r>
        <w:rPr>
          <w:color w:val="000000"/>
          <w:spacing w:val="0"/>
          <w:w w:val="100"/>
          <w:position w:val="0"/>
        </w:rPr>
        <w:t>万元，其中：公司投资人民币</w:t>
      </w:r>
      <w:r>
        <w:rPr>
          <w:rFonts w:ascii="Times New Roman" w:eastAsia="Times New Roman" w:hAnsi="Times New Roman" w:cs="Times New Roman"/>
          <w:color w:val="000000"/>
          <w:spacing w:val="0"/>
          <w:w w:val="100"/>
          <w:position w:val="0"/>
        </w:rPr>
        <w:t>79,801</w:t>
      </w:r>
      <w:r>
        <w:rPr>
          <w:color w:val="000000"/>
          <w:spacing w:val="0"/>
          <w:w w:val="100"/>
          <w:position w:val="0"/>
        </w:rPr>
        <w:t>万元，占比</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或以上表决权但不具有重大影响的依据：无。</w:t>
      </w:r>
    </w:p>
    <w:p>
      <w:pPr>
        <w:pStyle w:val="Style114"/>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02"/>
      <w:bookmarkEnd w:id="1503"/>
      <w:bookmarkEnd w:id="15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广东汤姆猫产业发展有限公司</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3,977,871,784.77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24,993,880.39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4,002,865,665.16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1,766,020,836.03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1,766,020,836.03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2,236,844,829.13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782,905,690.20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782,905,690.20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-43,155,170.87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-43,155,170.87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4"/>
        <w:keepNext/>
        <w:keepLines/>
        <w:widowControl w:val="0"/>
        <w:numPr>
          <w:ilvl w:val="0"/>
          <w:numId w:val="59"/>
        </w:numPr>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不重要的合营企业和联营企业的汇总财务信息</w:t>
      </w:r>
      <w:bookmarkEnd w:id="1505"/>
      <w:bookmarkEnd w:id="1506"/>
      <w:bookmarkEnd w:id="150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68,898,984.17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129,430,163.55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-3,040,046.35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-29,948,848.63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-804,792.77</w:t>
            </w:r>
          </w:p>
        </w:tc>
      </w:tr>
    </w:tbl>
    <w:p>
      <w:pPr>
        <w:widowControl w:val="0"/>
        <w:spacing w:line="1" w:lineRule="exact"/>
      </w:pPr>
      <w:r>
        <w:br w:type="page"/>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-3,040,046.35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-30,753,641.40</w:t>
            </w:r>
          </w:p>
        </w:tc>
      </w:tr>
    </w:tbl>
    <w:p>
      <w:pPr>
        <w:widowControl w:val="0"/>
        <w:spacing w:after="299" w:line="1" w:lineRule="exact"/>
      </w:pPr>
    </w:p>
    <w:p>
      <w:pPr>
        <w:pStyle w:val="Style29"/>
        <w:keepNext/>
        <w:keepLines/>
        <w:widowControl w:val="0"/>
        <w:shd w:val="clear" w:color="auto" w:fill="auto"/>
        <w:bidi w:val="0"/>
        <w:spacing w:before="0" w:after="180" w:line="240" w:lineRule="auto"/>
        <w:ind w:left="0" w:right="0" w:firstLine="0"/>
        <w:jc w:val="left"/>
      </w:pPr>
      <w:bookmarkStart w:id="1509" w:name="bookmark1509"/>
      <w:bookmarkStart w:id="1510" w:name="bookmark1510"/>
      <w:bookmarkStart w:id="1511" w:name="bookmark1511"/>
      <w:r>
        <w:rPr>
          <w:color w:val="000000"/>
          <w:spacing w:val="0"/>
          <w:w w:val="100"/>
          <w:position w:val="0"/>
          <w:sz w:val="24"/>
          <w:szCs w:val="24"/>
        </w:rPr>
        <w:t>十、与金融工具相关的风险</w:t>
      </w:r>
      <w:bookmarkEnd w:id="1509"/>
      <w:bookmarkEnd w:id="1510"/>
      <w:bookmarkEnd w:id="1511"/>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本公司在经营过程中面临各种金融风险：信用风险、流动性风险和市场风险。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本公司风险管理的总体目标是在不过度影响公司竞争力和应变力的情况下，制定尽</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可能降低风险的风险管理政策。</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信用风险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信用风险是指交易对手未能履行合同义务而导致本公司发生财务损失的风险。</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流动性风险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流动性风险是指企业在履行以交付现金或其他金融资产的方式结算的义务时发生资金短缺的风险。</w:t>
      </w:r>
    </w:p>
    <w:p>
      <w:pPr>
        <w:pStyle w:val="Style40"/>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 所有合理预测的情况下拥有充足的资金偿还债务。同时持续监控公司是否符合借款协议的规定，从主要金 融机构获得提供足够备用资金的承诺，以满足短期和长期的资金需求。</w:t>
      </w:r>
    </w:p>
    <w:p>
      <w:pPr>
        <w:pStyle w:val="Style34"/>
        <w:keepNext w:val="0"/>
        <w:keepLines w:val="0"/>
        <w:widowControl w:val="0"/>
        <w:shd w:val="clear" w:color="auto" w:fill="auto"/>
        <w:bidi w:val="0"/>
        <w:spacing w:before="0" w:after="0" w:line="240" w:lineRule="auto"/>
        <w:ind w:left="197" w:right="0" w:firstLine="0"/>
        <w:jc w:val="left"/>
        <w:rPr>
          <w:sz w:val="20"/>
          <w:szCs w:val="20"/>
        </w:rPr>
      </w:pPr>
      <w:r>
        <w:rPr>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1200"/>
        <w:gridCol w:w="979"/>
        <w:gridCol w:w="1488"/>
        <w:gridCol w:w="1402"/>
        <w:gridCol w:w="1339"/>
        <w:gridCol w:w="1344"/>
        <w:gridCol w:w="1488"/>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6"/>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即时偿还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1,248,939,863.27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628,756,780.00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891,695,710.00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2,905,392,353.2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62,943,577.37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62,943,577.37</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804,040,296.34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804,040,296.34</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2,115,923,736.98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628,756,780.00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891,695,710.00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3,772,376,226.9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299" w:line="1" w:lineRule="exact"/>
      </w:pPr>
    </w:p>
    <w:p>
      <w:pPr>
        <w:widowControl w:val="0"/>
        <w:spacing w:line="1" w:lineRule="exact"/>
      </w:pPr>
    </w:p>
    <w:tbl>
      <w:tblPr>
        <w:tblOverlap w:val="never"/>
        <w:jc w:val="center"/>
        <w:tblLayout w:type="fixed"/>
      </w:tblPr>
      <w:tblGrid>
        <w:gridCol w:w="1234"/>
        <w:gridCol w:w="950"/>
        <w:gridCol w:w="1478"/>
        <w:gridCol w:w="1474"/>
        <w:gridCol w:w="1344"/>
        <w:gridCol w:w="1339"/>
        <w:gridCol w:w="1483"/>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6"/>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即时偿还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1,229,838,846.7</w:t>
            </w:r>
          </w:p>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2,023,242,060.0</w:t>
            </w:r>
          </w:p>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387,942,500.00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3,767,023,406.7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109,969,983.63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109,969,983.63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748,396,364.49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748,396,364.49</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2,088,205,194.9</w:t>
            </w:r>
          </w:p>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2,023,242,060.0</w:t>
            </w:r>
          </w:p>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387,942,500.00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4,625,389,754.9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4"/>
        <w:keepNext w:val="0"/>
        <w:keepLines w:val="0"/>
        <w:widowControl w:val="0"/>
        <w:shd w:val="clear" w:color="auto" w:fill="auto"/>
        <w:bidi w:val="0"/>
        <w:spacing w:before="0" w:after="0" w:line="240" w:lineRule="auto"/>
        <w:ind w:left="235" w:right="0" w:firstLine="0"/>
        <w:jc w:val="left"/>
        <w:rPr>
          <w:sz w:val="20"/>
          <w:szCs w:val="20"/>
        </w:rPr>
      </w:pPr>
      <w:r>
        <w:rPr>
          <w:b/>
          <w:bCs/>
          <w:color w:val="000000"/>
          <w:spacing w:val="0"/>
          <w:w w:val="100"/>
          <w:position w:val="0"/>
          <w:sz w:val="20"/>
          <w:szCs w:val="20"/>
        </w:rPr>
        <w:t>市场风险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利率风险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利率风险是指金融工具的公允价值或未来现金流量因市场利率变动而发生波动的风险。</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固定利率和浮动利率的带息金融工具分别使本公司面临公允价值利率风险及现金流量利率风险。本公 司根据市场环境来决定固定利率与浮动利率工具的比例，并通过定期审阅与监察维持适当的固定和浮动利 率工具组合。本公司面临的现金流量利率风险主要与本公司以浮动利率计息的银行借款有关。</w:t>
      </w:r>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日，本公司以浮动利率计息的美元银行借款折合人民币</w:t>
      </w:r>
      <w:r>
        <w:rPr>
          <w:rFonts w:ascii="Times New Roman" w:eastAsia="Times New Roman" w:hAnsi="Times New Roman" w:cs="Times New Roman"/>
          <w:color w:val="000000"/>
          <w:spacing w:val="0"/>
          <w:w w:val="100"/>
          <w:position w:val="0"/>
        </w:rPr>
        <w:t>1,572,152,716.13</w:t>
      </w:r>
      <w:r>
        <w:rPr>
          <w:color w:val="000000"/>
          <w:spacing w:val="0"/>
          <w:w w:val="100"/>
          <w:position w:val="0"/>
        </w:rPr>
        <w:t>元，在其 他变量保持不变的情况下，如果以浮动利率计算的借款利率上升或下降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个基点，则本公司的净利润将 减少或增加</w:t>
      </w:r>
      <w:r>
        <w:rPr>
          <w:rFonts w:ascii="Times New Roman" w:eastAsia="Times New Roman" w:hAnsi="Times New Roman" w:cs="Times New Roman"/>
          <w:color w:val="000000"/>
          <w:spacing w:val="0"/>
          <w:w w:val="100"/>
          <w:position w:val="0"/>
        </w:rPr>
        <w:t>7,860,763.58</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12,254,924.55</w:t>
      </w:r>
      <w:r>
        <w:rPr>
          <w:color w:val="000000"/>
          <w:spacing w:val="0"/>
          <w:w w:val="100"/>
          <w:position w:val="0"/>
        </w:rPr>
        <w:t>元）。管理层认为</w:t>
      </w:r>
      <w:r>
        <w:rPr>
          <w:rFonts w:ascii="Times New Roman" w:eastAsia="Times New Roman" w:hAnsi="Times New Roman" w:cs="Times New Roman"/>
          <w:color w:val="000000"/>
          <w:spacing w:val="0"/>
          <w:w w:val="100"/>
          <w:position w:val="0"/>
        </w:rPr>
        <w:t>50</w:t>
      </w:r>
      <w:r>
        <w:rPr>
          <w:color w:val="000000"/>
          <w:spacing w:val="0"/>
          <w:w w:val="100"/>
          <w:position w:val="0"/>
        </w:rPr>
        <w:t>个基点合理反映了下 一年度利率可能发生变动的合理范围。</w:t>
      </w:r>
    </w:p>
    <w:p>
      <w:pPr>
        <w:pStyle w:val="Style4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汇率风险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汇率风险是指金融工具的公允价值或未来现金流量因外汇汇率变动而发生波动的风险。</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本公司持续监控外币交易和外币资产及负债的规模，以最大程度降低面临的外汇风险。此外，公司还 可能签署远期外汇合约或货币互换合约以达到规避汇率风险的目的。于本期及上期，本公司未签署任何远 期外汇合约或货币互换合约。</w:t>
      </w:r>
    </w:p>
    <w:p>
      <w:pPr>
        <w:pStyle w:val="Style40"/>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本公司面临的汇率风险主要来源于以美元计价的金融资产和金融负债，外币金融资产和外币金融负债 折算成人民币的金额列示如下：</w:t>
      </w:r>
    </w:p>
    <w:tbl>
      <w:tblPr>
        <w:tblOverlap w:val="never"/>
        <w:jc w:val="center"/>
        <w:tblLayout w:type="fixed"/>
      </w:tblPr>
      <w:tblGrid>
        <w:gridCol w:w="1162"/>
        <w:gridCol w:w="1267"/>
        <w:gridCol w:w="1152"/>
        <w:gridCol w:w="1267"/>
        <w:gridCol w:w="1267"/>
        <w:gridCol w:w="1152"/>
        <w:gridCol w:w="1277"/>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其他外币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577,411,153.00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29,373,457.27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606,784,610.27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623,176,060.03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83,685,050.51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706,861,110.54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95,726,299.02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75,439,183.93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171,165,482.95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109,636,789.78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151,185,896.93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260,822,686.71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16,317,061.25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16,317,061.25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4,046,196.00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11,807,294.01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15,853,490.01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17,303,565.59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11,047,372.09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28,350,937.68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12,347,110.66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5,184,300.62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17,531,411.28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330,608,734.63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330,612,494.02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353,313,977.66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438,295.82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353,752,273.48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一年内到期的非</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423,483,436.90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423,483,436.90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486,241,140.00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486,241,140.00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1,148,669,279.23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1,148,669,279.23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1,964,743,769.03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1,964,743,769.03</w:t>
            </w:r>
          </w:p>
        </w:tc>
      </w:tr>
    </w:tbl>
    <w:p>
      <w:pPr>
        <w:widowControl w:val="0"/>
        <w:spacing w:after="219" w:line="1" w:lineRule="exact"/>
      </w:pPr>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 司将增加或减少净利润</w:t>
      </w:r>
      <w:r>
        <w:rPr>
          <w:rFonts w:ascii="Times New Roman" w:eastAsia="Times New Roman" w:hAnsi="Times New Roman" w:cs="Times New Roman"/>
          <w:color w:val="000000"/>
          <w:spacing w:val="0"/>
          <w:w w:val="100"/>
          <w:position w:val="0"/>
        </w:rPr>
        <w:t>62,346,378.22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103,989,347.58</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 映了下一年度人民币对美元可能发生变动的合理范围。</w:t>
      </w:r>
      <w:r>
        <w:br w:type="page"/>
      </w:r>
    </w:p>
    <w:p>
      <w:pPr>
        <w:pStyle w:val="Style4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无其他价格风险。</w:t>
      </w:r>
    </w:p>
    <w:p>
      <w:pPr>
        <w:pStyle w:val="Style29"/>
        <w:keepNext/>
        <w:keepLines/>
        <w:widowControl w:val="0"/>
        <w:shd w:val="clear" w:color="auto" w:fill="auto"/>
        <w:bidi w:val="0"/>
        <w:spacing w:before="0" w:after="340" w:line="240" w:lineRule="auto"/>
        <w:ind w:left="0" w:right="0" w:firstLine="0"/>
        <w:jc w:val="left"/>
      </w:pPr>
      <w:bookmarkStart w:id="1512" w:name="bookmark1512"/>
      <w:bookmarkStart w:id="1513" w:name="bookmark1513"/>
      <w:bookmarkStart w:id="1514" w:name="bookmark1514"/>
      <w:r>
        <w:rPr>
          <w:color w:val="000000"/>
          <w:spacing w:val="0"/>
          <w:w w:val="100"/>
          <w:position w:val="0"/>
          <w:sz w:val="24"/>
          <w:szCs w:val="24"/>
        </w:rPr>
        <w:t>十^一、公允价值的披露</w:t>
      </w:r>
      <w:bookmarkEnd w:id="1512"/>
      <w:bookmarkEnd w:id="1513"/>
      <w:bookmarkEnd w:id="1514"/>
    </w:p>
    <w:p>
      <w:pPr>
        <w:pStyle w:val="Style36"/>
        <w:keepNext/>
        <w:keepLines/>
        <w:widowControl w:val="0"/>
        <w:shd w:val="clear" w:color="auto" w:fill="auto"/>
        <w:bidi w:val="0"/>
        <w:spacing w:before="0" w:after="34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15"/>
      <w:bookmarkEnd w:id="1516"/>
      <w:bookmarkEnd w:id="15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49,914,746.57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68,679,675.86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118,594,422.43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41,494,124.86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41,494,124.86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持续以公允价值计量</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49,914,746.57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110,173,800.72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160,088,547.29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r>
        <w:rPr>
          <w:color w:val="000000"/>
          <w:spacing w:val="0"/>
          <w:w w:val="100"/>
          <w:position w:val="0"/>
          <w:sz w:val="24"/>
          <w:szCs w:val="24"/>
        </w:rPr>
        <w:t>十二、关联方及关联交易</w:t>
      </w:r>
      <w:bookmarkEnd w:id="1518"/>
      <w:bookmarkEnd w:id="1519"/>
      <w:bookmarkEnd w:id="1520"/>
    </w:p>
    <w:p>
      <w:pPr>
        <w:pStyle w:val="Style36"/>
        <w:keepNext/>
        <w:keepLines/>
        <w:widowControl w:val="0"/>
        <w:shd w:val="clear" w:color="auto" w:fill="auto"/>
        <w:bidi w:val="0"/>
        <w:spacing w:before="0" w:after="340" w:line="240" w:lineRule="auto"/>
        <w:ind w:left="0" w:right="0" w:firstLine="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21"/>
      <w:bookmarkEnd w:id="1522"/>
      <w:bookmarkEnd w:id="1523"/>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母公司对本企业 的表决权比例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绍兴市上虞区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14.66%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本企业最终控制方是朱志刚。</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color w:val="000000"/>
          <w:spacing w:val="0"/>
          <w:w w:val="100"/>
          <w:position w:val="0"/>
        </w:rPr>
        <w:t>、</w:t>
        <w:tab/>
        <w:t>本企业的子公司情况</w:t>
      </w:r>
      <w:bookmarkEnd w:id="1524"/>
      <w:bookmarkEnd w:id="1525"/>
      <w:bookmarkEnd w:id="1527"/>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本企业子公司的情况详见附注“第十二节财务报告”之“九、在其他主体中的权益”。</w:t>
      </w:r>
    </w:p>
    <w:p>
      <w:pPr>
        <w:pStyle w:val="Style36"/>
        <w:keepNext/>
        <w:keepLines/>
        <w:widowControl w:val="0"/>
        <w:shd w:val="clear" w:color="auto" w:fill="auto"/>
        <w:tabs>
          <w:tab w:pos="378" w:val="left"/>
        </w:tabs>
        <w:bidi w:val="0"/>
        <w:spacing w:before="0" w:after="34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color w:val="000000"/>
          <w:spacing w:val="0"/>
          <w:w w:val="100"/>
          <w:position w:val="0"/>
        </w:rPr>
        <w:t>、</w:t>
        <w:tab/>
        <w:t>本企业合营和联营企业情况</w:t>
      </w:r>
      <w:bookmarkEnd w:id="1528"/>
      <w:bookmarkEnd w:id="1529"/>
      <w:bookmarkEnd w:id="1531"/>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本企业重要的合营或联营企业详见附注本报告“第十二节财务报告”之“九、在其他主体中的权益”。</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杭州墨风科技有限公司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杭州淘卡淘科技有限公司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上海合志信息技术有限公司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杭州摘星社信息科技有限公司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本期处置的联营企业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江苏玛岸网络科技有限公司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color w:val="000000"/>
          <w:spacing w:val="0"/>
          <w:w w:val="100"/>
          <w:position w:val="0"/>
        </w:rPr>
        <w:t>、其他关联方情况</w:t>
      </w:r>
      <w:bookmarkEnd w:id="1532"/>
      <w:bookmarkEnd w:id="1533"/>
      <w:bookmarkEnd w:id="153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时代金科置业有限公司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绍兴市上虞金嘉置业有限公司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绍兴上虞区金科时代潮城商贸有限公司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绍兴上虞时代金科物业管理有限公司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绍兴上虞金泰泳池设备有限公司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绍兴上虞六和投资有限公司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江苏金科日化原料有限公司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上期处置的子公司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江苏创呼信息科技有限公司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上期处置的子公司</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color w:val="000000"/>
          <w:spacing w:val="0"/>
          <w:w w:val="100"/>
          <w:position w:val="0"/>
        </w:rPr>
        <w:t>、关联交易情况</w:t>
      </w:r>
      <w:bookmarkEnd w:id="1536"/>
      <w:bookmarkEnd w:id="1537"/>
      <w:bookmarkEnd w:id="1539"/>
    </w:p>
    <w:p>
      <w:pPr>
        <w:pStyle w:val="Style114"/>
        <w:keepNext/>
        <w:keepLines/>
        <w:widowControl w:val="0"/>
        <w:shd w:val="clear" w:color="auto" w:fill="auto"/>
        <w:bidi w:val="0"/>
        <w:spacing w:before="0" w:after="320" w:line="240" w:lineRule="auto"/>
        <w:ind w:left="0" w:right="0" w:firstLine="0"/>
        <w:jc w:val="left"/>
      </w:pPr>
      <w:bookmarkStart w:id="1540" w:name="bookmark1540"/>
      <w:bookmarkStart w:id="1541" w:name="bookmark1541"/>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40"/>
      <w:bookmarkEnd w:id="1541"/>
      <w:bookmarkEnd w:id="154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杭州金科博锐科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14,503,601.50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杭州摘星社信息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21,716.23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江苏玛岸网络科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272,734.30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326,719.44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金科控股集团有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9,761.50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住宿、餐饮服务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3,351,861.76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杭州墨风科技有限公司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杭州淘卡淘科技有限公司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上海合志信息技术有限公司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授权费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631,120.81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2,934,827.85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114"/>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43"/>
      <w:bookmarkEnd w:id="1544"/>
      <w:bookmarkEnd w:id="154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上期确认的租赁收入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1,859,433.95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2,479,245.28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绍兴上虞区金科时代潮城商 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4,440,625.00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本公司作为承租方：无。</w:t>
      </w:r>
    </w:p>
    <w:p>
      <w:pPr>
        <w:pStyle w:val="Style114"/>
        <w:keepNext/>
        <w:keepLines/>
        <w:widowControl w:val="0"/>
        <w:numPr>
          <w:ilvl w:val="0"/>
          <w:numId w:val="61"/>
        </w:numPr>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关联担保情况</w:t>
      </w:r>
      <w:bookmarkEnd w:id="1546"/>
      <w:bookmarkEnd w:id="1547"/>
      <w:bookmarkEnd w:id="154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2018/7/13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6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绍兴上虞金泰泳池设 备有限公司、金科控 股集团有限公司、浙 江飞达环保材料有限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6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绍兴上虞金泰泳池设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2018/6/14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2021/6/14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6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Luck Group</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 Limited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1,564,671,020.00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2018/4/19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2024/4/19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60"/>
              <w:jc w:val="left"/>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2018/7/13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60"/>
              <w:jc w:val="left"/>
              <w:rPr>
                <w:sz w:val="18"/>
                <w:szCs w:val="18"/>
              </w:rPr>
            </w:pPr>
            <w:r>
              <w:rPr>
                <w:color w:val="000000"/>
                <w:spacing w:val="0"/>
                <w:w w:val="100"/>
                <w:position w:val="0"/>
                <w:sz w:val="18"/>
                <w:szCs w:val="18"/>
              </w:rPr>
              <w:t>否</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540"/>
        <w:jc w:val="left"/>
      </w:pPr>
      <w:r>
        <w:rPr>
          <w:color w:val="000000"/>
          <w:spacing w:val="0"/>
          <w:w w:val="100"/>
          <w:position w:val="0"/>
        </w:rPr>
        <w:t>注：浙江飞达环保材料有限公司为非关联方。</w:t>
      </w:r>
    </w:p>
    <w:p>
      <w:pPr>
        <w:pStyle w:val="Style31"/>
        <w:keepNext w:val="0"/>
        <w:keepLines w:val="0"/>
        <w:widowControl w:val="0"/>
        <w:shd w:val="clear" w:color="auto" w:fill="auto"/>
        <w:bidi w:val="0"/>
        <w:spacing w:before="0" w:after="480" w:line="240" w:lineRule="auto"/>
        <w:ind w:left="0" w:right="0" w:firstLine="540"/>
        <w:jc w:val="left"/>
      </w:pPr>
      <w:r>
        <w:rPr>
          <w:color w:val="000000"/>
          <w:spacing w:val="0"/>
          <w:w w:val="100"/>
          <w:position w:val="0"/>
        </w:rPr>
        <w:t>说明：除对子公司</w:t>
      </w:r>
      <w:r>
        <w:rPr>
          <w:rFonts w:ascii="Times New Roman" w:eastAsia="Times New Roman" w:hAnsi="Times New Roman" w:cs="Times New Roman"/>
          <w:color w:val="000000"/>
          <w:spacing w:val="0"/>
          <w:w w:val="100"/>
          <w:position w:val="0"/>
        </w:rPr>
        <w:t>United Luck Group Holdings Limited</w:t>
      </w:r>
      <w:r>
        <w:rPr>
          <w:color w:val="000000"/>
          <w:spacing w:val="0"/>
          <w:w w:val="100"/>
          <w:position w:val="0"/>
        </w:rPr>
        <w:t>夕卜，其他对外担保均为子公司万锦商贸有限公司被收购前产生。</w:t>
      </w:r>
    </w:p>
    <w:p>
      <w:pPr>
        <w:pStyle w:val="Style31"/>
        <w:keepNext w:val="0"/>
        <w:keepLines w:val="0"/>
        <w:widowControl w:val="0"/>
        <w:shd w:val="clear" w:color="auto" w:fill="auto"/>
        <w:bidi w:val="0"/>
        <w:spacing w:before="0" w:line="240" w:lineRule="auto"/>
        <w:ind w:left="0" w:right="0" w:firstLine="540"/>
        <w:jc w:val="left"/>
      </w:pPr>
      <w:r>
        <w:rPr>
          <w:color w:val="000000"/>
          <w:spacing w:val="0"/>
          <w:w w:val="100"/>
          <w:position w:val="0"/>
        </w:rPr>
        <w:t>本公司作为被担保方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金科控股集团有限公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金科控股集团有限公 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金科控股集团有限公 司、朱志刚、王健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179" w:line="1" w:lineRule="exact"/>
      </w:pPr>
    </w:p>
    <w:p>
      <w:pPr>
        <w:pStyle w:val="Style114"/>
        <w:keepNext/>
        <w:keepLines/>
        <w:widowControl w:val="0"/>
        <w:shd w:val="clear" w:color="auto" w:fill="auto"/>
        <w:bidi w:val="0"/>
        <w:spacing w:before="0" w:after="380" w:line="240" w:lineRule="auto"/>
        <w:ind w:left="0" w:right="0" w:firstLine="540"/>
        <w:jc w:val="both"/>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550"/>
      <w:bookmarkEnd w:id="1551"/>
      <w:bookmarkEnd w:id="1553"/>
    </w:p>
    <w:p>
      <w:pPr>
        <w:pStyle w:val="Style31"/>
        <w:keepNext w:val="0"/>
        <w:keepLines w:val="0"/>
        <w:widowControl w:val="0"/>
        <w:shd w:val="clear" w:color="auto" w:fill="auto"/>
        <w:tabs>
          <w:tab w:pos="8782" w:val="left"/>
        </w:tabs>
        <w:bidi w:val="0"/>
        <w:spacing w:before="0" w:after="460" w:line="240" w:lineRule="auto"/>
        <w:ind w:left="0" w:right="0" w:firstLine="540"/>
        <w:jc w:val="left"/>
      </w:pPr>
      <w:r>
        <w:rPr>
          <w:color w:val="000000"/>
          <w:spacing w:val="0"/>
          <w:w w:val="100"/>
          <w:position w:val="0"/>
        </w:rPr>
        <w:t>向关联方拆入资金</w:t>
        <w:tab/>
        <w:t>单位:元</w:t>
      </w:r>
    </w:p>
    <w:tbl>
      <w:tblPr>
        <w:tblOverlap w:val="never"/>
        <w:jc w:val="center"/>
        <w:tblLayout w:type="fixed"/>
      </w:tblPr>
      <w:tblGrid>
        <w:gridCol w:w="3082"/>
        <w:gridCol w:w="1694"/>
        <w:gridCol w:w="1694"/>
        <w:gridCol w:w="1694"/>
        <w:gridCol w:w="1709"/>
      </w:tblGrid>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本公司及子公司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江苏金科日化原料有限公司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857,856.77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857,856.77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36,240,816.68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11,315,060.88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47,555,877.56</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万锦商贸有限公司被收购前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121,919,747.93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102,321,661.84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224,241,409.77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34"/>
        <w:keepNext w:val="0"/>
        <w:keepLines w:val="0"/>
        <w:widowControl w:val="0"/>
        <w:shd w:val="clear" w:color="auto" w:fill="auto"/>
        <w:tabs>
          <w:tab w:pos="8784" w:val="left"/>
        </w:tabs>
        <w:bidi w:val="0"/>
        <w:spacing w:before="0" w:after="0" w:line="240" w:lineRule="auto"/>
        <w:ind w:left="557" w:right="0" w:firstLine="0"/>
        <w:jc w:val="left"/>
      </w:pPr>
      <w:r>
        <w:rPr>
          <w:color w:val="000000"/>
          <w:spacing w:val="0"/>
          <w:w w:val="100"/>
          <w:position w:val="0"/>
        </w:rPr>
        <w:t>向关联方拆出资金</w:t>
        <w:tab/>
        <w:t>单位：元</w:t>
      </w:r>
    </w:p>
    <w:tbl>
      <w:tblPr>
        <w:tblOverlap w:val="never"/>
        <w:jc w:val="center"/>
        <w:tblLayout w:type="fixed"/>
      </w:tblPr>
      <w:tblGrid>
        <w:gridCol w:w="2755"/>
        <w:gridCol w:w="1618"/>
        <w:gridCol w:w="1699"/>
        <w:gridCol w:w="1416"/>
        <w:gridCol w:w="1560"/>
        <w:gridCol w:w="1714"/>
      </w:tblGrid>
      <w:tr>
        <w:trPr>
          <w:trHeight w:val="8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44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rPr>
              <w:t>其中：利息（含</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期末余额</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本公司及子公司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江苏创呼信息科技有限公司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414,359.61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414,359.61</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杭州金科博锐科技有限公司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1,613,472,999.34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3,026,656,225.75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49,181,164.86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4,640,129,225.09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万锦商贸有限公司被收购前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214,554,943.72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12,828,174.50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3,616,039.45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227,383,118.22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0"/>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注：年初余额包含追溯调整的利息（含税）</w:t>
      </w:r>
      <w:r>
        <w:rPr>
          <w:rFonts w:ascii="Times New Roman" w:eastAsia="Times New Roman" w:hAnsi="Times New Roman" w:cs="Times New Roman"/>
          <w:color w:val="000000"/>
          <w:spacing w:val="0"/>
          <w:w w:val="100"/>
          <w:position w:val="0"/>
        </w:rPr>
        <w:t>64,869,874.46</w:t>
      </w:r>
      <w:r>
        <w:rPr>
          <w:color w:val="000000"/>
          <w:spacing w:val="0"/>
          <w:w w:val="100"/>
          <w:position w:val="0"/>
        </w:rPr>
        <w:t>元。</w:t>
      </w:r>
    </w:p>
    <w:p>
      <w:pPr>
        <w:pStyle w:val="Style114"/>
        <w:keepNext/>
        <w:keepLines/>
        <w:widowControl w:val="0"/>
        <w:shd w:val="clear" w:color="auto" w:fill="auto"/>
        <w:bidi w:val="0"/>
        <w:spacing w:before="0" w:after="380" w:line="240" w:lineRule="auto"/>
        <w:ind w:left="0" w:right="0" w:firstLine="54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5</w:t>
      </w:r>
      <w:r>
        <w:rPr>
          <w:color w:val="000000"/>
          <w:spacing w:val="0"/>
          <w:w w:val="100"/>
          <w:position w:val="0"/>
        </w:rPr>
        <w:t>）关联方资产转让、债务重组情况</w:t>
      </w:r>
      <w:bookmarkEnd w:id="1554"/>
      <w:bookmarkEnd w:id="1555"/>
      <w:bookmarkEnd w:id="15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时代金科置业有限公司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万锦商贸有限公司转让浙江 金海岸体育发展有限公司 </w:t>
            </w: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绍兴上虞六和投资有限公司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万锦商贸有限公司收购绍兴 上虞时代广场商贸有限公司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时代金科置业有限公司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万锦商贸有限公司收购绍兴 上虞时代广场商贸有限公司 </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万锦商贸有限公司转让绍兴 上虞区金科时代潮城商贸有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公司收购万锦商贸有限公司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4"/>
        <w:keepNext/>
        <w:keepLines/>
        <w:widowControl w:val="0"/>
        <w:numPr>
          <w:ilvl w:val="0"/>
          <w:numId w:val="63"/>
        </w:numPr>
        <w:shd w:val="clear" w:color="auto" w:fill="auto"/>
        <w:bidi w:val="0"/>
        <w:spacing w:before="0" w:line="240" w:lineRule="auto"/>
        <w:ind w:left="0" w:right="0" w:firstLine="68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关键管理人员报酬</w:t>
      </w:r>
      <w:bookmarkEnd w:id="1558"/>
      <w:bookmarkEnd w:id="1559"/>
      <w:bookmarkEnd w:id="156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12,305,710.38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10,212,900.00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54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6</w:t>
      </w:r>
      <w:bookmarkEnd w:id="1564"/>
      <w:r>
        <w:rPr>
          <w:color w:val="000000"/>
          <w:spacing w:val="0"/>
          <w:w w:val="100"/>
          <w:position w:val="0"/>
        </w:rPr>
        <w:t>、关联方应收应付款项</w:t>
      </w:r>
      <w:bookmarkEnd w:id="1562"/>
      <w:bookmarkEnd w:id="1563"/>
      <w:bookmarkEnd w:id="1565"/>
    </w:p>
    <w:p>
      <w:pPr>
        <w:pStyle w:val="Style114"/>
        <w:keepNext/>
        <w:keepLines/>
        <w:widowControl w:val="0"/>
        <w:shd w:val="clear" w:color="auto" w:fill="auto"/>
        <w:bidi w:val="0"/>
        <w:spacing w:before="0" w:line="240" w:lineRule="auto"/>
        <w:ind w:left="0" w:right="0" w:firstLine="680"/>
        <w:jc w:val="both"/>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6"/>
      <w:bookmarkEnd w:id="1567"/>
      <w:bookmarkEnd w:id="1568"/>
    </w:p>
    <w:p>
      <w:pPr>
        <w:pStyle w:val="Style31"/>
        <w:keepNext w:val="0"/>
        <w:keepLines w:val="0"/>
        <w:widowControl w:val="0"/>
        <w:shd w:val="clear" w:color="auto" w:fill="auto"/>
        <w:bidi w:val="0"/>
        <w:spacing w:before="0" w:after="100" w:line="240" w:lineRule="auto"/>
        <w:ind w:left="0" w:right="54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9,922,712.67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绍兴上虞区金科 时代潮城商贸有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1,490,801.64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74,540.08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上海合志信息技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106,687.86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5,334.39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绍兴上虞时代金 科物业管理有限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金科控股集团有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1,828,027,943.06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77,430,156.24</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绍兴上虞时代金 科物业管理有限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江苏创呼信息科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414,359.61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20,717.98</w:t>
            </w:r>
          </w:p>
        </w:tc>
      </w:tr>
    </w:tbl>
    <w:p>
      <w:pPr>
        <w:widowControl w:val="0"/>
        <w:spacing w:after="319" w:line="1" w:lineRule="exact"/>
      </w:pPr>
    </w:p>
    <w:p>
      <w:pPr>
        <w:pStyle w:val="Style114"/>
        <w:keepNext/>
        <w:keepLines/>
        <w:widowControl w:val="0"/>
        <w:shd w:val="clear" w:color="auto" w:fill="auto"/>
        <w:bidi w:val="0"/>
        <w:spacing w:before="0" w:line="240" w:lineRule="auto"/>
        <w:ind w:left="0" w:right="0" w:firstLine="68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69"/>
      <w:bookmarkEnd w:id="1570"/>
      <w:bookmarkEnd w:id="15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杭州摘星社信息科技有限公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741,099.06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江苏玛岸网络科技有限公司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62,912.85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441,184,600.00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153,875,646.32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江苏金科日化原料有限公司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857,856.77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时代金科置业有限公司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绍兴上虞金泰泳池设备有限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7,390.40</w:t>
            </w: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绍兴市上虞金嘉置业有限公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54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7</w:t>
      </w:r>
      <w:bookmarkEnd w:id="1574"/>
      <w:r>
        <w:rPr>
          <w:color w:val="000000"/>
          <w:spacing w:val="0"/>
          <w:w w:val="100"/>
          <w:position w:val="0"/>
        </w:rPr>
        <w:t>、关联方承诺</w:t>
      </w:r>
      <w:bookmarkEnd w:id="1572"/>
      <w:bookmarkEnd w:id="1573"/>
      <w:bookmarkEnd w:id="1575"/>
    </w:p>
    <w:p>
      <w:pPr>
        <w:pStyle w:val="Style36"/>
        <w:keepNext/>
        <w:keepLines/>
        <w:widowControl w:val="0"/>
        <w:shd w:val="clear" w:color="auto" w:fill="auto"/>
        <w:bidi w:val="0"/>
        <w:spacing w:before="0" w:after="320" w:line="240" w:lineRule="auto"/>
        <w:ind w:left="0" w:right="0" w:firstLine="540"/>
        <w:jc w:val="left"/>
      </w:pPr>
      <w:bookmarkStart w:id="1576" w:name="bookmark1576"/>
      <w:bookmarkStart w:id="1577" w:name="bookmark1577"/>
      <w:bookmarkStart w:id="1578" w:name="bookmark1578"/>
      <w:r>
        <w:rPr>
          <w:b w:val="0"/>
          <w:bCs w:val="0"/>
          <w:color w:val="000000"/>
          <w:spacing w:val="0"/>
          <w:w w:val="100"/>
          <w:position w:val="0"/>
        </w:rPr>
        <w:t>以下为本公司于资产负债表日，已签约而尚不必在资产负债表上列示的与关联方有关的承诺事项:</w:t>
      </w:r>
      <w:bookmarkEnd w:id="1576"/>
      <w:bookmarkEnd w:id="1577"/>
      <w:bookmarkEnd w:id="1578"/>
    </w:p>
    <w:tbl>
      <w:tblPr>
        <w:tblOverlap w:val="never"/>
        <w:jc w:val="center"/>
        <w:tblLayout w:type="fixed"/>
      </w:tblPr>
      <w:tblGrid>
        <w:gridCol w:w="1085"/>
        <w:gridCol w:w="2362"/>
        <w:gridCol w:w="2798"/>
        <w:gridCol w:w="1810"/>
      </w:tblGrid>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绍兴上虞区金科时代潮城 商贸有限公司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租赁绍兴市上虞区百官街道时 代广场</w:t>
            </w:r>
            <w:r>
              <w:rPr>
                <w:rFonts w:ascii="Times New Roman" w:eastAsia="Times New Roman" w:hAnsi="Times New Roman" w:cs="Times New Roman"/>
                <w:color w:val="000000"/>
                <w:spacing w:val="0"/>
                <w:w w:val="100"/>
                <w:position w:val="0"/>
              </w:rPr>
              <w:t>8</w:t>
            </w:r>
            <w:r>
              <w:rPr>
                <w:color w:val="000000"/>
                <w:spacing w:val="0"/>
                <w:w w:val="100"/>
                <w:position w:val="0"/>
              </w:rPr>
              <w:t xml:space="preserve">幢，租赁面积为 </w:t>
            </w:r>
            <w:r>
              <w:rPr>
                <w:rFonts w:ascii="Times New Roman" w:eastAsia="Times New Roman" w:hAnsi="Times New Roman" w:cs="Times New Roman"/>
                <w:color w:val="000000"/>
                <w:spacing w:val="0"/>
                <w:w w:val="100"/>
                <w:position w:val="0"/>
              </w:rPr>
              <w:t>31725.18</w:t>
            </w:r>
            <w:r>
              <w:rPr>
                <w:color w:val="000000"/>
                <w:spacing w:val="0"/>
                <w:w w:val="100"/>
                <w:position w:val="0"/>
              </w:rPr>
              <w:t xml:space="preserve">平方米，租赁期限自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2031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日，年租金为</w:t>
            </w:r>
            <w:r>
              <w:rPr>
                <w:rFonts w:ascii="Times New Roman" w:eastAsia="Times New Roman" w:hAnsi="Times New Roman" w:cs="Times New Roman"/>
                <w:color w:val="000000"/>
                <w:spacing w:val="0"/>
                <w:w w:val="100"/>
                <w:position w:val="0"/>
              </w:rPr>
              <w:t>7,612,500.00</w:t>
            </w:r>
            <w:r>
              <w:rPr>
                <w:color w:val="000000"/>
                <w:spacing w:val="0"/>
                <w:w w:val="100"/>
                <w:position w:val="0"/>
              </w:rPr>
              <w:t>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340" w:line="240" w:lineRule="auto"/>
        <w:ind w:left="0" w:right="0" w:firstLine="540"/>
        <w:jc w:val="both"/>
      </w:pPr>
      <w:bookmarkStart w:id="1579" w:name="bookmark1579"/>
      <w:bookmarkStart w:id="1580" w:name="bookmark1580"/>
      <w:bookmarkStart w:id="1581" w:name="bookmark1581"/>
      <w:r>
        <w:rPr>
          <w:color w:val="000000"/>
          <w:spacing w:val="0"/>
          <w:w w:val="100"/>
          <w:position w:val="0"/>
          <w:sz w:val="24"/>
          <w:szCs w:val="24"/>
        </w:rPr>
        <w:t>十三、承诺及或有事项</w:t>
      </w:r>
      <w:bookmarkEnd w:id="1579"/>
      <w:bookmarkEnd w:id="1580"/>
      <w:bookmarkEnd w:id="1581"/>
    </w:p>
    <w:p>
      <w:pPr>
        <w:pStyle w:val="Style36"/>
        <w:keepNext/>
        <w:keepLines/>
        <w:widowControl w:val="0"/>
        <w:shd w:val="clear" w:color="auto" w:fill="auto"/>
        <w:bidi w:val="0"/>
        <w:spacing w:before="0" w:after="0" w:line="492" w:lineRule="auto"/>
        <w:ind w:left="0" w:right="0" w:firstLine="540"/>
        <w:jc w:val="both"/>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82"/>
      <w:bookmarkEnd w:id="1583"/>
      <w:bookmarkEnd w:id="1584"/>
    </w:p>
    <w:p>
      <w:pPr>
        <w:pStyle w:val="Style36"/>
        <w:keepNext/>
        <w:keepLines/>
        <w:widowControl w:val="0"/>
        <w:shd w:val="clear" w:color="auto" w:fill="auto"/>
        <w:bidi w:val="0"/>
        <w:spacing w:before="0" w:after="0" w:line="470" w:lineRule="exact"/>
        <w:ind w:left="0" w:right="0" w:firstLine="540"/>
        <w:jc w:val="both"/>
      </w:pPr>
      <w:bookmarkStart w:id="1585" w:name="bookmark1585"/>
      <w:bookmarkStart w:id="1586" w:name="bookmark1586"/>
      <w:bookmarkStart w:id="1587" w:name="bookmark1587"/>
      <w:r>
        <w:rPr>
          <w:b w:val="0"/>
          <w:bCs w:val="0"/>
          <w:color w:val="000000"/>
          <w:spacing w:val="0"/>
          <w:w w:val="100"/>
          <w:position w:val="0"/>
        </w:rPr>
        <w:t>资产负债表日存在的重要承诺</w:t>
      </w:r>
      <w:bookmarkEnd w:id="1585"/>
      <w:bookmarkEnd w:id="1586"/>
      <w:bookmarkEnd w:id="1587"/>
    </w:p>
    <w:p>
      <w:pPr>
        <w:pStyle w:val="Style40"/>
        <w:keepNext w:val="0"/>
        <w:keepLines w:val="0"/>
        <w:widowControl w:val="0"/>
        <w:shd w:val="clear" w:color="auto" w:fill="auto"/>
        <w:bidi w:val="0"/>
        <w:spacing w:before="0" w:after="0" w:line="470" w:lineRule="exact"/>
        <w:ind w:left="540" w:right="0" w:firstLine="440"/>
        <w:jc w:val="both"/>
      </w:pPr>
      <w:bookmarkStart w:id="1588" w:name="bookmark1588"/>
      <w:r>
        <w:rPr>
          <w:color w:val="000000"/>
          <w:spacing w:val="0"/>
          <w:w w:val="100"/>
          <w:position w:val="0"/>
        </w:rPr>
        <w:t>经公司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日第三届董事会第二十一次会议审议通过，公司与中国银泰投资有限公司、苏 宁易购集团股份有限公司等其他方共同出资设立之江新实业有限公司，其注册资本</w:t>
      </w:r>
      <w:r>
        <w:rPr>
          <w:rFonts w:ascii="Times New Roman" w:eastAsia="Times New Roman" w:hAnsi="Times New Roman" w:cs="Times New Roman"/>
          <w:color w:val="000000"/>
          <w:spacing w:val="0"/>
          <w:w w:val="100"/>
          <w:position w:val="0"/>
        </w:rPr>
        <w:t>500</w:t>
      </w:r>
      <w:r>
        <w:rPr>
          <w:color w:val="000000"/>
          <w:spacing w:val="0"/>
          <w:w w:val="100"/>
          <w:position w:val="0"/>
        </w:rPr>
        <w:t>亿元，公司将以自 有资金认缴</w:t>
      </w:r>
      <w:r>
        <w:rPr>
          <w:rFonts w:ascii="Times New Roman" w:eastAsia="Times New Roman" w:hAnsi="Times New Roman" w:cs="Times New Roman"/>
          <w:color w:val="000000"/>
          <w:spacing w:val="0"/>
          <w:w w:val="100"/>
          <w:position w:val="0"/>
        </w:rPr>
        <w:t>10</w:t>
      </w:r>
      <w:r>
        <w:rPr>
          <w:color w:val="000000"/>
          <w:spacing w:val="0"/>
          <w:w w:val="100"/>
          <w:position w:val="0"/>
        </w:rPr>
        <w:t>亿元出资额，占比的</w:t>
      </w:r>
      <w:r>
        <w:rPr>
          <w:rFonts w:ascii="Times New Roman" w:eastAsia="Times New Roman" w:hAnsi="Times New Roman" w:cs="Times New Roman"/>
          <w:color w:val="000000"/>
          <w:spacing w:val="0"/>
          <w:w w:val="100"/>
          <w:position w:val="0"/>
        </w:rPr>
        <w:t>2%</w:t>
      </w:r>
      <w:r>
        <w:rPr>
          <w:color w:val="000000"/>
          <w:spacing w:val="0"/>
          <w:w w:val="100"/>
          <w:position w:val="0"/>
        </w:rPr>
        <w:t>,上述出资最晚于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日前实缴到位。截至资产负债 表日公司尚未实际出资。</w:t>
      </w:r>
      <w:bookmarkEnd w:id="1588"/>
    </w:p>
    <w:p>
      <w:pPr>
        <w:pStyle w:val="Style36"/>
        <w:keepNext/>
        <w:keepLines/>
        <w:widowControl w:val="0"/>
        <w:shd w:val="clear" w:color="auto" w:fill="auto"/>
        <w:bidi w:val="0"/>
        <w:spacing w:before="0" w:after="0" w:line="470" w:lineRule="exact"/>
        <w:ind w:left="0" w:right="0" w:firstLine="540"/>
        <w:jc w:val="left"/>
      </w:pPr>
      <w:bookmarkStart w:id="1589" w:name="bookmark1589"/>
      <w:bookmarkStart w:id="1590" w:name="bookmark1590"/>
      <w:bookmarkStart w:id="1591" w:name="bookmark1591"/>
      <w:r>
        <w:rPr>
          <w:b w:val="0"/>
          <w:bCs w:val="0"/>
          <w:color w:val="000000"/>
          <w:spacing w:val="0"/>
          <w:w w:val="100"/>
          <w:position w:val="0"/>
        </w:rPr>
        <w:t>其他重大财务承诺</w:t>
      </w:r>
      <w:bookmarkEnd w:id="1589"/>
      <w:bookmarkEnd w:id="1590"/>
      <w:bookmarkEnd w:id="1591"/>
    </w:p>
    <w:p>
      <w:pPr>
        <w:pStyle w:val="Style36"/>
        <w:keepNext/>
        <w:keepLines/>
        <w:widowControl w:val="0"/>
        <w:shd w:val="clear" w:color="auto" w:fill="auto"/>
        <w:bidi w:val="0"/>
        <w:spacing w:before="0" w:after="100" w:line="470" w:lineRule="exact"/>
        <w:ind w:left="0" w:right="0" w:firstLine="540"/>
        <w:jc w:val="left"/>
      </w:pPr>
      <w:bookmarkStart w:id="1592" w:name="bookmark1592"/>
      <w:bookmarkStart w:id="1593" w:name="bookmark1593"/>
      <w:bookmarkStart w:id="1594" w:name="bookmark1594"/>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）抵押</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质押事项</w:t>
      </w:r>
      <w:bookmarkEnd w:id="1592"/>
      <w:bookmarkEnd w:id="1593"/>
      <w:bookmarkEnd w:id="1594"/>
    </w:p>
    <w:tbl>
      <w:tblPr>
        <w:tblOverlap w:val="never"/>
        <w:jc w:val="center"/>
        <w:tblLayout w:type="fixed"/>
      </w:tblPr>
      <w:tblGrid>
        <w:gridCol w:w="1162"/>
        <w:gridCol w:w="1109"/>
        <w:gridCol w:w="922"/>
        <w:gridCol w:w="1402"/>
        <w:gridCol w:w="1085"/>
        <w:gridCol w:w="941"/>
        <w:gridCol w:w="3062"/>
      </w:tblGrid>
      <w:tr>
        <w:trPr>
          <w:trHeight w:val="10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 权人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交易描 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贷款金额</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对外担保金额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134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杭州哲信信 息技术有限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浙商银行</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绍兴分行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169,700,000.00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以账面原值为</w:t>
            </w:r>
            <w:r>
              <w:rPr>
                <w:rFonts w:ascii="Times New Roman" w:eastAsia="Times New Roman" w:hAnsi="Times New Roman" w:cs="Times New Roman"/>
                <w:color w:val="000000"/>
                <w:spacing w:val="0"/>
                <w:w w:val="100"/>
                <w:position w:val="0"/>
                <w:sz w:val="18"/>
                <w:szCs w:val="18"/>
              </w:rPr>
              <w:t>90,141,675.01</w:t>
            </w:r>
            <w:r>
              <w:rPr>
                <w:color w:val="000000"/>
                <w:spacing w:val="0"/>
                <w:w w:val="100"/>
                <w:position w:val="0"/>
                <w:sz w:val="18"/>
                <w:szCs w:val="18"/>
              </w:rPr>
              <w:t>元、累计 折旧为</w:t>
            </w:r>
            <w:r>
              <w:rPr>
                <w:rFonts w:ascii="Times New Roman" w:eastAsia="Times New Roman" w:hAnsi="Times New Roman" w:cs="Times New Roman"/>
                <w:color w:val="000000"/>
                <w:spacing w:val="0"/>
                <w:w w:val="100"/>
                <w:position w:val="0"/>
                <w:sz w:val="18"/>
                <w:szCs w:val="18"/>
              </w:rPr>
              <w:t>6,546,728.76</w:t>
            </w:r>
            <w:r>
              <w:rPr>
                <w:color w:val="000000"/>
                <w:spacing w:val="0"/>
                <w:w w:val="100"/>
                <w:position w:val="0"/>
                <w:sz w:val="18"/>
                <w:szCs w:val="18"/>
              </w:rPr>
              <w:t xml:space="preserve">元、账面价值为 </w:t>
            </w:r>
            <w:r>
              <w:rPr>
                <w:rFonts w:ascii="Times New Roman" w:eastAsia="Times New Roman" w:hAnsi="Times New Roman" w:cs="Times New Roman"/>
                <w:color w:val="000000"/>
                <w:spacing w:val="0"/>
                <w:w w:val="100"/>
                <w:position w:val="0"/>
                <w:sz w:val="18"/>
                <w:szCs w:val="18"/>
              </w:rPr>
              <w:t>83,594,946.25</w:t>
            </w:r>
            <w:r>
              <w:rPr>
                <w:color w:val="000000"/>
                <w:spacing w:val="0"/>
                <w:w w:val="100"/>
                <w:position w:val="0"/>
                <w:sz w:val="18"/>
                <w:szCs w:val="18"/>
              </w:rPr>
              <w:t>元的投资性房地产抵 押。</w:t>
            </w:r>
          </w:p>
        </w:tc>
      </w:tr>
      <w:tr>
        <w:trPr>
          <w:trHeight w:val="10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以账面原值为</w:t>
            </w:r>
            <w:r>
              <w:rPr>
                <w:rFonts w:ascii="Times New Roman" w:eastAsia="Times New Roman" w:hAnsi="Times New Roman" w:cs="Times New Roman"/>
                <w:color w:val="000000"/>
                <w:spacing w:val="0"/>
                <w:w w:val="100"/>
                <w:position w:val="0"/>
                <w:sz w:val="18"/>
                <w:szCs w:val="18"/>
              </w:rPr>
              <w:t>54,282,020.06</w:t>
            </w:r>
            <w:r>
              <w:rPr>
                <w:color w:val="000000"/>
                <w:spacing w:val="0"/>
                <w:w w:val="100"/>
                <w:position w:val="0"/>
                <w:sz w:val="18"/>
                <w:szCs w:val="18"/>
              </w:rPr>
              <w:t>元、累计 折旧为</w:t>
            </w:r>
            <w:r>
              <w:rPr>
                <w:rFonts w:ascii="Times New Roman" w:eastAsia="Times New Roman" w:hAnsi="Times New Roman" w:cs="Times New Roman"/>
                <w:color w:val="000000"/>
                <w:spacing w:val="0"/>
                <w:w w:val="100"/>
                <w:position w:val="0"/>
                <w:sz w:val="18"/>
                <w:szCs w:val="18"/>
              </w:rPr>
              <w:t>3,791,973.93</w:t>
            </w:r>
            <w:r>
              <w:rPr>
                <w:color w:val="000000"/>
                <w:spacing w:val="0"/>
                <w:w w:val="100"/>
                <w:position w:val="0"/>
                <w:sz w:val="18"/>
                <w:szCs w:val="18"/>
              </w:rPr>
              <w:t xml:space="preserve">元、账面价值为 </w:t>
            </w:r>
            <w:r>
              <w:rPr>
                <w:rFonts w:ascii="Times New Roman" w:eastAsia="Times New Roman" w:hAnsi="Times New Roman" w:cs="Times New Roman"/>
                <w:color w:val="000000"/>
                <w:spacing w:val="0"/>
                <w:w w:val="100"/>
                <w:position w:val="0"/>
                <w:sz w:val="18"/>
                <w:szCs w:val="18"/>
              </w:rPr>
              <w:t>50,490,046.13</w:t>
            </w:r>
            <w:r>
              <w:rPr>
                <w:color w:val="000000"/>
                <w:spacing w:val="0"/>
                <w:w w:val="100"/>
                <w:position w:val="0"/>
                <w:sz w:val="18"/>
                <w:szCs w:val="18"/>
              </w:rPr>
              <w:t>元的固定资产抵押。</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杭州哲信信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中国民生 银行杭州 延安支行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以账面原值为</w:t>
            </w:r>
            <w:r>
              <w:rPr>
                <w:rFonts w:ascii="Times New Roman" w:eastAsia="Times New Roman" w:hAnsi="Times New Roman" w:cs="Times New Roman"/>
                <w:color w:val="000000"/>
                <w:spacing w:val="0"/>
                <w:w w:val="100"/>
                <w:position w:val="0"/>
                <w:sz w:val="18"/>
                <w:szCs w:val="18"/>
              </w:rPr>
              <w:t>90,662,663.69</w:t>
            </w:r>
            <w:r>
              <w:rPr>
                <w:color w:val="000000"/>
                <w:spacing w:val="0"/>
                <w:w w:val="100"/>
                <w:position w:val="0"/>
                <w:sz w:val="18"/>
                <w:szCs w:val="18"/>
              </w:rPr>
              <w:t>元、累计 折旧为</w:t>
            </w:r>
            <w:r>
              <w:rPr>
                <w:rFonts w:ascii="Times New Roman" w:eastAsia="Times New Roman" w:hAnsi="Times New Roman" w:cs="Times New Roman"/>
                <w:color w:val="000000"/>
                <w:spacing w:val="0"/>
                <w:w w:val="100"/>
                <w:position w:val="0"/>
                <w:sz w:val="18"/>
                <w:szCs w:val="18"/>
              </w:rPr>
              <w:t>9,643,904.16</w:t>
            </w:r>
            <w:r>
              <w:rPr>
                <w:color w:val="000000"/>
                <w:spacing w:val="0"/>
                <w:w w:val="100"/>
                <w:position w:val="0"/>
                <w:sz w:val="18"/>
                <w:szCs w:val="18"/>
              </w:rPr>
              <w:t xml:space="preserve">元、账面价值为 </w:t>
            </w:r>
            <w:r>
              <w:rPr>
                <w:rFonts w:ascii="Times New Roman" w:eastAsia="Times New Roman" w:hAnsi="Times New Roman" w:cs="Times New Roman"/>
                <w:color w:val="000000"/>
                <w:spacing w:val="0"/>
                <w:w w:val="100"/>
                <w:position w:val="0"/>
                <w:sz w:val="18"/>
                <w:szCs w:val="18"/>
              </w:rPr>
              <w:t>81,018,759.53</w:t>
            </w:r>
            <w:r>
              <w:rPr>
                <w:color w:val="000000"/>
                <w:spacing w:val="0"/>
                <w:w w:val="100"/>
                <w:position w:val="0"/>
                <w:sz w:val="18"/>
                <w:szCs w:val="18"/>
              </w:rPr>
              <w:t>元的固定资产抵押。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杭州哲信信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中国银行</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以账面价值为</w:t>
            </w:r>
            <w:r>
              <w:rPr>
                <w:rFonts w:ascii="Times New Roman" w:eastAsia="Times New Roman" w:hAnsi="Times New Roman" w:cs="Times New Roman"/>
                <w:color w:val="000000"/>
                <w:spacing w:val="0"/>
                <w:w w:val="100"/>
                <w:position w:val="0"/>
                <w:sz w:val="18"/>
                <w:szCs w:val="18"/>
              </w:rPr>
              <w:t>33,014,746.57</w:t>
            </w:r>
            <w:r>
              <w:rPr>
                <w:color w:val="000000"/>
                <w:spacing w:val="0"/>
                <w:w w:val="100"/>
                <w:position w:val="0"/>
                <w:sz w:val="18"/>
                <w:szCs w:val="18"/>
              </w:rPr>
              <w:t>元的其 他权益工具投资（浙江聚力文化发展 股份有限公司股票）质押。</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宁波哲信创 客投资有限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杭州银行</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绍兴分行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以账面价值为</w:t>
            </w:r>
            <w:r>
              <w:rPr>
                <w:rFonts w:ascii="Times New Roman" w:eastAsia="Times New Roman" w:hAnsi="Times New Roman" w:cs="Times New Roman"/>
                <w:color w:val="000000"/>
                <w:spacing w:val="0"/>
                <w:w w:val="100"/>
                <w:position w:val="0"/>
                <w:sz w:val="18"/>
                <w:szCs w:val="18"/>
              </w:rPr>
              <w:t>14,761,302.22</w:t>
            </w:r>
            <w:r>
              <w:rPr>
                <w:color w:val="000000"/>
                <w:spacing w:val="0"/>
                <w:w w:val="100"/>
                <w:position w:val="0"/>
                <w:sz w:val="18"/>
                <w:szCs w:val="18"/>
              </w:rPr>
              <w:t>元的长 期股权投资（上海合志信息技术有限 公司股权）质押。</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绍兴上虞和 胜网络技术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中信银行 杭州天水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长期借款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一年内 到期的非 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以账面原值为</w:t>
            </w:r>
            <w:r>
              <w:rPr>
                <w:rFonts w:ascii="Times New Roman" w:eastAsia="Times New Roman" w:hAnsi="Times New Roman" w:cs="Times New Roman"/>
                <w:color w:val="000000"/>
                <w:spacing w:val="0"/>
                <w:w w:val="100"/>
                <w:position w:val="0"/>
                <w:sz w:val="18"/>
                <w:szCs w:val="18"/>
              </w:rPr>
              <w:t>109,987,103.66</w:t>
            </w:r>
            <w:r>
              <w:rPr>
                <w:color w:val="000000"/>
                <w:spacing w:val="0"/>
                <w:w w:val="100"/>
                <w:position w:val="0"/>
                <w:sz w:val="18"/>
                <w:szCs w:val="18"/>
              </w:rPr>
              <w:t>元、累 计折旧为</w:t>
            </w:r>
            <w:r>
              <w:rPr>
                <w:rFonts w:ascii="Times New Roman" w:eastAsia="Times New Roman" w:hAnsi="Times New Roman" w:cs="Times New Roman"/>
                <w:color w:val="000000"/>
                <w:spacing w:val="0"/>
                <w:w w:val="100"/>
                <w:position w:val="0"/>
                <w:sz w:val="18"/>
                <w:szCs w:val="18"/>
              </w:rPr>
              <w:t>3,058,178.00</w:t>
            </w:r>
            <w:r>
              <w:rPr>
                <w:color w:val="000000"/>
                <w:spacing w:val="0"/>
                <w:w w:val="100"/>
                <w:position w:val="0"/>
                <w:sz w:val="18"/>
                <w:szCs w:val="18"/>
              </w:rPr>
              <w:t>元、账面价值 为</w:t>
            </w:r>
            <w:r>
              <w:rPr>
                <w:rFonts w:ascii="Times New Roman" w:eastAsia="Times New Roman" w:hAnsi="Times New Roman" w:cs="Times New Roman"/>
                <w:color w:val="000000"/>
                <w:spacing w:val="0"/>
                <w:w w:val="100"/>
                <w:position w:val="0"/>
                <w:sz w:val="18"/>
                <w:szCs w:val="18"/>
              </w:rPr>
              <w:t>106,928,925.66</w:t>
            </w:r>
            <w:r>
              <w:rPr>
                <w:color w:val="000000"/>
                <w:spacing w:val="0"/>
                <w:w w:val="100"/>
                <w:position w:val="0"/>
                <w:sz w:val="18"/>
                <w:szCs w:val="18"/>
              </w:rPr>
              <w:t>元的固定资产抵 押。</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绍兴上虞雷 迪森万锦大 酒店有限公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浙商银行 股份有限 公司绍兴 上虞支行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绍兴上虞 雷迪森万 锦大酒店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长期借款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一年内 到期的非 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117,653,556.35</w:t>
            </w:r>
            <w:r>
              <w:rPr>
                <w:color w:val="000000"/>
                <w:spacing w:val="0"/>
                <w:w w:val="100"/>
                <w:position w:val="0"/>
                <w:sz w:val="18"/>
                <w:szCs w:val="18"/>
              </w:rPr>
              <w:t xml:space="preserve">元，折旧为 </w:t>
            </w:r>
            <w:r>
              <w:rPr>
                <w:rFonts w:ascii="Times New Roman" w:eastAsia="Times New Roman" w:hAnsi="Times New Roman" w:cs="Times New Roman"/>
                <w:color w:val="000000"/>
                <w:spacing w:val="0"/>
                <w:w w:val="100"/>
                <w:position w:val="0"/>
                <w:sz w:val="18"/>
                <w:szCs w:val="18"/>
              </w:rPr>
              <w:t>5,4954,026.16</w:t>
            </w:r>
            <w:r>
              <w:rPr>
                <w:color w:val="000000"/>
                <w:spacing w:val="0"/>
                <w:w w:val="100"/>
                <w:position w:val="0"/>
                <w:sz w:val="18"/>
                <w:szCs w:val="18"/>
              </w:rPr>
              <w:t>元的投资性房地产向 抵押；同时由朱志刚提供最高额保证</w:t>
            </w:r>
          </w:p>
        </w:tc>
      </w:tr>
    </w:tbl>
    <w:p>
      <w:pPr>
        <w:widowControl w:val="0"/>
        <w:spacing w:line="1" w:lineRule="exact"/>
      </w:pPr>
      <w:r>
        <w:br w:type="page"/>
      </w:r>
    </w:p>
    <w:tbl>
      <w:tblPr>
        <w:tblOverlap w:val="never"/>
        <w:jc w:val="center"/>
        <w:tblLayout w:type="fixed"/>
      </w:tblPr>
      <w:tblGrid>
        <w:gridCol w:w="1162"/>
        <w:gridCol w:w="1109"/>
        <w:gridCol w:w="922"/>
        <w:gridCol w:w="1402"/>
        <w:gridCol w:w="1085"/>
        <w:gridCol w:w="941"/>
        <w:gridCol w:w="3062"/>
      </w:tblGrid>
      <w:tr>
        <w:trPr>
          <w:trHeight w:val="10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 权人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交易描 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贷款金额</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对外担保金额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科目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杭州哲信信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中国银行 上虞支行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浙江时代 金泰环保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以账面价值为</w:t>
            </w:r>
            <w:r>
              <w:rPr>
                <w:rFonts w:ascii="Times New Roman" w:eastAsia="Times New Roman" w:hAnsi="Times New Roman" w:cs="Times New Roman"/>
                <w:color w:val="000000"/>
                <w:spacing w:val="0"/>
                <w:w w:val="100"/>
                <w:position w:val="0"/>
                <w:sz w:val="18"/>
                <w:szCs w:val="18"/>
              </w:rPr>
              <w:t>16,900,000.00</w:t>
            </w:r>
            <w:r>
              <w:rPr>
                <w:color w:val="000000"/>
                <w:spacing w:val="0"/>
                <w:w w:val="100"/>
                <w:position w:val="0"/>
                <w:sz w:val="18"/>
                <w:szCs w:val="18"/>
              </w:rPr>
              <w:t>元的其 他权益工具投资（浙江聚力文化发展 股份有限公司股票）质押。</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绍兴银行 股份有限 公司上虞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浙江时代 金泰环保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14,667,113.74</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6,757,872.47</w:t>
            </w:r>
            <w:r>
              <w:rPr>
                <w:color w:val="000000"/>
                <w:spacing w:val="0"/>
                <w:w w:val="100"/>
                <w:position w:val="0"/>
                <w:sz w:val="18"/>
                <w:szCs w:val="18"/>
              </w:rPr>
              <w:t>元的投资性房地产抵押</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上海浦东 发展银行 股份有限 公司绍兴 上虞支行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96,494,000.00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浙江时代 金泰环保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30,596,485.39</w:t>
            </w:r>
            <w:r>
              <w:rPr>
                <w:color w:val="000000"/>
                <w:spacing w:val="0"/>
                <w:w w:val="100"/>
                <w:position w:val="0"/>
                <w:sz w:val="18"/>
                <w:szCs w:val="18"/>
              </w:rPr>
              <w:t xml:space="preserve">元，折旧为 </w:t>
            </w:r>
            <w:r>
              <w:rPr>
                <w:rFonts w:ascii="Times New Roman" w:eastAsia="Times New Roman" w:hAnsi="Times New Roman" w:cs="Times New Roman"/>
                <w:color w:val="000000"/>
                <w:spacing w:val="0"/>
                <w:w w:val="100"/>
                <w:position w:val="0"/>
                <w:sz w:val="18"/>
                <w:szCs w:val="18"/>
              </w:rPr>
              <w:t>14,097,330.26</w:t>
            </w:r>
            <w:r>
              <w:rPr>
                <w:color w:val="000000"/>
                <w:spacing w:val="0"/>
                <w:w w:val="100"/>
                <w:position w:val="0"/>
                <w:sz w:val="18"/>
                <w:szCs w:val="18"/>
              </w:rPr>
              <w:t>元的投资性房地产抵 押</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绍兴银行 股份有限 公司上虞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浙江时代 金泰环保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14,772,228.35</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6,806,304.03</w:t>
            </w:r>
            <w:r>
              <w:rPr>
                <w:color w:val="000000"/>
                <w:spacing w:val="0"/>
                <w:w w:val="100"/>
                <w:position w:val="0"/>
                <w:sz w:val="18"/>
                <w:szCs w:val="18"/>
              </w:rPr>
              <w:t>元的投资性房地产抵押</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中国农业 银行股份 有限公司 绍兴上虞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金科控股 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14,596,960.59</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6,725,549.41</w:t>
            </w:r>
            <w:r>
              <w:rPr>
                <w:color w:val="000000"/>
                <w:spacing w:val="0"/>
                <w:w w:val="100"/>
                <w:position w:val="0"/>
                <w:sz w:val="18"/>
                <w:szCs w:val="18"/>
              </w:rPr>
              <w:t>元的投资性房地产抵押</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平安银行 股份有限 公司杭州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金科控股 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14,313,930.21</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6,595,143.17</w:t>
            </w:r>
            <w:r>
              <w:rPr>
                <w:color w:val="000000"/>
                <w:spacing w:val="0"/>
                <w:w w:val="100"/>
                <w:position w:val="0"/>
                <w:sz w:val="18"/>
                <w:szCs w:val="18"/>
              </w:rPr>
              <w:t>元的投资性房地产抵押</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中国建设 银行股份 有限公司 上虞支行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18,930,586.00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浙江飞达 环保材料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15,125,565.39</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6,969,104.06</w:t>
            </w:r>
            <w:r>
              <w:rPr>
                <w:color w:val="000000"/>
                <w:spacing w:val="0"/>
                <w:w w:val="100"/>
                <w:position w:val="0"/>
                <w:sz w:val="18"/>
                <w:szCs w:val="18"/>
              </w:rPr>
              <w:t>元的投资性房地产抵押</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交通银行 股份有限 公司绍兴 上虞新街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浙江飞达 环保材料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17,679,439.61</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8,145,801.57</w:t>
            </w:r>
            <w:r>
              <w:rPr>
                <w:color w:val="000000"/>
                <w:spacing w:val="0"/>
                <w:w w:val="100"/>
                <w:position w:val="0"/>
                <w:sz w:val="18"/>
                <w:szCs w:val="18"/>
              </w:rPr>
              <w:t>元的投资性房地产抵押</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绍兴上虞时 代广场商贸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中国建设 银行股份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浙江飞达 环保科技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326,343.13</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150,362.61</w:t>
            </w:r>
            <w:r>
              <w:rPr>
                <w:color w:val="000000"/>
                <w:spacing w:val="0"/>
                <w:w w:val="100"/>
                <w:position w:val="0"/>
                <w:sz w:val="18"/>
                <w:szCs w:val="18"/>
              </w:rPr>
              <w:t>元的投资性房地产向抵押</w:t>
            </w:r>
          </w:p>
        </w:tc>
      </w:tr>
    </w:tbl>
    <w:p>
      <w:pPr>
        <w:widowControl w:val="0"/>
        <w:spacing w:line="1" w:lineRule="exact"/>
      </w:pPr>
      <w:r>
        <w:br w:type="page"/>
      </w:r>
    </w:p>
    <w:tbl>
      <w:tblPr>
        <w:tblOverlap w:val="never"/>
        <w:jc w:val="center"/>
        <w:tblLayout w:type="fixed"/>
      </w:tblPr>
      <w:tblGrid>
        <w:gridCol w:w="1162"/>
        <w:gridCol w:w="1109"/>
        <w:gridCol w:w="922"/>
        <w:gridCol w:w="1402"/>
        <w:gridCol w:w="1085"/>
        <w:gridCol w:w="941"/>
        <w:gridCol w:w="3062"/>
      </w:tblGrid>
      <w:tr>
        <w:trPr>
          <w:trHeight w:val="10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 权人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交易描 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贷款金额</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对外担保金额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科目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上虞支行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绍兴上虞时 代广场商贸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华夏银行 股份有限 公司杭州 解放支行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 金泰泳池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1,531,282.27</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705,538.35</w:t>
            </w:r>
            <w:r>
              <w:rPr>
                <w:color w:val="000000"/>
                <w:spacing w:val="0"/>
                <w:w w:val="100"/>
                <w:position w:val="0"/>
                <w:sz w:val="18"/>
                <w:szCs w:val="18"/>
              </w:rPr>
              <w:t>元的投资性房地产抵押</w:t>
            </w:r>
          </w:p>
        </w:tc>
      </w:tr>
      <w:tr>
        <w:trPr>
          <w:trHeight w:val="29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绍兴上虞时 代广场商贸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中国建设 银行股份 有限公司 上虞支行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绍兴上虞 金泰泳池 设备有限 公司、金科 控股集团 有限公司、 浙江飞达 环保材料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以原值为</w:t>
            </w:r>
            <w:r>
              <w:rPr>
                <w:rFonts w:ascii="Times New Roman" w:eastAsia="Times New Roman" w:hAnsi="Times New Roman" w:cs="Times New Roman"/>
                <w:color w:val="000000"/>
                <w:spacing w:val="0"/>
                <w:w w:val="100"/>
                <w:position w:val="0"/>
                <w:sz w:val="18"/>
                <w:szCs w:val="18"/>
              </w:rPr>
              <w:t>2,697,566.34</w:t>
            </w:r>
            <w:r>
              <w:rPr>
                <w:color w:val="000000"/>
                <w:spacing w:val="0"/>
                <w:w w:val="100"/>
                <w:position w:val="0"/>
                <w:sz w:val="18"/>
                <w:szCs w:val="18"/>
              </w:rPr>
              <w:t>元，折旧为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1,242,903.64</w:t>
            </w:r>
            <w:r>
              <w:rPr>
                <w:color w:val="000000"/>
                <w:spacing w:val="0"/>
                <w:w w:val="100"/>
                <w:position w:val="0"/>
                <w:sz w:val="18"/>
                <w:szCs w:val="18"/>
              </w:rPr>
              <w:t>元的投资性房地产抵押</w:t>
            </w:r>
          </w:p>
        </w:tc>
      </w:tr>
    </w:tbl>
    <w:p>
      <w:pPr>
        <w:widowControl w:val="0"/>
        <w:spacing w:after="99" w:line="1" w:lineRule="exact"/>
      </w:pPr>
    </w:p>
    <w:p>
      <w:pPr>
        <w:pStyle w:val="Style36"/>
        <w:keepNext/>
        <w:keepLines/>
        <w:widowControl w:val="0"/>
        <w:shd w:val="clear" w:color="auto" w:fill="auto"/>
        <w:bidi w:val="0"/>
        <w:spacing w:before="0" w:after="0" w:line="240" w:lineRule="auto"/>
        <w:ind w:left="0" w:right="0" w:firstLine="560"/>
        <w:jc w:val="left"/>
      </w:pPr>
      <w:bookmarkStart w:id="1595" w:name="bookmark1595"/>
      <w:bookmarkStart w:id="1596" w:name="bookmark1596"/>
      <w:bookmarkStart w:id="1597" w:name="bookmark159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）境外借款事项</w:t>
      </w:r>
      <w:bookmarkEnd w:id="1595"/>
      <w:bookmarkEnd w:id="1596"/>
      <w:bookmarkEnd w:id="1597"/>
    </w:p>
    <w:p>
      <w:pPr>
        <w:pStyle w:val="Style120"/>
        <w:keepNext w:val="0"/>
        <w:keepLines w:val="0"/>
        <w:widowControl w:val="0"/>
        <w:shd w:val="clear" w:color="auto" w:fill="auto"/>
        <w:bidi w:val="0"/>
        <w:spacing w:before="0" w:after="100" w:line="475" w:lineRule="exact"/>
        <w:ind w:left="0" w:right="0" w:firstLine="440"/>
        <w:jc w:val="left"/>
      </w:pPr>
      <w:bookmarkStart w:id="1598" w:name="bookmark1598"/>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日，由</w:t>
      </w:r>
      <w:r>
        <w:rPr>
          <w:color w:val="000000"/>
          <w:spacing w:val="0"/>
          <w:w w:val="100"/>
          <w:position w:val="0"/>
        </w:rPr>
        <w:t>United Luck Group Holdings Limited</w:t>
      </w:r>
      <w:r>
        <w:rPr>
          <w:rFonts w:ascii="SimSun" w:eastAsia="SimSun" w:hAnsi="SimSun" w:cs="SimSun"/>
          <w:color w:val="000000"/>
          <w:spacing w:val="0"/>
          <w:w w:val="100"/>
          <w:position w:val="0"/>
        </w:rPr>
        <w:t>作为债务人向中信银行</w:t>
      </w:r>
      <w:r>
        <w:rPr>
          <w:color w:val="000000"/>
          <w:spacing w:val="0"/>
          <w:w w:val="100"/>
          <w:position w:val="0"/>
        </w:rPr>
        <w:t>（</w:t>
      </w:r>
      <w:r>
        <w:rPr>
          <w:rFonts w:ascii="SimSun" w:eastAsia="SimSun" w:hAnsi="SimSun" w:cs="SimSun"/>
          <w:color w:val="000000"/>
          <w:spacing w:val="0"/>
          <w:w w:val="100"/>
          <w:position w:val="0"/>
        </w:rPr>
        <w:t>国际</w:t>
      </w:r>
      <w:r>
        <w:rPr>
          <w:color w:val="000000"/>
          <w:spacing w:val="0"/>
          <w:w w:val="100"/>
          <w:position w:val="0"/>
        </w:rPr>
        <w:t>）</w:t>
      </w:r>
      <w:r>
        <w:rPr>
          <w:rFonts w:ascii="SimSun" w:eastAsia="SimSun" w:hAnsi="SimSun" w:cs="SimSun"/>
          <w:color w:val="000000"/>
          <w:spacing w:val="0"/>
          <w:w w:val="100"/>
          <w:position w:val="0"/>
        </w:rPr>
        <w:t>有限公 司借款，期末尚有余额</w:t>
      </w:r>
      <w:r>
        <w:rPr>
          <w:color w:val="000000"/>
          <w:spacing w:val="0"/>
          <w:w w:val="100"/>
          <w:position w:val="0"/>
        </w:rPr>
        <w:t>239,800,000.00</w:t>
      </w:r>
      <w:r>
        <w:rPr>
          <w:rFonts w:ascii="SimSun" w:eastAsia="SimSun" w:hAnsi="SimSun" w:cs="SimSun"/>
          <w:color w:val="000000"/>
          <w:spacing w:val="0"/>
          <w:w w:val="100"/>
          <w:position w:val="0"/>
        </w:rPr>
        <w:t>美元（折合人民币</w:t>
      </w:r>
      <w:r>
        <w:rPr>
          <w:color w:val="000000"/>
          <w:spacing w:val="0"/>
          <w:w w:val="100"/>
          <w:position w:val="0"/>
        </w:rPr>
        <w:t>1,564,671,020.00</w:t>
      </w:r>
      <w:r>
        <w:rPr>
          <w:rFonts w:ascii="SimSun" w:eastAsia="SimSun" w:hAnsi="SimSun" w:cs="SimSun"/>
          <w:color w:val="000000"/>
          <w:spacing w:val="0"/>
          <w:w w:val="100"/>
          <w:position w:val="0"/>
        </w:rPr>
        <w:t>元）</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该借款相关质押或抵押事 项列示如下：</w:t>
      </w:r>
      <w:bookmarkEnd w:id="1598"/>
    </w:p>
    <w:tbl>
      <w:tblPr>
        <w:tblOverlap w:val="never"/>
        <w:jc w:val="center"/>
        <w:tblLayout w:type="fixed"/>
      </w:tblPr>
      <w:tblGrid>
        <w:gridCol w:w="2789"/>
        <w:gridCol w:w="835"/>
        <w:gridCol w:w="545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质押人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交易描述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United Luck Group Holdings Limited </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股权提供质押担</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United Luck Group Holdings Limited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股权提供质押担</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Unitied Luck Group Holding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Outfit7 Investments Limited </w:t>
            </w: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股权，以及应收账款（全部 对合并关联方，期末应收账款余额折合人民币</w:t>
            </w:r>
            <w:r>
              <w:rPr>
                <w:rFonts w:ascii="Times New Roman" w:eastAsia="Times New Roman" w:hAnsi="Times New Roman" w:cs="Times New Roman"/>
                <w:color w:val="000000"/>
                <w:spacing w:val="0"/>
                <w:w w:val="100"/>
                <w:position w:val="0"/>
                <w:sz w:val="18"/>
                <w:szCs w:val="18"/>
              </w:rPr>
              <w:t>285,932,154.66</w:t>
            </w:r>
            <w:r>
              <w:rPr>
                <w:color w:val="000000"/>
                <w:spacing w:val="0"/>
                <w:w w:val="100"/>
                <w:position w:val="0"/>
                <w:sz w:val="18"/>
                <w:szCs w:val="18"/>
              </w:rPr>
              <w:t>元）、三 个美元储蓄账户</w:t>
            </w:r>
            <w:r>
              <w:rPr>
                <w:rFonts w:ascii="Times New Roman" w:eastAsia="Times New Roman" w:hAnsi="Times New Roman" w:cs="Times New Roman"/>
                <w:color w:val="000000"/>
                <w:spacing w:val="0"/>
                <w:w w:val="100"/>
                <w:position w:val="0"/>
                <w:sz w:val="18"/>
                <w:szCs w:val="18"/>
              </w:rPr>
              <w:t>735-1-17537301</w:t>
            </w:r>
            <w:r>
              <w:rPr>
                <w:color w:val="000000"/>
                <w:spacing w:val="0"/>
                <w:w w:val="100"/>
                <w:position w:val="0"/>
                <w:sz w:val="18"/>
                <w:szCs w:val="18"/>
              </w:rPr>
              <w:t>（期末余额为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 xml:space="preserve">）、账户 </w:t>
            </w:r>
            <w:r>
              <w:rPr>
                <w:rFonts w:ascii="Times New Roman" w:eastAsia="Times New Roman" w:hAnsi="Times New Roman" w:cs="Times New Roman"/>
                <w:color w:val="000000"/>
                <w:spacing w:val="0"/>
                <w:w w:val="100"/>
                <w:position w:val="0"/>
                <w:sz w:val="18"/>
                <w:szCs w:val="18"/>
              </w:rPr>
              <w:t>735-116003101</w:t>
            </w:r>
            <w:r>
              <w:rPr>
                <w:color w:val="000000"/>
                <w:spacing w:val="0"/>
                <w:w w:val="100"/>
                <w:position w:val="0"/>
                <w:sz w:val="18"/>
                <w:szCs w:val="18"/>
              </w:rPr>
              <w:t>（期末余额折合人民币</w:t>
            </w:r>
            <w:r>
              <w:rPr>
                <w:rFonts w:ascii="Times New Roman" w:eastAsia="Times New Roman" w:hAnsi="Times New Roman" w:cs="Times New Roman"/>
                <w:color w:val="000000"/>
                <w:spacing w:val="0"/>
                <w:w w:val="100"/>
                <w:position w:val="0"/>
                <w:sz w:val="18"/>
                <w:szCs w:val="18"/>
              </w:rPr>
              <w:t>15,924,442.70</w:t>
            </w:r>
            <w:r>
              <w:rPr>
                <w:color w:val="000000"/>
                <w:spacing w:val="0"/>
                <w:w w:val="100"/>
                <w:position w:val="0"/>
                <w:sz w:val="18"/>
                <w:szCs w:val="18"/>
              </w:rPr>
              <w:t xml:space="preserve">元）、账户 </w:t>
            </w:r>
            <w:r>
              <w:rPr>
                <w:rFonts w:ascii="Times New Roman" w:eastAsia="Times New Roman" w:hAnsi="Times New Roman" w:cs="Times New Roman"/>
                <w:color w:val="000000"/>
                <w:spacing w:val="0"/>
                <w:w w:val="100"/>
                <w:position w:val="0"/>
                <w:sz w:val="18"/>
                <w:szCs w:val="18"/>
              </w:rPr>
              <w:t>735-1-17532201</w:t>
            </w:r>
            <w:r>
              <w:rPr>
                <w:color w:val="000000"/>
                <w:spacing w:val="0"/>
                <w:w w:val="100"/>
                <w:position w:val="0"/>
                <w:sz w:val="18"/>
                <w:szCs w:val="18"/>
              </w:rPr>
              <w:t>（期末余额折合人民币</w:t>
            </w:r>
            <w:r>
              <w:rPr>
                <w:rFonts w:ascii="Times New Roman" w:eastAsia="Times New Roman" w:hAnsi="Times New Roman" w:cs="Times New Roman"/>
                <w:color w:val="000000"/>
                <w:spacing w:val="0"/>
                <w:w w:val="100"/>
                <w:position w:val="0"/>
                <w:sz w:val="18"/>
                <w:szCs w:val="18"/>
              </w:rPr>
              <w:t>76,095.73</w:t>
            </w:r>
            <w:r>
              <w:rPr>
                <w:color w:val="000000"/>
                <w:spacing w:val="0"/>
                <w:w w:val="100"/>
                <w:position w:val="0"/>
                <w:sz w:val="18"/>
                <w:szCs w:val="18"/>
              </w:rPr>
              <w:t>元）共同提供质押担 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Lily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Outfit7 Investments Limited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 xml:space="preserve">股权，及其美元储蓄账户 </w:t>
            </w:r>
            <w:r>
              <w:rPr>
                <w:rFonts w:ascii="Times New Roman" w:eastAsia="Times New Roman" w:hAnsi="Times New Roman" w:cs="Times New Roman"/>
                <w:color w:val="000000"/>
                <w:spacing w:val="0"/>
                <w:w w:val="100"/>
                <w:position w:val="0"/>
                <w:sz w:val="18"/>
                <w:szCs w:val="18"/>
              </w:rPr>
              <w:t xml:space="preserve">735-116318901 </w:t>
            </w:r>
            <w:r>
              <w:rPr>
                <w:color w:val="000000"/>
                <w:spacing w:val="0"/>
                <w:w w:val="100"/>
                <w:position w:val="0"/>
                <w:sz w:val="18"/>
                <w:szCs w:val="18"/>
              </w:rPr>
              <w:t>（期末余额折合人民币</w:t>
            </w:r>
            <w:r>
              <w:rPr>
                <w:rFonts w:ascii="Times New Roman" w:eastAsia="Times New Roman" w:hAnsi="Times New Roman" w:cs="Times New Roman"/>
                <w:color w:val="000000"/>
                <w:spacing w:val="0"/>
                <w:w w:val="100"/>
                <w:position w:val="0"/>
                <w:sz w:val="18"/>
                <w:szCs w:val="18"/>
              </w:rPr>
              <w:t>269,448.09</w:t>
            </w:r>
            <w:r>
              <w:rPr>
                <w:color w:val="000000"/>
                <w:spacing w:val="0"/>
                <w:w w:val="100"/>
                <w:position w:val="0"/>
                <w:sz w:val="18"/>
                <w:szCs w:val="18"/>
              </w:rPr>
              <w:t>元）提供质押担保。</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Ryuki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Outfit7 Investments Limited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 xml:space="preserve">股权，及其美元储蓄账户 </w:t>
            </w:r>
            <w:r>
              <w:rPr>
                <w:rFonts w:ascii="Times New Roman" w:eastAsia="Times New Roman" w:hAnsi="Times New Roman" w:cs="Times New Roman"/>
                <w:color w:val="000000"/>
                <w:spacing w:val="0"/>
                <w:w w:val="100"/>
                <w:position w:val="0"/>
                <w:sz w:val="18"/>
                <w:szCs w:val="18"/>
              </w:rPr>
              <w:t xml:space="preserve">735-116366901 </w:t>
            </w:r>
            <w:r>
              <w:rPr>
                <w:color w:val="000000"/>
                <w:spacing w:val="0"/>
                <w:w w:val="100"/>
                <w:position w:val="0"/>
                <w:sz w:val="18"/>
                <w:szCs w:val="18"/>
              </w:rPr>
              <w:t>（期末余额折合人民币</w:t>
            </w:r>
            <w:r>
              <w:rPr>
                <w:rFonts w:ascii="Times New Roman" w:eastAsia="Times New Roman" w:hAnsi="Times New Roman" w:cs="Times New Roman"/>
                <w:color w:val="000000"/>
                <w:spacing w:val="0"/>
                <w:w w:val="100"/>
                <w:position w:val="0"/>
                <w:sz w:val="18"/>
                <w:szCs w:val="18"/>
              </w:rPr>
              <w:t>269,800.70</w:t>
            </w:r>
            <w:r>
              <w:rPr>
                <w:color w:val="000000"/>
                <w:spacing w:val="0"/>
                <w:w w:val="100"/>
                <w:position w:val="0"/>
                <w:sz w:val="18"/>
                <w:szCs w:val="18"/>
              </w:rPr>
              <w:t>元）提供质押担保。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Outfit7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Outfit7 Limited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股权提供质押担保。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Outfit7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以所持有的</w:t>
            </w:r>
            <w:r>
              <w:rPr>
                <w:rFonts w:ascii="Times New Roman" w:eastAsia="Times New Roman" w:hAnsi="Times New Roman" w:cs="Times New Roman"/>
                <w:color w:val="000000"/>
                <w:spacing w:val="0"/>
                <w:w w:val="100"/>
                <w:position w:val="0"/>
                <w:sz w:val="18"/>
                <w:szCs w:val="18"/>
              </w:rPr>
              <w:t xml:space="preserve">Ekipa2, mobilne internetne storitve, d.o.o.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提供质押担</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Outfit7 Limited </w:t>
            </w:r>
            <w:r>
              <w:rPr>
                <w:color w:val="000000"/>
                <w:spacing w:val="0"/>
                <w:w w:val="100"/>
                <w:position w:val="0"/>
                <w:sz w:val="18"/>
                <w:szCs w:val="18"/>
              </w:rPr>
              <w:t>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抵押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以所持有的含知识产权、版权及专利在内的无形资产（期末账面价值</w:t>
            </w:r>
          </w:p>
        </w:tc>
      </w:tr>
    </w:tbl>
    <w:p>
      <w:pPr>
        <w:widowControl w:val="0"/>
        <w:spacing w:line="1" w:lineRule="exact"/>
      </w:pPr>
    </w:p>
    <w:tbl>
      <w:tblPr>
        <w:tblOverlap w:val="never"/>
        <w:jc w:val="center"/>
        <w:tblLayout w:type="fixed"/>
      </w:tblPr>
      <w:tblGrid>
        <w:gridCol w:w="2789"/>
        <w:gridCol w:w="835"/>
        <w:gridCol w:w="5458"/>
      </w:tblGrid>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Ekipa2, mobilne internetne storitve,</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d.o.o.</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折合人民币</w:t>
            </w:r>
            <w:r>
              <w:rPr>
                <w:rFonts w:ascii="Times New Roman" w:eastAsia="Times New Roman" w:hAnsi="Times New Roman" w:cs="Times New Roman"/>
                <w:color w:val="000000"/>
                <w:spacing w:val="0"/>
                <w:w w:val="100"/>
                <w:position w:val="0"/>
                <w:sz w:val="18"/>
                <w:szCs w:val="18"/>
              </w:rPr>
              <w:t>380,897,448.86</w:t>
            </w:r>
            <w:r>
              <w:rPr>
                <w:color w:val="000000"/>
                <w:spacing w:val="0"/>
                <w:w w:val="100"/>
                <w:position w:val="0"/>
                <w:sz w:val="18"/>
                <w:szCs w:val="18"/>
              </w:rPr>
              <w:t>元）提供质押担保。</w:t>
            </w:r>
          </w:p>
        </w:tc>
      </w:tr>
    </w:tbl>
    <w:p>
      <w:pPr>
        <w:widowControl w:val="0"/>
        <w:spacing w:after="59" w:line="1" w:lineRule="exact"/>
      </w:pPr>
    </w:p>
    <w:p>
      <w:pPr>
        <w:pStyle w:val="Style36"/>
        <w:keepNext/>
        <w:keepLines/>
        <w:widowControl w:val="0"/>
        <w:shd w:val="clear" w:color="auto" w:fill="auto"/>
        <w:bidi w:val="0"/>
        <w:spacing w:before="0" w:after="180" w:line="240" w:lineRule="auto"/>
        <w:ind w:left="0" w:right="0" w:firstLine="440"/>
        <w:jc w:val="both"/>
      </w:pPr>
      <w:bookmarkStart w:id="1599" w:name="bookmark1599"/>
      <w:bookmarkStart w:id="1600" w:name="bookmark1600"/>
      <w:bookmarkStart w:id="1601" w:name="bookmark1601"/>
      <w:bookmarkStart w:id="1602" w:name="bookmark1602"/>
      <w:r>
        <w:rPr>
          <w:b w:val="0"/>
          <w:bCs w:val="0"/>
          <w:color w:val="000000"/>
          <w:spacing w:val="0"/>
          <w:w w:val="100"/>
          <w:position w:val="0"/>
        </w:rPr>
        <w:t>（</w:t>
      </w:r>
      <w:bookmarkEnd w:id="1601"/>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）资金相关的其他事项</w:t>
      </w:r>
      <w:bookmarkEnd w:id="1599"/>
      <w:bookmarkEnd w:id="1600"/>
      <w:bookmarkEnd w:id="1602"/>
    </w:p>
    <w:p>
      <w:pPr>
        <w:pStyle w:val="Style36"/>
        <w:keepNext/>
        <w:keepLines/>
        <w:widowControl w:val="0"/>
        <w:shd w:val="clear" w:color="auto" w:fill="auto"/>
        <w:bidi w:val="0"/>
        <w:spacing w:before="0" w:after="180" w:line="240" w:lineRule="auto"/>
        <w:ind w:left="0" w:right="0" w:firstLine="440"/>
        <w:jc w:val="both"/>
      </w:pPr>
      <w:bookmarkStart w:id="1603" w:name="bookmark1603"/>
      <w:bookmarkStart w:id="1604" w:name="bookmark1604"/>
      <w:bookmarkStart w:id="1605" w:name="bookmark1605"/>
      <w:r>
        <w:rPr>
          <w:b w:val="0"/>
          <w:bCs w:val="0"/>
          <w:color w:val="000000"/>
          <w:spacing w:val="0"/>
          <w:w w:val="100"/>
          <w:position w:val="0"/>
        </w:rPr>
        <w:t>银行存款中美元</w:t>
      </w:r>
      <w:r>
        <w:rPr>
          <w:rFonts w:ascii="Times New Roman" w:eastAsia="Times New Roman" w:hAnsi="Times New Roman" w:cs="Times New Roman"/>
          <w:b w:val="0"/>
          <w:bCs w:val="0"/>
          <w:color w:val="000000"/>
          <w:spacing w:val="0"/>
          <w:w w:val="100"/>
          <w:position w:val="0"/>
        </w:rPr>
        <w:t>50,668,781.84</w:t>
      </w:r>
      <w:r>
        <w:rPr>
          <w:b w:val="0"/>
          <w:bCs w:val="0"/>
          <w:color w:val="000000"/>
          <w:spacing w:val="0"/>
          <w:w w:val="100"/>
          <w:position w:val="0"/>
        </w:rPr>
        <w:t>元（折合人民币</w:t>
      </w:r>
      <w:r>
        <w:rPr>
          <w:rFonts w:ascii="Times New Roman" w:eastAsia="Times New Roman" w:hAnsi="Times New Roman" w:cs="Times New Roman"/>
          <w:b w:val="0"/>
          <w:bCs w:val="0"/>
          <w:color w:val="000000"/>
          <w:spacing w:val="0"/>
          <w:w w:val="100"/>
          <w:position w:val="0"/>
        </w:rPr>
        <w:t>330,608,734.63</w:t>
      </w:r>
      <w:r>
        <w:rPr>
          <w:b w:val="0"/>
          <w:bCs w:val="0"/>
          <w:color w:val="000000"/>
          <w:spacing w:val="0"/>
          <w:w w:val="100"/>
          <w:position w:val="0"/>
        </w:rPr>
        <w:t>元）存放于专管账户，仅用于子公司</w:t>
      </w:r>
      <w:bookmarkEnd w:id="1603"/>
      <w:bookmarkEnd w:id="1604"/>
      <w:bookmarkEnd w:id="1605"/>
    </w:p>
    <w:p>
      <w:pPr>
        <w:pStyle w:val="Style1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United Luck Group Holdings Limited </w:t>
      </w:r>
      <w:r>
        <w:rPr>
          <w:rFonts w:ascii="SimSun" w:eastAsia="SimSun" w:hAnsi="SimSun" w:cs="SimSun"/>
          <w:color w:val="000000"/>
          <w:spacing w:val="0"/>
          <w:w w:val="100"/>
          <w:position w:val="0"/>
        </w:rPr>
        <w:t xml:space="preserve">支付 </w:t>
      </w:r>
      <w:r>
        <w:rPr>
          <w:color w:val="000000"/>
          <w:spacing w:val="0"/>
          <w:w w:val="100"/>
          <w:position w:val="0"/>
        </w:rPr>
        <w:t xml:space="preserve">Outfit7 Investments Limited </w:t>
      </w:r>
      <w:r>
        <w:rPr>
          <w:rFonts w:ascii="SimSun" w:eastAsia="SimSun" w:hAnsi="SimSun" w:cs="SimSun"/>
          <w:color w:val="000000"/>
          <w:spacing w:val="0"/>
          <w:w w:val="100"/>
          <w:position w:val="0"/>
        </w:rPr>
        <w:t>原股东剩余的股权转让款。</w:t>
      </w:r>
    </w:p>
    <w:p>
      <w:pPr>
        <w:pStyle w:val="Style36"/>
        <w:keepNext/>
        <w:keepLines/>
        <w:widowControl w:val="0"/>
        <w:shd w:val="clear" w:color="auto" w:fill="auto"/>
        <w:bidi w:val="0"/>
        <w:spacing w:before="0" w:after="180" w:line="240" w:lineRule="auto"/>
        <w:ind w:left="0" w:right="0" w:firstLine="440"/>
        <w:jc w:val="left"/>
      </w:pPr>
      <w:bookmarkStart w:id="1606" w:name="bookmark1606"/>
      <w:bookmarkStart w:id="1607" w:name="bookmark1607"/>
      <w:bookmarkStart w:id="1608" w:name="bookmark1608"/>
      <w:r>
        <w:rPr>
          <w:b w:val="0"/>
          <w:bCs w:val="0"/>
          <w:color w:val="000000"/>
          <w:spacing w:val="0"/>
          <w:w w:val="100"/>
          <w:position w:val="0"/>
        </w:rPr>
        <w:t>银行存款中</w:t>
      </w:r>
      <w:r>
        <w:rPr>
          <w:rFonts w:ascii="Times New Roman" w:eastAsia="Times New Roman" w:hAnsi="Times New Roman" w:cs="Times New Roman"/>
          <w:b w:val="0"/>
          <w:bCs w:val="0"/>
          <w:color w:val="000000"/>
          <w:spacing w:val="0"/>
          <w:w w:val="100"/>
          <w:position w:val="0"/>
        </w:rPr>
        <w:t>3,000,000.00</w:t>
      </w:r>
      <w:r>
        <w:rPr>
          <w:b w:val="0"/>
          <w:bCs w:val="0"/>
          <w:color w:val="000000"/>
          <w:spacing w:val="0"/>
          <w:w w:val="100"/>
          <w:position w:val="0"/>
        </w:rPr>
        <w:t>元为信用购机业务监管账户资金。</w:t>
      </w:r>
      <w:bookmarkEnd w:id="1606"/>
      <w:bookmarkEnd w:id="1607"/>
      <w:bookmarkEnd w:id="1608"/>
    </w:p>
    <w:p>
      <w:pPr>
        <w:pStyle w:val="Style36"/>
        <w:keepNext/>
        <w:keepLines/>
        <w:widowControl w:val="0"/>
        <w:shd w:val="clear" w:color="auto" w:fill="auto"/>
        <w:bidi w:val="0"/>
        <w:spacing w:before="0" w:after="420" w:line="240" w:lineRule="auto"/>
        <w:ind w:left="0" w:right="0" w:firstLine="440"/>
        <w:jc w:val="left"/>
      </w:pPr>
      <w:bookmarkStart w:id="1609" w:name="bookmark1609"/>
      <w:bookmarkStart w:id="1610" w:name="bookmark1610"/>
      <w:bookmarkStart w:id="1611" w:name="bookmark1611"/>
      <w:r>
        <w:rPr>
          <w:b w:val="0"/>
          <w:bCs w:val="0"/>
          <w:color w:val="000000"/>
          <w:spacing w:val="0"/>
          <w:w w:val="100"/>
          <w:position w:val="0"/>
        </w:rPr>
        <w:t>其他货币资金中</w:t>
      </w:r>
      <w:r>
        <w:rPr>
          <w:rFonts w:ascii="Times New Roman" w:eastAsia="Times New Roman" w:hAnsi="Times New Roman" w:cs="Times New Roman"/>
          <w:b w:val="0"/>
          <w:bCs w:val="0"/>
          <w:color w:val="000000"/>
          <w:spacing w:val="0"/>
          <w:w w:val="100"/>
          <w:position w:val="0"/>
        </w:rPr>
        <w:t>1,182,500.00</w:t>
      </w:r>
      <w:r>
        <w:rPr>
          <w:b w:val="0"/>
          <w:bCs w:val="0"/>
          <w:color w:val="000000"/>
          <w:spacing w:val="0"/>
          <w:w w:val="100"/>
          <w:position w:val="0"/>
        </w:rPr>
        <w:t>元为售房履约保证金。</w:t>
      </w:r>
      <w:bookmarkEnd w:id="1609"/>
      <w:bookmarkEnd w:id="1610"/>
      <w:bookmarkEnd w:id="1611"/>
    </w:p>
    <w:p>
      <w:pPr>
        <w:pStyle w:val="Style36"/>
        <w:keepNext/>
        <w:keepLines/>
        <w:widowControl w:val="0"/>
        <w:shd w:val="clear" w:color="auto" w:fill="auto"/>
        <w:bidi w:val="0"/>
        <w:spacing w:before="0" w:after="34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12"/>
      <w:bookmarkEnd w:id="1613"/>
      <w:bookmarkEnd w:id="1614"/>
    </w:p>
    <w:p>
      <w:pPr>
        <w:pStyle w:val="Style114"/>
        <w:keepNext/>
        <w:keepLines/>
        <w:widowControl w:val="0"/>
        <w:shd w:val="clear" w:color="auto" w:fill="auto"/>
        <w:bidi w:val="0"/>
        <w:spacing w:before="0" w:after="42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15"/>
      <w:bookmarkEnd w:id="1616"/>
      <w:bookmarkEnd w:id="1617"/>
    </w:p>
    <w:p>
      <w:pPr>
        <w:pStyle w:val="Style36"/>
        <w:keepNext/>
        <w:keepLines/>
        <w:widowControl w:val="0"/>
        <w:shd w:val="clear" w:color="auto" w:fill="auto"/>
        <w:bidi w:val="0"/>
        <w:spacing w:before="0" w:after="180" w:line="240" w:lineRule="auto"/>
        <w:ind w:left="0" w:right="0" w:firstLine="440"/>
        <w:jc w:val="both"/>
      </w:pPr>
      <w:bookmarkStart w:id="1618" w:name="bookmark1618"/>
      <w:bookmarkStart w:id="1619" w:name="bookmark1619"/>
      <w:bookmarkStart w:id="1620" w:name="bookmark1620"/>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）为关联方提供的担保事项详见本报告“第十二节财务报告”之“十、关联方及关联交易”中“</w:t>
      </w:r>
      <w:r>
        <w:rPr>
          <w:rFonts w:ascii="Times New Roman" w:eastAsia="Times New Roman" w:hAnsi="Times New Roman" w:cs="Times New Roman"/>
          <w:b w:val="0"/>
          <w:bCs w:val="0"/>
          <w:color w:val="000000"/>
          <w:spacing w:val="0"/>
          <w:w w:val="100"/>
          <w:position w:val="0"/>
        </w:rPr>
        <w:t>5</w:t>
      </w:r>
      <w:bookmarkEnd w:id="1618"/>
      <w:bookmarkEnd w:id="1619"/>
      <w:bookmarkEnd w:id="1620"/>
    </w:p>
    <w:p>
      <w:pPr>
        <w:pStyle w:val="Style40"/>
        <w:keepNext w:val="0"/>
        <w:keepLines w:val="0"/>
        <w:widowControl w:val="0"/>
        <w:shd w:val="clear" w:color="auto" w:fill="auto"/>
        <w:bidi w:val="0"/>
        <w:spacing w:before="0" w:after="18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rPr>
        <w:t>（</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）、关联担保情况”之说明。</w:t>
      </w:r>
    </w:p>
    <w:p>
      <w:pPr>
        <w:pStyle w:val="Style34"/>
        <w:keepNext w:val="0"/>
        <w:keepLines w:val="0"/>
        <w:widowControl w:val="0"/>
        <w:shd w:val="clear" w:color="auto" w:fill="auto"/>
        <w:bidi w:val="0"/>
        <w:spacing w:before="0" w:after="0" w:line="240" w:lineRule="auto"/>
        <w:ind w:left="10" w:right="0" w:firstLine="0"/>
        <w:jc w:val="left"/>
        <w:rPr>
          <w:sz w:val="20"/>
          <w:szCs w:val="20"/>
        </w:rPr>
      </w:pPr>
      <w:bookmarkStart w:id="1622" w:name="bookmark162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、为非关联方提供的担保事项</w:t>
      </w:r>
      <w:bookmarkEnd w:id="1622"/>
    </w:p>
    <w:p>
      <w:pPr>
        <w:pStyle w:val="Style34"/>
        <w:keepNext w:val="0"/>
        <w:keepLines w:val="0"/>
        <w:widowControl w:val="0"/>
        <w:shd w:val="clear" w:color="auto" w:fill="auto"/>
        <w:bidi w:val="0"/>
        <w:spacing w:before="0" w:after="0" w:line="240" w:lineRule="auto"/>
        <w:ind w:left="10" w:right="0" w:firstLine="0"/>
        <w:jc w:val="left"/>
        <w:rPr>
          <w:sz w:val="20"/>
          <w:szCs w:val="20"/>
        </w:rPr>
      </w:pPr>
      <w:bookmarkStart w:id="1623" w:name="bookmark1623"/>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）本公司及子公司对外担保</w:t>
      </w:r>
      <w:bookmarkEnd w:id="1623"/>
    </w:p>
    <w:tbl>
      <w:tblPr>
        <w:tblOverlap w:val="never"/>
        <w:jc w:val="center"/>
        <w:tblLayout w:type="fixed"/>
      </w:tblPr>
      <w:tblGrid>
        <w:gridCol w:w="3403"/>
        <w:gridCol w:w="1546"/>
        <w:gridCol w:w="1358"/>
        <w:gridCol w:w="1296"/>
        <w:gridCol w:w="1886"/>
      </w:tblGrid>
      <w:tr>
        <w:trPr>
          <w:trHeight w:val="8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担保余额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担保是否已</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担保方式</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浙江时代金泰环保科技有限公司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浙江时代金泰环保科技有限公司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保证、抵押</w:t>
            </w:r>
          </w:p>
        </w:tc>
      </w:tr>
      <w:tr>
        <w:trPr>
          <w:trHeight w:val="8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浙江时代金泰环保科技有限公司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保证及其他权益工具</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投资质押</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浙江时代金泰环保科技有限公司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w:t>
            </w:r>
          </w:p>
        </w:tc>
      </w:tr>
      <w:tr>
        <w:trPr>
          <w:trHeight w:val="49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314" w:lineRule="exact"/>
        <w:ind w:left="0" w:right="0" w:firstLine="440"/>
        <w:jc w:val="both"/>
      </w:pPr>
      <w:bookmarkStart w:id="1624" w:name="bookmark1624"/>
      <w:r>
        <w:rPr>
          <w:color w:val="000000"/>
          <w:spacing w:val="0"/>
          <w:w w:val="100"/>
          <w:position w:val="0"/>
        </w:rPr>
        <w:t>说明：经公司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日临时股东大会审议通过，公司与浙江时代金泰环保科技有限公司继 续保持互保关系并互相提供担保，浙江时代金泰环保科技有限公司为公司对外融资提供最高不超过人民币 </w:t>
      </w:r>
      <w:r>
        <w:rPr>
          <w:rFonts w:ascii="Times New Roman" w:eastAsia="Times New Roman" w:hAnsi="Times New Roman" w:cs="Times New Roman"/>
          <w:color w:val="000000"/>
          <w:spacing w:val="0"/>
          <w:w w:val="100"/>
          <w:position w:val="0"/>
        </w:rPr>
        <w:t>10</w:t>
      </w:r>
      <w:r>
        <w:rPr>
          <w:color w:val="000000"/>
          <w:spacing w:val="0"/>
          <w:w w:val="100"/>
          <w:position w:val="0"/>
        </w:rPr>
        <w:t>亿元的担保，担保期限不超过三年，公司为浙江时代金泰环保科技有限公司对外融资提供最高不超过人 民币</w:t>
      </w:r>
      <w:r>
        <w:rPr>
          <w:rFonts w:ascii="Times New Roman" w:eastAsia="Times New Roman" w:hAnsi="Times New Roman" w:cs="Times New Roman"/>
          <w:color w:val="000000"/>
          <w:spacing w:val="0"/>
          <w:w w:val="100"/>
          <w:position w:val="0"/>
        </w:rPr>
        <w:t>8</w:t>
      </w:r>
      <w:r>
        <w:rPr>
          <w:color w:val="000000"/>
          <w:spacing w:val="0"/>
          <w:w w:val="100"/>
          <w:position w:val="0"/>
        </w:rPr>
        <w:t>亿元的担保，担保期限不超过三年。公司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日临时股东大会审议通过了《关于与浙江 时代金泰环保科技有限公司及其全资子公司延续互保关系的议案》，公司与浙江时代金泰环保科技有限公 司继续保持互保关系并互相提供担保，浙江时代金泰环保科技有限公司为公司对外融资提供最高不超过人 民币</w:t>
      </w:r>
      <w:r>
        <w:rPr>
          <w:rFonts w:ascii="Times New Roman" w:eastAsia="Times New Roman" w:hAnsi="Times New Roman" w:cs="Times New Roman"/>
          <w:color w:val="000000"/>
          <w:spacing w:val="0"/>
          <w:w w:val="100"/>
          <w:position w:val="0"/>
        </w:rPr>
        <w:t>10</w:t>
      </w:r>
      <w:r>
        <w:rPr>
          <w:color w:val="000000"/>
          <w:spacing w:val="0"/>
          <w:w w:val="100"/>
          <w:position w:val="0"/>
        </w:rPr>
        <w:t>亿元的担保，公司为浙江时代金泰环保科技有限公司对外融资提供最高不超过人民币</w:t>
      </w:r>
      <w:r>
        <w:rPr>
          <w:rFonts w:ascii="Times New Roman" w:eastAsia="Times New Roman" w:hAnsi="Times New Roman" w:cs="Times New Roman"/>
          <w:color w:val="000000"/>
          <w:spacing w:val="0"/>
          <w:w w:val="100"/>
          <w:position w:val="0"/>
        </w:rPr>
        <w:t>8</w:t>
      </w:r>
      <w:r>
        <w:rPr>
          <w:color w:val="000000"/>
          <w:spacing w:val="0"/>
          <w:w w:val="100"/>
          <w:position w:val="0"/>
        </w:rPr>
        <w:t>亿元的担 保，担保期限为一年。</w:t>
      </w:r>
      <w:bookmarkEnd w:id="1624"/>
    </w:p>
    <w:p>
      <w:pPr>
        <w:pStyle w:val="Style36"/>
        <w:keepNext/>
        <w:keepLines/>
        <w:widowControl w:val="0"/>
        <w:shd w:val="clear" w:color="auto" w:fill="auto"/>
        <w:bidi w:val="0"/>
        <w:spacing w:before="0" w:after="60" w:line="314" w:lineRule="exact"/>
        <w:ind w:left="0" w:right="0" w:firstLine="440"/>
        <w:jc w:val="both"/>
      </w:pPr>
      <w:bookmarkStart w:id="1625" w:name="bookmark1625"/>
      <w:bookmarkStart w:id="1626" w:name="bookmark1626"/>
      <w:bookmarkStart w:id="1627" w:name="bookmark1627"/>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）万锦商贸有限公司被收购前产生的对外担保</w:t>
      </w:r>
      <w:bookmarkEnd w:id="1625"/>
      <w:bookmarkEnd w:id="1626"/>
      <w:bookmarkEnd w:id="1627"/>
    </w:p>
    <w:tbl>
      <w:tblPr>
        <w:tblOverlap w:val="never"/>
        <w:jc w:val="center"/>
        <w:tblLayout w:type="fixed"/>
      </w:tblPr>
      <w:tblGrid>
        <w:gridCol w:w="3898"/>
        <w:gridCol w:w="1546"/>
        <w:gridCol w:w="1358"/>
        <w:gridCol w:w="1296"/>
        <w:gridCol w:w="1334"/>
      </w:tblGrid>
      <w:tr>
        <w:trPr>
          <w:trHeight w:val="8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担保是否已</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担保方式</w:t>
            </w:r>
          </w:p>
        </w:tc>
      </w:tr>
    </w:tbl>
    <w:p>
      <w:pPr>
        <w:widowControl w:val="0"/>
        <w:spacing w:line="1" w:lineRule="exact"/>
      </w:pPr>
    </w:p>
    <w:tbl>
      <w:tblPr>
        <w:tblOverlap w:val="never"/>
        <w:jc w:val="center"/>
        <w:tblLayout w:type="fixed"/>
      </w:tblPr>
      <w:tblGrid>
        <w:gridCol w:w="3907"/>
        <w:gridCol w:w="1526"/>
        <w:gridCol w:w="1373"/>
        <w:gridCol w:w="1296"/>
        <w:gridCol w:w="1411"/>
      </w:tblGrid>
      <w:tr>
        <w:trPr>
          <w:trHeight w:val="8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担保余额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担保是否已</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rPr>
              <w:t>担保方式</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浙江飞达环保材料有限公司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抵押</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浙江飞达环保材料有限公司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18,930,586.00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抵押</w:t>
            </w:r>
          </w:p>
        </w:tc>
      </w:tr>
      <w:tr>
        <w:trPr>
          <w:trHeight w:val="8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绍兴上虞金泰泳池设备有限公司、金科控股集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团有限公司、浙江飞达环保材料有限公司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抵押</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浙江飞达环保科技有限公司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抵押</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60,100,586.00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bookmarkStart w:id="1628" w:name="bookmark1628"/>
            <w:r>
              <w:rPr>
                <w:color w:val="000000"/>
                <w:spacing w:val="0"/>
                <w:w w:val="100"/>
                <w:position w:val="0"/>
              </w:rPr>
              <w:t>说明：根据公司向控股股东金科控股集</w:t>
            </w:r>
            <w:bookmarkEnd w:id="1628"/>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团有限公司收购其</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专子公司万锦商贸有限公司，签署的附条件生</w:t>
            </w:r>
          </w:p>
        </w:tc>
      </w:tr>
    </w:tbl>
    <w:p>
      <w:pPr>
        <w:pStyle w:val="Style4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效的《股权转让协议》约定，公司部分股权转让款暂不支付，作为应对万锦商贸有限公司或有负债之准备 金。截至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日，万锦商贸有限公司被收购前产生的对外担保合同下尚有银行借款 </w:t>
      </w:r>
      <w:r>
        <w:rPr>
          <w:rFonts w:ascii="Times New Roman" w:eastAsia="Times New Roman" w:hAnsi="Times New Roman" w:cs="Times New Roman"/>
          <w:color w:val="000000"/>
          <w:spacing w:val="0"/>
          <w:w w:val="100"/>
          <w:position w:val="0"/>
        </w:rPr>
        <w:t>163,690,586.00</w:t>
      </w:r>
      <w:r>
        <w:rPr>
          <w:color w:val="000000"/>
          <w:spacing w:val="0"/>
          <w:w w:val="100"/>
          <w:position w:val="0"/>
        </w:rPr>
        <w:t>元，公司尚未支付股权转让款尾款</w:t>
      </w:r>
      <w:r>
        <w:rPr>
          <w:rFonts w:ascii="Times New Roman" w:eastAsia="Times New Roman" w:hAnsi="Times New Roman" w:cs="Times New Roman"/>
          <w:color w:val="000000"/>
          <w:spacing w:val="0"/>
          <w:w w:val="100"/>
          <w:position w:val="0"/>
        </w:rPr>
        <w:t>441,184,600.00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日，万锦商贸有 限公司收购前产生的对外担保合同下尚有银行借款</w:t>
      </w:r>
      <w:r>
        <w:rPr>
          <w:rFonts w:ascii="Times New Roman" w:eastAsia="Times New Roman" w:hAnsi="Times New Roman" w:cs="Times New Roman"/>
          <w:color w:val="000000"/>
          <w:spacing w:val="0"/>
          <w:w w:val="100"/>
          <w:position w:val="0"/>
        </w:rPr>
        <w:t>9,760,000.00</w:t>
      </w:r>
      <w:r>
        <w:rPr>
          <w:color w:val="000000"/>
          <w:spacing w:val="0"/>
          <w:w w:val="100"/>
          <w:position w:val="0"/>
        </w:rPr>
        <w:t xml:space="preserve">元，公司尚未支付股权转让款尾款 </w:t>
      </w:r>
      <w:r>
        <w:rPr>
          <w:rFonts w:ascii="Times New Roman" w:eastAsia="Times New Roman" w:hAnsi="Times New Roman" w:cs="Times New Roman"/>
          <w:color w:val="000000"/>
          <w:spacing w:val="0"/>
          <w:w w:val="100"/>
          <w:position w:val="0"/>
        </w:rPr>
        <w:t xml:space="preserve">26,184,600.00 </w:t>
      </w:r>
      <w:r>
        <w:rPr>
          <w:color w:val="000000"/>
          <w:spacing w:val="0"/>
          <w:w w:val="100"/>
          <w:position w:val="0"/>
        </w:rPr>
        <w:t>元。</w:t>
      </w:r>
    </w:p>
    <w:p>
      <w:pPr>
        <w:pStyle w:val="Style114"/>
        <w:keepNext/>
        <w:keepLines/>
        <w:widowControl w:val="0"/>
        <w:shd w:val="clear" w:color="auto" w:fill="auto"/>
        <w:bidi w:val="0"/>
        <w:spacing w:before="0" w:after="400" w:line="310" w:lineRule="exact"/>
        <w:ind w:left="0" w:right="0" w:firstLine="0"/>
        <w:jc w:val="both"/>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29"/>
      <w:bookmarkEnd w:id="1630"/>
      <w:bookmarkEnd w:id="1631"/>
    </w:p>
    <w:p>
      <w:pPr>
        <w:pStyle w:val="Style36"/>
        <w:keepNext/>
        <w:keepLines/>
        <w:widowControl w:val="0"/>
        <w:shd w:val="clear" w:color="auto" w:fill="auto"/>
        <w:bidi w:val="0"/>
        <w:spacing w:before="0" w:line="240" w:lineRule="auto"/>
        <w:ind w:left="0" w:right="0" w:firstLine="0"/>
        <w:jc w:val="both"/>
        <w:rPr>
          <w:sz w:val="18"/>
          <w:szCs w:val="18"/>
        </w:rPr>
      </w:pPr>
      <w:bookmarkStart w:id="1632" w:name="bookmark1632"/>
      <w:bookmarkStart w:id="1633" w:name="bookmark1633"/>
      <w:bookmarkStart w:id="1634" w:name="bookmark1634"/>
      <w:r>
        <w:rPr>
          <w:color w:val="000000"/>
          <w:spacing w:val="0"/>
          <w:w w:val="100"/>
          <w:position w:val="0"/>
          <w:sz w:val="18"/>
          <w:szCs w:val="18"/>
        </w:rPr>
        <w:t>公司不存在需要披露的重要或有事项。</w:t>
      </w:r>
      <w:bookmarkEnd w:id="1632"/>
      <w:bookmarkEnd w:id="1633"/>
      <w:bookmarkEnd w:id="1634"/>
    </w:p>
    <w:p>
      <w:pPr>
        <w:pStyle w:val="Style29"/>
        <w:keepNext/>
        <w:keepLines/>
        <w:widowControl w:val="0"/>
        <w:shd w:val="clear" w:color="auto" w:fill="auto"/>
        <w:bidi w:val="0"/>
        <w:spacing w:before="0" w:after="300" w:line="240" w:lineRule="auto"/>
        <w:ind w:left="0" w:right="0" w:firstLine="0"/>
        <w:jc w:val="both"/>
      </w:pPr>
      <w:bookmarkStart w:id="1635" w:name="bookmark1635"/>
      <w:bookmarkStart w:id="1636" w:name="bookmark1636"/>
      <w:bookmarkStart w:id="1637" w:name="bookmark1637"/>
      <w:r>
        <w:rPr>
          <w:color w:val="000000"/>
          <w:spacing w:val="0"/>
          <w:w w:val="100"/>
          <w:position w:val="0"/>
          <w:sz w:val="24"/>
          <w:szCs w:val="24"/>
        </w:rPr>
        <w:t>十四、资产负债表日后事项</w:t>
      </w:r>
      <w:bookmarkEnd w:id="1635"/>
      <w:bookmarkEnd w:id="1636"/>
      <w:bookmarkEnd w:id="1637"/>
    </w:p>
    <w:p>
      <w:pPr>
        <w:pStyle w:val="Style36"/>
        <w:keepNext/>
        <w:keepLines/>
        <w:widowControl w:val="0"/>
        <w:shd w:val="clear" w:color="auto" w:fill="auto"/>
        <w:tabs>
          <w:tab w:pos="368" w:val="left"/>
        </w:tabs>
        <w:bidi w:val="0"/>
        <w:spacing w:before="0" w:after="200" w:line="324"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bookmarkEnd w:id="1640"/>
      <w:r>
        <w:rPr>
          <w:color w:val="000000"/>
          <w:spacing w:val="0"/>
          <w:w w:val="100"/>
          <w:position w:val="0"/>
        </w:rPr>
        <w:t>、</w:t>
        <w:tab/>
        <w:t>重要的非调整事项</w:t>
      </w:r>
      <w:bookmarkEnd w:id="1638"/>
      <w:bookmarkEnd w:id="1639"/>
      <w:bookmarkEnd w:id="1641"/>
    </w:p>
    <w:p>
      <w:pPr>
        <w:pStyle w:val="Style4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不适用</w:t>
      </w:r>
    </w:p>
    <w:p>
      <w:pPr>
        <w:pStyle w:val="Style36"/>
        <w:keepNext/>
        <w:keepLines/>
        <w:widowControl w:val="0"/>
        <w:shd w:val="clear" w:color="auto" w:fill="auto"/>
        <w:tabs>
          <w:tab w:pos="378" w:val="left"/>
        </w:tabs>
        <w:bidi w:val="0"/>
        <w:spacing w:before="0" w:after="300" w:line="324"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利润分配情况</w:t>
      </w:r>
      <w:bookmarkEnd w:id="1642"/>
      <w:bookmarkEnd w:id="1643"/>
      <w:bookmarkEnd w:id="164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378" w:val="left"/>
        </w:tabs>
        <w:bidi w:val="0"/>
        <w:spacing w:before="0" w:after="300" w:line="324"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销售退回</w:t>
      </w:r>
      <w:bookmarkEnd w:id="1646"/>
      <w:bookmarkEnd w:id="1647"/>
      <w:bookmarkEnd w:id="1649"/>
    </w:p>
    <w:p>
      <w:pPr>
        <w:pStyle w:val="Style31"/>
        <w:keepNext w:val="0"/>
        <w:keepLines w:val="0"/>
        <w:widowControl w:val="0"/>
        <w:shd w:val="clear" w:color="auto" w:fill="auto"/>
        <w:bidi w:val="0"/>
        <w:spacing w:before="0" w:after="320" w:line="240" w:lineRule="auto"/>
        <w:ind w:left="0" w:right="0" w:firstLine="0"/>
        <w:jc w:val="both"/>
        <w:sectPr>
          <w:headerReference w:type="default" r:id="rId37"/>
          <w:footerReference w:type="default" r:id="rId38"/>
          <w:headerReference w:type="first" r:id="rId39"/>
          <w:footerReference w:type="first" r:id="rId40"/>
          <w:footnotePr>
            <w:pos w:val="pageBottom"/>
            <w:numFmt w:val="decimal"/>
            <w:numRestart w:val="continuous"/>
          </w:footnotePr>
          <w:pgSz w:w="11900" w:h="16840"/>
          <w:pgMar w:top="1243" w:right="570" w:bottom="1438" w:left="569" w:header="0" w:footer="3" w:gutter="0"/>
          <w:cols w:space="720"/>
          <w:noEndnote/>
          <w:titlePg/>
          <w:rtlGutter w:val="0"/>
          <w:docGrid w:linePitch="360"/>
        </w:sectPr>
      </w:pPr>
      <w:r>
        <w:rPr>
          <w:color w:val="000000"/>
          <w:spacing w:val="0"/>
          <w:w w:val="100"/>
          <w:position w:val="0"/>
        </w:rPr>
        <w:t>不适用</w:t>
      </w:r>
    </w:p>
    <w:p>
      <w:pPr>
        <w:pStyle w:val="Style36"/>
        <w:keepNext/>
        <w:keepLines/>
        <w:widowControl w:val="0"/>
        <w:shd w:val="clear" w:color="auto" w:fill="auto"/>
        <w:bidi w:val="0"/>
        <w:spacing w:before="0" w:after="22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color w:val="000000"/>
          <w:spacing w:val="0"/>
          <w:w w:val="100"/>
          <w:position w:val="0"/>
        </w:rPr>
        <w:t>、其他资产负债表日后事项说明</w:t>
      </w:r>
      <w:bookmarkEnd w:id="1650"/>
      <w:bookmarkEnd w:id="1651"/>
      <w:bookmarkEnd w:id="1653"/>
    </w:p>
    <w:p>
      <w:pPr>
        <w:pStyle w:val="Style36"/>
        <w:keepNext/>
        <w:keepLines/>
        <w:widowControl w:val="0"/>
        <w:shd w:val="clear" w:color="auto" w:fill="auto"/>
        <w:bidi w:val="0"/>
        <w:spacing w:before="0" w:after="0" w:line="468" w:lineRule="exact"/>
        <w:ind w:left="0" w:right="0" w:firstLine="0"/>
        <w:jc w:val="both"/>
      </w:pPr>
      <w:bookmarkStart w:id="1654" w:name="bookmark1654"/>
      <w:bookmarkStart w:id="1655" w:name="bookmark1655"/>
      <w:bookmarkStart w:id="1656" w:name="bookmark1656"/>
      <w:r>
        <w:rPr>
          <w:color w:val="000000"/>
          <w:spacing w:val="0"/>
          <w:w w:val="100"/>
          <w:position w:val="0"/>
        </w:rPr>
        <w:t>长期借款展期</w:t>
      </w:r>
      <w:bookmarkEnd w:id="1654"/>
      <w:bookmarkEnd w:id="1655"/>
      <w:bookmarkEnd w:id="1656"/>
    </w:p>
    <w:p>
      <w:pPr>
        <w:pStyle w:val="Style120"/>
        <w:keepNext w:val="0"/>
        <w:keepLines w:val="0"/>
        <w:widowControl w:val="0"/>
        <w:shd w:val="clear" w:color="auto" w:fill="auto"/>
        <w:bidi w:val="0"/>
        <w:spacing w:before="0" w:after="0" w:line="468" w:lineRule="exact"/>
        <w:ind w:left="0" w:right="0" w:firstLine="440"/>
        <w:jc w:val="both"/>
      </w:pPr>
      <w:bookmarkStart w:id="1657" w:name="bookmark1657"/>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日，公司子公司</w:t>
      </w:r>
      <w:r>
        <w:rPr>
          <w:color w:val="000000"/>
          <w:spacing w:val="0"/>
          <w:w w:val="100"/>
          <w:position w:val="0"/>
        </w:rPr>
        <w:t>United Luck Group Holdings Limited</w:t>
      </w:r>
      <w:r>
        <w:rPr>
          <w:rFonts w:ascii="SimSun" w:eastAsia="SimSun" w:hAnsi="SimSun" w:cs="SimSun"/>
          <w:color w:val="000000"/>
          <w:spacing w:val="0"/>
          <w:w w:val="100"/>
          <w:position w:val="0"/>
        </w:rPr>
        <w:t>向中信银行</w:t>
      </w:r>
      <w:r>
        <w:rPr>
          <w:color w:val="000000"/>
          <w:spacing w:val="0"/>
          <w:w w:val="100"/>
          <w:position w:val="0"/>
        </w:rPr>
        <w:t>（</w:t>
      </w:r>
      <w:r>
        <w:rPr>
          <w:rFonts w:ascii="SimSun" w:eastAsia="SimSun" w:hAnsi="SimSun" w:cs="SimSun"/>
          <w:color w:val="000000"/>
          <w:spacing w:val="0"/>
          <w:w w:val="100"/>
          <w:position w:val="0"/>
        </w:rPr>
        <w:t>国际</w:t>
      </w:r>
      <w:r>
        <w:rPr>
          <w:color w:val="000000"/>
          <w:spacing w:val="0"/>
          <w:w w:val="100"/>
          <w:position w:val="0"/>
        </w:rPr>
        <w:t>）</w:t>
      </w:r>
      <w:r>
        <w:rPr>
          <w:rFonts w:ascii="SimSun" w:eastAsia="SimSun" w:hAnsi="SimSun" w:cs="SimSun"/>
          <w:color w:val="000000"/>
          <w:spacing w:val="0"/>
          <w:w w:val="100"/>
          <w:position w:val="0"/>
        </w:rPr>
        <w:t>有限公司 借入的美元借款本金余额为</w:t>
      </w:r>
      <w:r>
        <w:rPr>
          <w:color w:val="000000"/>
          <w:spacing w:val="0"/>
          <w:w w:val="100"/>
          <w:position w:val="0"/>
        </w:rPr>
        <w:t>23,980.00</w:t>
      </w:r>
      <w:r>
        <w:rPr>
          <w:rFonts w:ascii="SimSun" w:eastAsia="SimSun" w:hAnsi="SimSun" w:cs="SimSun"/>
          <w:color w:val="000000"/>
          <w:spacing w:val="0"/>
          <w:w w:val="100"/>
          <w:position w:val="0"/>
        </w:rPr>
        <w:t>万美元（折合人民币</w:t>
      </w:r>
      <w:r>
        <w:rPr>
          <w:color w:val="000000"/>
          <w:spacing w:val="0"/>
          <w:w w:val="100"/>
          <w:position w:val="0"/>
        </w:rPr>
        <w:t>1,564,671,020.00</w:t>
      </w:r>
      <w:r>
        <w:rPr>
          <w:rFonts w:ascii="SimSun" w:eastAsia="SimSun" w:hAnsi="SimSun" w:cs="SimSun"/>
          <w:color w:val="000000"/>
          <w:spacing w:val="0"/>
          <w:w w:val="100"/>
          <w:position w:val="0"/>
        </w:rPr>
        <w:t>元），原到期日为</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日，可在到期前申请展期，已于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日签订了展期合同，到期日延长至</w:t>
      </w: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日。公司分别于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日归还</w:t>
      </w:r>
      <w:r>
        <w:rPr>
          <w:color w:val="000000"/>
          <w:spacing w:val="0"/>
          <w:w w:val="100"/>
          <w:position w:val="0"/>
        </w:rPr>
        <w:t>2,150.00</w:t>
      </w:r>
      <w:r>
        <w:rPr>
          <w:rFonts w:ascii="SimSun" w:eastAsia="SimSun" w:hAnsi="SimSun" w:cs="SimSun"/>
          <w:color w:val="000000"/>
          <w:spacing w:val="0"/>
          <w:w w:val="100"/>
          <w:position w:val="0"/>
        </w:rPr>
        <w:t>万美元、</w:t>
      </w:r>
      <w:r>
        <w:rPr>
          <w:color w:val="000000"/>
          <w:spacing w:val="0"/>
          <w:w w:val="100"/>
          <w:position w:val="0"/>
        </w:rPr>
        <w:t>1,830.00</w:t>
      </w:r>
      <w:r>
        <w:rPr>
          <w:rFonts w:ascii="SimSun" w:eastAsia="SimSun" w:hAnsi="SimSun" w:cs="SimSun"/>
          <w:color w:val="000000"/>
          <w:spacing w:val="0"/>
          <w:w w:val="100"/>
          <w:position w:val="0"/>
        </w:rPr>
        <w:t>万美元，截至</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日，该笔美元借款本金余额为</w:t>
      </w:r>
      <w:r>
        <w:rPr>
          <w:color w:val="000000"/>
          <w:spacing w:val="0"/>
          <w:w w:val="100"/>
          <w:position w:val="0"/>
        </w:rPr>
        <w:t>20,000.00</w:t>
      </w:r>
      <w:r>
        <w:rPr>
          <w:rFonts w:ascii="SimSun" w:eastAsia="SimSun" w:hAnsi="SimSun" w:cs="SimSun"/>
          <w:color w:val="000000"/>
          <w:spacing w:val="0"/>
          <w:w w:val="100"/>
          <w:position w:val="0"/>
        </w:rPr>
        <w:t>万美元。</w:t>
      </w:r>
      <w:bookmarkEnd w:id="1657"/>
    </w:p>
    <w:p>
      <w:pPr>
        <w:pStyle w:val="Style36"/>
        <w:keepNext/>
        <w:keepLines/>
        <w:widowControl w:val="0"/>
        <w:shd w:val="clear" w:color="auto" w:fill="auto"/>
        <w:bidi w:val="0"/>
        <w:spacing w:before="0" w:after="0" w:line="468" w:lineRule="exact"/>
        <w:ind w:left="0" w:right="0" w:firstLine="0"/>
        <w:jc w:val="both"/>
      </w:pPr>
      <w:bookmarkStart w:id="1658" w:name="bookmark1658"/>
      <w:bookmarkStart w:id="1659" w:name="bookmark1659"/>
      <w:bookmarkStart w:id="1660" w:name="bookmark1660"/>
      <w:r>
        <w:rPr>
          <w:color w:val="000000"/>
          <w:spacing w:val="0"/>
          <w:w w:val="100"/>
          <w:position w:val="0"/>
        </w:rPr>
        <w:t>重大合同</w:t>
      </w:r>
      <w:bookmarkEnd w:id="1658"/>
      <w:bookmarkEnd w:id="1659"/>
      <w:bookmarkEnd w:id="1660"/>
    </w:p>
    <w:p>
      <w:pPr>
        <w:pStyle w:val="Style40"/>
        <w:keepNext w:val="0"/>
        <w:keepLines w:val="0"/>
        <w:widowControl w:val="0"/>
        <w:shd w:val="clear" w:color="auto" w:fill="auto"/>
        <w:bidi w:val="0"/>
        <w:spacing w:before="0" w:after="420" w:line="467" w:lineRule="exact"/>
        <w:ind w:left="0" w:right="0" w:firstLine="440"/>
        <w:jc w:val="both"/>
      </w:pPr>
      <w:bookmarkStart w:id="1661" w:name="bookmark1661"/>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日，子公司浙江金科汤姆猫网络科技有限公司与联营企业广东汤姆猫产业发展有限公 司签署《主题乐园授权许可使用协议》，将“会说话的汤姆猫家族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授权给广东汤姆猫产业发展有限公 司用于开发、建造、设立、运营大型主题乐园（包含但不限于与主题乐园相关的业态如酒店、商场、线上 线下零售商店），并进行品牌推广的权利；授权性质为非独家授权，无转授权；授权期限为自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日止，每年授权费用为人民币</w:t>
      </w:r>
      <w:r>
        <w:rPr>
          <w:rFonts w:ascii="Times New Roman" w:eastAsia="Times New Roman" w:hAnsi="Times New Roman" w:cs="Times New Roman"/>
          <w:color w:val="000000"/>
          <w:spacing w:val="0"/>
          <w:w w:val="100"/>
          <w:position w:val="0"/>
        </w:rPr>
        <w:t>6,000.00</w:t>
      </w:r>
      <w:r>
        <w:rPr>
          <w:color w:val="000000"/>
          <w:spacing w:val="0"/>
          <w:w w:val="100"/>
          <w:position w:val="0"/>
        </w:rPr>
        <w:t>万元，已于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日收取第一年 授权费用</w:t>
      </w:r>
      <w:r>
        <w:rPr>
          <w:rFonts w:ascii="Times New Roman" w:eastAsia="Times New Roman" w:hAnsi="Times New Roman" w:cs="Times New Roman"/>
          <w:color w:val="000000"/>
          <w:spacing w:val="0"/>
          <w:w w:val="100"/>
          <w:position w:val="0"/>
        </w:rPr>
        <w:t>6,000.00</w:t>
      </w:r>
      <w:r>
        <w:rPr>
          <w:color w:val="000000"/>
          <w:spacing w:val="0"/>
          <w:w w:val="100"/>
          <w:position w:val="0"/>
        </w:rPr>
        <w:t>万元。</w:t>
      </w:r>
      <w:bookmarkEnd w:id="1661"/>
    </w:p>
    <w:p>
      <w:pPr>
        <w:pStyle w:val="Style29"/>
        <w:keepNext/>
        <w:keepLines/>
        <w:widowControl w:val="0"/>
        <w:shd w:val="clear" w:color="auto" w:fill="auto"/>
        <w:bidi w:val="0"/>
        <w:spacing w:before="0" w:after="340" w:line="240" w:lineRule="auto"/>
        <w:ind w:left="0" w:right="0" w:firstLine="0"/>
        <w:jc w:val="both"/>
      </w:pPr>
      <w:bookmarkStart w:id="1662" w:name="bookmark1662"/>
      <w:bookmarkStart w:id="1663" w:name="bookmark1663"/>
      <w:bookmarkStart w:id="1664" w:name="bookmark1664"/>
      <w:r>
        <w:rPr>
          <w:color w:val="000000"/>
          <w:spacing w:val="0"/>
          <w:w w:val="100"/>
          <w:position w:val="0"/>
          <w:sz w:val="24"/>
          <w:szCs w:val="24"/>
        </w:rPr>
        <w:t>十五、其他重要事项</w:t>
      </w:r>
      <w:bookmarkEnd w:id="1662"/>
      <w:bookmarkEnd w:id="1663"/>
      <w:bookmarkEnd w:id="1664"/>
    </w:p>
    <w:p>
      <w:pPr>
        <w:pStyle w:val="Style36"/>
        <w:keepNext/>
        <w:keepLines/>
        <w:widowControl w:val="0"/>
        <w:shd w:val="clear" w:color="auto" w:fill="auto"/>
        <w:bidi w:val="0"/>
        <w:spacing w:before="0" w:after="340" w:line="240" w:lineRule="auto"/>
        <w:ind w:left="0" w:right="0" w:firstLine="0"/>
        <w:jc w:val="both"/>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665"/>
      <w:bookmarkEnd w:id="1666"/>
      <w:bookmarkEnd w:id="1667"/>
    </w:p>
    <w:p>
      <w:pPr>
        <w:pStyle w:val="Style114"/>
        <w:keepNext/>
        <w:keepLines/>
        <w:widowControl w:val="0"/>
        <w:shd w:val="clear" w:color="auto" w:fill="auto"/>
        <w:bidi w:val="0"/>
        <w:spacing w:before="0" w:after="340" w:line="240" w:lineRule="auto"/>
        <w:ind w:left="0" w:right="0" w:firstLine="0"/>
        <w:jc w:val="both"/>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668"/>
      <w:bookmarkEnd w:id="1669"/>
      <w:bookmarkEnd w:id="16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64,869,874.46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-3,671,879.68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-68,693,466.36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-69,257,954.65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34,247,770.13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-13,442,012.82</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事项调整</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15,513,206.98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8,679,244.72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-37,298,607.58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-42,841,513.04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-61,197,994.78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公允价值变动收益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2,288,423.06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-106,327,930.88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-42,841,513.04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-42,841,513.04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归属于母公司股东的净利润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-42,841,513.04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其他权益工具投资公允价值 变动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-37,298,607.58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-80,140,120.62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年度审计报告保留意见 事项调整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归属于母公司所有者的综合 收益总额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-80,140,120.62</w:t>
            </w:r>
          </w:p>
        </w:tc>
      </w:tr>
    </w:tbl>
    <w:p>
      <w:pPr>
        <w:sectPr>
          <w:footnotePr>
            <w:pos w:val="pageBottom"/>
            <w:numFmt w:val="decimal"/>
            <w:numRestart w:val="continuous"/>
          </w:footnotePr>
          <w:pgSz w:w="11900" w:h="16840"/>
          <w:pgMar w:top="1441" w:right="1117" w:bottom="1518" w:left="1088" w:header="0" w:footer="3" w:gutter="0"/>
          <w:cols w:space="720"/>
          <w:noEndnote/>
          <w:rtlGutter w:val="0"/>
          <w:docGrid w:linePitch="360"/>
        </w:sectPr>
      </w:pPr>
    </w:p>
    <w:p>
      <w:pPr>
        <w:pStyle w:val="Style36"/>
        <w:keepNext/>
        <w:keepLines/>
        <w:widowControl w:val="0"/>
        <w:shd w:val="clear" w:color="auto" w:fill="auto"/>
        <w:bidi w:val="0"/>
        <w:spacing w:before="0" w:after="20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671"/>
      <w:bookmarkEnd w:id="1672"/>
      <w:bookmarkEnd w:id="1673"/>
    </w:p>
    <w:p>
      <w:pPr>
        <w:pStyle w:val="Style36"/>
        <w:keepNext/>
        <w:keepLines/>
        <w:widowControl w:val="0"/>
        <w:shd w:val="clear" w:color="auto" w:fill="auto"/>
        <w:bidi w:val="0"/>
        <w:spacing w:before="0" w:after="0" w:line="469" w:lineRule="exact"/>
        <w:ind w:left="0" w:right="0" w:firstLine="440"/>
        <w:jc w:val="both"/>
      </w:pPr>
      <w:bookmarkStart w:id="1674" w:name="bookmark1674"/>
      <w:bookmarkStart w:id="1675" w:name="bookmark1675"/>
      <w:bookmarkStart w:id="1676" w:name="bookmark1676"/>
      <w:r>
        <w:rPr>
          <w:b w:val="0"/>
          <w:bCs w:val="0"/>
          <w:color w:val="000000"/>
          <w:spacing w:val="0"/>
          <w:w w:val="100"/>
          <w:position w:val="0"/>
        </w:rPr>
        <w:t>股东股份质押</w:t>
      </w:r>
      <w:bookmarkEnd w:id="1674"/>
      <w:bookmarkEnd w:id="1675"/>
      <w:bookmarkEnd w:id="1676"/>
    </w:p>
    <w:p>
      <w:pPr>
        <w:pStyle w:val="Style40"/>
        <w:keepNext w:val="0"/>
        <w:keepLines w:val="0"/>
        <w:widowControl w:val="0"/>
        <w:shd w:val="clear" w:color="auto" w:fill="auto"/>
        <w:bidi w:val="0"/>
        <w:spacing w:before="0" w:after="0" w:line="469" w:lineRule="exact"/>
        <w:ind w:left="0" w:right="0" w:firstLine="440"/>
        <w:jc w:val="left"/>
      </w:pPr>
      <w:bookmarkStart w:id="1677" w:name="bookmark1677"/>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日，公司股东金科控股集团有限公司持有公司股份数量为</w:t>
      </w:r>
      <w:r>
        <w:rPr>
          <w:rFonts w:ascii="Times New Roman" w:eastAsia="Times New Roman" w:hAnsi="Times New Roman" w:cs="Times New Roman"/>
          <w:color w:val="000000"/>
          <w:spacing w:val="0"/>
          <w:w w:val="100"/>
          <w:position w:val="0"/>
        </w:rPr>
        <w:t>515,475,460</w:t>
      </w:r>
      <w:r>
        <w:rPr>
          <w:color w:val="000000"/>
          <w:spacing w:val="0"/>
          <w:w w:val="100"/>
          <w:position w:val="0"/>
        </w:rPr>
        <w:t>股，占公 司总股本的</w:t>
      </w:r>
      <w:r>
        <w:rPr>
          <w:rFonts w:ascii="Times New Roman" w:eastAsia="Times New Roman" w:hAnsi="Times New Roman" w:cs="Times New Roman"/>
          <w:color w:val="000000"/>
          <w:spacing w:val="0"/>
          <w:w w:val="100"/>
          <w:position w:val="0"/>
        </w:rPr>
        <w:t>14.66%</w:t>
      </w:r>
      <w:r>
        <w:rPr>
          <w:color w:val="000000"/>
          <w:spacing w:val="0"/>
          <w:w w:val="100"/>
          <w:position w:val="0"/>
        </w:rPr>
        <w:t>。其所持有上市公司股份累计被质押的数量为</w:t>
      </w:r>
      <w:r>
        <w:rPr>
          <w:rFonts w:ascii="Times New Roman" w:eastAsia="Times New Roman" w:hAnsi="Times New Roman" w:cs="Times New Roman"/>
          <w:color w:val="000000"/>
          <w:spacing w:val="0"/>
          <w:w w:val="100"/>
          <w:position w:val="0"/>
        </w:rPr>
        <w:t>513,223,848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14.60%</w:t>
      </w:r>
      <w:r>
        <w:rPr>
          <w:color w:val="000000"/>
          <w:spacing w:val="0"/>
          <w:w w:val="100"/>
          <w:position w:val="0"/>
        </w:rPr>
        <w:t>， 占其所持有股份的</w:t>
      </w:r>
      <w:r>
        <w:rPr>
          <w:rFonts w:ascii="Times New Roman" w:eastAsia="Times New Roman" w:hAnsi="Times New Roman" w:cs="Times New Roman"/>
          <w:color w:val="000000"/>
          <w:spacing w:val="0"/>
          <w:w w:val="100"/>
          <w:position w:val="0"/>
        </w:rPr>
        <w:t>99.563%</w:t>
      </w:r>
      <w:r>
        <w:rPr>
          <w:color w:val="000000"/>
          <w:spacing w:val="0"/>
          <w:w w:val="100"/>
          <w:position w:val="0"/>
        </w:rPr>
        <w:t>。</w:t>
      </w:r>
      <w:bookmarkEnd w:id="1677"/>
    </w:p>
    <w:p>
      <w:pPr>
        <w:pStyle w:val="Style40"/>
        <w:keepNext w:val="0"/>
        <w:keepLines w:val="0"/>
        <w:widowControl w:val="0"/>
        <w:shd w:val="clear" w:color="auto" w:fill="auto"/>
        <w:bidi w:val="0"/>
        <w:spacing w:before="0" w:after="0" w:line="469" w:lineRule="exact"/>
        <w:ind w:left="0" w:right="0" w:firstLine="440"/>
        <w:jc w:val="left"/>
      </w:pPr>
      <w:bookmarkStart w:id="1678" w:name="bookmark1678"/>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日，公司股东王健持有公司股份数量为</w:t>
      </w:r>
      <w:r>
        <w:rPr>
          <w:rFonts w:ascii="Times New Roman" w:eastAsia="Times New Roman" w:hAnsi="Times New Roman" w:cs="Times New Roman"/>
          <w:color w:val="000000"/>
          <w:spacing w:val="0"/>
          <w:w w:val="100"/>
          <w:position w:val="0"/>
        </w:rPr>
        <w:t>393,509,499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11.19%</w:t>
      </w:r>
      <w:r>
        <w:rPr>
          <w:color w:val="000000"/>
          <w:spacing w:val="0"/>
          <w:w w:val="100"/>
          <w:position w:val="0"/>
        </w:rPr>
        <w:t>。 其所持有上市公司股份累计被质押的数量为</w:t>
      </w:r>
      <w:r>
        <w:rPr>
          <w:rFonts w:ascii="Times New Roman" w:eastAsia="Times New Roman" w:hAnsi="Times New Roman" w:cs="Times New Roman"/>
          <w:color w:val="000000"/>
          <w:spacing w:val="0"/>
          <w:w w:val="100"/>
          <w:position w:val="0"/>
        </w:rPr>
        <w:t>393,498,978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11.19%</w:t>
      </w:r>
      <w:r>
        <w:rPr>
          <w:color w:val="000000"/>
          <w:spacing w:val="0"/>
          <w:w w:val="100"/>
          <w:position w:val="0"/>
        </w:rPr>
        <w:t xml:space="preserve">,占其所持有股份的 </w:t>
      </w:r>
      <w:r>
        <w:rPr>
          <w:rFonts w:ascii="Times New Roman" w:eastAsia="Times New Roman" w:hAnsi="Times New Roman" w:cs="Times New Roman"/>
          <w:color w:val="000000"/>
          <w:spacing w:val="0"/>
          <w:w w:val="100"/>
          <w:position w:val="0"/>
        </w:rPr>
        <w:t>99.997%</w:t>
      </w:r>
      <w:r>
        <w:rPr>
          <w:color w:val="000000"/>
          <w:spacing w:val="0"/>
          <w:w w:val="100"/>
          <w:position w:val="0"/>
        </w:rPr>
        <w:t>。</w:t>
      </w:r>
      <w:bookmarkEnd w:id="1678"/>
    </w:p>
    <w:p>
      <w:pPr>
        <w:pStyle w:val="Style40"/>
        <w:keepNext w:val="0"/>
        <w:keepLines w:val="0"/>
        <w:widowControl w:val="0"/>
        <w:shd w:val="clear" w:color="auto" w:fill="auto"/>
        <w:bidi w:val="0"/>
        <w:spacing w:before="0" w:after="420" w:line="469" w:lineRule="exact"/>
        <w:ind w:left="0" w:right="0" w:firstLine="440"/>
        <w:jc w:val="left"/>
      </w:pPr>
      <w:bookmarkStart w:id="1679" w:name="bookmark1679"/>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日，公司股东朱志刚持有公司股份数量为</w:t>
      </w:r>
      <w:r>
        <w:rPr>
          <w:rFonts w:ascii="Times New Roman" w:eastAsia="Times New Roman" w:hAnsi="Times New Roman" w:cs="Times New Roman"/>
          <w:color w:val="000000"/>
          <w:spacing w:val="0"/>
          <w:w w:val="100"/>
          <w:position w:val="0"/>
        </w:rPr>
        <w:t>381,021,407</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10.84%</w:t>
      </w:r>
      <w:r>
        <w:rPr>
          <w:color w:val="000000"/>
          <w:spacing w:val="0"/>
          <w:w w:val="100"/>
          <w:position w:val="0"/>
        </w:rPr>
        <w:t>。 其所持有上市公司股份累计被质押的数量为</w:t>
      </w:r>
      <w:r>
        <w:rPr>
          <w:rFonts w:ascii="Times New Roman" w:eastAsia="Times New Roman" w:hAnsi="Times New Roman" w:cs="Times New Roman"/>
          <w:color w:val="000000"/>
          <w:spacing w:val="0"/>
          <w:w w:val="100"/>
          <w:position w:val="0"/>
        </w:rPr>
        <w:t>366,802,615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10.43%</w:t>
      </w:r>
      <w:r>
        <w:rPr>
          <w:color w:val="000000"/>
          <w:spacing w:val="0"/>
          <w:w w:val="100"/>
          <w:position w:val="0"/>
        </w:rPr>
        <w:t xml:space="preserve">，占其所持有股份的 </w:t>
      </w:r>
      <w:r>
        <w:rPr>
          <w:rFonts w:ascii="Times New Roman" w:eastAsia="Times New Roman" w:hAnsi="Times New Roman" w:cs="Times New Roman"/>
          <w:color w:val="000000"/>
          <w:spacing w:val="0"/>
          <w:w w:val="100"/>
          <w:position w:val="0"/>
        </w:rPr>
        <w:t>96.268%</w:t>
      </w:r>
      <w:r>
        <w:rPr>
          <w:color w:val="000000"/>
          <w:spacing w:val="0"/>
          <w:w w:val="100"/>
          <w:position w:val="0"/>
        </w:rPr>
        <w:t>。</w:t>
      </w:r>
      <w:bookmarkEnd w:id="1679"/>
    </w:p>
    <w:p>
      <w:pPr>
        <w:pStyle w:val="Style36"/>
        <w:keepNext/>
        <w:keepLines/>
        <w:widowControl w:val="0"/>
        <w:shd w:val="clear" w:color="auto" w:fill="auto"/>
        <w:bidi w:val="0"/>
        <w:spacing w:before="0" w:after="80" w:line="48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3</w:t>
      </w:r>
      <w:bookmarkEnd w:id="1682"/>
      <w:r>
        <w:rPr>
          <w:color w:val="000000"/>
          <w:spacing w:val="0"/>
          <w:w w:val="100"/>
          <w:position w:val="0"/>
        </w:rPr>
        <w:t>、其他</w:t>
      </w:r>
      <w:bookmarkEnd w:id="1680"/>
      <w:bookmarkEnd w:id="1681"/>
      <w:bookmarkEnd w:id="1683"/>
    </w:p>
    <w:p>
      <w:pPr>
        <w:pStyle w:val="Style29"/>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color w:val="000000"/>
          <w:spacing w:val="0"/>
          <w:w w:val="100"/>
          <w:position w:val="0"/>
          <w:sz w:val="24"/>
          <w:szCs w:val="24"/>
        </w:rPr>
        <w:t>十六、母公司财务报表主要项目注释</w:t>
      </w:r>
      <w:bookmarkEnd w:id="1684"/>
      <w:bookmarkEnd w:id="1685"/>
      <w:bookmarkEnd w:id="1686"/>
    </w:p>
    <w:p>
      <w:pPr>
        <w:pStyle w:val="Style36"/>
        <w:keepNext/>
        <w:keepLines/>
        <w:widowControl w:val="0"/>
        <w:shd w:val="clear" w:color="auto" w:fill="auto"/>
        <w:bidi w:val="0"/>
        <w:spacing w:before="0" w:after="0" w:line="48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87"/>
      <w:bookmarkEnd w:id="1688"/>
      <w:bookmarkEnd w:id="1689"/>
    </w:p>
    <w:p>
      <w:pPr>
        <w:pStyle w:val="Style114"/>
        <w:keepNext/>
        <w:keepLines/>
        <w:widowControl w:val="0"/>
        <w:shd w:val="clear" w:color="auto" w:fill="auto"/>
        <w:bidi w:val="0"/>
        <w:spacing w:before="0" w:line="469" w:lineRule="exact"/>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90"/>
      <w:bookmarkEnd w:id="1691"/>
      <w:bookmarkEnd w:id="16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38,903,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3,539,49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3,326,34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按账龄组合计提 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3,326,34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6,865,84</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737.93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906.53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8.58</w:t>
            </w:r>
          </w:p>
        </w:tc>
      </w:tr>
    </w:tbl>
    <w:p>
      <w:pPr>
        <w:spacing w:lineRule="exact" w:line="1"/>
        <w:rPr>
          <w:sz w:val="2"/>
          <w:szCs w:val="2"/>
        </w:rPr>
      </w:pPr>
      <w:r>
        <w:br w:type="page"/>
      </w:r>
    </w:p>
    <w:p>
      <w:pPr>
        <w:pStyle w:val="Style1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按单项计提坏账准备：</w:t>
      </w:r>
      <w:r>
        <w:rPr>
          <w:color w:val="000000"/>
          <w:spacing w:val="0"/>
          <w:w w:val="100"/>
          <w:position w:val="0"/>
        </w:rPr>
        <w:t>31,855,498.89</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广州小朋网络科技有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35,394,998.76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31,855,498.89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对方公司可追偿资产 较少，预计收回金额 较小</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35,394,998.76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31,855,498.89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36.96</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739.17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35,394,998.76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35,395,737.93</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14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93"/>
      <w:bookmarkEnd w:id="1694"/>
      <w:bookmarkEnd w:id="169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应收账款坏帐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39,079,057.95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39,079,057.95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-634,812.33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6,588,709.77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31,855,535.85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39,079,057.95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39,079,057.95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-634,812.33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6,588,709.77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31,855,535.85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339" w:line="1" w:lineRule="exact"/>
      </w:pPr>
    </w:p>
    <w:p>
      <w:pPr>
        <w:pStyle w:val="Style114"/>
        <w:keepNext/>
        <w:keepLines/>
        <w:widowControl w:val="0"/>
        <w:numPr>
          <w:ilvl w:val="0"/>
          <w:numId w:val="65"/>
        </w:numPr>
        <w:shd w:val="clear" w:color="auto" w:fill="auto"/>
        <w:bidi w:val="0"/>
        <w:spacing w:before="0" w:after="340" w:line="240" w:lineRule="auto"/>
        <w:ind w:left="0" w:right="0" w:firstLine="14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本期实际核销的应收账款情况</w:t>
      </w:r>
      <w:bookmarkEnd w:id="1696"/>
      <w:bookmarkEnd w:id="1697"/>
      <w:bookmarkEnd w:id="16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6,588,709.77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其中重要的应收账款核销情况：无。</w:t>
      </w:r>
    </w:p>
    <w:p>
      <w:pPr>
        <w:widowControl w:val="0"/>
        <w:spacing w:after="339" w:line="1" w:lineRule="exact"/>
      </w:pPr>
    </w:p>
    <w:p>
      <w:pPr>
        <w:pStyle w:val="Style114"/>
        <w:keepNext/>
        <w:keepLines/>
        <w:widowControl w:val="0"/>
        <w:numPr>
          <w:ilvl w:val="0"/>
          <w:numId w:val="65"/>
        </w:numPr>
        <w:shd w:val="clear" w:color="auto" w:fill="auto"/>
        <w:bidi w:val="0"/>
        <w:spacing w:before="0" w:after="380" w:line="240" w:lineRule="auto"/>
        <w:ind w:left="0" w:right="0" w:firstLine="14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按欠款方归集的期末余额前五名的应收账款情况</w:t>
      </w:r>
      <w:bookmarkEnd w:id="1700"/>
      <w:bookmarkEnd w:id="1701"/>
      <w:bookmarkEnd w:id="17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广州小朋网络科技有限公司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35,394,998.76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31,855,498.89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中国移动通信集团河南有限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35,395,737.93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114"/>
        <w:keepNext/>
        <w:keepLines/>
        <w:widowControl w:val="0"/>
        <w:numPr>
          <w:ilvl w:val="0"/>
          <w:numId w:val="65"/>
        </w:numPr>
        <w:shd w:val="clear" w:color="auto" w:fill="auto"/>
        <w:bidi w:val="0"/>
        <w:spacing w:before="0" w:after="380" w:line="240" w:lineRule="auto"/>
        <w:ind w:left="0" w:right="0" w:firstLine="14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因金融资产转移而终止确认的应收账款</w:t>
      </w:r>
      <w:bookmarkEnd w:id="1704"/>
      <w:bookmarkEnd w:id="1705"/>
      <w:bookmarkEnd w:id="1707"/>
    </w:p>
    <w:p>
      <w:pPr>
        <w:pStyle w:val="Style114"/>
        <w:keepNext/>
        <w:keepLines/>
        <w:widowControl w:val="0"/>
        <w:shd w:val="clear" w:color="auto" w:fill="auto"/>
        <w:bidi w:val="0"/>
        <w:spacing w:before="0" w:after="340" w:line="240" w:lineRule="auto"/>
        <w:ind w:left="0" w:right="0" w:firstLine="0"/>
        <w:jc w:val="left"/>
      </w:pPr>
      <w:bookmarkStart w:id="1704" w:name="bookmark1704"/>
      <w:bookmarkStart w:id="1705" w:name="bookmark1705"/>
      <w:r>
        <w:rPr>
          <w:color w:val="000000"/>
          <w:spacing w:val="0"/>
          <w:w w:val="100"/>
          <w:position w:val="0"/>
        </w:rPr>
        <w:t>本期无因金融资产转移而终止确认的应收账款。</w:t>
      </w:r>
      <w:bookmarkEnd w:id="1704"/>
      <w:bookmarkEnd w:id="1705"/>
    </w:p>
    <w:p>
      <w:pPr>
        <w:pStyle w:val="Style114"/>
        <w:keepNext/>
        <w:keepLines/>
        <w:widowControl w:val="0"/>
        <w:numPr>
          <w:ilvl w:val="0"/>
          <w:numId w:val="65"/>
        </w:numPr>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转移应收账款且继续涉入形成的资产、负债金额</w:t>
      </w:r>
      <w:bookmarkEnd w:id="1708"/>
      <w:bookmarkEnd w:id="1709"/>
      <w:bookmarkEnd w:id="1711"/>
    </w:p>
    <w:p>
      <w:pPr>
        <w:pStyle w:val="Style4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本期无转移应收账款且继续涉入形成的资产、负债金额。</w:t>
      </w:r>
    </w:p>
    <w:p>
      <w:pPr>
        <w:pStyle w:val="Style36"/>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12"/>
      <w:bookmarkEnd w:id="1713"/>
      <w:bookmarkEnd w:id="171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153,982,813.69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1,799,447,770.73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153,982,813.69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1,799,447,770.73</w:t>
            </w:r>
          </w:p>
        </w:tc>
      </w:tr>
    </w:tbl>
    <w:p>
      <w:pPr>
        <w:spacing w:lineRule="exact" w:line="1"/>
        <w:rPr>
          <w:sz w:val="2"/>
          <w:szCs w:val="2"/>
        </w:rPr>
      </w:pPr>
      <w:r>
        <w:br w:type="page"/>
      </w:r>
    </w:p>
    <w:p>
      <w:pPr>
        <w:pStyle w:val="Style114"/>
        <w:keepNext/>
        <w:keepLines/>
        <w:widowControl w:val="0"/>
        <w:shd w:val="clear" w:color="auto" w:fill="auto"/>
        <w:bidi w:val="0"/>
        <w:spacing w:before="0" w:after="340" w:line="240" w:lineRule="auto"/>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15"/>
      <w:bookmarkEnd w:id="1716"/>
      <w:bookmarkEnd w:id="1717"/>
    </w:p>
    <w:p>
      <w:pPr>
        <w:pStyle w:val="Style148"/>
        <w:keepNext/>
        <w:keepLines/>
        <w:widowControl w:val="0"/>
        <w:shd w:val="clear" w:color="auto" w:fill="auto"/>
        <w:bidi w:val="0"/>
        <w:spacing w:before="0" w:after="34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18"/>
      <w:bookmarkEnd w:id="1719"/>
      <w:bookmarkEnd w:id="17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资金拆借款及利息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153,491,152.77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1,798,301,241.46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1,061,026.12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211,276.70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154,108,402.58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1,799,684,166.18</w:t>
            </w:r>
          </w:p>
        </w:tc>
      </w:tr>
    </w:tbl>
    <w:p>
      <w:pPr>
        <w:widowControl w:val="0"/>
        <w:spacing w:after="339" w:line="1" w:lineRule="exact"/>
      </w:pPr>
    </w:p>
    <w:p>
      <w:pPr>
        <w:pStyle w:val="Style148"/>
        <w:keepNext/>
        <w:keepLines/>
        <w:widowControl w:val="0"/>
        <w:shd w:val="clear" w:color="auto" w:fill="auto"/>
        <w:bidi w:val="0"/>
        <w:spacing w:before="0" w:after="340" w:line="240" w:lineRule="auto"/>
        <w:ind w:left="0" w:right="0" w:firstLine="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21"/>
      <w:bookmarkEnd w:id="1722"/>
      <w:bookmarkEnd w:id="17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178,845.97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236,395.45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57,549.48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-57,549.48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68,039.41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178,845.97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178,845.97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125,588.89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125,588.89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其他应收款项账面余额变动如下：</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1,798,512,518.16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575,494.79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596,153.23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1,799,684,166.18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575,494.79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本期新增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13,661,749.51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13,661,749.51</w:t>
            </w: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1,658,641,359.88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596,153.23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1,659,237,513.11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154,108,402.58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154,108,402.58</w:t>
            </w:r>
          </w:p>
        </w:tc>
      </w:tr>
    </w:tbl>
    <w:p>
      <w:pPr>
        <w:widowControl w:val="0"/>
        <w:spacing w:after="4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其他应收款项账面余额变动如下：</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51,128,068.04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102,627,636.40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352,698.14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154,108,402.58</w:t>
            </w:r>
          </w:p>
        </w:tc>
      </w:tr>
    </w:tbl>
    <w:p>
      <w:pPr>
        <w:widowControl w:val="0"/>
        <w:spacing w:after="299" w:line="1" w:lineRule="exact"/>
      </w:pPr>
    </w:p>
    <w:p>
      <w:pPr>
        <w:pStyle w:val="Style148"/>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3</w:t>
      </w:r>
      <w:bookmarkEnd w:id="1726"/>
      <w:r>
        <w:rPr>
          <w:color w:val="000000"/>
          <w:spacing w:val="0"/>
          <w:w w:val="100"/>
          <w:position w:val="0"/>
        </w:rPr>
        <w:t>）本期计提、收回或转回的坏账准备情况</w:t>
      </w:r>
      <w:bookmarkEnd w:id="1724"/>
      <w:bookmarkEnd w:id="1725"/>
      <w:bookmarkEnd w:id="172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其他应收款项坏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帐准备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236,395.45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68,039.41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178,845.97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125,588.89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236,395.45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68,039.41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178,845.97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125,588.89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148"/>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4</w:t>
      </w:r>
      <w:bookmarkEnd w:id="1730"/>
      <w:r>
        <w:rPr>
          <w:color w:val="000000"/>
          <w:spacing w:val="0"/>
          <w:w w:val="100"/>
          <w:position w:val="0"/>
        </w:rPr>
        <w:t>）按欠款方归集的期末余额前五名的其他应收款情况</w:t>
      </w:r>
      <w:bookmarkEnd w:id="1728"/>
      <w:bookmarkEnd w:id="1729"/>
      <w:bookmarkEnd w:id="17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坏账准备期末余 额</w:t>
            </w:r>
          </w:p>
        </w:tc>
      </w:tr>
      <w:tr>
        <w:trPr>
          <w:trHeight w:val="196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绍兴上虞和胜网络 技术有限公司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合并关联方款项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105,866,599.00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30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年以内 </w:t>
            </w:r>
            <w:r>
              <w:rPr>
                <w:rFonts w:ascii="Times New Roman" w:eastAsia="Times New Roman" w:hAnsi="Times New Roman" w:cs="Times New Roman"/>
                <w:color w:val="000000"/>
                <w:spacing w:val="0"/>
                <w:w w:val="100"/>
                <w:position w:val="0"/>
                <w:sz w:val="18"/>
                <w:szCs w:val="18"/>
              </w:rPr>
              <w:t xml:space="preserve">3,410,000.00 </w:t>
            </w:r>
            <w:r>
              <w:rPr>
                <w:color w:val="000000"/>
                <w:spacing w:val="0"/>
                <w:w w:val="100"/>
                <w:position w:val="0"/>
                <w:sz w:val="18"/>
                <w:szCs w:val="18"/>
              </w:rPr>
              <w:t>元，</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
              <w:keepNext w:val="0"/>
              <w:keepLines w:val="0"/>
              <w:widowControl w:val="0"/>
              <w:shd w:val="clear" w:color="auto" w:fill="auto"/>
              <w:bidi w:val="0"/>
              <w:spacing w:before="0" w:after="0" w:line="30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102,446,599.00 </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8"/>
                <w:szCs w:val="18"/>
              </w:rPr>
              <w:t>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绍兴金猫网络科技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合并关联方款项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37,159,458.98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浙江金科汤姆猫投 资发展有限公司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合并关联方款项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10,458,494.79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中国移动通信集团 河南有限公司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保证金押金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北京万通鼎安国际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保证金押金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142,698.14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42,809.44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153,827,250.91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102,809.44</w:t>
            </w:r>
          </w:p>
        </w:tc>
      </w:tr>
    </w:tbl>
    <w:p>
      <w:pPr>
        <w:widowControl w:val="0"/>
        <w:spacing w:after="299" w:line="1" w:lineRule="exact"/>
      </w:pPr>
    </w:p>
    <w:p>
      <w:pPr>
        <w:pStyle w:val="Style148"/>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color w:val="000000"/>
          <w:spacing w:val="0"/>
          <w:w w:val="100"/>
          <w:position w:val="0"/>
        </w:rPr>
        <w:t>）因金融资产转移而终止确认的其他应收款</w:t>
      </w:r>
      <w:bookmarkEnd w:id="1732"/>
      <w:bookmarkEnd w:id="1733"/>
      <w:bookmarkEnd w:id="1735"/>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本期无因金融资产转移而终止确认的其他应收款项。</w:t>
      </w:r>
    </w:p>
    <w:p>
      <w:pPr>
        <w:pStyle w:val="Style148"/>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6</w:t>
      </w:r>
      <w:bookmarkEnd w:id="1738"/>
      <w:r>
        <w:rPr>
          <w:color w:val="000000"/>
          <w:spacing w:val="0"/>
          <w:w w:val="100"/>
          <w:position w:val="0"/>
        </w:rPr>
        <w:t>）转移其他应收款且继续涉入形成的资产、负债金额</w:t>
      </w:r>
      <w:bookmarkEnd w:id="1736"/>
      <w:bookmarkEnd w:id="1737"/>
      <w:bookmarkEnd w:id="1739"/>
    </w:p>
    <w:p>
      <w:pPr>
        <w:pStyle w:val="Style4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本期无转移其他应收款项且继续涉入形成的资产、负债金额。</w:t>
      </w:r>
    </w:p>
    <w:p>
      <w:pPr>
        <w:pStyle w:val="Style36"/>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3</w:t>
      </w:r>
      <w:bookmarkEnd w:id="1742"/>
      <w:r>
        <w:rPr>
          <w:color w:val="000000"/>
          <w:spacing w:val="0"/>
          <w:w w:val="100"/>
          <w:position w:val="0"/>
        </w:rPr>
        <w:t>、长期股权投资</w:t>
      </w:r>
      <w:bookmarkEnd w:id="1740"/>
      <w:bookmarkEnd w:id="1741"/>
      <w:bookmarkEnd w:id="17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8,677,790,851.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2,320,216,472.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6,357,574,379.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8,695,875,684.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2,320,216,472.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6,375,659,212.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870,237,116.55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52,664,280.68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817,572,835.87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85,672,934.17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34,539,481.90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51,133,452.27</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9,548,027,968.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2,372,880,752.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7,175,147,215.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8,781,548,619.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2,354,755,954.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6,426,792,665.</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after="299" w:line="1" w:lineRule="exact"/>
      </w:pPr>
    </w:p>
    <w:p>
      <w:pPr>
        <w:pStyle w:val="Style114"/>
        <w:keepNext/>
        <w:keepLines/>
        <w:widowControl w:val="0"/>
        <w:shd w:val="clear" w:color="auto" w:fill="auto"/>
        <w:bidi w:val="0"/>
        <w:spacing w:before="0" w:line="240" w:lineRule="auto"/>
        <w:ind w:left="0" w:right="0" w:firstLine="14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44"/>
      <w:bookmarkEnd w:id="1745"/>
      <w:bookmarkEnd w:id="17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杭州哲信信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1,042,783,52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1,042,783,52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2,320,216,47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金科国际（香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56,017,650.0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56,017,650.0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杭州每日给 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浙江金科汤 姆猫网络科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浙江金科汤 姆猫投资发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绍兴上虞码 牛通讯技术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杭州逗宝网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绍兴上虞和 胜网络技术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4,998,424.66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4,998,424.66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Luck</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 Holdings</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642,349,107.</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642,349,107.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上海惊蛰网 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9,253,631.32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9,253,631.32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绍兴上虞金 科哲信科技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1,072,038.40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1,072,038.40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杭州猫衍科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1,834,833.15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1,834,833.15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杭州金科博 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26,250,000.0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广州金科文 化科技有限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万锦商贸有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6,375,659,21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28,084,833.1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6,357,574,37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2,320,216,47</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47"/>
      <w:bookmarkEnd w:id="1748"/>
      <w:bookmarkEnd w:id="17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 星河互 动科技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863,14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13,000,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024.48</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绍兴上 虞远景 创业投 资合伙 企业</w:t>
            </w:r>
          </w:p>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18,084,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645.07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南京有 机汇网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-616,53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2,292,0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8,623,3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38.74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广东汤 姆猫产 业发展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798,01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782,90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5,690.2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杭州猫 衍科技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336,33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98.96</w:t>
            </w:r>
          </w:p>
        </w:tc>
      </w:tr>
      <w:tr>
        <w:trPr>
          <w:trHeight w:val="10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杭州金 科博锐 科技有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3,937,5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2,983,4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954,08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18.50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51,133,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803,78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2,333.1</w:t>
            </w:r>
          </w:p>
          <w:p>
            <w:pPr>
              <w:pStyle w:val="Style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1,120,1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18,124,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2,835.8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52,664,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280.68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51,133,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803,78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2,333.1</w:t>
            </w:r>
          </w:p>
          <w:p>
            <w:pPr>
              <w:pStyle w:val="Style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1,120,1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18,124,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2,835.8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52,664,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280.68</w:t>
            </w:r>
          </w:p>
        </w:tc>
      </w:tr>
    </w:tbl>
    <w:p>
      <w:pPr>
        <w:widowControl w:val="0"/>
        <w:spacing w:after="319" w:line="1" w:lineRule="exact"/>
      </w:pPr>
    </w:p>
    <w:p>
      <w:pPr>
        <w:pStyle w:val="Style114"/>
        <w:keepNext/>
        <w:keepLines/>
        <w:widowControl w:val="0"/>
        <w:numPr>
          <w:ilvl w:val="0"/>
          <w:numId w:val="67"/>
        </w:numPr>
        <w:shd w:val="clear" w:color="auto" w:fill="auto"/>
        <w:bidi w:val="0"/>
        <w:spacing w:before="0" w:after="320" w:line="240" w:lineRule="auto"/>
        <w:ind w:left="0" w:right="0" w:firstLine="14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其他说明</w:t>
      </w:r>
      <w:bookmarkEnd w:id="1750"/>
      <w:bookmarkEnd w:id="1751"/>
      <w:bookmarkEnd w:id="1753"/>
    </w:p>
    <w:p>
      <w:pPr>
        <w:pStyle w:val="Style36"/>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color w:val="000000"/>
          <w:spacing w:val="0"/>
          <w:w w:val="100"/>
          <w:position w:val="0"/>
        </w:rPr>
        <w:t>、营业收入和营业成本</w:t>
      </w:r>
      <w:bookmarkEnd w:id="1754"/>
      <w:bookmarkEnd w:id="1755"/>
      <w:bookmarkEnd w:id="17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52,831.48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4,828,567.60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4,811,834.93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7,628.68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52,831.48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4,828,567.60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4,811,834.93</w:t>
            </w:r>
          </w:p>
        </w:tc>
      </w:tr>
    </w:tbl>
    <w:p>
      <w:pPr>
        <w:pStyle w:val="Style31"/>
        <w:keepNext w:val="0"/>
        <w:keepLines w:val="0"/>
        <w:widowControl w:val="0"/>
        <w:shd w:val="clear" w:color="auto" w:fill="auto"/>
        <w:bidi w:val="0"/>
        <w:spacing w:before="0" w:after="40" w:line="298" w:lineRule="exact"/>
        <w:ind w:left="0" w:right="0" w:firstLine="0"/>
        <w:jc w:val="left"/>
      </w:pPr>
      <w:r>
        <w:rPr>
          <w:color w:val="000000"/>
          <w:spacing w:val="0"/>
          <w:w w:val="100"/>
          <w:position w:val="0"/>
        </w:rPr>
        <w:t>与履约义务相关的信息：无</w:t>
      </w:r>
    </w:p>
    <w:p>
      <w:pPr>
        <w:pStyle w:val="Style31"/>
        <w:keepNext w:val="0"/>
        <w:keepLines w:val="0"/>
        <w:widowControl w:val="0"/>
        <w:shd w:val="clear" w:color="auto" w:fill="auto"/>
        <w:bidi w:val="0"/>
        <w:spacing w:before="0" w:after="360" w:line="298" w:lineRule="exact"/>
        <w:ind w:left="0" w:right="0" w:firstLine="0"/>
        <w:jc w:val="left"/>
      </w:pPr>
      <w:r>
        <w:rPr>
          <w:color w:val="000000"/>
          <w:spacing w:val="0"/>
          <w:w w:val="100"/>
          <w:position w:val="0"/>
        </w:rPr>
        <w:t>与分摊至剩余履约义务的交易价格相关的信息：本报告期末已签订合同、但尚未履行或尚未履行完毕的履约义务所对应的收 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w:t>
      </w:r>
      <w:r>
        <w:rPr>
          <w:color w:val="000000"/>
          <w:spacing w:val="0"/>
          <w:w w:val="100"/>
          <w:position w:val="0"/>
        </w:rPr>
        <w:t>元预计将于年度确认收入。</w:t>
      </w:r>
    </w:p>
    <w:p>
      <w:pPr>
        <w:pStyle w:val="Style36"/>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color w:val="000000"/>
          <w:spacing w:val="0"/>
          <w:w w:val="100"/>
          <w:position w:val="0"/>
        </w:rPr>
        <w:t>、投资收益</w:t>
      </w:r>
      <w:bookmarkEnd w:id="1758"/>
      <w:bookmarkEnd w:id="1759"/>
      <w:bookmarkEnd w:id="176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-17,662,761.25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-1,405,168.97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-16,657,387.48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60,157,421.07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16,136,859.86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9,032,524.59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其他非流动金融资产在持有期间的投资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791,683.92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105,385,856.00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664,885,539.34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84,713,320.47</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6</w:t>
      </w:r>
      <w:bookmarkEnd w:id="1764"/>
      <w:r>
        <w:rPr>
          <w:color w:val="000000"/>
          <w:spacing w:val="0"/>
          <w:w w:val="100"/>
          <w:position w:val="0"/>
        </w:rPr>
        <w:t>、其他</w:t>
      </w:r>
      <w:bookmarkEnd w:id="1762"/>
      <w:bookmarkEnd w:id="1763"/>
      <w:bookmarkEnd w:id="1765"/>
    </w:p>
    <w:p>
      <w:pPr>
        <w:pStyle w:val="Style29"/>
        <w:keepNext/>
        <w:keepLines/>
        <w:widowControl w:val="0"/>
        <w:shd w:val="clear" w:color="auto" w:fill="auto"/>
        <w:bidi w:val="0"/>
        <w:spacing w:before="0" w:after="340" w:line="240" w:lineRule="auto"/>
        <w:ind w:left="0" w:right="0" w:firstLine="0"/>
        <w:jc w:val="both"/>
      </w:pPr>
      <w:bookmarkStart w:id="1766" w:name="bookmark1766"/>
      <w:bookmarkStart w:id="1767" w:name="bookmark1767"/>
      <w:bookmarkStart w:id="1768" w:name="bookmark1768"/>
      <w:r>
        <w:rPr>
          <w:color w:val="000000"/>
          <w:spacing w:val="0"/>
          <w:w w:val="100"/>
          <w:position w:val="0"/>
          <w:sz w:val="24"/>
          <w:szCs w:val="24"/>
        </w:rPr>
        <w:t>十七、补充资料</w:t>
      </w:r>
      <w:bookmarkEnd w:id="1766"/>
      <w:bookmarkEnd w:id="1767"/>
      <w:bookmarkEnd w:id="1768"/>
    </w:p>
    <w:p>
      <w:pPr>
        <w:pStyle w:val="Style36"/>
        <w:keepNext/>
        <w:keepLines/>
        <w:widowControl w:val="0"/>
        <w:shd w:val="clear" w:color="auto" w:fill="auto"/>
        <w:bidi w:val="0"/>
        <w:spacing w:before="0" w:after="340" w:line="240" w:lineRule="auto"/>
        <w:ind w:left="0" w:right="0" w:firstLine="0"/>
        <w:jc w:val="both"/>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69"/>
      <w:bookmarkEnd w:id="1770"/>
      <w:bookmarkEnd w:id="1771"/>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-14,934,670.49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17,814,487.34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详见“第十二节、财务报告”之“七、 合并财务报表项目注释”之“</w:t>
            </w: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、政府 补助”。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46,419,914.74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同一控制下企业合并产生的子公司期初 至合并日的当期净损益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2,943,863.41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7,443,869.07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 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77,430,156.24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2,194,926.46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105,385,856.00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-1,044,551.82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245,742,954.59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2"/>
      <w:bookmarkEnd w:id="1773"/>
      <w:bookmarkEnd w:id="1774"/>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稀释每股收益（元/股）</w:t>
            </w:r>
          </w:p>
        </w:tc>
      </w:tr>
    </w:tbl>
    <w:p>
      <w:pPr>
        <w:spacing w:lineRule="exact" w:line="1"/>
        <w:rPr>
          <w:sz w:val="2"/>
          <w:szCs w:val="2"/>
        </w:rPr>
      </w:pPr>
      <w:r>
        <w:br w:type="page"/>
      </w:r>
    </w:p>
    <w:tbl>
      <w:tblPr>
        <w:tblOverlap w:val="never"/>
        <w:jc w:val="center"/>
        <w:tblLayout w:type="fixed"/>
      </w:tblPr>
      <w:tblGrid>
        <w:gridCol w:w="2669"/>
        <w:gridCol w:w="3082"/>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299" w:line="1" w:lineRule="exact"/>
      </w:pPr>
    </w:p>
    <w:p>
      <w:pPr>
        <w:pStyle w:val="Style3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054" w:bottom="1446" w:left="1049" w:header="0" w:footer="3" w:gutter="0"/>
          <w:cols w:space="720"/>
          <w:noEndnote/>
          <w:rtlGutter w:val="0"/>
          <w:docGrid w:linePitch="360"/>
        </w:sectPr>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3</w:t>
      </w:r>
      <w:bookmarkEnd w:id="1777"/>
      <w:r>
        <w:rPr>
          <w:color w:val="000000"/>
          <w:spacing w:val="0"/>
          <w:w w:val="100"/>
          <w:position w:val="0"/>
        </w:rPr>
        <w:t>、其他</w:t>
      </w:r>
      <w:bookmarkEnd w:id="1775"/>
      <w:bookmarkEnd w:id="1776"/>
      <w:bookmarkEnd w:id="1778"/>
    </w:p>
    <w:p>
      <w:pPr>
        <w:pStyle w:val="Style12"/>
        <w:keepNext/>
        <w:keepLines/>
        <w:widowControl w:val="0"/>
        <w:shd w:val="clear" w:color="auto" w:fill="auto"/>
        <w:bidi w:val="0"/>
        <w:spacing w:before="0" w:after="480" w:line="240" w:lineRule="auto"/>
        <w:ind w:left="0" w:right="0" w:firstLine="0"/>
        <w:jc w:val="center"/>
      </w:pPr>
      <w:bookmarkStart w:id="1779" w:name="bookmark1779"/>
      <w:bookmarkStart w:id="1780" w:name="bookmark1780"/>
      <w:bookmarkStart w:id="1781" w:name="bookmark1781"/>
      <w:bookmarkStart w:id="1782" w:name="bookmark1782"/>
      <w:r>
        <w:rPr>
          <w:color w:val="000000"/>
          <w:spacing w:val="0"/>
          <w:w w:val="100"/>
          <w:position w:val="0"/>
        </w:rPr>
        <w:t>第十三节备查文件目录</w:t>
      </w:r>
      <w:bookmarkEnd w:id="1780"/>
      <w:bookmarkEnd w:id="1781"/>
      <w:bookmarkEnd w:id="1782"/>
      <w:bookmarkEnd w:id="1779"/>
    </w:p>
    <w:p>
      <w:pPr>
        <w:pStyle w:val="Style40"/>
        <w:keepNext w:val="0"/>
        <w:keepLines w:val="0"/>
        <w:widowControl w:val="0"/>
        <w:shd w:val="clear" w:color="auto" w:fill="auto"/>
        <w:tabs>
          <w:tab w:pos="914" w:val="left"/>
        </w:tabs>
        <w:bidi w:val="0"/>
        <w:spacing w:before="0" w:after="100" w:line="322" w:lineRule="exact"/>
        <w:ind w:left="0" w:right="0" w:firstLine="440"/>
        <w:jc w:val="left"/>
      </w:pPr>
      <w:bookmarkStart w:id="1783" w:name="bookmark1783"/>
      <w:r>
        <w:rPr>
          <w:color w:val="000000"/>
          <w:spacing w:val="0"/>
          <w:w w:val="100"/>
          <w:position w:val="0"/>
        </w:rPr>
        <w:t>一</w:t>
      </w:r>
      <w:bookmarkEnd w:id="178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年年度报告》及其摘要文本；</w:t>
      </w:r>
    </w:p>
    <w:p>
      <w:pPr>
        <w:pStyle w:val="Style40"/>
        <w:keepNext w:val="0"/>
        <w:keepLines w:val="0"/>
        <w:widowControl w:val="0"/>
        <w:shd w:val="clear" w:color="auto" w:fill="auto"/>
        <w:tabs>
          <w:tab w:pos="896" w:val="left"/>
        </w:tabs>
        <w:bidi w:val="0"/>
        <w:spacing w:before="0" w:after="100" w:line="322" w:lineRule="exact"/>
        <w:ind w:left="0" w:right="0" w:firstLine="440"/>
        <w:jc w:val="left"/>
      </w:pPr>
      <w:bookmarkStart w:id="1784" w:name="bookmark1784"/>
      <w:r>
        <w:rPr>
          <w:color w:val="000000"/>
          <w:spacing w:val="0"/>
          <w:w w:val="100"/>
          <w:position w:val="0"/>
        </w:rPr>
        <w:t>二</w:t>
      </w:r>
      <w:bookmarkEnd w:id="1784"/>
      <w:r>
        <w:rPr>
          <w:color w:val="000000"/>
          <w:spacing w:val="0"/>
          <w:w w:val="100"/>
          <w:position w:val="0"/>
        </w:rPr>
        <w:t>、</w:t>
        <w:tab/>
        <w:t>载有公司法定代表人、主管会计工作负责人、会计机构负责人（会计主管人员）签名并盖章的财 务报表；</w:t>
      </w:r>
    </w:p>
    <w:p>
      <w:pPr>
        <w:pStyle w:val="Style40"/>
        <w:keepNext w:val="0"/>
        <w:keepLines w:val="0"/>
        <w:widowControl w:val="0"/>
        <w:shd w:val="clear" w:color="auto" w:fill="auto"/>
        <w:tabs>
          <w:tab w:pos="918" w:val="left"/>
        </w:tabs>
        <w:bidi w:val="0"/>
        <w:spacing w:before="0" w:after="100" w:line="322" w:lineRule="exact"/>
        <w:ind w:left="0" w:right="0" w:firstLine="440"/>
        <w:jc w:val="left"/>
      </w:pPr>
      <w:bookmarkStart w:id="1785" w:name="bookmark1785"/>
      <w:r>
        <w:rPr>
          <w:color w:val="000000"/>
          <w:spacing w:val="0"/>
          <w:w w:val="100"/>
          <w:position w:val="0"/>
        </w:rPr>
        <w:t>三</w:t>
      </w:r>
      <w:bookmarkEnd w:id="1785"/>
      <w:r>
        <w:rPr>
          <w:color w:val="000000"/>
          <w:spacing w:val="0"/>
          <w:w w:val="100"/>
          <w:position w:val="0"/>
        </w:rPr>
        <w:t>、</w:t>
        <w:tab/>
        <w:t>报告期内在中国证监会指定网站上公开披露过的所有公司文件的正本及公告的原稿。</w:t>
      </w:r>
    </w:p>
    <w:p>
      <w:pPr>
        <w:pStyle w:val="Style40"/>
        <w:keepNext w:val="0"/>
        <w:keepLines w:val="0"/>
        <w:widowControl w:val="0"/>
        <w:shd w:val="clear" w:color="auto" w:fill="auto"/>
        <w:tabs>
          <w:tab w:pos="918" w:val="left"/>
        </w:tabs>
        <w:bidi w:val="0"/>
        <w:spacing w:before="0" w:after="100" w:line="322" w:lineRule="exact"/>
        <w:ind w:left="0" w:right="0" w:firstLine="440"/>
        <w:jc w:val="left"/>
      </w:pPr>
      <w:bookmarkStart w:id="1786" w:name="bookmark1786"/>
      <w:r>
        <w:rPr>
          <w:color w:val="000000"/>
          <w:spacing w:val="0"/>
          <w:w w:val="100"/>
          <w:position w:val="0"/>
        </w:rPr>
        <w:t>四</w:t>
      </w:r>
      <w:bookmarkEnd w:id="1786"/>
      <w:r>
        <w:rPr>
          <w:color w:val="000000"/>
          <w:spacing w:val="0"/>
          <w:w w:val="100"/>
          <w:position w:val="0"/>
        </w:rPr>
        <w:t>、</w:t>
        <w:tab/>
        <w:t>其他相关资料。</w:t>
      </w:r>
    </w:p>
    <w:p>
      <w:pPr>
        <w:pStyle w:val="Style40"/>
        <w:keepNext w:val="0"/>
        <w:keepLines w:val="0"/>
        <w:widowControl w:val="0"/>
        <w:shd w:val="clear" w:color="auto" w:fill="auto"/>
        <w:bidi w:val="0"/>
        <w:spacing w:before="0" w:after="100" w:line="322" w:lineRule="exact"/>
        <w:ind w:left="0" w:right="0" w:firstLine="440"/>
        <w:jc w:val="left"/>
      </w:pPr>
      <w:r>
        <w:rPr>
          <w:color w:val="000000"/>
          <w:spacing w:val="0"/>
          <w:w w:val="100"/>
          <w:position w:val="0"/>
        </w:rPr>
        <w:t>以上备查文件的备置地点：公司证券部办公室。</w:t>
      </w:r>
    </w:p>
    <w:sectPr>
      <w:footnotePr>
        <w:pos w:val="pageBottom"/>
        <w:numFmt w:val="decimal"/>
        <w:numRestart w:val="continuous"/>
      </w:footnotePr>
      <w:pgSz w:w="11900" w:h="16840"/>
      <w:pgMar w:top="1662" w:right="1107" w:bottom="166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3728085</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55000000000001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5357495</wp:posOffset>
              </wp:positionH>
              <wp:positionV relativeFrom="page">
                <wp:posOffset>6838315</wp:posOffset>
              </wp:positionV>
              <wp:extent cx="100330" cy="79375"/>
              <wp:wrapNone/>
              <wp:docPr id="56" name="Shape 5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2" type="#_x0000_t202" style="position:absolute;margin-left:421.85000000000002pt;margin-top:538.45000000000005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3719195</wp:posOffset>
              </wp:positionH>
              <wp:positionV relativeFrom="page">
                <wp:posOffset>9958070</wp:posOffset>
              </wp:positionV>
              <wp:extent cx="103505" cy="79375"/>
              <wp:wrapNone/>
              <wp:docPr id="66" name="Shape 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2" type="#_x0000_t202" style="position:absolute;margin-left:292.85000000000002pt;margin-top:784.10000000000002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3719195</wp:posOffset>
              </wp:positionH>
              <wp:positionV relativeFrom="page">
                <wp:posOffset>9958070</wp:posOffset>
              </wp:positionV>
              <wp:extent cx="103505" cy="79375"/>
              <wp:wrapNone/>
              <wp:docPr id="79" name="Shape 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292.85000000000002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6382385</wp:posOffset>
              </wp:positionH>
              <wp:positionV relativeFrom="page">
                <wp:posOffset>9766935</wp:posOffset>
              </wp:positionV>
              <wp:extent cx="445135" cy="106680"/>
              <wp:wrapNone/>
              <wp:docPr id="84" name="Shape 8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0" type="#_x0000_t202" style="position:absolute;margin-left:502.55000000000001pt;margin-top:769.05000000000007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3688080</wp:posOffset>
              </wp:positionH>
              <wp:positionV relativeFrom="page">
                <wp:posOffset>10093325</wp:posOffset>
              </wp:positionV>
              <wp:extent cx="164465" cy="79375"/>
              <wp:wrapNone/>
              <wp:docPr id="86" name="Shape 8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2" type="#_x0000_t202" style="position:absolute;margin-left:290.40000000000003pt;margin-top:794.75pt;width:12.950000000000001pt;height:6.25pt;z-index:-188744043;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4150360</wp:posOffset>
              </wp:positionH>
              <wp:positionV relativeFrom="page">
                <wp:posOffset>561340</wp:posOffset>
              </wp:positionV>
              <wp:extent cx="2670175" cy="106680"/>
              <wp:wrapNone/>
              <wp:docPr id="2" name="Shape 2"/>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浙江金科文化产业股份有限公司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6.80000000000001pt;margin-top:44.200000000000003pt;width:210.25pt;height:8.4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浙江金科文化产业股份有限公司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7158990</wp:posOffset>
              </wp:positionH>
              <wp:positionV relativeFrom="page">
                <wp:posOffset>544830</wp:posOffset>
              </wp:positionV>
              <wp:extent cx="2673350" cy="106680"/>
              <wp:wrapNone/>
              <wp:docPr id="53" name="Shape 5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563.70000000000005pt;margin-top:42.899999999999999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703580</wp:posOffset>
              </wp:positionV>
              <wp:extent cx="8866505" cy="0"/>
              <wp:wrapNone/>
              <wp:docPr id="55" name="Shape 55"/>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6.700000000000003pt;margin-top:55.399999999999999pt;width:698.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4155440</wp:posOffset>
              </wp:positionH>
              <wp:positionV relativeFrom="page">
                <wp:posOffset>560705</wp:posOffset>
              </wp:positionV>
              <wp:extent cx="2670175" cy="106680"/>
              <wp:wrapNone/>
              <wp:docPr id="63" name="Shape 63"/>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9" type="#_x0000_t202" style="position:absolute;margin-left:327.19999999999999pt;margin-top:44.149999999999999pt;width:210.25pt;height:8.4000000000000004pt;z-index:-188744055;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23305" cy="0"/>
              <wp:wrapNone/>
              <wp:docPr id="65" name="Shape 6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5pt;margin-top:55.700000000000003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4155440</wp:posOffset>
              </wp:positionH>
              <wp:positionV relativeFrom="page">
                <wp:posOffset>560705</wp:posOffset>
              </wp:positionV>
              <wp:extent cx="2670175" cy="106680"/>
              <wp:wrapNone/>
              <wp:docPr id="76" name="Shape 76"/>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327.19999999999999pt;margin-top:44.149999999999999pt;width:210.25pt;height:8.4000000000000004pt;z-index:-188744051;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23305" cy="0"/>
              <wp:wrapNone/>
              <wp:docPr id="78" name="Shape 7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5pt;margin-top:55.700000000000003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4154170</wp:posOffset>
              </wp:positionH>
              <wp:positionV relativeFrom="page">
                <wp:posOffset>695960</wp:posOffset>
              </wp:positionV>
              <wp:extent cx="2670175" cy="106680"/>
              <wp:wrapNone/>
              <wp:docPr id="81" name="Shape 81"/>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7" type="#_x0000_t202" style="position:absolute;margin-left:327.10000000000002pt;margin-top:54.800000000000004pt;width:210.25pt;height:8.4000000000000004pt;z-index:-188744047;mso-wrap-style:none;mso-wrap-distance-left:0;mso-wrap-distance-right:0;mso-position-horizontal-relative:page;mso-position-vertical-relative:page" wrapcoords="0 0" filled="f" stroked="f">
              <v:textbox style="mso-fit-shape-to-text:t"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浙江金科文化产业股份有限公司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842010</wp:posOffset>
              </wp:positionV>
              <wp:extent cx="6123305" cy="0"/>
              <wp:wrapNone/>
              <wp:docPr id="83" name="Shape 8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66.299999999999997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7">
    <w:name w:val="图片标题_"/>
    <w:basedOn w:val="DefaultParagraphFont"/>
    <w:link w:val="Style6"/>
    <w:rPr>
      <w:rFonts w:ascii="SimSun" w:eastAsia="SimSun" w:hAnsi="SimSun" w:cs="SimSun"/>
      <w:b w:val="0"/>
      <w:bCs w:val="0"/>
      <w:i w:val="0"/>
      <w:iCs w:val="0"/>
      <w:smallCaps w:val="0"/>
      <w:strike w:val="0"/>
      <w:color w:val="313131"/>
      <w:sz w:val="13"/>
      <w:szCs w:val="13"/>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 (2)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 (3)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115">
    <w:name w:val="标题 #4_"/>
    <w:basedOn w:val="DefaultParagraphFont"/>
    <w:link w:val="Style114"/>
    <w:rPr>
      <w:rFonts w:ascii="SimSun" w:eastAsia="SimSun" w:hAnsi="SimSun" w:cs="SimSun"/>
      <w:b/>
      <w:bCs/>
      <w:i w:val="0"/>
      <w:iCs w:val="0"/>
      <w:smallCaps w:val="0"/>
      <w:strike w:val="0"/>
      <w:sz w:val="20"/>
      <w:szCs w:val="20"/>
      <w:u w:val="none"/>
      <w:shd w:val="clear" w:color="auto" w:fill="auto"/>
    </w:rPr>
  </w:style>
  <w:style w:type="character" w:customStyle="1" w:styleId="CharStyle121">
    <w:name w:val="正文文本 (6)_"/>
    <w:basedOn w:val="DefaultParagraphFont"/>
    <w:link w:val="Style1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4">
    <w:name w:val="页眉或页脚_"/>
    <w:basedOn w:val="DefaultParagraphFont"/>
    <w:link w:val="Style123"/>
    <w:rPr>
      <w:rFonts w:ascii="SimSun" w:eastAsia="SimSun" w:hAnsi="SimSun" w:cs="SimSun"/>
      <w:b w:val="0"/>
      <w:bCs w:val="0"/>
      <w:i w:val="0"/>
      <w:iCs w:val="0"/>
      <w:smallCaps w:val="0"/>
      <w:strike w:val="0"/>
      <w:sz w:val="18"/>
      <w:szCs w:val="18"/>
      <w:u w:val="none"/>
      <w:shd w:val="clear" w:color="auto" w:fill="auto"/>
    </w:rPr>
  </w:style>
  <w:style w:type="character" w:customStyle="1" w:styleId="CharStyle129">
    <w:name w:val="正文文本 (7)_"/>
    <w:basedOn w:val="DefaultParagraphFont"/>
    <w:link w:val="Style12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49">
    <w:name w:val="标题 #5_"/>
    <w:basedOn w:val="DefaultParagraphFont"/>
    <w:link w:val="Style148"/>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
    <w:name w:val="图片标题"/>
    <w:basedOn w:val="Normal"/>
    <w:link w:val="CharStyle7"/>
    <w:pPr>
      <w:widowControl w:val="0"/>
      <w:shd w:val="clear" w:color="auto" w:fill="auto"/>
    </w:pPr>
    <w:rPr>
      <w:rFonts w:ascii="SimSun" w:eastAsia="SimSun" w:hAnsi="SimSun" w:cs="SimSun"/>
      <w:b w:val="0"/>
      <w:bCs w:val="0"/>
      <w:i w:val="0"/>
      <w:iCs w:val="0"/>
      <w:smallCaps w:val="0"/>
      <w:strike w:val="0"/>
      <w:color w:val="313131"/>
      <w:sz w:val="13"/>
      <w:szCs w:val="13"/>
      <w:u w:val="none"/>
      <w:shd w:val="clear" w:color="auto" w:fill="auto"/>
    </w:rPr>
  </w:style>
  <w:style w:type="paragraph" w:customStyle="1" w:styleId="Style12">
    <w:name w:val="标题 #1"/>
    <w:basedOn w:val="Normal"/>
    <w:link w:val="CharStyle13"/>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2)"/>
    <w:basedOn w:val="Normal"/>
    <w:link w:val="CharStyle19"/>
    <w:pPr>
      <w:widowControl w:val="0"/>
      <w:shd w:val="clear" w:color="auto" w:fill="auto"/>
      <w:spacing w:after="80" w:line="625"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29">
    <w:name w:val="标题 #2"/>
    <w:basedOn w:val="Normal"/>
    <w:link w:val="CharStyle30"/>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3)"/>
    <w:basedOn w:val="Normal"/>
    <w:link w:val="CharStyle32"/>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4">
    <w:name w:val="标题 #4"/>
    <w:basedOn w:val="Normal"/>
    <w:link w:val="CharStyle11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20">
    <w:name w:val="正文文本 (6)"/>
    <w:basedOn w:val="Normal"/>
    <w:link w:val="CharStyle121"/>
    <w:pPr>
      <w:widowControl w:val="0"/>
      <w:shd w:val="clear" w:color="auto" w:fill="auto"/>
      <w:spacing w:line="469"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3">
    <w:name w:val="页眉或页脚"/>
    <w:basedOn w:val="Normal"/>
    <w:link w:val="CharStyle1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28">
    <w:name w:val="正文文本 (7)"/>
    <w:basedOn w:val="Normal"/>
    <w:link w:val="CharStyle129"/>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48">
    <w:name w:val="标题 #5"/>
    <w:basedOn w:val="Normal"/>
    <w:link w:val="CharStyle14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header" Target="header5.xml"/><Relationship Id="rId40" Type="http://schemas.openxmlformats.org/officeDocument/2006/relationships/footer" Target="footer5.xml"/></Relationships>
</file>