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0"/>
          <w:szCs w:val="10"/>
        </w:rPr>
      </w:pPr>
    </w:p>
    <w:p>
      <w:pPr>
        <w:spacing w:line="1641" w:lineRule="exact"/>
        <w:ind w:left="405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2"/>
          <w:sz w:val="20"/>
          <w:szCs w:val="20"/>
        </w:rPr>
        <w:drawing>
          <wp:inline distT="0" distB="0" distL="0" distR="0">
            <wp:extent cx="2411142" cy="1042416"/>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6" cstate="print"/>
                    <a:stretch>
                      <a:fillRect/>
                    </a:stretch>
                  </pic:blipFill>
                  <pic:spPr>
                    <a:xfrm>
                      <a:off x="0" y="0"/>
                      <a:ext cx="2411142" cy="1042416"/>
                    </a:xfrm>
                    <a:prstGeom prst="rect">
                      <a:avLst/>
                    </a:prstGeom>
                  </pic:spPr>
                </pic:pic>
              </a:graphicData>
            </a:graphic>
          </wp:inline>
        </w:drawing>
      </w:r>
      <w:r>
        <w:rPr>
          <w:rFonts w:ascii="Times New Roman" w:hAnsi="Times New Roman" w:cs="Times New Roman" w:eastAsia="Times New Roman" w:hint="default"/>
          <w:position w:val="-32"/>
          <w:sz w:val="20"/>
          <w:szCs w:val="20"/>
        </w:rPr>
      </w:r>
    </w:p>
    <w:p>
      <w:pPr>
        <w:spacing w:line="240" w:lineRule="auto" w:before="4"/>
        <w:rPr>
          <w:rFonts w:ascii="Times New Roman" w:hAnsi="Times New Roman" w:cs="Times New Roman" w:eastAsia="Times New Roman" w:hint="default"/>
          <w:sz w:val="13"/>
          <w:szCs w:val="13"/>
        </w:rPr>
      </w:pPr>
    </w:p>
    <w:p>
      <w:pPr>
        <w:spacing w:line="460" w:lineRule="exact" w:before="0"/>
        <w:ind w:left="1114" w:right="1114" w:firstLine="0"/>
        <w:jc w:val="center"/>
        <w:rPr>
          <w:rFonts w:ascii="宋体" w:hAnsi="宋体" w:cs="宋体" w:eastAsia="宋体" w:hint="default"/>
          <w:sz w:val="36"/>
          <w:szCs w:val="36"/>
        </w:rPr>
      </w:pPr>
      <w:r>
        <w:rPr>
          <w:rFonts w:ascii="宋体" w:hAnsi="宋体" w:cs="宋体" w:eastAsia="宋体" w:hint="default"/>
          <w:b/>
          <w:bCs/>
          <w:sz w:val="36"/>
          <w:szCs w:val="36"/>
        </w:rPr>
        <w:t>高伟达软件股份有限公司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1114" w:right="1115"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6"/>
        <w:rPr>
          <w:rFonts w:ascii="宋体" w:hAnsi="宋体" w:cs="宋体" w:eastAsia="宋体" w:hint="default"/>
          <w:b/>
          <w:bCs/>
          <w:sz w:val="32"/>
          <w:szCs w:val="32"/>
        </w:rPr>
      </w:pPr>
    </w:p>
    <w:p>
      <w:pPr>
        <w:spacing w:before="0"/>
        <w:ind w:left="1114" w:right="1113" w:firstLine="0"/>
        <w:jc w:val="center"/>
        <w:rPr>
          <w:rFonts w:ascii="Times New Roman" w:hAnsi="Times New Roman" w:cs="Times New Roman" w:eastAsia="Times New Roman" w:hint="default"/>
          <w:sz w:val="22"/>
          <w:szCs w:val="22"/>
        </w:rPr>
      </w:pPr>
      <w:r>
        <w:rPr>
          <w:rFonts w:ascii="Times New Roman"/>
          <w:b/>
          <w:sz w:val="22"/>
        </w:rPr>
        <w:t>2016-025</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29"/>
        <w:ind w:left="1114" w:right="111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2016</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footerReference w:type="default" r:id="rId5"/>
          <w:type w:val="continuous"/>
          <w:pgSz w:w="11910" w:h="16840"/>
          <w:pgMar w:footer="640" w:top="1580" w:bottom="84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3"/>
          <w:szCs w:val="23"/>
        </w:rPr>
      </w:pPr>
    </w:p>
    <w:p>
      <w:pPr>
        <w:pStyle w:val="Heading1"/>
        <w:spacing w:line="240" w:lineRule="auto"/>
        <w:ind w:left="3785" w:right="0"/>
        <w:jc w:val="left"/>
        <w:rPr>
          <w:b w:val="0"/>
          <w:bCs w:val="0"/>
        </w:rPr>
      </w:pPr>
      <w:bookmarkStart w:name="第一节 重要提示、目录和释义" w:id="1"/>
      <w:bookmarkEnd w:id="1"/>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133" w:right="1138"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本公司董事会、监事会及董事、监事、高级管理人员保证年度报告内容的</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真实、准确、完整，不存在虚假记载、误导性陈述或重大遗漏，并承担个别和</w:t>
      </w:r>
      <w:r>
        <w:rPr>
          <w:rFonts w:ascii="宋体" w:hAnsi="宋体" w:cs="宋体" w:eastAsia="宋体" w:hint="default"/>
          <w:b/>
          <w:bCs/>
          <w:spacing w:val="28"/>
          <w:w w:val="95"/>
          <w:sz w:val="28"/>
          <w:szCs w:val="28"/>
        </w:rPr>
        <w:t> </w:t>
      </w:r>
      <w:r>
        <w:rPr>
          <w:rFonts w:ascii="宋体" w:hAnsi="宋体" w:cs="宋体" w:eastAsia="宋体" w:hint="default"/>
          <w:b/>
          <w:bCs/>
          <w:spacing w:val="28"/>
          <w:w w:val="95"/>
          <w:sz w:val="28"/>
          <w:szCs w:val="28"/>
        </w:rPr>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386" w:lineRule="auto" w:before="161"/>
        <w:ind w:left="1133"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公司负责人于伟、主管会计工作负责人武京双及会计机构负责人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spacing w:val="1"/>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贾银肖声明：保证年度报告中财务报告的真实、准确、完整。</w:t>
      </w:r>
      <w:r>
        <w:rPr>
          <w:rFonts w:ascii="宋体" w:hAnsi="宋体" w:cs="宋体" w:eastAsia="宋体" w:hint="default"/>
          <w:sz w:val="28"/>
          <w:szCs w:val="28"/>
        </w:rPr>
      </w:r>
    </w:p>
    <w:p>
      <w:pPr>
        <w:spacing w:line="472" w:lineRule="auto" w:before="147"/>
        <w:ind w:left="169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随着并购、对外投资等外延式扩张，公司的资产规模将不断提高，公司管</w:t>
      </w:r>
      <w:r>
        <w:rPr>
          <w:rFonts w:ascii="宋体" w:hAnsi="宋体" w:cs="宋体" w:eastAsia="宋体" w:hint="default"/>
          <w:spacing w:val="3"/>
          <w:sz w:val="28"/>
          <w:szCs w:val="28"/>
        </w:rPr>
      </w:r>
    </w:p>
    <w:p>
      <w:pPr>
        <w:spacing w:line="408" w:lineRule="auto" w:before="0"/>
        <w:ind w:left="1133" w:right="1141"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理层的管理与协调能力，以及公司在资源整合、市场开拓、质量管理、内部控</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制等方面都面临考验。如果公司的高级管理人员对市场发展判断不准确，不能</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在现有基础上有效应对在规模扩张过程中出现的问题，不能在人力资源及财务</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管理上进一步完善和改善现有模式，公司的管理体系将无法适应经营规模的快</w:t>
      </w:r>
      <w:r>
        <w:rPr>
          <w:rFonts w:ascii="宋体" w:hAnsi="宋体" w:cs="宋体" w:eastAsia="宋体" w:hint="default"/>
          <w:b/>
          <w:bCs/>
          <w:spacing w:val="26"/>
          <w:w w:val="95"/>
          <w:sz w:val="28"/>
          <w:szCs w:val="28"/>
        </w:rPr>
        <w:t> </w:t>
      </w:r>
      <w:r>
        <w:rPr>
          <w:rFonts w:ascii="宋体" w:hAnsi="宋体" w:cs="宋体" w:eastAsia="宋体" w:hint="default"/>
          <w:b/>
          <w:bCs/>
          <w:spacing w:val="26"/>
          <w:w w:val="95"/>
          <w:sz w:val="28"/>
          <w:szCs w:val="28"/>
        </w:rPr>
      </w:r>
      <w:r>
        <w:rPr>
          <w:rFonts w:ascii="宋体" w:hAnsi="宋体" w:cs="宋体" w:eastAsia="宋体" w:hint="default"/>
          <w:b/>
          <w:bCs/>
          <w:sz w:val="28"/>
          <w:szCs w:val="28"/>
        </w:rPr>
        <w:t>速增长，这将对公司的未来经营产生不利影响。</w:t>
      </w:r>
      <w:r>
        <w:rPr>
          <w:rFonts w:ascii="宋体" w:hAnsi="宋体" w:cs="宋体" w:eastAsia="宋体" w:hint="default"/>
          <w:sz w:val="28"/>
          <w:szCs w:val="28"/>
        </w:rPr>
      </w:r>
    </w:p>
    <w:p>
      <w:pPr>
        <w:spacing w:line="405" w:lineRule="auto" w:before="161"/>
        <w:ind w:left="1133" w:right="1133"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根据未来战略发展规划，公司将致力于向金融行业提供高质量的信息化综</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合解决方案及软件产品。报告期内，公司来源于前五大客户的收入占总营业收</w:t>
      </w:r>
      <w:r>
        <w:rPr>
          <w:rFonts w:ascii="宋体" w:hAnsi="宋体" w:cs="宋体" w:eastAsia="宋体" w:hint="default"/>
          <w:b/>
          <w:bCs/>
          <w:spacing w:val="29"/>
          <w:w w:val="95"/>
          <w:sz w:val="28"/>
          <w:szCs w:val="28"/>
        </w:rPr>
        <w:t> </w:t>
      </w:r>
      <w:r>
        <w:rPr>
          <w:rFonts w:ascii="宋体" w:hAnsi="宋体" w:cs="宋体" w:eastAsia="宋体" w:hint="default"/>
          <w:b/>
          <w:bCs/>
          <w:spacing w:val="29"/>
          <w:w w:val="95"/>
          <w:sz w:val="28"/>
          <w:szCs w:val="28"/>
        </w:rPr>
      </w:r>
      <w:r>
        <w:rPr>
          <w:rFonts w:ascii="宋体" w:hAnsi="宋体" w:cs="宋体" w:eastAsia="宋体" w:hint="default"/>
          <w:b/>
          <w:bCs/>
          <w:w w:val="95"/>
          <w:sz w:val="28"/>
          <w:szCs w:val="28"/>
        </w:rPr>
        <w:t>入的比例较高，合计占比 </w:t>
      </w:r>
      <w:r>
        <w:rPr>
          <w:rFonts w:ascii="Times New Roman" w:hAnsi="Times New Roman" w:cs="Times New Roman" w:eastAsia="Times New Roman" w:hint="default"/>
          <w:b/>
          <w:bCs/>
          <w:w w:val="95"/>
          <w:sz w:val="28"/>
          <w:szCs w:val="28"/>
        </w:rPr>
        <w:t>55.38%</w:t>
      </w:r>
      <w:r>
        <w:rPr>
          <w:rFonts w:ascii="宋体" w:hAnsi="宋体" w:cs="宋体" w:eastAsia="宋体" w:hint="default"/>
          <w:b/>
          <w:bCs/>
          <w:w w:val="95"/>
          <w:sz w:val="28"/>
          <w:szCs w:val="28"/>
        </w:rPr>
        <w:t>，公司业务对大客户有一定的依赖性。如若前</w:t>
      </w:r>
      <w:r>
        <w:rPr>
          <w:rFonts w:ascii="宋体" w:hAnsi="宋体" w:cs="宋体" w:eastAsia="宋体" w:hint="default"/>
          <w:b/>
          <w:bCs/>
          <w:spacing w:val="-59"/>
          <w:w w:val="95"/>
          <w:sz w:val="28"/>
          <w:szCs w:val="28"/>
        </w:rPr>
        <w:t> </w:t>
      </w:r>
      <w:r>
        <w:rPr>
          <w:rFonts w:ascii="宋体" w:hAnsi="宋体" w:cs="宋体" w:eastAsia="宋体" w:hint="default"/>
          <w:b/>
          <w:bCs/>
          <w:spacing w:val="-59"/>
          <w:w w:val="95"/>
          <w:sz w:val="28"/>
          <w:szCs w:val="28"/>
        </w:rPr>
      </w:r>
      <w:r>
        <w:rPr>
          <w:rFonts w:ascii="宋体" w:hAnsi="宋体" w:cs="宋体" w:eastAsia="宋体" w:hint="default"/>
          <w:b/>
          <w:bCs/>
          <w:spacing w:val="3"/>
          <w:w w:val="95"/>
          <w:sz w:val="28"/>
          <w:szCs w:val="28"/>
        </w:rPr>
        <w:t>五大客户因国家宏观调控、金融行业景气周期的波动等因素导致生产经营状况</w:t>
      </w:r>
      <w:r>
        <w:rPr>
          <w:rFonts w:ascii="宋体" w:hAnsi="宋体" w:cs="宋体" w:eastAsia="宋体" w:hint="default"/>
          <w:b/>
          <w:bCs/>
          <w:spacing w:val="24"/>
          <w:w w:val="95"/>
          <w:sz w:val="28"/>
          <w:szCs w:val="28"/>
        </w:rPr>
        <w:t> </w:t>
      </w:r>
      <w:r>
        <w:rPr>
          <w:rFonts w:ascii="宋体" w:hAnsi="宋体" w:cs="宋体" w:eastAsia="宋体" w:hint="default"/>
          <w:b/>
          <w:bCs/>
          <w:spacing w:val="24"/>
          <w:w w:val="95"/>
          <w:sz w:val="28"/>
          <w:szCs w:val="28"/>
        </w:rPr>
      </w:r>
      <w:r>
        <w:rPr>
          <w:rFonts w:ascii="宋体" w:hAnsi="宋体" w:cs="宋体" w:eastAsia="宋体" w:hint="default"/>
          <w:b/>
          <w:bCs/>
          <w:spacing w:val="3"/>
          <w:w w:val="95"/>
          <w:sz w:val="28"/>
          <w:szCs w:val="28"/>
        </w:rPr>
        <w:t>或固定资产投入发生重大不利变化，将对公司的正常生产经营带来不利影响，</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公司存在销售客户相对集中的风险。同时，公司对于前五大供应商采购相对集</w:t>
      </w:r>
      <w:r>
        <w:rPr>
          <w:rFonts w:ascii="宋体" w:hAnsi="宋体" w:cs="宋体" w:eastAsia="宋体" w:hint="default"/>
          <w:b/>
          <w:bCs/>
          <w:spacing w:val="28"/>
          <w:w w:val="95"/>
          <w:sz w:val="28"/>
          <w:szCs w:val="28"/>
        </w:rPr>
        <w:t> </w:t>
      </w:r>
      <w:r>
        <w:rPr>
          <w:rFonts w:ascii="宋体" w:hAnsi="宋体" w:cs="宋体" w:eastAsia="宋体" w:hint="default"/>
          <w:b/>
          <w:bCs/>
          <w:spacing w:val="28"/>
          <w:w w:val="95"/>
          <w:sz w:val="28"/>
          <w:szCs w:val="28"/>
        </w:rPr>
      </w:r>
      <w:r>
        <w:rPr>
          <w:rFonts w:ascii="宋体" w:hAnsi="宋体" w:cs="宋体" w:eastAsia="宋体" w:hint="default"/>
          <w:b/>
          <w:bCs/>
          <w:sz w:val="28"/>
          <w:szCs w:val="28"/>
        </w:rPr>
        <w:t>中，合计占比</w:t>
      </w:r>
      <w:r>
        <w:rPr>
          <w:rFonts w:ascii="宋体" w:hAnsi="宋体" w:cs="宋体" w:eastAsia="宋体" w:hint="default"/>
          <w:b/>
          <w:bCs/>
          <w:spacing w:val="-87"/>
          <w:sz w:val="28"/>
          <w:szCs w:val="28"/>
        </w:rPr>
        <w:t> </w:t>
      </w:r>
      <w:r>
        <w:rPr>
          <w:rFonts w:ascii="Times New Roman" w:hAnsi="Times New Roman" w:cs="Times New Roman" w:eastAsia="Times New Roman" w:hint="default"/>
          <w:b/>
          <w:bCs/>
          <w:sz w:val="28"/>
          <w:szCs w:val="28"/>
        </w:rPr>
        <w:t>57.82%</w:t>
      </w:r>
      <w:r>
        <w:rPr>
          <w:rFonts w:ascii="宋体" w:hAnsi="宋体" w:cs="宋体" w:eastAsia="宋体" w:hint="default"/>
          <w:b/>
          <w:bCs/>
          <w:sz w:val="28"/>
          <w:szCs w:val="28"/>
        </w:rPr>
        <w:t>，也为我公司运营带来风险。</w:t>
      </w:r>
      <w:r>
        <w:rPr>
          <w:rFonts w:ascii="宋体" w:hAnsi="宋体" w:cs="宋体" w:eastAsia="宋体" w:hint="default"/>
          <w:sz w:val="28"/>
          <w:szCs w:val="28"/>
        </w:rPr>
      </w:r>
    </w:p>
    <w:p>
      <w:pPr>
        <w:spacing w:after="0" w:line="405" w:lineRule="auto"/>
        <w:jc w:val="both"/>
        <w:rPr>
          <w:rFonts w:ascii="宋体" w:hAnsi="宋体" w:cs="宋体" w:eastAsia="宋体" w:hint="default"/>
          <w:sz w:val="28"/>
          <w:szCs w:val="28"/>
        </w:rPr>
        <w:sectPr>
          <w:headerReference w:type="default" r:id="rId7"/>
          <w:footerReference w:type="default" r:id="rId8"/>
          <w:pgSz w:w="11910" w:h="16840"/>
          <w:pgMar w:header="877" w:footer="1187" w:top="1060" w:bottom="1380" w:left="0" w:right="0"/>
          <w:pgNumType w:start="1"/>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5"/>
          <w:szCs w:val="25"/>
        </w:rPr>
      </w:pPr>
    </w:p>
    <w:p>
      <w:pPr>
        <w:spacing w:before="13"/>
        <w:ind w:left="1695"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92"/>
          <w:sz w:val="28"/>
          <w:szCs w:val="28"/>
        </w:rPr>
        <w:t> </w:t>
      </w:r>
      <w:r>
        <w:rPr>
          <w:rFonts w:ascii="Times New Roman" w:hAnsi="Times New Roman" w:cs="Times New Roman" w:eastAsia="Times New Roman" w:hint="default"/>
          <w:b/>
          <w:bCs/>
          <w:sz w:val="28"/>
          <w:szCs w:val="28"/>
        </w:rPr>
        <w:t>134,940,000</w:t>
      </w:r>
      <w:r>
        <w:rPr>
          <w:rFonts w:ascii="Times New Roman" w:hAnsi="Times New Roman" w:cs="Times New Roman" w:eastAsia="Times New Roman" w:hint="default"/>
          <w:b/>
          <w:bCs/>
          <w:spacing w:val="-26"/>
          <w:sz w:val="28"/>
          <w:szCs w:val="28"/>
        </w:rPr>
        <w:t> </w:t>
      </w:r>
      <w:r>
        <w:rPr>
          <w:rFonts w:ascii="宋体" w:hAnsi="宋体" w:cs="宋体" w:eastAsia="宋体" w:hint="default"/>
          <w:b/>
          <w:bCs/>
          <w:spacing w:val="-6"/>
          <w:sz w:val="28"/>
          <w:szCs w:val="28"/>
        </w:rPr>
        <w:t>为基数，向</w:t>
      </w:r>
      <w:r>
        <w:rPr>
          <w:rFonts w:ascii="宋体" w:hAnsi="宋体" w:cs="宋体" w:eastAsia="宋体" w:hint="default"/>
          <w:spacing w:val="-6"/>
          <w:sz w:val="28"/>
          <w:szCs w:val="28"/>
        </w:rPr>
      </w:r>
    </w:p>
    <w:p>
      <w:pPr>
        <w:spacing w:before="237"/>
        <w:ind w:left="1133" w:right="0" w:firstLine="0"/>
        <w:jc w:val="left"/>
        <w:rPr>
          <w:rFonts w:ascii="宋体" w:hAnsi="宋体" w:cs="宋体" w:eastAsia="宋体" w:hint="default"/>
          <w:sz w:val="28"/>
          <w:szCs w:val="28"/>
        </w:rPr>
      </w:pPr>
      <w:r>
        <w:rPr>
          <w:rFonts w:ascii="宋体" w:hAnsi="宋体" w:cs="宋体" w:eastAsia="宋体" w:hint="default"/>
          <w:b/>
          <w:bCs/>
          <w:w w:val="99"/>
          <w:sz w:val="28"/>
          <w:szCs w:val="28"/>
        </w:rPr>
        <w:t>全体股</w:t>
      </w:r>
      <w:r>
        <w:rPr>
          <w:rFonts w:ascii="宋体" w:hAnsi="宋体" w:cs="宋体" w:eastAsia="宋体" w:hint="default"/>
          <w:b/>
          <w:bCs/>
          <w:spacing w:val="2"/>
          <w:w w:val="99"/>
          <w:sz w:val="28"/>
          <w:szCs w:val="28"/>
        </w:rPr>
        <w:t>东</w:t>
      </w:r>
      <w:r>
        <w:rPr>
          <w:rFonts w:ascii="宋体" w:hAnsi="宋体" w:cs="宋体" w:eastAsia="宋体" w:hint="default"/>
          <w:b/>
          <w:bCs/>
          <w:w w:val="99"/>
          <w:sz w:val="28"/>
          <w:szCs w:val="28"/>
        </w:rPr>
        <w:t>每</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1"/>
          <w:sz w:val="28"/>
          <w:szCs w:val="28"/>
        </w:rPr>
        <w:t> </w:t>
      </w:r>
      <w:r>
        <w:rPr>
          <w:rFonts w:ascii="宋体" w:hAnsi="宋体" w:cs="宋体" w:eastAsia="宋体" w:hint="default"/>
          <w:b/>
          <w:bCs/>
          <w:w w:val="99"/>
          <w:sz w:val="28"/>
          <w:szCs w:val="28"/>
        </w:rPr>
        <w:t>股派发现</w:t>
      </w:r>
      <w:r>
        <w:rPr>
          <w:rFonts w:ascii="宋体" w:hAnsi="宋体" w:cs="宋体" w:eastAsia="宋体" w:hint="default"/>
          <w:b/>
          <w:bCs/>
          <w:spacing w:val="2"/>
          <w:w w:val="99"/>
          <w:sz w:val="28"/>
          <w:szCs w:val="28"/>
        </w:rPr>
        <w:t>金</w:t>
      </w:r>
      <w:r>
        <w:rPr>
          <w:rFonts w:ascii="宋体" w:hAnsi="宋体" w:cs="宋体" w:eastAsia="宋体" w:hint="default"/>
          <w:b/>
          <w:bCs/>
          <w:w w:val="99"/>
          <w:sz w:val="28"/>
          <w:szCs w:val="28"/>
        </w:rPr>
        <w:t>红利</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0.46</w:t>
      </w:r>
      <w:r>
        <w:rPr>
          <w:rFonts w:ascii="Times New Roman" w:hAnsi="Times New Roman" w:cs="Times New Roman" w:eastAsia="Times New Roman" w:hint="default"/>
          <w:b/>
          <w:bCs/>
          <w:sz w:val="28"/>
          <w:szCs w:val="28"/>
        </w:rPr>
        <w:t> </w:t>
      </w:r>
      <w:r>
        <w:rPr>
          <w:rFonts w:ascii="宋体" w:hAnsi="宋体" w:cs="宋体" w:eastAsia="宋体" w:hint="default"/>
          <w:b/>
          <w:bCs/>
          <w:spacing w:val="-30"/>
          <w:w w:val="99"/>
          <w:sz w:val="28"/>
          <w:szCs w:val="28"/>
        </w:rPr>
        <w:t>元</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0"/>
          <w:w w:val="99"/>
          <w:sz w:val="28"/>
          <w:szCs w:val="28"/>
        </w:rPr>
        <w:t>）</w:t>
      </w:r>
      <w:r>
        <w:rPr>
          <w:rFonts w:ascii="宋体" w:hAnsi="宋体" w:cs="宋体" w:eastAsia="宋体" w:hint="default"/>
          <w:b/>
          <w:bCs/>
          <w:spacing w:val="-30"/>
          <w:w w:val="99"/>
          <w:sz w:val="28"/>
          <w:szCs w:val="28"/>
        </w:rPr>
        <w:t>，</w:t>
      </w:r>
      <w:r>
        <w:rPr>
          <w:rFonts w:ascii="宋体" w:hAnsi="宋体" w:cs="宋体" w:eastAsia="宋体" w:hint="default"/>
          <w:b/>
          <w:bCs/>
          <w:w w:val="99"/>
          <w:sz w:val="28"/>
          <w:szCs w:val="28"/>
        </w:rPr>
        <w:t>送红股</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30"/>
          <w:w w:val="99"/>
          <w:sz w:val="28"/>
          <w:szCs w:val="28"/>
        </w:rPr>
        <w:t>股</w:t>
      </w:r>
      <w:r>
        <w:rPr>
          <w:rFonts w:ascii="宋体" w:hAnsi="宋体" w:cs="宋体" w:eastAsia="宋体" w:hint="default"/>
          <w:b/>
          <w:bCs/>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spacing w:val="-30"/>
          <w:w w:val="99"/>
          <w:sz w:val="28"/>
          <w:szCs w:val="28"/>
        </w:rPr>
        <w:t>，</w:t>
      </w:r>
      <w:r>
        <w:rPr>
          <w:rFonts w:ascii="宋体" w:hAnsi="宋体" w:cs="宋体" w:eastAsia="宋体" w:hint="default"/>
          <w:b/>
          <w:bCs/>
          <w:w w:val="99"/>
          <w:sz w:val="28"/>
          <w:szCs w:val="28"/>
        </w:rPr>
        <w:t>以资本公</w:t>
      </w:r>
      <w:r>
        <w:rPr>
          <w:rFonts w:ascii="宋体" w:hAnsi="宋体" w:cs="宋体" w:eastAsia="宋体" w:hint="default"/>
          <w:sz w:val="28"/>
          <w:szCs w:val="28"/>
        </w:rPr>
      </w:r>
    </w:p>
    <w:p>
      <w:pPr>
        <w:spacing w:before="237"/>
        <w:ind w:left="1133" w:right="0" w:firstLine="0"/>
        <w:jc w:val="left"/>
        <w:rPr>
          <w:rFonts w:ascii="宋体" w:hAnsi="宋体" w:cs="宋体" w:eastAsia="宋体" w:hint="default"/>
          <w:sz w:val="28"/>
          <w:szCs w:val="28"/>
        </w:rPr>
      </w:pPr>
      <w:r>
        <w:rPr>
          <w:rFonts w:ascii="宋体" w:hAnsi="宋体" w:cs="宋体" w:eastAsia="宋体" w:hint="default"/>
          <w:b/>
          <w:bCs/>
          <w:sz w:val="28"/>
          <w:szCs w:val="28"/>
        </w:rPr>
        <w:t>积金向全体股东每</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股转增</w:t>
      </w:r>
      <w:r>
        <w:rPr>
          <w:rFonts w:ascii="宋体" w:hAnsi="宋体" w:cs="宋体" w:eastAsia="宋体" w:hint="default"/>
          <w:b/>
          <w:bCs/>
          <w:spacing w:val="-73"/>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pgSz w:w="11910" w:h="16840"/>
          <w:pgMar w:header="877" w:footer="1187" w:top="1100" w:bottom="138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6"/>
          <w:szCs w:val="26"/>
        </w:rPr>
      </w:pPr>
    </w:p>
    <w:p>
      <w:pPr>
        <w:spacing w:line="460" w:lineRule="exact" w:before="0"/>
        <w:ind w:left="1114" w:right="1113"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10762"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w:t>
            </w:r>
            <w:r>
              <w:rPr>
                <w:spacing w:val="-19"/>
              </w:rPr>
              <w:t> </w:t>
            </w:r>
            <w:r>
              <w:rPr/>
              <w:t>重要提示、目录和释义</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9"/>
              </w:rPr>
              <w:t> </w:t>
            </w:r>
            <w:r>
              <w:rPr/>
              <w:t>公司简介和主要财务指标</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19"/>
              </w:rPr>
              <w:t> </w:t>
            </w:r>
            <w:r>
              <w:rPr/>
              <w:t>公司业务概要</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9"/>
              </w:rPr>
              <w:t> </w:t>
            </w:r>
            <w:r>
              <w:rPr/>
              <w:t>管理层讨论与分析</w:t>
            </w:r>
            <w:r>
              <w:rPr>
                <w:rFonts w:ascii="Times New Roman" w:hAnsi="Times New Roman" w:cs="Times New Roman" w:eastAsia="Times New Roman" w:hint="default"/>
              </w:rPr>
              <w:tab/>
              <w:t>28</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9"/>
              </w:rPr>
              <w:t> </w:t>
            </w:r>
            <w:r>
              <w:rPr/>
              <w:t>重要事项</w:t>
            </w:r>
            <w:r>
              <w:rPr>
                <w:rFonts w:ascii="Times New Roman" w:hAnsi="Times New Roman" w:cs="Times New Roman" w:eastAsia="Times New Roman" w:hint="default"/>
              </w:rPr>
              <w:tab/>
              <w:t>44</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9"/>
              </w:rPr>
              <w:t> </w:t>
            </w:r>
            <w:r>
              <w:rPr/>
              <w:t>股份变动及股东情况</w:t>
            </w:r>
            <w:r>
              <w:rPr>
                <w:rFonts w:ascii="Times New Roman" w:hAnsi="Times New Roman" w:cs="Times New Roman" w:eastAsia="Times New Roman" w:hint="default"/>
              </w:rPr>
              <w:tab/>
              <w:t>49</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第七节</w:t>
            </w:r>
            <w:r>
              <w:rPr>
                <w:spacing w:val="-19"/>
              </w:rPr>
              <w:t> </w:t>
            </w:r>
            <w:r>
              <w:rPr/>
              <w:t>优先股相关情况</w:t>
            </w:r>
            <w:r>
              <w:rPr>
                <w:rFonts w:ascii="Times New Roman" w:hAnsi="Times New Roman" w:cs="Times New Roman" w:eastAsia="Times New Roman" w:hint="default"/>
              </w:rPr>
              <w:tab/>
              <w:t>49</w:t>
            </w:r>
            <w:r>
              <w:rPr>
                <w:rFonts w:ascii="Times New Roman" w:hAnsi="Times New Roman" w:cs="Times New Roman" w:eastAsia="Times New Roman" w:hint="default"/>
                <w:b w:val="0"/>
                <w:bCs w:val="0"/>
              </w:rPr>
            </w:r>
          </w:hyperlink>
        </w:p>
        <w:p>
          <w:pPr>
            <w:pStyle w:val="TOC1"/>
            <w:tabs>
              <w:tab w:pos="10762"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6">
            <w:r>
              <w:rPr/>
              <w:t>第八节</w:t>
            </w:r>
            <w:r>
              <w:rPr>
                <w:spacing w:val="-19"/>
              </w:rPr>
              <w:t> </w:t>
            </w:r>
            <w:r>
              <w:rPr/>
              <w:t>董事、监事、高级管理人员和员工情况</w:t>
            </w:r>
            <w:r>
              <w:rPr>
                <w:rFonts w:ascii="Times New Roman" w:hAnsi="Times New Roman" w:cs="Times New Roman" w:eastAsia="Times New Roman" w:hint="default"/>
              </w:rPr>
              <w:tab/>
              <w:t>50</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第九节</w:t>
            </w:r>
            <w:r>
              <w:rPr>
                <w:spacing w:val="-19"/>
              </w:rPr>
              <w:t> </w:t>
            </w:r>
            <w:r>
              <w:rPr/>
              <w:t>公司治理</w:t>
            </w:r>
            <w:r>
              <w:rPr>
                <w:rFonts w:ascii="Times New Roman" w:hAnsi="Times New Roman" w:cs="Times New Roman" w:eastAsia="Times New Roman" w:hint="default"/>
              </w:rPr>
              <w:tab/>
              <w:t>57</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第十节</w:t>
            </w:r>
            <w:r>
              <w:rPr>
                <w:spacing w:val="-19"/>
              </w:rPr>
              <w:t> </w:t>
            </w:r>
            <w:r>
              <w:rPr/>
              <w:t>财务报告</w:t>
            </w:r>
            <w:r>
              <w:rPr>
                <w:rFonts w:ascii="Times New Roman" w:hAnsi="Times New Roman" w:cs="Times New Roman" w:eastAsia="Times New Roman" w:hint="default"/>
              </w:rPr>
              <w:tab/>
              <w:t>62</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第十一节</w:t>
            </w:r>
            <w:r>
              <w:rPr>
                <w:spacing w:val="-20"/>
              </w:rPr>
              <w:t> </w:t>
            </w:r>
            <w:r>
              <w:rPr/>
              <w:t>备查文件目录</w:t>
            </w:r>
            <w:r>
              <w:rPr>
                <w:rFonts w:ascii="Times New Roman" w:hAnsi="Times New Roman" w:cs="Times New Roman" w:eastAsia="Times New Roman" w:hint="default"/>
              </w:rPr>
              <w:tab/>
              <w:t>141</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877" w:footer="1187" w:top="1100" w:bottom="1380" w:left="0" w:right="0"/>
        </w:sectPr>
      </w:pPr>
    </w:p>
    <w:p>
      <w:pPr>
        <w:spacing w:before="893"/>
        <w:ind w:left="1114" w:right="1113"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536"/>
        <w:gridCol w:w="599"/>
        <w:gridCol w:w="5424"/>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w:t>
            </w:r>
            <w:r>
              <w:rPr>
                <w:rFonts w:ascii="Times New Roman" w:hAnsi="Times New Roman" w:cs="Times New Roman" w:eastAsia="Times New Roman" w:hint="default"/>
                <w:sz w:val="18"/>
                <w:szCs w:val="18"/>
              </w:rPr>
              <w:t>/</w:t>
            </w:r>
            <w:r>
              <w:rPr>
                <w:rFonts w:ascii="宋体" w:hAnsi="宋体" w:cs="宋体" w:eastAsia="宋体" w:hint="default"/>
                <w:sz w:val="18"/>
                <w:szCs w:val="18"/>
              </w:rPr>
              <w:t>高伟达</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高伟达软件股份有限公司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鹰高投资</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鹰潭市鹰高投资咨询有限公司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银联科技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银联科技有限公司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贵昌有限</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贵昌有限公司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兴业数金</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兴业数字金融服务（上海）股份有限公司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盈行金融</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盈行金融信息技术（上海）有限公司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本公司发行的人民币普通股</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保荐机构</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华泰联合证券有限责任公司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审计机构</w:t>
            </w:r>
            <w:r>
              <w:rPr>
                <w:rFonts w:ascii="Times New Roman" w:hAnsi="Times New Roman" w:cs="Times New Roman" w:eastAsia="Times New Roman" w:hint="default"/>
                <w:sz w:val="18"/>
                <w:szCs w:val="18"/>
              </w:rPr>
              <w:t>/</w:t>
            </w:r>
            <w:r>
              <w:rPr>
                <w:rFonts w:ascii="宋体" w:hAnsi="宋体" w:cs="宋体" w:eastAsia="宋体" w:hint="default"/>
                <w:sz w:val="18"/>
                <w:szCs w:val="18"/>
              </w:rPr>
              <w:t>会计师事务所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证监会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161" w:hRule="exact"/>
        </w:trPr>
        <w:tc>
          <w:tcPr>
            <w:tcW w:w="3536" w:type="dxa"/>
            <w:vMerge w:val="restart"/>
            <w:tcBorders>
              <w:top w:val="single" w:sz="4" w:space="0" w:color="000000"/>
              <w:left w:val="single" w:sz="4" w:space="0" w:color="000000"/>
              <w:right w:val="single" w:sz="9" w:space="0" w:color="D2D2D2"/>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《企业会计准则》</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shd w:val="clear" w:color="auto" w:fill="C6ECCC"/>
          </w:tcPr>
          <w:p>
            <w:pPr>
              <w:pStyle w:val="TableParagraph"/>
              <w:spacing w:line="300" w:lineRule="auto" w:before="51"/>
              <w:ind w:left="27" w:right="11"/>
              <w:jc w:val="left"/>
              <w:rPr>
                <w:rFonts w:ascii="宋体" w:hAnsi="宋体" w:cs="宋体" w:eastAsia="宋体" w:hint="default"/>
                <w:sz w:val="18"/>
                <w:szCs w:val="18"/>
              </w:rPr>
            </w:pPr>
            <w:r>
              <w:rPr>
                <w:rFonts w:ascii="宋体" w:hAnsi="宋体" w:cs="宋体" w:eastAsia="宋体" w:hint="default"/>
                <w:sz w:val="18"/>
                <w:szCs w:val="18"/>
              </w:rPr>
              <w:t>财政部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月颁布的并于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日起施行的《企业会计</w:t>
            </w:r>
            <w:r>
              <w:rPr>
                <w:rFonts w:ascii="宋体" w:hAnsi="宋体" w:cs="宋体" w:eastAsia="宋体" w:hint="default"/>
                <w:sz w:val="18"/>
                <w:szCs w:val="18"/>
              </w:rPr>
              <w:t> </w:t>
            </w:r>
            <w:r>
              <w:rPr>
                <w:rFonts w:ascii="宋体" w:hAnsi="宋体" w:cs="宋体" w:eastAsia="宋体" w:hint="default"/>
                <w:spacing w:val="-3"/>
                <w:sz w:val="18"/>
                <w:szCs w:val="18"/>
              </w:rPr>
              <w:t>准则》，包括基本准则、具体准则、应用指南、解释和其他相关规定</w:t>
            </w:r>
          </w:p>
        </w:tc>
      </w:tr>
      <w:tr>
        <w:trPr>
          <w:trHeight w:val="392" w:hRule="exact"/>
        </w:trPr>
        <w:tc>
          <w:tcPr>
            <w:tcW w:w="3536" w:type="dxa"/>
            <w:vMerge/>
            <w:tcBorders>
              <w:left w:val="single" w:sz="4" w:space="0" w:color="000000"/>
              <w:right w:val="single" w:sz="9" w:space="0" w:color="D2D2D2"/>
            </w:tcBorders>
            <w:shd w:val="clear" w:color="auto" w:fill="C6ECCC"/>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shd w:val="clear" w:color="auto" w:fill="C6ECCC"/>
          </w:tcPr>
          <w:p>
            <w:pPr/>
          </w:p>
        </w:tc>
      </w:tr>
      <w:tr>
        <w:trPr>
          <w:trHeight w:val="161" w:hRule="exact"/>
        </w:trPr>
        <w:tc>
          <w:tcPr>
            <w:tcW w:w="3536" w:type="dxa"/>
            <w:vMerge/>
            <w:tcBorders>
              <w:left w:val="single" w:sz="4" w:space="0" w:color="000000"/>
              <w:bottom w:val="single" w:sz="4" w:space="0" w:color="000000"/>
              <w:right w:val="single" w:sz="9" w:space="0" w:color="D2D2D2"/>
            </w:tcBorders>
            <w:shd w:val="clear" w:color="auto" w:fill="C6ECCC"/>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shd w:val="clear" w:color="auto" w:fill="C6ECCC"/>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《高伟达软件股份有限公司公司章程》</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w:t>
            </w:r>
          </w:p>
        </w:tc>
      </w:tr>
    </w:tbl>
    <w:p>
      <w:pPr>
        <w:spacing w:after="0" w:line="240" w:lineRule="auto"/>
        <w:jc w:val="left"/>
        <w:rPr>
          <w:rFonts w:ascii="宋体" w:hAnsi="宋体" w:cs="宋体" w:eastAsia="宋体" w:hint="default"/>
          <w:sz w:val="18"/>
          <w:szCs w:val="18"/>
        </w:rPr>
        <w:sectPr>
          <w:pgSz w:w="11910" w:h="16840"/>
          <w:pgMar w:header="877" w:footer="1187" w:top="1100" w:bottom="138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p>
      <w:pPr>
        <w:pStyle w:val="Heading1"/>
        <w:spacing w:line="240" w:lineRule="auto"/>
        <w:ind w:left="3624" w:right="0"/>
        <w:jc w:val="left"/>
        <w:rPr>
          <w:b w:val="0"/>
          <w:bCs w:val="0"/>
        </w:rPr>
      </w:pPr>
      <w:bookmarkStart w:name="第二节 公司简介和主要财务指标" w:id="2"/>
      <w:bookmarkEnd w:id="2"/>
      <w:r>
        <w:rPr>
          <w:b w:val="0"/>
          <w:bCs w:val="0"/>
        </w:rPr>
      </w:r>
      <w:bookmarkStart w:name="_bookmark0" w:id="3"/>
      <w:bookmarkEnd w:id="3"/>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4"/>
      <w:bookmarkEnd w:id="4"/>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2273"/>
        <w:gridCol w:w="2965"/>
        <w:gridCol w:w="2145"/>
        <w:gridCol w:w="2188"/>
      </w:tblGrid>
      <w:tr>
        <w:trPr>
          <w:trHeight w:val="402" w:hRule="exact"/>
        </w:trPr>
        <w:tc>
          <w:tcPr>
            <w:tcW w:w="2273"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9" w:space="0" w:color="D2D2D2"/>
              <w:bottom w:val="single" w:sz="4" w:space="0" w:color="000000"/>
              <w:right w:val="single" w:sz="4" w:space="0" w:color="000000"/>
            </w:tcBorders>
            <w:shd w:val="clear" w:color="auto" w:fill="C6ECCC"/>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高伟达</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shd w:val="clear" w:color="auto" w:fill="C6ECCC"/>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300465</w:t>
            </w:r>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高伟达软件股份有限公司</w:t>
            </w:r>
          </w:p>
        </w:tc>
      </w:tr>
      <w:tr>
        <w:trPr>
          <w:trHeight w:val="402" w:hRule="exact"/>
        </w:trPr>
        <w:tc>
          <w:tcPr>
            <w:tcW w:w="2273"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shd w:val="clear" w:color="auto" w:fill="C6ECCC"/>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高伟达</w:t>
            </w:r>
          </w:p>
        </w:tc>
      </w:tr>
      <w:tr>
        <w:trPr>
          <w:trHeight w:val="402" w:hRule="exact"/>
        </w:trPr>
        <w:tc>
          <w:tcPr>
            <w:tcW w:w="2273"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shd w:val="clear" w:color="auto" w:fill="C6ECCC"/>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GLOBAL INFOTECH CO.,</w:t>
            </w:r>
            <w:r>
              <w:rPr>
                <w:rFonts w:ascii="Times New Roman"/>
                <w:spacing w:val="-10"/>
                <w:sz w:val="18"/>
              </w:rPr>
              <w:t> </w:t>
            </w:r>
            <w:r>
              <w:rPr>
                <w:rFonts w:ascii="Times New Roman"/>
                <w:spacing w:val="-5"/>
                <w:sz w:val="18"/>
              </w:rPr>
              <w:t>LTD.</w:t>
            </w:r>
          </w:p>
        </w:tc>
      </w:tr>
      <w:tr>
        <w:trPr>
          <w:trHeight w:val="401" w:hRule="exact"/>
        </w:trPr>
        <w:tc>
          <w:tcPr>
            <w:tcW w:w="2273"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9" w:space="0" w:color="D2D2D2"/>
              <w:bottom w:val="single" w:sz="4" w:space="0" w:color="000000"/>
              <w:right w:val="single" w:sz="4" w:space="0" w:color="000000"/>
            </w:tcBorders>
            <w:shd w:val="clear" w:color="auto" w:fill="C6ECCC"/>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GIT</w:t>
            </w:r>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于伟</w:t>
            </w:r>
          </w:p>
        </w:tc>
      </w:tr>
      <w:tr>
        <w:trPr>
          <w:trHeight w:val="402" w:hRule="exact"/>
        </w:trPr>
        <w:tc>
          <w:tcPr>
            <w:tcW w:w="2273"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shd w:val="clear" w:color="auto" w:fill="C6ECCC"/>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北京市海淀区大慧寺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号北区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房间</w:t>
            </w:r>
          </w:p>
        </w:tc>
      </w:tr>
      <w:tr>
        <w:trPr>
          <w:trHeight w:val="402" w:hRule="exact"/>
        </w:trPr>
        <w:tc>
          <w:tcPr>
            <w:tcW w:w="2273"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shd w:val="clear" w:color="auto" w:fill="C6ECCC"/>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100081</w:t>
            </w:r>
          </w:p>
        </w:tc>
      </w:tr>
      <w:tr>
        <w:trPr>
          <w:trHeight w:val="402" w:hRule="exact"/>
        </w:trPr>
        <w:tc>
          <w:tcPr>
            <w:tcW w:w="2273"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shd w:val="clear" w:color="auto" w:fill="C6ECCC"/>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北京市朝阳区亮马桥路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号高斓大厦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1601 </w:t>
            </w:r>
            <w:r>
              <w:rPr>
                <w:rFonts w:ascii="宋体" w:hAnsi="宋体" w:cs="宋体" w:eastAsia="宋体" w:hint="default"/>
                <w:sz w:val="18"/>
                <w:szCs w:val="18"/>
              </w:rPr>
              <w:t>室</w:t>
            </w:r>
          </w:p>
        </w:tc>
      </w:tr>
      <w:tr>
        <w:trPr>
          <w:trHeight w:val="402" w:hRule="exact"/>
        </w:trPr>
        <w:tc>
          <w:tcPr>
            <w:tcW w:w="2273"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shd w:val="clear" w:color="auto" w:fill="C6ECCC"/>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100016</w:t>
            </w:r>
          </w:p>
        </w:tc>
      </w:tr>
      <w:tr>
        <w:trPr>
          <w:trHeight w:val="402" w:hRule="exact"/>
        </w:trPr>
        <w:tc>
          <w:tcPr>
            <w:tcW w:w="2273"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7" w:type="dxa"/>
            <w:gridSpan w:val="3"/>
            <w:tcBorders>
              <w:top w:val="single" w:sz="4" w:space="0" w:color="000000"/>
              <w:left w:val="single" w:sz="9" w:space="0" w:color="D2D2D2"/>
              <w:bottom w:val="single" w:sz="4" w:space="0" w:color="000000"/>
              <w:right w:val="single" w:sz="4" w:space="0" w:color="000000"/>
            </w:tcBorders>
            <w:shd w:val="clear" w:color="auto" w:fill="C6ECCC"/>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www.git.com.cn</w:t>
              </w:r>
            </w:hyperlink>
          </w:p>
        </w:tc>
      </w:tr>
      <w:tr>
        <w:trPr>
          <w:trHeight w:val="402" w:hRule="exact"/>
        </w:trPr>
        <w:tc>
          <w:tcPr>
            <w:tcW w:w="2273"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shd w:val="clear" w:color="auto" w:fill="C6ECCC"/>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securities@git.com.cn</w:t>
              </w:r>
            </w:hyperlink>
          </w:p>
        </w:tc>
      </w:tr>
    </w:tbl>
    <w:p>
      <w:pPr>
        <w:spacing w:line="240" w:lineRule="auto" w:before="3"/>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二、联系人和联系方式" w:id="5"/>
      <w:bookmarkEnd w:id="5"/>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201"/>
        <w:gridCol w:w="3179"/>
        <w:gridCol w:w="3179"/>
      </w:tblGrid>
      <w:tr>
        <w:trPr>
          <w:trHeight w:val="402" w:hRule="exact"/>
        </w:trPr>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201"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79"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高源</w:t>
            </w:r>
          </w:p>
        </w:tc>
        <w:tc>
          <w:tcPr>
            <w:tcW w:w="31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郑祥云</w:t>
            </w:r>
          </w:p>
        </w:tc>
      </w:tr>
      <w:tr>
        <w:trPr>
          <w:trHeight w:val="161" w:hRule="exact"/>
        </w:trPr>
        <w:tc>
          <w:tcPr>
            <w:tcW w:w="3201" w:type="dxa"/>
            <w:tcBorders>
              <w:top w:val="single" w:sz="4" w:space="0" w:color="000000"/>
              <w:left w:val="single" w:sz="4" w:space="0" w:color="000000"/>
              <w:bottom w:val="nil" w:sz="6" w:space="0" w:color="auto"/>
              <w:right w:val="single" w:sz="13" w:space="0" w:color="C6ECCC"/>
            </w:tcBorders>
            <w:shd w:val="clear" w:color="auto" w:fill="D2D2D2"/>
          </w:tcPr>
          <w:p>
            <w:pPr/>
          </w:p>
        </w:tc>
        <w:tc>
          <w:tcPr>
            <w:tcW w:w="3179" w:type="dxa"/>
            <w:vMerge w:val="restart"/>
            <w:tcBorders>
              <w:top w:val="single" w:sz="4" w:space="0" w:color="000000"/>
              <w:left w:val="single" w:sz="9" w:space="0" w:color="D2D2D2"/>
              <w:right w:val="single" w:sz="4" w:space="0" w:color="000000"/>
            </w:tcBorders>
            <w:shd w:val="clear" w:color="auto" w:fill="C6ECCC"/>
          </w:tcPr>
          <w:p>
            <w:pPr>
              <w:pStyle w:val="TableParagraph"/>
              <w:spacing w:line="240" w:lineRule="auto" w:before="51"/>
              <w:ind w:left="4" w:right="0"/>
              <w:jc w:val="left"/>
              <w:rPr>
                <w:rFonts w:ascii="宋体" w:hAnsi="宋体" w:cs="宋体" w:eastAsia="宋体" w:hint="default"/>
                <w:sz w:val="18"/>
                <w:szCs w:val="18"/>
              </w:rPr>
            </w:pPr>
            <w:r>
              <w:rPr>
                <w:rFonts w:ascii="宋体" w:hAnsi="宋体" w:cs="宋体" w:eastAsia="宋体" w:hint="default"/>
                <w:sz w:val="18"/>
                <w:szCs w:val="18"/>
              </w:rPr>
              <w:t>北京市朝阳区亮马桥路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号高斓大厦</w:t>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3179" w:type="dxa"/>
            <w:vMerge w:val="restart"/>
            <w:tcBorders>
              <w:top w:val="single" w:sz="4" w:space="0" w:color="000000"/>
              <w:left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北京市朝阳区亮马桥路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号高斓大厦</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r>
      <w:tr>
        <w:trPr>
          <w:trHeight w:val="392" w:hRule="exact"/>
        </w:trPr>
        <w:tc>
          <w:tcPr>
            <w:tcW w:w="3201" w:type="dxa"/>
            <w:tcBorders>
              <w:top w:val="nil" w:sz="6" w:space="0" w:color="auto"/>
              <w:left w:val="single" w:sz="4" w:space="0" w:color="000000"/>
              <w:bottom w:val="nil" w:sz="6" w:space="0" w:color="auto"/>
              <w:right w:val="single" w:sz="13" w:space="0" w:color="C6ECCC"/>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79" w:type="dxa"/>
            <w:vMerge/>
            <w:tcBorders>
              <w:left w:val="single" w:sz="9" w:space="0" w:color="D2D2D2"/>
              <w:right w:val="single" w:sz="4" w:space="0" w:color="000000"/>
            </w:tcBorders>
            <w:shd w:val="clear" w:color="auto" w:fill="C6ECCC"/>
          </w:tcPr>
          <w:p>
            <w:pPr/>
          </w:p>
        </w:tc>
        <w:tc>
          <w:tcPr>
            <w:tcW w:w="3179" w:type="dxa"/>
            <w:vMerge/>
            <w:tcBorders>
              <w:left w:val="single" w:sz="4" w:space="0" w:color="000000"/>
              <w:right w:val="single" w:sz="4" w:space="0" w:color="000000"/>
            </w:tcBorders>
            <w:shd w:val="clear" w:color="auto" w:fill="C6ECCC"/>
          </w:tcPr>
          <w:p>
            <w:pPr/>
          </w:p>
        </w:tc>
      </w:tr>
      <w:tr>
        <w:trPr>
          <w:trHeight w:val="161" w:hRule="exact"/>
        </w:trPr>
        <w:tc>
          <w:tcPr>
            <w:tcW w:w="3201" w:type="dxa"/>
            <w:tcBorders>
              <w:top w:val="nil" w:sz="6" w:space="0" w:color="auto"/>
              <w:left w:val="single" w:sz="4" w:space="0" w:color="000000"/>
              <w:bottom w:val="single" w:sz="4" w:space="0" w:color="000000"/>
              <w:right w:val="single" w:sz="13" w:space="0" w:color="C6ECCC"/>
            </w:tcBorders>
            <w:shd w:val="clear" w:color="auto" w:fill="D2D2D2"/>
          </w:tcPr>
          <w:p>
            <w:pPr/>
          </w:p>
        </w:tc>
        <w:tc>
          <w:tcPr>
            <w:tcW w:w="3179" w:type="dxa"/>
            <w:vMerge/>
            <w:tcBorders>
              <w:left w:val="single" w:sz="9" w:space="0" w:color="D2D2D2"/>
              <w:bottom w:val="single" w:sz="4" w:space="0" w:color="000000"/>
              <w:right w:val="single" w:sz="4" w:space="0" w:color="000000"/>
            </w:tcBorders>
            <w:shd w:val="clear" w:color="auto" w:fill="C6ECCC"/>
          </w:tcPr>
          <w:p>
            <w:pPr/>
          </w:p>
        </w:tc>
        <w:tc>
          <w:tcPr>
            <w:tcW w:w="3179" w:type="dxa"/>
            <w:vMerge/>
            <w:tcBorders>
              <w:left w:val="single" w:sz="4" w:space="0" w:color="000000"/>
              <w:bottom w:val="single" w:sz="4" w:space="0" w:color="000000"/>
              <w:right w:val="single" w:sz="4" w:space="0" w:color="000000"/>
            </w:tcBorders>
            <w:shd w:val="clear" w:color="auto" w:fill="C6ECCC"/>
          </w:tcPr>
          <w:p>
            <w:pPr/>
          </w:p>
        </w:tc>
      </w:tr>
      <w:tr>
        <w:trPr>
          <w:trHeight w:val="402" w:hRule="exact"/>
        </w:trPr>
        <w:tc>
          <w:tcPr>
            <w:tcW w:w="3201"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79"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91"/>
              <w:ind w:left="-1" w:right="0"/>
              <w:jc w:val="left"/>
              <w:rPr>
                <w:rFonts w:ascii="Times New Roman" w:hAnsi="Times New Roman" w:cs="Times New Roman" w:eastAsia="Times New Roman" w:hint="default"/>
                <w:sz w:val="18"/>
                <w:szCs w:val="18"/>
              </w:rPr>
            </w:pPr>
            <w:r>
              <w:rPr>
                <w:rFonts w:ascii="Times New Roman"/>
                <w:sz w:val="18"/>
              </w:rPr>
              <w:t>010-57321010</w:t>
            </w:r>
          </w:p>
        </w:tc>
        <w:tc>
          <w:tcPr>
            <w:tcW w:w="31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010-57321010</w:t>
            </w:r>
          </w:p>
        </w:tc>
      </w:tr>
      <w:tr>
        <w:trPr>
          <w:trHeight w:val="402" w:hRule="exact"/>
        </w:trPr>
        <w:tc>
          <w:tcPr>
            <w:tcW w:w="3201"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79"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91"/>
              <w:ind w:left="-1" w:right="0"/>
              <w:jc w:val="left"/>
              <w:rPr>
                <w:rFonts w:ascii="Times New Roman" w:hAnsi="Times New Roman" w:cs="Times New Roman" w:eastAsia="Times New Roman" w:hint="default"/>
                <w:sz w:val="18"/>
                <w:szCs w:val="18"/>
              </w:rPr>
            </w:pPr>
            <w:r>
              <w:rPr>
                <w:rFonts w:ascii="Times New Roman"/>
                <w:sz w:val="18"/>
              </w:rPr>
              <w:t>010-57321000</w:t>
            </w:r>
          </w:p>
        </w:tc>
        <w:tc>
          <w:tcPr>
            <w:tcW w:w="31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010-57321000</w:t>
            </w:r>
          </w:p>
        </w:tc>
      </w:tr>
      <w:tr>
        <w:trPr>
          <w:trHeight w:val="402" w:hRule="exact"/>
        </w:trPr>
        <w:tc>
          <w:tcPr>
            <w:tcW w:w="3201"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79"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91"/>
              <w:ind w:left="-1" w:right="0"/>
              <w:jc w:val="left"/>
              <w:rPr>
                <w:rFonts w:ascii="Times New Roman" w:hAnsi="Times New Roman" w:cs="Times New Roman" w:eastAsia="Times New Roman" w:hint="default"/>
                <w:sz w:val="18"/>
                <w:szCs w:val="18"/>
              </w:rPr>
            </w:pPr>
            <w:hyperlink r:id="rId10">
              <w:r>
                <w:rPr>
                  <w:rFonts w:ascii="Times New Roman"/>
                  <w:sz w:val="18"/>
                </w:rPr>
                <w:t>securities@git.com.cn</w:t>
              </w:r>
            </w:hyperlink>
          </w:p>
        </w:tc>
        <w:tc>
          <w:tcPr>
            <w:tcW w:w="31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securities@git.com.cn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三、信息披露及备置地点" w:id="6"/>
      <w:bookmarkEnd w:id="6"/>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证券时报、证券日报、中国证券报、上海证券报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北京市朝阳区亮马桥路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号高斓大厦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1601 </w:t>
            </w:r>
            <w:r>
              <w:rPr>
                <w:rFonts w:ascii="宋体" w:hAnsi="宋体" w:cs="宋体" w:eastAsia="宋体" w:hint="default"/>
                <w:sz w:val="18"/>
                <w:szCs w:val="18"/>
              </w:rPr>
              <w:t>室</w:t>
            </w:r>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四、其他有关资料" w:id="7"/>
      <w:bookmarkEnd w:id="7"/>
      <w:r>
        <w:rPr>
          <w:b w:val="0"/>
          <w:bCs w:val="0"/>
        </w:rPr>
      </w:r>
      <w:r>
        <w:rPr/>
        <w:t>四、其他有关资料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after="0" w:line="240" w:lineRule="auto"/>
        <w:jc w:val="left"/>
        <w:sectPr>
          <w:pgSz w:w="11910" w:h="16840"/>
          <w:pgMar w:header="877" w:footer="1187" w:top="1100" w:bottom="138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2674"/>
        <w:gridCol w:w="6895"/>
      </w:tblGrid>
      <w:tr>
        <w:trPr>
          <w:trHeight w:val="402" w:hRule="exact"/>
        </w:trPr>
        <w:tc>
          <w:tcPr>
            <w:tcW w:w="2674"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8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2" w:hRule="exact"/>
        </w:trPr>
        <w:tc>
          <w:tcPr>
            <w:tcW w:w="2674"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8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北京市东城区朝阳门北大街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号富华大厦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674"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8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张克东、成岚</w:t>
            </w:r>
          </w:p>
        </w:tc>
      </w:tr>
    </w:tbl>
    <w:p>
      <w:pPr>
        <w:pStyle w:val="BodyText"/>
        <w:spacing w:line="240" w:lineRule="auto" w:before="51"/>
        <w:ind w:left="1134" w:right="0"/>
        <w:jc w:val="left"/>
      </w:pPr>
      <w:r>
        <w:rPr/>
        <w:t>公司聘请的报告期内履行持续督导职责的保荐机构</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2392"/>
        <w:gridCol w:w="2854"/>
        <w:gridCol w:w="1931"/>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3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华泰联合证券有限责任公司</w:t>
            </w:r>
          </w:p>
        </w:tc>
        <w:tc>
          <w:tcPr>
            <w:tcW w:w="285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2"/>
              <w:ind w:left="23" w:right="119"/>
              <w:jc w:val="left"/>
              <w:rPr>
                <w:rFonts w:ascii="宋体" w:hAnsi="宋体" w:cs="宋体" w:eastAsia="宋体" w:hint="default"/>
                <w:sz w:val="18"/>
                <w:szCs w:val="18"/>
              </w:rPr>
            </w:pPr>
            <w:r>
              <w:rPr>
                <w:rFonts w:ascii="宋体" w:hAnsi="宋体" w:cs="宋体" w:eastAsia="宋体" w:hint="default"/>
                <w:sz w:val="18"/>
                <w:szCs w:val="18"/>
              </w:rPr>
              <w:t>深圳市福田区中心区中心广场香港 中旅大厦</w:t>
            </w:r>
          </w:p>
        </w:tc>
        <w:tc>
          <w:tcPr>
            <w:tcW w:w="193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贾鹏、欧阳辉</w:t>
            </w:r>
          </w:p>
        </w:tc>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52"/>
        <w:ind w:left="1134" w:right="0"/>
        <w:jc w:val="left"/>
      </w:pPr>
      <w:r>
        <w:rPr/>
        <w:t>公司聘请的报告期内履行持续督导职责的财务顾问</w:t>
      </w:r>
    </w:p>
    <w:p>
      <w:pPr>
        <w:pStyle w:val="BodyText"/>
        <w:spacing w:line="240" w:lineRule="auto" w:before="116"/>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五、主要会计数据和财务指标" w:id="8"/>
      <w:bookmarkEnd w:id="8"/>
      <w:r>
        <w:rPr>
          <w:b w:val="0"/>
          <w:bCs w:val="0"/>
        </w:rPr>
      </w:r>
      <w:r>
        <w:rPr/>
        <w:t>五、主要会计数据和财务指标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公司是否因会计政策变更及会计差错更正等追溯调整或重述以前年度会计数据</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140" w:type="dxa"/>
        <w:tblLayout w:type="fixed"/>
        <w:tblCellMar>
          <w:top w:w="0" w:type="dxa"/>
          <w:left w:w="0" w:type="dxa"/>
          <w:bottom w:w="0" w:type="dxa"/>
          <w:right w:w="0" w:type="dxa"/>
        </w:tblCellMar>
        <w:tblLook w:val="01E0"/>
      </w:tblPr>
      <w:tblGrid>
        <w:gridCol w:w="2813"/>
        <w:gridCol w:w="228"/>
        <w:gridCol w:w="1309"/>
        <w:gridCol w:w="1736"/>
        <w:gridCol w:w="1738"/>
        <w:gridCol w:w="1735"/>
      </w:tblGrid>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53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365" w:right="0"/>
              <w:jc w:val="left"/>
              <w:rPr>
                <w:rFonts w:ascii="Times New Roman" w:hAnsi="Times New Roman" w:cs="Times New Roman" w:eastAsia="Times New Roman" w:hint="default"/>
                <w:sz w:val="18"/>
                <w:szCs w:val="18"/>
              </w:rPr>
            </w:pPr>
            <w:r>
              <w:rPr>
                <w:rFonts w:ascii="Times New Roman"/>
                <w:sz w:val="18"/>
              </w:rPr>
              <w:t>938,623,959.01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995,930,625.91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1,100,857,484.30</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228"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3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41,228,939.46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66,080,887.67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-37.61%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53,236,438.73</w:t>
            </w:r>
          </w:p>
        </w:tc>
      </w:tr>
      <w:tr>
        <w:trPr>
          <w:trHeight w:val="714"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9"/>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 性损益的净利润（元）</w:t>
            </w:r>
          </w:p>
        </w:tc>
        <w:tc>
          <w:tcPr>
            <w:tcW w:w="153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5" w:right="0"/>
              <w:jc w:val="left"/>
              <w:rPr>
                <w:rFonts w:ascii="Times New Roman" w:hAnsi="Times New Roman" w:cs="Times New Roman" w:eastAsia="Times New Roman" w:hint="default"/>
                <w:sz w:val="18"/>
                <w:szCs w:val="18"/>
              </w:rPr>
            </w:pPr>
            <w:r>
              <w:rPr>
                <w:rFonts w:ascii="Times New Roman"/>
                <w:sz w:val="18"/>
              </w:rPr>
              <w:t>40,473,319.80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65,477,695.99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-38.19%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51,758,818.19</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228"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3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30,678,846.20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39,535,203.93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-22.40%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-35,863,041.63</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53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-46.97%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0.53</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53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-46.97%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0.53</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53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10.43%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19.49%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20.26%</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53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365" w:right="0"/>
              <w:jc w:val="left"/>
              <w:rPr>
                <w:rFonts w:ascii="Times New Roman" w:hAnsi="Times New Roman" w:cs="Times New Roman" w:eastAsia="Times New Roman" w:hint="default"/>
                <w:sz w:val="18"/>
                <w:szCs w:val="18"/>
              </w:rPr>
            </w:pPr>
            <w:r>
              <w:rPr>
                <w:rFonts w:ascii="Times New Roman"/>
                <w:sz w:val="18"/>
              </w:rPr>
              <w:t>866,716,087.78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679,193,429.42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27.61%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659,114,161.10</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归属于上市公司股东的净资产（元</w:t>
            </w:r>
          </w:p>
        </w:tc>
        <w:tc>
          <w:tcPr>
            <w:tcW w:w="228"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3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745,086,109.86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355,415,528.40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109.64%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289,334,640.73</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六、分季度主要财务指标" w:id="9"/>
      <w:bookmarkEnd w:id="9"/>
      <w:r>
        <w:rPr>
          <w:b w:val="0"/>
          <w:bCs w:val="0"/>
        </w:rPr>
      </w:r>
      <w:r>
        <w:rPr/>
        <w:t>六、分季度主要财务指标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134,538,982.91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225,039,758.92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207,595,918.88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371,449,298.30</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3,757,685.77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9,794,979.72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10,338,710.82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17,337,563.15</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3,757,685.77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8,920,561.47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10,427,938.31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17,367,134.25</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-109,778,304.62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405,835.58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-63,163,153.50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203,214,468.74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7" w:top="1100" w:bottom="1380" w:left="0" w:right="0"/>
        </w:sectPr>
      </w:pPr>
    </w:p>
    <w:p>
      <w:pPr>
        <w:spacing w:line="240" w:lineRule="auto" w:before="13"/>
        <w:rPr>
          <w:rFonts w:ascii="宋体" w:hAnsi="宋体" w:cs="宋体" w:eastAsia="宋体" w:hint="default"/>
          <w:sz w:val="21"/>
          <w:szCs w:val="21"/>
        </w:rPr>
      </w:pPr>
    </w:p>
    <w:p>
      <w:pPr>
        <w:pStyle w:val="BodyText"/>
        <w:spacing w:line="240" w:lineRule="auto" w:before="44"/>
        <w:ind w:right="0"/>
        <w:jc w:val="left"/>
      </w:pPr>
      <w:r>
        <w:rPr/>
        <w:t>上述财务指标或其加总数是否与公司已披露季度报告、半年度报告相关财务指标存在重大差异</w:t>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七、境内外会计准则下会计数据差异" w:id="10"/>
      <w:bookmarkEnd w:id="10"/>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同时按照国际会计准则与按照中国会计准则披露的财务报告中净利润和净资产差异情况" w:id="11"/>
      <w:bookmarkEnd w:id="11"/>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17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bookmarkStart w:name="2、同时按照境外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2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八、非经常性损益项目及金额" w:id="13"/>
      <w:bookmarkEnd w:id="13"/>
      <w:r>
        <w:rPr>
          <w:b w:val="0"/>
          <w:bCs w:val="0"/>
        </w:rPr>
      </w:r>
      <w:r>
        <w:rPr/>
        <w:t>八、非经常性损益项目及金额</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285"/>
        <w:gridCol w:w="1240"/>
        <w:gridCol w:w="1276"/>
        <w:gridCol w:w="1277"/>
        <w:gridCol w:w="2479"/>
      </w:tblGrid>
      <w:tr>
        <w:trPr>
          <w:trHeight w:val="402"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2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24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-59,762.29</w:t>
            </w:r>
            <w:r>
              <w:rPr>
                <w:rFonts w:ascii="Times New Roman"/>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-594.73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-9,910.03</w:t>
            </w:r>
            <w:r>
              <w:rPr>
                <w:rFonts w:ascii="Times New Roman"/>
                <w:sz w:val="18"/>
              </w:rPr>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r>
      <w:tr>
        <w:trPr>
          <w:trHeight w:val="161" w:hRule="exact"/>
        </w:trPr>
        <w:tc>
          <w:tcPr>
            <w:tcW w:w="32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40"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55" w:right="0"/>
              <w:jc w:val="left"/>
              <w:rPr>
                <w:rFonts w:ascii="Times New Roman" w:hAnsi="Times New Roman" w:cs="Times New Roman" w:eastAsia="Times New Roman" w:hint="default"/>
                <w:sz w:val="18"/>
                <w:szCs w:val="18"/>
              </w:rPr>
            </w:pPr>
            <w:r>
              <w:rPr>
                <w:rFonts w:ascii="Times New Roman"/>
                <w:sz w:val="18"/>
              </w:rPr>
              <w:t>1,400,000.00</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33" w:right="0"/>
              <w:jc w:val="left"/>
              <w:rPr>
                <w:rFonts w:ascii="Times New Roman" w:hAnsi="Times New Roman" w:cs="Times New Roman" w:eastAsia="Times New Roman" w:hint="default"/>
                <w:sz w:val="18"/>
                <w:szCs w:val="18"/>
              </w:rPr>
            </w:pPr>
            <w:r>
              <w:rPr>
                <w:rFonts w:ascii="Times New Roman"/>
                <w:sz w:val="18"/>
              </w:rPr>
              <w:t>850,000.00</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1,725,468.00</w:t>
            </w:r>
          </w:p>
        </w:tc>
        <w:tc>
          <w:tcPr>
            <w:tcW w:w="2479" w:type="dxa"/>
            <w:vMerge w:val="restart"/>
            <w:tcBorders>
              <w:top w:val="single" w:sz="4" w:space="0" w:color="000000"/>
              <w:left w:val="single" w:sz="4" w:space="0" w:color="000000"/>
              <w:right w:val="single" w:sz="4" w:space="0" w:color="000000"/>
            </w:tcBorders>
          </w:tcPr>
          <w:p>
            <w:pPr>
              <w:pStyle w:val="TableParagraph"/>
              <w:spacing w:line="307"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《高新技术成果转化》</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w:t>
            </w:r>
            <w:r>
              <w:rPr>
                <w:rFonts w:ascii="宋体" w:hAnsi="宋体" w:cs="宋体" w:eastAsia="宋体" w:hint="default"/>
                <w:spacing w:val="-7"/>
                <w:sz w:val="18"/>
                <w:szCs w:val="18"/>
              </w:rPr>
              <w:t>元，《科技服务业促进专项》</w:t>
            </w:r>
            <w:r>
              <w:rPr>
                <w:rFonts w:ascii="Times New Roman" w:hAnsi="Times New Roman" w:cs="Times New Roman" w:eastAsia="Times New Roman" w:hint="default"/>
                <w:spacing w:val="-7"/>
                <w:sz w:val="18"/>
                <w:szCs w:val="18"/>
              </w:rPr>
              <w:t>25</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万元，上海《促进经济发展专 项资金》</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1016" w:hRule="exact"/>
        </w:trPr>
        <w:tc>
          <w:tcPr>
            <w:tcW w:w="32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22"/>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240" w:type="dxa"/>
            <w:vMerge/>
            <w:tcBorders>
              <w:left w:val="single" w:sz="10" w:space="0" w:color="D2D2D2"/>
              <w:right w:val="single" w:sz="4" w:space="0" w:color="000000"/>
            </w:tcBorders>
          </w:tcPr>
          <w:p>
            <w:pP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479" w:type="dxa"/>
            <w:vMerge/>
            <w:tcBorders>
              <w:left w:val="single" w:sz="4" w:space="0" w:color="000000"/>
              <w:right w:val="single" w:sz="4" w:space="0" w:color="000000"/>
            </w:tcBorders>
          </w:tcPr>
          <w:p>
            <w:pPr/>
          </w:p>
        </w:tc>
      </w:tr>
      <w:tr>
        <w:trPr>
          <w:trHeight w:val="161" w:hRule="exact"/>
        </w:trPr>
        <w:tc>
          <w:tcPr>
            <w:tcW w:w="32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40" w:type="dxa"/>
            <w:vMerge/>
            <w:tcBorders>
              <w:left w:val="single" w:sz="10" w:space="0" w:color="D2D2D2"/>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2479" w:type="dxa"/>
            <w:vMerge/>
            <w:tcBorders>
              <w:left w:val="single" w:sz="4" w:space="0" w:color="000000"/>
              <w:bottom w:val="single" w:sz="4" w:space="0" w:color="000000"/>
              <w:right w:val="single" w:sz="4" w:space="0" w:color="000000"/>
            </w:tcBorders>
          </w:tcPr>
          <w:p>
            <w:pPr/>
          </w:p>
        </w:tc>
      </w:tr>
      <w:tr>
        <w:trPr>
          <w:trHeight w:val="402"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24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-451,273.40</w:t>
            </w:r>
            <w:r>
              <w:rPr>
                <w:rFonts w:ascii="Times New Roman"/>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-139,768.00</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28,213.66</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48 </w:t>
            </w:r>
            <w:r>
              <w:rPr>
                <w:rFonts w:ascii="宋体" w:hAnsi="宋体" w:cs="宋体" w:eastAsia="宋体" w:hint="default"/>
                <w:sz w:val="18"/>
                <w:szCs w:val="18"/>
              </w:rPr>
              <w:t>万元</w:t>
            </w:r>
          </w:p>
        </w:tc>
      </w:tr>
      <w:tr>
        <w:trPr>
          <w:trHeight w:val="402"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24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133,344.65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106,445.59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266,151.09</w:t>
            </w: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4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755,619.66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603,191.68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1,477,620.54</w:t>
            </w:r>
          </w:p>
        </w:tc>
        <w:tc>
          <w:tcPr>
            <w:tcW w:w="2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left="113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116"/>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877" w:footer="1187" w:top="1100" w:bottom="138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1114"/>
        <w:jc w:val="center"/>
        <w:rPr>
          <w:b w:val="0"/>
          <w:bCs w:val="0"/>
        </w:rPr>
      </w:pPr>
      <w:bookmarkStart w:name="第三节 公司业务概要" w:id="14"/>
      <w:bookmarkEnd w:id="14"/>
      <w:r>
        <w:rPr>
          <w:b w:val="0"/>
          <w:bCs w:val="0"/>
        </w:rPr>
      </w:r>
      <w:bookmarkStart w:name="_bookmark1" w:id="15"/>
      <w:bookmarkEnd w:id="15"/>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报告期内公司从事的主要业务" w:id="16"/>
      <w:bookmarkEnd w:id="16"/>
      <w:r>
        <w:rPr>
          <w:b w:val="0"/>
          <w:bCs w:val="0"/>
        </w:rPr>
      </w:r>
      <w:r>
        <w:rPr/>
        <w:t>一、报告期内公司从事的主要业务</w:t>
      </w:r>
      <w:r>
        <w:rPr>
          <w:b w:val="0"/>
          <w:bCs w:val="0"/>
        </w:rPr>
      </w:r>
    </w:p>
    <w:p>
      <w:pPr>
        <w:spacing w:line="240" w:lineRule="auto" w:before="5"/>
        <w:rPr>
          <w:rFonts w:ascii="宋体" w:hAnsi="宋体" w:cs="宋体" w:eastAsia="宋体" w:hint="default"/>
          <w:b/>
          <w:bCs/>
          <w:sz w:val="23"/>
          <w:szCs w:val="23"/>
        </w:rPr>
      </w:pPr>
    </w:p>
    <w:p>
      <w:pPr>
        <w:pStyle w:val="BodyText"/>
        <w:spacing w:line="280" w:lineRule="auto"/>
        <w:ind w:right="1130" w:firstLine="360"/>
        <w:jc w:val="both"/>
      </w:pPr>
      <w:r>
        <w:rPr>
          <w:spacing w:val="-2"/>
        </w:rPr>
        <w:t>公司的主营业务是向以银行、保险、证券为主的金融企业客户提供</w:t>
      </w:r>
      <w:r>
        <w:rPr>
          <w:rFonts w:ascii="Times New Roman" w:hAnsi="Times New Roman" w:cs="Times New Roman" w:eastAsia="Times New Roman" w:hint="default"/>
          <w:spacing w:val="-2"/>
        </w:rPr>
        <w:t>IT</w:t>
      </w:r>
      <w:r>
        <w:rPr>
          <w:spacing w:val="-2"/>
        </w:rPr>
        <w:t>解决方案、</w:t>
      </w:r>
      <w:r>
        <w:rPr>
          <w:rFonts w:ascii="Times New Roman" w:hAnsi="Times New Roman" w:cs="Times New Roman" w:eastAsia="Times New Roman" w:hint="default"/>
          <w:spacing w:val="-2"/>
        </w:rPr>
        <w:t>IT</w:t>
      </w:r>
      <w:r>
        <w:rPr>
          <w:spacing w:val="-2"/>
        </w:rPr>
        <w:t>运维服务以及系统集成服务。三项业</w:t>
      </w:r>
      <w:r>
        <w:rPr/>
        <w:t> 务的内涵如下：</w:t>
      </w:r>
    </w:p>
    <w:p>
      <w:pPr>
        <w:pStyle w:val="BodyText"/>
        <w:spacing w:line="280" w:lineRule="auto" w:before="66"/>
        <w:ind w:left="1134" w:right="1128" w:firstLine="360"/>
        <w:jc w:val="both"/>
      </w:pPr>
      <w:r>
        <w:rPr>
          <w:rFonts w:ascii="Times New Roman" w:hAnsi="Times New Roman" w:cs="Times New Roman" w:eastAsia="Times New Roman" w:hint="default"/>
          <w:spacing w:val="-1"/>
        </w:rPr>
        <w:t>IT</w:t>
      </w:r>
      <w:r>
        <w:rPr>
          <w:spacing w:val="-1"/>
        </w:rPr>
        <w:t>解决方案是指由专业的</w:t>
      </w:r>
      <w:r>
        <w:rPr>
          <w:rFonts w:ascii="Times New Roman" w:hAnsi="Times New Roman" w:cs="Times New Roman" w:eastAsia="Times New Roman" w:hint="default"/>
          <w:spacing w:val="-1"/>
        </w:rPr>
        <w:t>IT</w:t>
      </w:r>
      <w:r>
        <w:rPr>
          <w:spacing w:val="-1"/>
        </w:rPr>
        <w:t>解决方案提供商为金融企业提供满足其渠道、业务、管理等需求的软件及相应服务。其中</w:t>
      </w:r>
      <w:r>
        <w:rPr>
          <w:rFonts w:ascii="Times New Roman" w:hAnsi="Times New Roman" w:cs="Times New Roman" w:eastAsia="Times New Roman" w:hint="default"/>
          <w:spacing w:val="-1"/>
        </w:rPr>
        <w:t>IT</w:t>
      </w:r>
      <w:r>
        <w:rPr>
          <w:rFonts w:ascii="Times New Roman" w:hAnsi="Times New Roman" w:cs="Times New Roman" w:eastAsia="Times New Roman" w:hint="default"/>
          <w:w w:val="99"/>
        </w:rPr>
        <w:t> </w:t>
      </w:r>
      <w:r>
        <w:rPr/>
        <w:t>解决方案软件包括解决方案供应商自有的应用软件，如银行核心业务系统、信贷管理系统、</w:t>
      </w:r>
      <w:r>
        <w:rPr>
          <w:rFonts w:ascii="Times New Roman" w:hAnsi="Times New Roman" w:cs="Times New Roman" w:eastAsia="Times New Roman" w:hint="default"/>
        </w:rPr>
        <w:t>CRM</w:t>
      </w:r>
      <w:r>
        <w:rPr/>
        <w:t>系统等；</w:t>
      </w:r>
      <w:r>
        <w:rPr>
          <w:rFonts w:ascii="Times New Roman" w:hAnsi="Times New Roman" w:cs="Times New Roman" w:eastAsia="Times New Roman" w:hint="default"/>
        </w:rPr>
        <w:t>IT</w:t>
      </w:r>
      <w:r>
        <w:rPr/>
        <w:t>解决方案服务</w:t>
      </w:r>
      <w:r>
        <w:rPr>
          <w:spacing w:val="-28"/>
        </w:rPr>
        <w:t> </w:t>
      </w:r>
      <w:r>
        <w:rPr/>
        <w:t>包括咨询、实施、运行管理、支持和培训在内的与解决方案软件相关的</w:t>
      </w:r>
      <w:r>
        <w:rPr>
          <w:rFonts w:ascii="Times New Roman" w:hAnsi="Times New Roman" w:cs="Times New Roman" w:eastAsia="Times New Roman" w:hint="default"/>
        </w:rPr>
        <w:t>IT</w:t>
      </w:r>
      <w:r>
        <w:rPr/>
        <w:t>服务。</w:t>
      </w:r>
    </w:p>
    <w:p>
      <w:pPr>
        <w:pStyle w:val="BodyText"/>
        <w:spacing w:line="280" w:lineRule="auto" w:before="49"/>
        <w:ind w:right="1130" w:firstLine="360"/>
        <w:jc w:val="both"/>
      </w:pPr>
      <w:r>
        <w:rPr>
          <w:rFonts w:ascii="Times New Roman" w:hAnsi="Times New Roman" w:cs="Times New Roman" w:eastAsia="Times New Roman" w:hint="default"/>
          <w:spacing w:val="-2"/>
        </w:rPr>
        <w:t>IT</w:t>
      </w:r>
      <w:r>
        <w:rPr>
          <w:spacing w:val="-2"/>
        </w:rPr>
        <w:t>运维服务是为保障客户数据中心的稳定、安全、高效运行而提供的运营维护服务，具体包括对</w:t>
      </w:r>
      <w:r>
        <w:rPr>
          <w:rFonts w:ascii="Times New Roman" w:hAnsi="Times New Roman" w:cs="Times New Roman" w:eastAsia="Times New Roman" w:hint="default"/>
          <w:spacing w:val="-2"/>
        </w:rPr>
        <w:t>IT</w:t>
      </w:r>
      <w:r>
        <w:rPr>
          <w:spacing w:val="-2"/>
        </w:rPr>
        <w:t>系统优化升级、日常</w:t>
      </w:r>
      <w:r>
        <w:rPr>
          <w:w w:val="99"/>
        </w:rPr>
        <w:t> </w:t>
      </w:r>
      <w:r>
        <w:rPr/>
        <w:t>变更操作、健康检查、故障分析及恢复、数据</w:t>
      </w:r>
      <w:r>
        <w:rPr>
          <w:rFonts w:ascii="Times New Roman" w:hAnsi="Times New Roman" w:cs="Times New Roman" w:eastAsia="Times New Roman" w:hint="default"/>
        </w:rPr>
        <w:t>/</w:t>
      </w:r>
      <w:r>
        <w:rPr/>
        <w:t>存储</w:t>
      </w:r>
      <w:r>
        <w:rPr>
          <w:rFonts w:ascii="Times New Roman" w:hAnsi="Times New Roman" w:cs="Times New Roman" w:eastAsia="Times New Roman" w:hint="default"/>
        </w:rPr>
        <w:t>/</w:t>
      </w:r>
      <w:r>
        <w:rPr/>
        <w:t>容灾管理、信息安全管理等技术服务。随着云计算技术在数据中心建设</w:t>
      </w:r>
      <w:r>
        <w:rPr>
          <w:w w:val="99"/>
        </w:rPr>
        <w:t> </w:t>
      </w:r>
      <w:r>
        <w:rPr/>
        <w:t>中的逐步应用，</w:t>
      </w:r>
      <w:r>
        <w:rPr>
          <w:rFonts w:ascii="Times New Roman" w:hAnsi="Times New Roman" w:cs="Times New Roman" w:eastAsia="Times New Roman" w:hint="default"/>
        </w:rPr>
        <w:t>IT</w:t>
      </w:r>
      <w:r>
        <w:rPr/>
        <w:t>运维服务也包含了越来越多的云管理服务内容，虚拟化和自动化技术得到更多的应用。</w:t>
      </w:r>
    </w:p>
    <w:p>
      <w:pPr>
        <w:pStyle w:val="BodyText"/>
        <w:spacing w:line="280" w:lineRule="auto" w:before="49"/>
        <w:ind w:left="1134" w:right="1042" w:firstLine="360"/>
        <w:jc w:val="left"/>
      </w:pPr>
      <w:r>
        <w:rPr>
          <w:spacing w:val="-2"/>
        </w:rPr>
        <w:t>系统集成服务是指应客户需求，提供</w:t>
      </w:r>
      <w:r>
        <w:rPr>
          <w:rFonts w:ascii="Times New Roman" w:hAnsi="Times New Roman" w:cs="Times New Roman" w:eastAsia="Times New Roman" w:hint="default"/>
          <w:spacing w:val="-2"/>
        </w:rPr>
        <w:t>IT</w:t>
      </w:r>
      <w:r>
        <w:rPr>
          <w:spacing w:val="-2"/>
        </w:rPr>
        <w:t>基础设施咨询及规划、数据中心集成设计、产品选型、软硬件详细配置、基础软</w:t>
      </w:r>
      <w:r>
        <w:rPr/>
        <w:t> 硬件供货、软硬件安装调试、</w:t>
      </w:r>
      <w:r>
        <w:rPr>
          <w:rFonts w:ascii="Times New Roman" w:hAnsi="Times New Roman" w:cs="Times New Roman" w:eastAsia="Times New Roman" w:hint="default"/>
        </w:rPr>
        <w:t>IT</w:t>
      </w:r>
      <w:r>
        <w:rPr/>
        <w:t>系统软硬件改造升级、技术咨询、售后服务等服务。其中基础软硬件设备主要包括服务器、 存储、机房设备、网络设备等硬件设备以及中间件、数据库软件等基础软件。</w:t>
      </w:r>
    </w:p>
    <w:p>
      <w:pPr>
        <w:spacing w:line="240" w:lineRule="auto" w:before="4"/>
        <w:rPr>
          <w:rFonts w:ascii="宋体" w:hAnsi="宋体" w:cs="宋体" w:eastAsia="宋体" w:hint="default"/>
          <w:sz w:val="24"/>
          <w:szCs w:val="24"/>
        </w:rPr>
      </w:pPr>
    </w:p>
    <w:p>
      <w:pPr>
        <w:pStyle w:val="Heading2"/>
        <w:spacing w:line="240" w:lineRule="auto"/>
        <w:ind w:left="1134" w:right="0"/>
        <w:jc w:val="left"/>
        <w:rPr>
          <w:b w:val="0"/>
          <w:bCs w:val="0"/>
        </w:rPr>
      </w:pPr>
      <w:bookmarkStart w:name="二、主要资产重大变化情况" w:id="17"/>
      <w:bookmarkEnd w:id="17"/>
      <w:r>
        <w:rPr>
          <w:b w:val="0"/>
          <w:bCs w:val="0"/>
        </w:rPr>
      </w:r>
      <w:r>
        <w:rPr/>
        <w:t>二、主要资产重大变化情况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134" w:right="0"/>
        <w:jc w:val="left"/>
        <w:rPr>
          <w:b w:val="0"/>
          <w:bCs w:val="0"/>
        </w:rPr>
      </w:pPr>
      <w:bookmarkStart w:name="1、主要资产重大变化情况" w:id="18"/>
      <w:bookmarkEnd w:id="18"/>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3040"/>
        <w:gridCol w:w="6506"/>
      </w:tblGrid>
      <w:tr>
        <w:trPr>
          <w:trHeight w:val="186" w:hRule="exact"/>
        </w:trPr>
        <w:tc>
          <w:tcPr>
            <w:tcW w:w="3040" w:type="dxa"/>
            <w:tcBorders>
              <w:top w:val="single" w:sz="4" w:space="0" w:color="000000"/>
              <w:left w:val="single" w:sz="4" w:space="0" w:color="000000"/>
              <w:bottom w:val="nil" w:sz="6" w:space="0" w:color="auto"/>
              <w:right w:val="single" w:sz="4" w:space="0" w:color="000000"/>
            </w:tcBorders>
            <w:shd w:val="clear" w:color="auto" w:fill="D2D2D2"/>
          </w:tcPr>
          <w:p>
            <w:pPr/>
          </w:p>
        </w:tc>
        <w:tc>
          <w:tcPr>
            <w:tcW w:w="650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0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40" w:type="dxa"/>
            <w:tcBorders>
              <w:top w:val="nil" w:sz="6" w:space="0" w:color="auto"/>
              <w:left w:val="single" w:sz="4" w:space="0" w:color="000000"/>
              <w:bottom w:val="single" w:sz="4" w:space="0" w:color="000000"/>
              <w:right w:val="single" w:sz="4" w:space="0" w:color="000000"/>
            </w:tcBorders>
            <w:shd w:val="clear" w:color="auto" w:fill="D2D2D2"/>
          </w:tcPr>
          <w:p>
            <w:pPr/>
          </w:p>
        </w:tc>
        <w:tc>
          <w:tcPr>
            <w:tcW w:w="650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040" w:type="dxa"/>
            <w:tcBorders>
              <w:top w:val="single" w:sz="4" w:space="0" w:color="000000"/>
              <w:left w:val="single" w:sz="4" w:space="0" w:color="000000"/>
              <w:bottom w:val="single" w:sz="4" w:space="0" w:color="000000"/>
              <w:right w:val="single" w:sz="9" w:space="0" w:color="C6ECCC"/>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06"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盈行金融投资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万元、兴业数金投资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2" w:hRule="exact"/>
        </w:trPr>
        <w:tc>
          <w:tcPr>
            <w:tcW w:w="3040" w:type="dxa"/>
            <w:tcBorders>
              <w:top w:val="single" w:sz="4" w:space="0" w:color="000000"/>
              <w:left w:val="single" w:sz="4" w:space="0" w:color="000000"/>
              <w:bottom w:val="single" w:sz="4" w:space="0" w:color="000000"/>
              <w:right w:val="single" w:sz="9" w:space="0" w:color="C6ECCC"/>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06"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EasyCMS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信用风险缓释管理系统</w:t>
            </w:r>
            <w:r>
              <w:rPr>
                <w:rFonts w:ascii="宋体" w:hAnsi="宋体" w:cs="宋体" w:eastAsia="宋体" w:hint="default"/>
                <w:spacing w:val="-1"/>
                <w:sz w:val="18"/>
                <w:szCs w:val="18"/>
              </w:rPr>
              <w:t> </w:t>
            </w:r>
            <w:r>
              <w:rPr>
                <w:rFonts w:ascii="宋体" w:hAnsi="宋体" w:cs="宋体" w:eastAsia="宋体" w:hint="default"/>
                <w:sz w:val="18"/>
                <w:szCs w:val="18"/>
              </w:rPr>
              <w:t>研发投入资本化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378.41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2" w:hRule="exact"/>
        </w:trPr>
        <w:tc>
          <w:tcPr>
            <w:tcW w:w="304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650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研发支出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1,427.90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bl>
    <w:p>
      <w:pPr>
        <w:spacing w:line="240" w:lineRule="auto" w:before="2"/>
        <w:rPr>
          <w:rFonts w:ascii="宋体" w:hAnsi="宋体" w:cs="宋体" w:eastAsia="宋体" w:hint="default"/>
          <w:b/>
          <w:bCs/>
          <w:sz w:val="19"/>
          <w:szCs w:val="19"/>
        </w:rPr>
      </w:pPr>
    </w:p>
    <w:p>
      <w:pPr>
        <w:pStyle w:val="Heading4"/>
        <w:spacing w:line="240" w:lineRule="auto" w:before="35"/>
        <w:ind w:left="1134" w:right="0"/>
        <w:jc w:val="left"/>
        <w:rPr>
          <w:b w:val="0"/>
          <w:bCs w:val="0"/>
        </w:rPr>
      </w:pPr>
      <w:bookmarkStart w:name="2、主要境外资产情况" w:id="19"/>
      <w:bookmarkEnd w:id="19"/>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核心竞争力分析" w:id="20"/>
      <w:bookmarkEnd w:id="20"/>
      <w:r>
        <w:rPr>
          <w:b w:val="0"/>
          <w:bCs w:val="0"/>
        </w:rPr>
      </w:r>
      <w:r>
        <w:rPr/>
        <w:t>三、核心竞争力分析</w:t>
      </w:r>
      <w:r>
        <w:rPr>
          <w:b w:val="0"/>
          <w:bCs w:val="0"/>
        </w:rPr>
      </w:r>
    </w:p>
    <w:p>
      <w:pPr>
        <w:spacing w:line="240" w:lineRule="auto" w:before="5"/>
        <w:rPr>
          <w:rFonts w:ascii="宋体" w:hAnsi="宋体" w:cs="宋体" w:eastAsia="宋体" w:hint="default"/>
          <w:b/>
          <w:bCs/>
          <w:sz w:val="23"/>
          <w:szCs w:val="23"/>
        </w:rPr>
      </w:pPr>
    </w:p>
    <w:p>
      <w:pPr>
        <w:pStyle w:val="BodyText"/>
        <w:spacing w:line="297" w:lineRule="auto"/>
        <w:ind w:right="0" w:firstLine="360"/>
        <w:jc w:val="left"/>
      </w:pPr>
      <w:r>
        <w:rPr>
          <w:spacing w:val="-2"/>
        </w:rPr>
        <w:t>公司自成立以来一直专注于金融信息化领域的发展，在多年的精耕细作下，已在市场品牌、客户资源、行业经验、产品</w:t>
      </w:r>
      <w:r>
        <w:rPr/>
        <w:t> 与服务、研发能力等方面形成了较强的竞争优势。</w:t>
      </w:r>
    </w:p>
    <w:p>
      <w:pPr>
        <w:spacing w:line="319" w:lineRule="auto" w:before="52"/>
        <w:ind w:left="1493" w:right="1043"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、持续的技术和业务创新能力</w:t>
      </w:r>
      <w:r>
        <w:rPr>
          <w:rFonts w:ascii="宋体" w:hAnsi="宋体" w:cs="宋体" w:eastAsia="宋体" w:hint="default"/>
          <w:b/>
          <w:bCs/>
          <w:w w:val="99"/>
          <w:sz w:val="18"/>
          <w:szCs w:val="18"/>
        </w:rPr>
        <w:t> </w:t>
      </w:r>
      <w:r>
        <w:rPr>
          <w:rFonts w:ascii="宋体" w:hAnsi="宋体" w:cs="宋体" w:eastAsia="宋体" w:hint="default"/>
          <w:sz w:val="18"/>
          <w:szCs w:val="18"/>
        </w:rPr>
        <w:t>公司高度重视技术研发和产品创新能力的建设，坚持走产品化的</w:t>
      </w:r>
      <w:r>
        <w:rPr>
          <w:rFonts w:ascii="Times New Roman" w:hAnsi="Times New Roman" w:cs="Times New Roman" w:eastAsia="Times New Roman" w:hint="default"/>
          <w:sz w:val="18"/>
          <w:szCs w:val="18"/>
        </w:rPr>
        <w:t>IT</w:t>
      </w:r>
      <w:r>
        <w:rPr>
          <w:rFonts w:ascii="宋体" w:hAnsi="宋体" w:cs="宋体" w:eastAsia="宋体" w:hint="default"/>
          <w:sz w:val="18"/>
          <w:szCs w:val="18"/>
        </w:rPr>
        <w:t>产业发展道路，通过技术创新引领产品和服务创新，</w:t>
      </w:r>
    </w:p>
    <w:p>
      <w:pPr>
        <w:pStyle w:val="BodyText"/>
        <w:spacing w:line="226" w:lineRule="exact"/>
        <w:ind w:right="0"/>
        <w:jc w:val="left"/>
      </w:pPr>
      <w:r>
        <w:rPr/>
        <w:t>不断丰富完善技术、产品和服务模式，持续打造公司核心竞争力。公司是北京市高新技术企业，拥有</w:t>
      </w:r>
      <w:r>
        <w:rPr>
          <w:rFonts w:ascii="Times New Roman" w:hAnsi="Times New Roman" w:cs="Times New Roman" w:eastAsia="Times New Roman" w:hint="default"/>
        </w:rPr>
        <w:t>CMMI3</w:t>
      </w:r>
      <w:r>
        <w:rPr/>
        <w:t>级资质和国家</w:t>
      </w:r>
    </w:p>
    <w:p>
      <w:pPr>
        <w:pStyle w:val="BodyText"/>
        <w:spacing w:line="338" w:lineRule="auto" w:before="43"/>
        <w:ind w:left="1493" w:right="0" w:hanging="360"/>
        <w:jc w:val="left"/>
      </w:pPr>
      <w:r>
        <w:rPr/>
        <w:t>工业和信息化部颁发的系统集成一级资质。公司从研发理念、组织机构、创新机制和管理制度等方面进行了系统的构建。 </w:t>
      </w:r>
      <w:r>
        <w:rPr>
          <w:spacing w:val="-2"/>
        </w:rPr>
        <w:t>公司在不断提升研发能力的同时，在服务模式和服务内容上也坚持不断创新。在传统的金融</w:t>
      </w:r>
      <w:r>
        <w:rPr>
          <w:rFonts w:ascii="Times New Roman" w:hAnsi="Times New Roman" w:cs="Times New Roman" w:eastAsia="Times New Roman" w:hint="default"/>
          <w:spacing w:val="-2"/>
        </w:rPr>
        <w:t>IT</w:t>
      </w:r>
      <w:r>
        <w:rPr>
          <w:spacing w:val="-2"/>
        </w:rPr>
        <w:t>产品和服务的基础上，公</w:t>
      </w:r>
    </w:p>
    <w:p>
      <w:pPr>
        <w:pStyle w:val="BodyText"/>
        <w:spacing w:line="211" w:lineRule="exact"/>
        <w:ind w:right="0"/>
        <w:jc w:val="left"/>
      </w:pPr>
      <w:r>
        <w:rPr/>
        <w:t>司积极开发金融</w:t>
      </w:r>
      <w:r>
        <w:rPr>
          <w:rFonts w:ascii="Times New Roman" w:hAnsi="Times New Roman" w:cs="Times New Roman" w:eastAsia="Times New Roman" w:hint="default"/>
        </w:rPr>
        <w:t>IT</w:t>
      </w:r>
      <w:r>
        <w:rPr/>
        <w:t>产业云平台，以高效的，低成本化方式满足中小微金融机构的</w:t>
      </w:r>
      <w:r>
        <w:rPr>
          <w:rFonts w:ascii="Times New Roman" w:hAnsi="Times New Roman" w:cs="Times New Roman" w:eastAsia="Times New Roman" w:hint="default"/>
        </w:rPr>
        <w:t>IT</w:t>
      </w:r>
      <w:r>
        <w:rPr/>
        <w:t>需求。</w:t>
      </w:r>
    </w:p>
    <w:p>
      <w:pPr>
        <w:pStyle w:val="Heading6"/>
        <w:spacing w:line="240" w:lineRule="auto" w:before="82"/>
        <w:ind w:right="0"/>
        <w:jc w:val="left"/>
        <w:rPr>
          <w:b w:val="0"/>
          <w:bCs w:val="0"/>
        </w:rPr>
      </w:pPr>
      <w:r>
        <w:rPr>
          <w:rFonts w:ascii="Times New Roman" w:hAnsi="Times New Roman" w:cs="Times New Roman" w:eastAsia="Times New Roman" w:hint="default"/>
        </w:rPr>
        <w:t>2</w:t>
      </w:r>
      <w:r>
        <w:rPr/>
        <w:t>、品牌与客户资源优势</w:t>
      </w:r>
      <w:r>
        <w:rPr>
          <w:b w:val="0"/>
          <w:bCs w:val="0"/>
        </w:rPr>
      </w:r>
    </w:p>
    <w:p>
      <w:pPr>
        <w:spacing w:after="0" w:line="240" w:lineRule="auto"/>
        <w:jc w:val="left"/>
        <w:sectPr>
          <w:pgSz w:w="11910" w:h="16840"/>
          <w:pgMar w:header="877" w:footer="1187" w:top="1100" w:bottom="1380" w:left="0" w:right="0"/>
        </w:sectPr>
      </w:pPr>
    </w:p>
    <w:p>
      <w:pPr>
        <w:spacing w:line="240" w:lineRule="auto" w:before="10"/>
        <w:rPr>
          <w:rFonts w:ascii="宋体" w:hAnsi="宋体" w:cs="宋体" w:eastAsia="宋体" w:hint="default"/>
          <w:b/>
          <w:bCs/>
          <w:sz w:val="18"/>
          <w:szCs w:val="18"/>
        </w:rPr>
      </w:pPr>
    </w:p>
    <w:p>
      <w:pPr>
        <w:pStyle w:val="BodyText"/>
        <w:spacing w:line="292" w:lineRule="auto" w:before="44"/>
        <w:ind w:right="0" w:firstLine="360"/>
        <w:jc w:val="left"/>
      </w:pPr>
      <w:r>
        <w:rPr>
          <w:spacing w:val="-2"/>
        </w:rPr>
        <w:t>在多年的发展过程中，公司积累了一批以银行业为主，涉及保险、证券、基金和能源等行业大中型企业的优质客户，形</w:t>
      </w:r>
      <w:r>
        <w:rPr/>
        <w:t> 成了涵盖政策性银行、国有商业银行、股份制银行、中国邮储银行、城商行、农商行</w:t>
      </w:r>
      <w:r>
        <w:rPr>
          <w:rFonts w:ascii="Times New Roman" w:hAnsi="Times New Roman" w:cs="Times New Roman" w:eastAsia="Times New Roman" w:hint="default"/>
        </w:rPr>
        <w:t>/</w:t>
      </w:r>
      <w:r>
        <w:rPr/>
        <w:t>农村合作银行、农信社、外资银行、</w:t>
      </w:r>
      <w:r>
        <w:rPr>
          <w:spacing w:val="-46"/>
        </w:rPr>
        <w:t> </w:t>
      </w:r>
      <w:r>
        <w:rPr>
          <w:spacing w:val="-46"/>
        </w:rPr>
      </w:r>
      <w:r>
        <w:rPr>
          <w:spacing w:val="-4"/>
        </w:rPr>
        <w:t>证券公司、大中型保险机构、信托公司、消费金融公司、小贷公司等在内的完整的、有层次的金融行业客户谱系，通过优质、</w:t>
      </w:r>
      <w:r>
        <w:rPr>
          <w:spacing w:val="-44"/>
        </w:rPr>
        <w:t> </w:t>
      </w:r>
      <w:r>
        <w:rPr>
          <w:spacing w:val="-44"/>
        </w:rPr>
      </w:r>
      <w:r>
        <w:rPr/>
        <w:t>全面的软件及服务满足不同客户的各阶段、差异化的信息化需求。</w:t>
      </w:r>
    </w:p>
    <w:p>
      <w:pPr>
        <w:pStyle w:val="BodyText"/>
        <w:spacing w:line="297" w:lineRule="auto" w:before="57"/>
        <w:ind w:right="1132" w:firstLine="360"/>
        <w:jc w:val="both"/>
      </w:pPr>
      <w:r>
        <w:rPr>
          <w:spacing w:val="-2"/>
        </w:rPr>
        <w:t>公司与许多优质客户建立了长期稳定的合作关系，并伴随着客户信息化成长的各个阶段，成为了许多客户信息化进程的</w:t>
      </w:r>
      <w:r>
        <w:rPr/>
        <w:t> </w:t>
      </w:r>
      <w:r>
        <w:rPr>
          <w:spacing w:val="-2"/>
        </w:rPr>
        <w:t>主要参与者。在长期为银行业信息化提供优质服务的过程中，公司树立了良好的品牌形象。目前高伟达已成为业内拥有较高</w:t>
      </w:r>
      <w:r>
        <w:rPr>
          <w:spacing w:val="-66"/>
        </w:rPr>
        <w:t> </w:t>
      </w:r>
      <w:r>
        <w:rPr>
          <w:spacing w:val="-66"/>
        </w:rPr>
      </w:r>
      <w:r>
        <w:rPr/>
        <w:t>知名度和美誉度的品牌，服务质量和技术水平得到业界公认。</w:t>
      </w:r>
    </w:p>
    <w:p>
      <w:pPr>
        <w:pStyle w:val="BodyText"/>
        <w:spacing w:line="288" w:lineRule="auto" w:before="53"/>
        <w:ind w:right="1132" w:firstLine="360"/>
        <w:jc w:val="both"/>
      </w:pPr>
      <w:r>
        <w:rPr>
          <w:spacing w:val="-2"/>
        </w:rPr>
        <w:t>公司在金融信息化领域具有较强的品牌影响力，直接体现在公司每年的销售大单（千万元级别以上）数量以及新增客户</w:t>
      </w:r>
      <w:r>
        <w:rPr/>
        <w:t> 数量的增长上。同时，作为为数不多的几家综合性解决方案提供商，依靠较强的品牌影响力，公司得以实现</w:t>
      </w:r>
      <w:r>
        <w:rPr>
          <w:rFonts w:ascii="Times New Roman" w:hAnsi="Times New Roman" w:cs="Times New Roman" w:eastAsia="Times New Roman" w:hint="default"/>
        </w:rPr>
        <w:t>“</w:t>
      </w:r>
      <w:r>
        <w:rPr/>
        <w:t>以系统集成带</w:t>
      </w:r>
      <w:r>
        <w:rPr>
          <w:spacing w:val="-74"/>
        </w:rPr>
        <w:t> </w:t>
      </w:r>
      <w:r>
        <w:rPr>
          <w:spacing w:val="-74"/>
        </w:rPr>
      </w:r>
      <w:r>
        <w:rPr/>
        <w:t>动解决方案，以解决方案催生服务需求</w:t>
      </w:r>
      <w:r>
        <w:rPr>
          <w:rFonts w:ascii="Times New Roman" w:hAnsi="Times New Roman" w:cs="Times New Roman" w:eastAsia="Times New Roman" w:hint="default"/>
        </w:rPr>
        <w:t>”</w:t>
      </w:r>
      <w:r>
        <w:rPr/>
        <w:t>的战略，充分发挥产品和服务业务的协同效应，最大化客户价值。</w:t>
      </w:r>
    </w:p>
    <w:p>
      <w:pPr>
        <w:spacing w:line="319" w:lineRule="auto" w:before="43"/>
        <w:ind w:left="1493"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、领先的行业地位和提供整体解决方案的能力</w:t>
      </w:r>
      <w:r>
        <w:rPr>
          <w:rFonts w:ascii="宋体" w:hAnsi="宋体" w:cs="宋体" w:eastAsia="宋体" w:hint="default"/>
          <w:b/>
          <w:bCs/>
          <w:w w:val="99"/>
          <w:sz w:val="18"/>
          <w:szCs w:val="18"/>
        </w:rPr>
        <w:t> </w:t>
      </w:r>
      <w:r>
        <w:rPr>
          <w:rFonts w:ascii="宋体" w:hAnsi="宋体" w:cs="宋体" w:eastAsia="宋体" w:hint="default"/>
          <w:spacing w:val="-2"/>
          <w:sz w:val="18"/>
          <w:szCs w:val="18"/>
        </w:rPr>
        <w:t>依托公司完备的产品线，丰富的项目管理能力和突出的研发实力，公司成为国内仅有的几家能够提供金融领域信息化完</w:t>
      </w:r>
    </w:p>
    <w:p>
      <w:pPr>
        <w:pStyle w:val="BodyText"/>
        <w:spacing w:line="319" w:lineRule="auto"/>
        <w:ind w:left="1493" w:right="0" w:hanging="360"/>
        <w:jc w:val="left"/>
      </w:pPr>
      <w:r>
        <w:rPr/>
        <w:t>整解决方案的</w:t>
      </w:r>
      <w:r>
        <w:rPr>
          <w:rFonts w:ascii="Times New Roman" w:hAnsi="Times New Roman" w:cs="Times New Roman" w:eastAsia="Times New Roman" w:hint="default"/>
        </w:rPr>
        <w:t>IT</w:t>
      </w:r>
      <w:r>
        <w:rPr/>
        <w:t>服务商之一。公司在银行业具有较高的知名度和行业地位。 公司经过多年的技术研发和服务创新，形成了信贷管理系统、核心业务系统、</w:t>
      </w:r>
      <w:r>
        <w:rPr>
          <w:rFonts w:ascii="Times New Roman" w:hAnsi="Times New Roman" w:cs="Times New Roman" w:eastAsia="Times New Roman" w:hint="default"/>
        </w:rPr>
        <w:t>CRM</w:t>
      </w:r>
      <w:r>
        <w:rPr/>
        <w:t>及</w:t>
      </w:r>
      <w:r>
        <w:rPr>
          <w:rFonts w:ascii="Times New Roman" w:hAnsi="Times New Roman" w:cs="Times New Roman" w:eastAsia="Times New Roman" w:hint="default"/>
        </w:rPr>
        <w:t>ECIF</w:t>
      </w:r>
      <w:r>
        <w:rPr/>
        <w:t>等具有较强市场竞争力和较</w:t>
      </w:r>
    </w:p>
    <w:p>
      <w:pPr>
        <w:pStyle w:val="BodyText"/>
        <w:spacing w:line="212" w:lineRule="exact"/>
        <w:ind w:right="0"/>
        <w:jc w:val="left"/>
      </w:pPr>
      <w:r>
        <w:rPr/>
        <w:t>高市场占有率的解决方案，上述系统已经成功应用于政策性银行、国有商业银行、股份制银行、城商行及农信社，积累了丰</w:t>
      </w:r>
    </w:p>
    <w:p>
      <w:pPr>
        <w:pStyle w:val="BodyText"/>
        <w:spacing w:line="240" w:lineRule="auto" w:before="56"/>
        <w:ind w:right="0"/>
        <w:jc w:val="left"/>
      </w:pPr>
      <w:r>
        <w:rPr/>
        <w:t>富的应用案例和广泛的客户群，为公司产品升级和市场开拓建立了良好的基础。</w:t>
      </w:r>
    </w:p>
    <w:p>
      <w:pPr>
        <w:pStyle w:val="BodyText"/>
        <w:spacing w:line="319" w:lineRule="auto" w:before="97"/>
        <w:ind w:left="1493" w:right="0" w:firstLine="1"/>
        <w:jc w:val="left"/>
      </w:pPr>
      <w:r>
        <w:rPr>
          <w:rFonts w:ascii="Times New Roman" w:hAnsi="Times New Roman" w:cs="Times New Roman" w:eastAsia="Times New Roman" w:hint="default"/>
          <w:b/>
          <w:bCs/>
        </w:rPr>
        <w:t>4</w:t>
      </w:r>
      <w:r>
        <w:rPr>
          <w:rFonts w:ascii="宋体" w:hAnsi="宋体" w:cs="宋体" w:eastAsia="宋体" w:hint="default"/>
          <w:b/>
          <w:bCs/>
        </w:rPr>
        <w:t>、丰富的项目实施经验</w:t>
      </w:r>
      <w:r>
        <w:rPr>
          <w:rFonts w:ascii="宋体" w:hAnsi="宋体" w:cs="宋体" w:eastAsia="宋体" w:hint="default"/>
          <w:b/>
          <w:bCs/>
          <w:w w:val="99"/>
        </w:rPr>
        <w:t> </w:t>
      </w:r>
      <w:r>
        <w:rPr>
          <w:spacing w:val="-2"/>
        </w:rPr>
        <w:t>公司自设立以来，专注于以银行业为主的金融信息化领域，一直伴随客户信息化建设的成长，深刻理解行业需求，并在</w:t>
      </w:r>
    </w:p>
    <w:p>
      <w:pPr>
        <w:pStyle w:val="BodyText"/>
        <w:spacing w:line="297" w:lineRule="auto"/>
        <w:ind w:right="0"/>
        <w:jc w:val="left"/>
      </w:pPr>
      <w:r>
        <w:rPr>
          <w:spacing w:val="-2"/>
        </w:rPr>
        <w:t>如何提升解决方案运行稳定性方面具备成熟的经验，自成立以来，除目前正在实施、尚未验收的项目外，所有项目均成功上</w:t>
      </w:r>
      <w:r>
        <w:rPr>
          <w:spacing w:val="-66"/>
        </w:rPr>
        <w:t> </w:t>
      </w:r>
      <w:r>
        <w:rPr>
          <w:spacing w:val="-66"/>
        </w:rPr>
      </w:r>
      <w:r>
        <w:rPr/>
        <w:t>线并通过验收。公司建立了客户满意度调查制度，在每个项目结项后对客户满意度进行回访调查。</w:t>
      </w:r>
    </w:p>
    <w:p>
      <w:pPr>
        <w:spacing w:line="319" w:lineRule="auto" w:before="53"/>
        <w:ind w:left="1493"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、复合型人才储备和稳定的技术、管理团队</w:t>
      </w:r>
      <w:r>
        <w:rPr>
          <w:rFonts w:ascii="宋体" w:hAnsi="宋体" w:cs="宋体" w:eastAsia="宋体" w:hint="default"/>
          <w:b/>
          <w:bCs/>
          <w:w w:val="99"/>
          <w:sz w:val="18"/>
          <w:szCs w:val="18"/>
        </w:rPr>
        <w:t> </w:t>
      </w:r>
      <w:r>
        <w:rPr>
          <w:rFonts w:ascii="宋体" w:hAnsi="宋体" w:cs="宋体" w:eastAsia="宋体" w:hint="default"/>
          <w:spacing w:val="-2"/>
          <w:sz w:val="18"/>
          <w:szCs w:val="18"/>
        </w:rPr>
        <w:t>金融信息系统自身的复杂性和专业性以及其作为国民经济核心的行业特征，要求开发人员具备丰富的行业经验、复合的</w:t>
      </w:r>
    </w:p>
    <w:p>
      <w:pPr>
        <w:pStyle w:val="BodyText"/>
        <w:spacing w:line="280" w:lineRule="auto"/>
        <w:ind w:right="0"/>
        <w:jc w:val="left"/>
      </w:pPr>
      <w:r>
        <w:rPr>
          <w:spacing w:val="-2"/>
        </w:rPr>
        <w:t>知识结构以及技术积累。公司长期以来培养了一支融合了</w:t>
      </w:r>
      <w:r>
        <w:rPr>
          <w:rFonts w:ascii="Times New Roman" w:hAnsi="Times New Roman" w:cs="Times New Roman" w:eastAsia="Times New Roman" w:hint="default"/>
          <w:spacing w:val="-2"/>
        </w:rPr>
        <w:t>IT</w:t>
      </w:r>
      <w:r>
        <w:rPr>
          <w:spacing w:val="-2"/>
        </w:rPr>
        <w:t>技术、银行业务知识及行业管理经验的复合型人才队伍，对于高</w:t>
      </w:r>
      <w:r>
        <w:rPr>
          <w:spacing w:val="-52"/>
        </w:rPr>
        <w:t> </w:t>
      </w:r>
      <w:r>
        <w:rPr>
          <w:spacing w:val="-52"/>
        </w:rPr>
      </w:r>
      <w:r>
        <w:rPr/>
        <w:t>度复杂的银行信息系统开发具有独到的理解能力和丰富的实施经验，拥有多项核心技术和全部产品的自主知识产权。</w:t>
      </w:r>
    </w:p>
    <w:p>
      <w:pPr>
        <w:pStyle w:val="BodyText"/>
        <w:spacing w:line="297" w:lineRule="auto" w:before="65"/>
        <w:ind w:right="1132" w:firstLine="360"/>
        <w:jc w:val="both"/>
      </w:pPr>
      <w:r>
        <w:rPr>
          <w:spacing w:val="-2"/>
        </w:rPr>
        <w:t>公司形成了一系列符合市场要求及公司实际的考核机制，通过股权激励等一系列措施，使得核心管理与研发人才均持有</w:t>
      </w:r>
      <w:r>
        <w:rPr/>
        <w:t> </w:t>
      </w:r>
      <w:r>
        <w:rPr>
          <w:spacing w:val="-2"/>
        </w:rPr>
        <w:t>公司股份，使得团队成员的利益与公司的发展保持高度一致。公司高管深刻认同公司的文化和经营管理理念，对金融信息化</w:t>
      </w:r>
      <w:r>
        <w:rPr>
          <w:spacing w:val="-66"/>
        </w:rPr>
        <w:t> </w:t>
      </w:r>
      <w:r>
        <w:rPr>
          <w:spacing w:val="-66"/>
        </w:rPr>
      </w:r>
      <w:r>
        <w:rPr/>
        <w:t>领域拥有高度的敏感性和前瞻性。</w:t>
      </w:r>
    </w:p>
    <w:p>
      <w:pPr>
        <w:pStyle w:val="BodyText"/>
        <w:spacing w:line="319" w:lineRule="auto" w:before="52"/>
        <w:ind w:left="1493" w:right="0" w:firstLine="1"/>
        <w:jc w:val="left"/>
      </w:pPr>
      <w:r>
        <w:rPr>
          <w:rFonts w:ascii="Times New Roman" w:hAnsi="Times New Roman" w:cs="Times New Roman" w:eastAsia="Times New Roman" w:hint="default"/>
          <w:b/>
          <w:bCs/>
        </w:rPr>
        <w:t>6</w:t>
      </w:r>
      <w:r>
        <w:rPr>
          <w:rFonts w:ascii="宋体" w:hAnsi="宋体" w:cs="宋体" w:eastAsia="宋体" w:hint="default"/>
          <w:b/>
          <w:bCs/>
        </w:rPr>
        <w:t>、先进的研发模式和理念</w:t>
      </w:r>
      <w:r>
        <w:rPr>
          <w:rFonts w:ascii="宋体" w:hAnsi="宋体" w:cs="宋体" w:eastAsia="宋体" w:hint="default"/>
          <w:b/>
          <w:bCs/>
          <w:w w:val="99"/>
        </w:rPr>
        <w:t> </w:t>
      </w:r>
      <w:r>
        <w:rPr>
          <w:spacing w:val="-2"/>
        </w:rPr>
        <w:t>公司在长期的项目实践中，深化了项目运作的内涵，建立了适应未来发展的</w:t>
      </w:r>
      <w:r>
        <w:rPr>
          <w:rFonts w:ascii="Times New Roman" w:hAnsi="Times New Roman" w:cs="Times New Roman" w:eastAsia="Times New Roman" w:hint="default"/>
          <w:spacing w:val="-2"/>
        </w:rPr>
        <w:t>“</w:t>
      </w:r>
      <w:r>
        <w:rPr>
          <w:spacing w:val="-2"/>
        </w:rPr>
        <w:t>基线式研发管理模式</w:t>
      </w:r>
      <w:r>
        <w:rPr>
          <w:rFonts w:ascii="Times New Roman" w:hAnsi="Times New Roman" w:cs="Times New Roman" w:eastAsia="Times New Roman" w:hint="default"/>
          <w:spacing w:val="-2"/>
        </w:rPr>
        <w:t>”</w:t>
      </w:r>
      <w:r>
        <w:rPr>
          <w:spacing w:val="-2"/>
        </w:rPr>
        <w:t>，建立了公司阶梯式</w:t>
      </w:r>
    </w:p>
    <w:p>
      <w:pPr>
        <w:pStyle w:val="BodyText"/>
        <w:spacing w:line="226" w:lineRule="exact"/>
        <w:ind w:left="1134" w:right="0"/>
        <w:jc w:val="left"/>
      </w:pPr>
      <w:r>
        <w:rPr/>
        <w:t>上升的产品结构。</w:t>
      </w:r>
      <w:r>
        <w:rPr>
          <w:rFonts w:ascii="Times New Roman" w:hAnsi="Times New Roman" w:cs="Times New Roman" w:eastAsia="Times New Roman" w:hint="default"/>
        </w:rPr>
        <w:t>“</w:t>
      </w:r>
      <w:r>
        <w:rPr/>
        <w:t>基线式研发管理模式</w:t>
      </w:r>
      <w:r>
        <w:rPr>
          <w:rFonts w:ascii="Times New Roman" w:hAnsi="Times New Roman" w:cs="Times New Roman" w:eastAsia="Times New Roman" w:hint="default"/>
        </w:rPr>
        <w:t>”</w:t>
      </w:r>
      <w:r>
        <w:rPr/>
        <w:t>是结合客户项目化开发的需求，以建立完善的基线产品模块库为中心，建立统一的</w:t>
      </w:r>
    </w:p>
    <w:p>
      <w:pPr>
        <w:pStyle w:val="BodyText"/>
        <w:spacing w:line="297" w:lineRule="auto" w:before="42"/>
        <w:ind w:left="1134" w:right="1131"/>
        <w:jc w:val="both"/>
      </w:pPr>
      <w:r>
        <w:rPr>
          <w:spacing w:val="-2"/>
        </w:rPr>
        <w:t>版本合并机制。首先，由公司研发部门建立各类产品的基线版本，在新项目启动时，从基线产品库中获取最新版本，并根据</w:t>
      </w:r>
      <w:r>
        <w:rPr>
          <w:spacing w:val="-66"/>
        </w:rPr>
        <w:t> </w:t>
      </w:r>
      <w:r>
        <w:rPr>
          <w:spacing w:val="-66"/>
        </w:rPr>
      </w:r>
      <w:r>
        <w:rPr>
          <w:spacing w:val="-2"/>
        </w:rPr>
        <w:t>客户个性化需求进行二次开发，满足新的功能和性能需求；在项目上线完成测试后，实施人员根据项目具备普遍适用性的新</w:t>
      </w:r>
      <w:r>
        <w:rPr>
          <w:spacing w:val="-66"/>
        </w:rPr>
        <w:t> </w:t>
      </w:r>
      <w:r>
        <w:rPr>
          <w:spacing w:val="-66"/>
        </w:rPr>
      </w:r>
      <w:r>
        <w:rPr>
          <w:spacing w:val="-2"/>
        </w:rPr>
        <w:t>增功能，提交公司研发部门并根据新的功能对统一版本进行合并，从而形成更新后的基线产品。目前，公司统一版本中已经</w:t>
      </w:r>
      <w:r>
        <w:rPr>
          <w:spacing w:val="-66"/>
        </w:rPr>
        <w:t> </w:t>
      </w:r>
      <w:r>
        <w:rPr>
          <w:spacing w:val="-66"/>
        </w:rPr>
      </w:r>
      <w:r>
        <w:rPr/>
        <w:t>形成了庞大的组件模块库，能够快速响应客户的各种复杂定制化开发需求。</w:t>
      </w:r>
    </w:p>
    <w:p>
      <w:pPr>
        <w:pStyle w:val="BodyText"/>
        <w:spacing w:line="280" w:lineRule="auto" w:before="53"/>
        <w:ind w:right="1130" w:firstLine="360"/>
        <w:jc w:val="both"/>
      </w:pPr>
      <w:r>
        <w:rPr>
          <w:spacing w:val="-2"/>
        </w:rPr>
        <w:t>公司依托模块化配置技术、统一版本融合的机制和自动化管理软件等核心技术支撑了</w:t>
      </w:r>
      <w:r>
        <w:rPr>
          <w:rFonts w:ascii="Times New Roman" w:hAnsi="Times New Roman" w:cs="Times New Roman" w:eastAsia="Times New Roman" w:hint="default"/>
          <w:spacing w:val="-2"/>
        </w:rPr>
        <w:t>“</w:t>
      </w:r>
      <w:r>
        <w:rPr>
          <w:spacing w:val="-2"/>
        </w:rPr>
        <w:t>基线式研发管理模式</w:t>
      </w:r>
      <w:r>
        <w:rPr>
          <w:rFonts w:ascii="Times New Roman" w:hAnsi="Times New Roman" w:cs="Times New Roman" w:eastAsia="Times New Roman" w:hint="default"/>
          <w:spacing w:val="-2"/>
        </w:rPr>
        <w:t>”</w:t>
      </w:r>
      <w:r>
        <w:rPr>
          <w:spacing w:val="-2"/>
        </w:rPr>
        <w:t>的实施。该</w:t>
      </w:r>
      <w:r>
        <w:rPr/>
        <w:t> 研发模式不但保持了项目化的灵活特性，并大大提高了项目实施效率。</w:t>
      </w:r>
    </w:p>
    <w:p>
      <w:pPr>
        <w:pStyle w:val="BodyText"/>
        <w:spacing w:line="319" w:lineRule="auto" w:before="66"/>
        <w:ind w:left="1493" w:right="0" w:firstLine="1"/>
        <w:jc w:val="left"/>
      </w:pPr>
      <w:r>
        <w:rPr>
          <w:rFonts w:ascii="Times New Roman" w:hAnsi="Times New Roman" w:cs="Times New Roman" w:eastAsia="Times New Roman" w:hint="default"/>
          <w:b/>
          <w:bCs/>
        </w:rPr>
        <w:t>7</w:t>
      </w:r>
      <w:r>
        <w:rPr>
          <w:rFonts w:ascii="宋体" w:hAnsi="宋体" w:cs="宋体" w:eastAsia="宋体" w:hint="default"/>
          <w:b/>
          <w:bCs/>
        </w:rPr>
        <w:t>、全国性的战略布局</w:t>
      </w:r>
      <w:r>
        <w:rPr>
          <w:rFonts w:ascii="宋体" w:hAnsi="宋体" w:cs="宋体" w:eastAsia="宋体" w:hint="default"/>
          <w:b/>
          <w:bCs/>
          <w:w w:val="99"/>
        </w:rPr>
        <w:t> </w:t>
      </w:r>
      <w:r>
        <w:rPr>
          <w:spacing w:val="-2"/>
        </w:rPr>
        <w:t>公司建立了全国性的营销和服务网络。公司总部位于北京，拥有上海、江苏等两家子公司和北京、深圳、成都、武汉等</w:t>
      </w:r>
    </w:p>
    <w:p>
      <w:pPr>
        <w:pStyle w:val="BodyText"/>
        <w:spacing w:line="297" w:lineRule="auto"/>
        <w:ind w:right="1042"/>
        <w:jc w:val="left"/>
      </w:pPr>
      <w:r>
        <w:rPr>
          <w:spacing w:val="-4"/>
        </w:rPr>
        <w:t>四家分公司，同时公司金融软件中心下设北京、上海、南京、武汉、成都、厦门、广州等七家分软，形成了覆盖华北、华东、</w:t>
      </w:r>
      <w:r>
        <w:rPr>
          <w:spacing w:val="-50"/>
        </w:rPr>
        <w:t> </w:t>
      </w:r>
      <w:r>
        <w:rPr>
          <w:spacing w:val="-50"/>
        </w:rPr>
      </w:r>
      <w:r>
        <w:rPr>
          <w:spacing w:val="-2"/>
        </w:rPr>
        <w:t>华南、华中和西南地区的全国性营销及服务网络，公司的客户范围遍及全国除港、澳、台地区以外的所有省、市、自治区和</w:t>
      </w:r>
      <w:r>
        <w:rPr>
          <w:spacing w:val="-68"/>
        </w:rPr>
        <w:t> </w:t>
      </w:r>
      <w:r>
        <w:rPr>
          <w:spacing w:val="-68"/>
        </w:rPr>
      </w:r>
      <w:r>
        <w:rPr/>
        <w:t>直辖市。</w:t>
      </w:r>
    </w:p>
    <w:p>
      <w:pPr>
        <w:pStyle w:val="BodyText"/>
        <w:spacing w:line="288" w:lineRule="auto" w:before="53"/>
        <w:ind w:left="1134" w:right="1130" w:firstLine="360"/>
        <w:jc w:val="both"/>
        <w:rPr>
          <w:sz w:val="24"/>
          <w:szCs w:val="24"/>
        </w:rPr>
      </w:pPr>
      <w:r>
        <w:rPr>
          <w:spacing w:val="-2"/>
        </w:rPr>
        <w:t>全国性的战略布局不仅提高了公司的客户响应速度，有效提高了客户服务质量，同时有利于公司对于区域性金融机构的</w:t>
      </w:r>
      <w:r>
        <w:rPr/>
        <w:t> 客户拓展，有利于公司把握未来城市商业银行和农村商业银行</w:t>
      </w:r>
      <w:r>
        <w:rPr>
          <w:rFonts w:ascii="Times New Roman" w:hAnsi="Times New Roman" w:cs="Times New Roman" w:eastAsia="Times New Roman" w:hint="default"/>
        </w:rPr>
        <w:t>IT</w:t>
      </w:r>
      <w:r>
        <w:rPr/>
        <w:t>系统建设及更新换代的良好机遇</w:t>
      </w:r>
      <w:r>
        <w:rPr>
          <w:sz w:val="24"/>
          <w:szCs w:val="24"/>
        </w:rPr>
        <w:t>。</w:t>
      </w:r>
    </w:p>
    <w:p>
      <w:pPr>
        <w:spacing w:after="0" w:line="288" w:lineRule="auto"/>
        <w:jc w:val="both"/>
        <w:rPr>
          <w:sz w:val="24"/>
          <w:szCs w:val="24"/>
        </w:rPr>
        <w:sectPr>
          <w:pgSz w:w="11910" w:h="16840"/>
          <w:pgMar w:header="877" w:footer="1187" w:top="1100" w:bottom="138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right="1114"/>
        <w:jc w:val="center"/>
        <w:rPr>
          <w:b w:val="0"/>
          <w:bCs w:val="0"/>
        </w:rPr>
      </w:pPr>
      <w:bookmarkStart w:name="第四节 管理层讨论与分析" w:id="21"/>
      <w:bookmarkEnd w:id="21"/>
      <w:r>
        <w:rPr>
          <w:b w:val="0"/>
          <w:bCs w:val="0"/>
        </w:rPr>
      </w:r>
      <w:bookmarkStart w:name="_bookmark2" w:id="22"/>
      <w:bookmarkEnd w:id="22"/>
      <w:r>
        <w:rPr>
          <w:b w:val="0"/>
          <w:bCs w:val="0"/>
        </w:rPr>
      </w:r>
      <w:r>
        <w:rPr/>
        <w:t>第四节</w:t>
      </w:r>
      <w:r>
        <w:rPr>
          <w:spacing w:val="-9"/>
        </w:rPr>
        <w:t> </w:t>
      </w:r>
      <w:r>
        <w:rPr/>
        <w:t>管理层讨论与分析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概述" w:id="23"/>
      <w:bookmarkEnd w:id="23"/>
      <w:r>
        <w:rPr>
          <w:b w:val="0"/>
          <w:bCs w:val="0"/>
        </w:rPr>
      </w:r>
      <w:r>
        <w:rPr/>
        <w:t>一、概述</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left="1493" w:right="0"/>
        <w:jc w:val="left"/>
      </w:pPr>
      <w:r>
        <w:rPr>
          <w:rFonts w:ascii="Times New Roman" w:hAnsi="Times New Roman" w:cs="Times New Roman" w:eastAsia="Times New Roman" w:hint="default"/>
        </w:rPr>
        <w:t>2015</w:t>
      </w:r>
      <w:r>
        <w:rPr/>
        <w:t>年公司成功完成上市，并启动新的战略发展规划。</w:t>
      </w:r>
    </w:p>
    <w:p>
      <w:pPr>
        <w:pStyle w:val="BodyText"/>
        <w:spacing w:line="285" w:lineRule="auto" w:before="82"/>
        <w:ind w:right="1130" w:firstLine="360"/>
        <w:jc w:val="both"/>
      </w:pPr>
      <w:r>
        <w:rPr>
          <w:rFonts w:ascii="Times New Roman" w:hAnsi="Times New Roman" w:cs="Times New Roman" w:eastAsia="Times New Roman" w:hint="default"/>
          <w:spacing w:val="-2"/>
        </w:rPr>
        <w:t>2015</w:t>
      </w:r>
      <w:r>
        <w:rPr>
          <w:spacing w:val="-2"/>
        </w:rPr>
        <w:t>年，中国经济结构经历转型调整，银行利率市场化和全民保险渐行趋势。公司决心抓住机遇，在金融行业</w:t>
      </w:r>
      <w:r>
        <w:rPr>
          <w:rFonts w:ascii="Times New Roman" w:hAnsi="Times New Roman" w:cs="Times New Roman" w:eastAsia="Times New Roman" w:hint="default"/>
          <w:spacing w:val="-2"/>
        </w:rPr>
        <w:t>IT</w:t>
      </w:r>
      <w:r>
        <w:rPr>
          <w:spacing w:val="-2"/>
        </w:rPr>
        <w:t>市场进</w:t>
      </w:r>
      <w:r>
        <w:rPr/>
        <w:t> 入</w:t>
      </w:r>
      <w:r>
        <w:rPr>
          <w:rFonts w:ascii="Times New Roman" w:hAnsi="Times New Roman" w:cs="Times New Roman" w:eastAsia="Times New Roman" w:hint="default"/>
        </w:rPr>
        <w:t>“</w:t>
      </w:r>
      <w:r>
        <w:rPr/>
        <w:t>新常态</w:t>
      </w:r>
      <w:r>
        <w:rPr>
          <w:rFonts w:ascii="Times New Roman" w:hAnsi="Times New Roman" w:cs="Times New Roman" w:eastAsia="Times New Roman" w:hint="default"/>
        </w:rPr>
        <w:t>”</w:t>
      </w:r>
      <w:r>
        <w:rPr/>
        <w:t>的背景下，充分利用国家提出的</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的战略，制定并明确了公司未来的发展战略与使命，即和我们的客户</w:t>
      </w:r>
      <w:r>
        <w:rPr>
          <w:spacing w:val="-60"/>
        </w:rPr>
        <w:t> </w:t>
      </w:r>
      <w:r>
        <w:rPr>
          <w:spacing w:val="-60"/>
        </w:rPr>
      </w:r>
      <w:r>
        <w:rPr>
          <w:spacing w:val="-2"/>
        </w:rPr>
        <w:t>一起从金融互联网走向互联网金融。我们通过加强研发投入，严格预算管理，努力提升产品质量，广招人才，在主营业务方</w:t>
      </w:r>
      <w:r>
        <w:rPr>
          <w:spacing w:val="-66"/>
        </w:rPr>
        <w:t> </w:t>
      </w:r>
      <w:r>
        <w:rPr>
          <w:spacing w:val="-66"/>
        </w:rPr>
      </w:r>
      <w:r>
        <w:rPr/>
        <w:t>向实现收入</w:t>
      </w:r>
      <w:r>
        <w:rPr>
          <w:rFonts w:ascii="Times New Roman" w:hAnsi="Times New Roman" w:cs="Times New Roman" w:eastAsia="Times New Roman" w:hint="default"/>
        </w:rPr>
        <w:t>9.39</w:t>
      </w:r>
      <w:r>
        <w:rPr/>
        <w:t>亿元，使得公司在转型之年和宏观经济下行的双重压力下，基本完成了当年的公司战略目标。</w:t>
      </w:r>
    </w:p>
    <w:p>
      <w:pPr>
        <w:pStyle w:val="BodyText"/>
        <w:spacing w:line="240" w:lineRule="auto" w:before="44"/>
        <w:ind w:left="1494" w:right="0"/>
        <w:jc w:val="left"/>
      </w:pPr>
      <w:r>
        <w:rPr/>
        <w:t>围绕三年战略发展规划与</w:t>
      </w:r>
      <w:r>
        <w:rPr>
          <w:rFonts w:ascii="Times New Roman" w:hAnsi="Times New Roman" w:cs="Times New Roman" w:eastAsia="Times New Roman" w:hint="default"/>
        </w:rPr>
        <w:t>2015</w:t>
      </w:r>
      <w:r>
        <w:rPr/>
        <w:t>年经营计划，公司在报告期重点完成了以下几项工作：</w:t>
      </w:r>
    </w:p>
    <w:p>
      <w:pPr>
        <w:pStyle w:val="BodyText"/>
        <w:spacing w:line="285" w:lineRule="auto" w:before="83"/>
        <w:ind w:right="1130" w:firstLine="360"/>
        <w:jc w:val="both"/>
      </w:pPr>
      <w:r>
        <w:rPr>
          <w:rFonts w:ascii="Times New Roman" w:hAnsi="Times New Roman" w:cs="Times New Roman" w:eastAsia="Times New Roman" w:hint="default"/>
        </w:rPr>
        <w:t>1</w:t>
      </w:r>
      <w:r>
        <w:rPr/>
        <w:t>、继续加强现有主营业务，拓展已有产品与解决方案市场：打赢了建行新一代二期上线之战，巩固了在邮储银行资产 </w:t>
      </w:r>
      <w:r>
        <w:rPr>
          <w:spacing w:val="-2"/>
        </w:rPr>
        <w:t>类系统中的领先地位，完成了新华寿险新一代核心的主体框架，实现了江苏银行核心系统的新架构基础上的核算分离与产品</w:t>
      </w:r>
      <w:r>
        <w:rPr>
          <w:spacing w:val="-63"/>
        </w:rPr>
        <w:t> </w:t>
      </w:r>
      <w:r>
        <w:rPr>
          <w:spacing w:val="-63"/>
        </w:rPr>
      </w:r>
      <w:r>
        <w:rPr>
          <w:spacing w:val="-1"/>
        </w:rPr>
        <w:t>管理平台的建设。同时，成功推广</w:t>
      </w:r>
      <w:r>
        <w:rPr>
          <w:rFonts w:ascii="Times New Roman" w:hAnsi="Times New Roman" w:cs="Times New Roman" w:eastAsia="Times New Roman" w:hint="default"/>
          <w:spacing w:val="-1"/>
        </w:rPr>
        <w:t>“4+2”</w:t>
      </w:r>
      <w:r>
        <w:rPr>
          <w:spacing w:val="-1"/>
        </w:rPr>
        <w:t>产品销售，充分发挥已有</w:t>
      </w:r>
      <w:r>
        <w:rPr>
          <w:rFonts w:ascii="Times New Roman" w:hAnsi="Times New Roman" w:cs="Times New Roman" w:eastAsia="Times New Roman" w:hint="default"/>
          <w:spacing w:val="-1"/>
        </w:rPr>
        <w:t>ECIF</w:t>
      </w:r>
      <w:r>
        <w:rPr>
          <w:spacing w:val="-1"/>
        </w:rPr>
        <w:t>、</w:t>
      </w:r>
      <w:r>
        <w:rPr>
          <w:rFonts w:ascii="Times New Roman" w:hAnsi="Times New Roman" w:cs="Times New Roman" w:eastAsia="Times New Roman" w:hint="default"/>
          <w:spacing w:val="-1"/>
        </w:rPr>
        <w:t>CRM</w:t>
      </w:r>
      <w:r>
        <w:rPr>
          <w:spacing w:val="-1"/>
        </w:rPr>
        <w:t>、信用风险缓释管理系统、互联网小额贷款系</w:t>
      </w:r>
      <w:r>
        <w:rPr>
          <w:w w:val="99"/>
        </w:rPr>
        <w:t> </w:t>
      </w:r>
      <w:r>
        <w:rPr/>
        <w:t>统等的优势，开拓了新的客户群。</w:t>
      </w:r>
    </w:p>
    <w:p>
      <w:pPr>
        <w:pStyle w:val="BodyText"/>
        <w:spacing w:line="280" w:lineRule="auto" w:before="62"/>
        <w:ind w:right="1132" w:firstLine="360"/>
        <w:jc w:val="both"/>
      </w:pPr>
      <w:r>
        <w:rPr>
          <w:rFonts w:ascii="Times New Roman" w:hAnsi="Times New Roman" w:cs="Times New Roman" w:eastAsia="Times New Roman" w:hint="default"/>
        </w:rPr>
        <w:t>2</w:t>
      </w:r>
      <w:r>
        <w:rPr/>
        <w:t>、凭借互联网</w:t>
      </w:r>
      <w:r>
        <w:rPr>
          <w:rFonts w:ascii="Times New Roman" w:hAnsi="Times New Roman" w:cs="Times New Roman" w:eastAsia="Times New Roman" w:hint="default"/>
        </w:rPr>
        <w:t>+</w:t>
      </w:r>
      <w:r>
        <w:rPr/>
        <w:t>的相关新兴技术，打造新的增长点：将数据中心云管理平台和运维自动化管理平台推广至城市商业银 行市场；银行核心产品的</w:t>
      </w:r>
      <w:r>
        <w:rPr>
          <w:rFonts w:ascii="Times New Roman" w:hAnsi="Times New Roman" w:cs="Times New Roman" w:eastAsia="Times New Roman" w:hint="default"/>
        </w:rPr>
        <w:t>SAAS</w:t>
      </w:r>
      <w:r>
        <w:rPr/>
        <w:t>化成功赢取了市场案例；互联网架构与技术研究成果，为多个客户提供了关键的解决方案与 技术支撑；互联网巨头的工作流与数据库的分布式集群、证券公司的互联网架构选型与改造方案等。</w:t>
      </w:r>
    </w:p>
    <w:p>
      <w:pPr>
        <w:pStyle w:val="BodyText"/>
        <w:spacing w:line="283" w:lineRule="auto" w:before="65"/>
        <w:ind w:left="1134" w:right="1050" w:firstLine="360"/>
        <w:jc w:val="both"/>
      </w:pPr>
      <w:r>
        <w:rPr>
          <w:rFonts w:ascii="Times New Roman" w:hAnsi="Times New Roman" w:cs="Times New Roman" w:eastAsia="Times New Roman" w:hint="default"/>
        </w:rPr>
        <w:t>3</w:t>
      </w:r>
      <w:r>
        <w:rPr/>
        <w:t>、面向新的客户业务应用，夺取产品与解决方案的制高点：坚持业务引领，研发跟进，方案整合，服务支撑，高效协 同的策略，成功签约并实施了新一代银行系统架构下的统一额度、产品管理、独立核算、小微贷款等新型业务与管理平台。</w:t>
      </w:r>
    </w:p>
    <w:p>
      <w:pPr>
        <w:pStyle w:val="BodyText"/>
        <w:spacing w:line="285" w:lineRule="auto" w:before="63"/>
        <w:ind w:left="1134" w:right="0" w:firstLine="360"/>
        <w:jc w:val="left"/>
      </w:pPr>
      <w:r>
        <w:rPr>
          <w:rFonts w:ascii="Times New Roman" w:hAnsi="Times New Roman" w:cs="Times New Roman" w:eastAsia="Times New Roman" w:hint="default"/>
        </w:rPr>
        <w:t>4</w:t>
      </w:r>
      <w:r>
        <w:rPr/>
        <w:t>、研发中心体系化和专业化，引进人才，推进自主知识产权与产品研发：</w:t>
      </w:r>
      <w:r>
        <w:rPr>
          <w:rFonts w:ascii="Times New Roman" w:hAnsi="Times New Roman" w:cs="Times New Roman" w:eastAsia="Times New Roman" w:hint="default"/>
        </w:rPr>
        <w:t>2015</w:t>
      </w:r>
      <w:r>
        <w:rPr/>
        <w:t>年，为实现公司未来三年的发展目标， </w:t>
      </w:r>
      <w:r>
        <w:rPr>
          <w:spacing w:val="-4"/>
        </w:rPr>
        <w:t>强化了研发中心的队伍建设，通过外招内转，设组建了一支专业化的研发团队。包括业务经理，产品经理，技术架构，开发，</w:t>
      </w:r>
      <w:r>
        <w:rPr>
          <w:spacing w:val="-44"/>
        </w:rPr>
        <w:t> </w:t>
      </w:r>
      <w:r>
        <w:rPr>
          <w:spacing w:val="-44"/>
        </w:rPr>
      </w:r>
      <w:r>
        <w:rPr/>
        <w:t>测试等人员。截止目前公司专业化的研发团队已经发展到</w:t>
      </w:r>
      <w:r>
        <w:rPr>
          <w:rFonts w:ascii="Times New Roman" w:hAnsi="Times New Roman" w:cs="Times New Roman" w:eastAsia="Times New Roman" w:hint="default"/>
        </w:rPr>
        <w:t>100</w:t>
      </w:r>
      <w:r>
        <w:rPr/>
        <w:t>多人，并在北京，上海，厦门，西安等城市设立相关机构，形</w:t>
      </w:r>
      <w:r>
        <w:rPr>
          <w:spacing w:val="-82"/>
        </w:rPr>
        <w:t> </w:t>
      </w:r>
      <w:r>
        <w:rPr>
          <w:spacing w:val="-82"/>
        </w:rPr>
      </w:r>
      <w:r>
        <w:rPr>
          <w:spacing w:val="-2"/>
        </w:rPr>
        <w:t>成了具有公司特色的研发体系。在金融</w:t>
      </w:r>
      <w:r>
        <w:rPr>
          <w:rFonts w:ascii="Times New Roman" w:hAnsi="Times New Roman" w:cs="Times New Roman" w:eastAsia="Times New Roman" w:hint="default"/>
          <w:spacing w:val="-2"/>
        </w:rPr>
        <w:t>IT</w:t>
      </w:r>
      <w:r>
        <w:rPr>
          <w:spacing w:val="-2"/>
        </w:rPr>
        <w:t>领域的诸多方面展开预研和研发工作。为公司技术能力建设，业务能力建设，产品</w:t>
      </w:r>
      <w:r>
        <w:rPr>
          <w:spacing w:val="-52"/>
        </w:rPr>
        <w:t> </w:t>
      </w:r>
      <w:r>
        <w:rPr>
          <w:spacing w:val="-52"/>
        </w:rPr>
      </w:r>
      <w:r>
        <w:rPr/>
        <w:t>能力建设奠定了基础。</w:t>
      </w:r>
    </w:p>
    <w:p>
      <w:pPr>
        <w:pStyle w:val="BodyText"/>
        <w:spacing w:line="280" w:lineRule="auto" w:before="61"/>
        <w:ind w:right="1079" w:firstLine="360"/>
        <w:jc w:val="both"/>
      </w:pPr>
      <w:r>
        <w:rPr>
          <w:rFonts w:ascii="Times New Roman" w:hAnsi="Times New Roman" w:cs="Times New Roman" w:eastAsia="Times New Roman" w:hint="default"/>
        </w:rPr>
        <w:t>5</w:t>
      </w:r>
      <w:r>
        <w:rPr/>
        <w:t>、公司级业务流程系统（</w:t>
      </w:r>
      <w:r>
        <w:rPr>
          <w:rFonts w:ascii="Times New Roman" w:hAnsi="Times New Roman" w:cs="Times New Roman" w:eastAsia="Times New Roman" w:hint="default"/>
        </w:rPr>
        <w:t>8M</w:t>
      </w:r>
      <w:r>
        <w:rPr/>
        <w:t>）的建设和上线，完善与优化了现有各部门</w:t>
      </w:r>
      <w:r>
        <w:rPr>
          <w:rFonts w:ascii="Times New Roman" w:hAnsi="Times New Roman" w:cs="Times New Roman" w:eastAsia="Times New Roman" w:hint="default"/>
        </w:rPr>
        <w:t>IT</w:t>
      </w:r>
      <w:r>
        <w:rPr/>
        <w:t>系统：通过公司内部业务流程系统的建设， 结合</w:t>
      </w:r>
      <w:r>
        <w:rPr>
          <w:rFonts w:ascii="Times New Roman" w:hAnsi="Times New Roman" w:cs="Times New Roman" w:eastAsia="Times New Roman" w:hint="default"/>
        </w:rPr>
        <w:t>ISO9001</w:t>
      </w:r>
      <w:r>
        <w:rPr/>
        <w:t>，国家系统集成一级资质，</w:t>
      </w:r>
      <w:r>
        <w:rPr>
          <w:rFonts w:ascii="Times New Roman" w:hAnsi="Times New Roman" w:cs="Times New Roman" w:eastAsia="Times New Roman" w:hint="default"/>
        </w:rPr>
        <w:t>CMMI</w:t>
      </w:r>
      <w:r>
        <w:rPr/>
        <w:t>等要求，梳理、优化和调整了现有各项管控制度，为下一步提升办公效率，</w:t>
      </w:r>
      <w:r>
        <w:rPr>
          <w:spacing w:val="-70"/>
        </w:rPr>
        <w:t> </w:t>
      </w:r>
      <w:r>
        <w:rPr>
          <w:spacing w:val="-70"/>
        </w:rPr>
      </w:r>
      <w:r>
        <w:rPr/>
        <w:t>提升公司内部信息安全管控能力，体系化运营等提供了系统保障。</w:t>
      </w:r>
    </w:p>
    <w:p>
      <w:pPr>
        <w:pStyle w:val="BodyText"/>
        <w:spacing w:line="292" w:lineRule="auto" w:before="65"/>
        <w:ind w:left="1134" w:right="1032" w:firstLine="360"/>
        <w:jc w:val="left"/>
      </w:pPr>
      <w:r>
        <w:rPr>
          <w:rFonts w:ascii="Times New Roman" w:hAnsi="Times New Roman" w:cs="Times New Roman" w:eastAsia="Times New Roman" w:hint="default"/>
        </w:rPr>
        <w:t>6</w:t>
      </w:r>
      <w:r>
        <w:rPr/>
        <w:t>、股权激励与专业培训并举：随着公司的进一步发展，为加大引进、凝聚人才的力度，提高工作积极性，进而增加公 </w:t>
      </w:r>
      <w:r>
        <w:rPr>
          <w:spacing w:val="-2"/>
        </w:rPr>
        <w:t>司向心力，针对百名核心骨干员工执行了股权激励计划。同时，进一步加大对员工的专业技术、业务、管理培训，为员工提</w:t>
      </w:r>
      <w:r>
        <w:rPr>
          <w:spacing w:val="-67"/>
        </w:rPr>
        <w:t> </w:t>
      </w:r>
      <w:r>
        <w:rPr>
          <w:spacing w:val="-67"/>
        </w:rPr>
      </w:r>
      <w:r>
        <w:rPr/>
        <w:t>供良好的学习成长环境与职业发展通道。并增强了实施团队的服务能力，优化了人员结构，实现了实施团队人均成本控制。 </w:t>
      </w:r>
      <w:r>
        <w:rPr>
          <w:spacing w:val="-2"/>
        </w:rPr>
        <w:t>在全年的经营过程中，针对不同客户的项目特点，结合地域文化特征，进一步使实施团队本地化，加强了区域人员的调配与</w:t>
      </w:r>
      <w:r>
        <w:rPr>
          <w:spacing w:val="-66"/>
        </w:rPr>
        <w:t> </w:t>
      </w:r>
      <w:r>
        <w:rPr>
          <w:spacing w:val="-66"/>
        </w:rPr>
      </w:r>
      <w:r>
        <w:rPr/>
        <w:t>协同。</w:t>
      </w:r>
    </w:p>
    <w:p>
      <w:pPr>
        <w:pStyle w:val="BodyText"/>
        <w:spacing w:line="280" w:lineRule="auto" w:before="56"/>
        <w:ind w:right="1130" w:firstLine="360"/>
        <w:jc w:val="both"/>
      </w:pPr>
      <w:r>
        <w:rPr>
          <w:rFonts w:ascii="Times New Roman" w:hAnsi="Times New Roman" w:cs="Times New Roman" w:eastAsia="Times New Roman" w:hint="default"/>
        </w:rPr>
        <w:t>7</w:t>
      </w:r>
      <w:r>
        <w:rPr/>
        <w:t>、开展资本并购，布局互联网金融：参股兴业数字金融服务（上海）股份有限公司，打造中国最大的</w:t>
      </w:r>
      <w:r>
        <w:rPr>
          <w:rFonts w:ascii="Times New Roman" w:hAnsi="Times New Roman" w:cs="Times New Roman" w:eastAsia="Times New Roman" w:hint="default"/>
        </w:rPr>
        <w:t>“</w:t>
      </w:r>
      <w:r>
        <w:rPr/>
        <w:t>银行云</w:t>
      </w:r>
      <w:r>
        <w:rPr>
          <w:rFonts w:ascii="Times New Roman" w:hAnsi="Times New Roman" w:cs="Times New Roman" w:eastAsia="Times New Roman" w:hint="default"/>
        </w:rPr>
        <w:t>”</w:t>
      </w:r>
      <w:r>
        <w:rPr/>
        <w:t>；参股 </w:t>
      </w:r>
      <w:r>
        <w:rPr>
          <w:spacing w:val="-2"/>
        </w:rPr>
        <w:t>盈行金融信息技术（上海）有限公司也是迈向互联网金融的重要一步；发起成立公平人寿保险公司，从金融行业</w:t>
      </w:r>
      <w:r>
        <w:rPr>
          <w:rFonts w:ascii="Times New Roman" w:hAnsi="Times New Roman" w:cs="Times New Roman" w:eastAsia="Times New Roman" w:hint="default"/>
          <w:spacing w:val="-2"/>
        </w:rPr>
        <w:t>IT</w:t>
      </w:r>
      <w:r>
        <w:rPr>
          <w:spacing w:val="-2"/>
        </w:rPr>
        <w:t>服务商转</w:t>
      </w:r>
      <w:r>
        <w:rPr>
          <w:spacing w:val="-52"/>
        </w:rPr>
        <w:t> </w:t>
      </w:r>
      <w:r>
        <w:rPr/>
        <w:t>型为金融服务提供商。</w:t>
      </w:r>
    </w:p>
    <w:p>
      <w:pPr>
        <w:pStyle w:val="BodyText"/>
        <w:spacing w:line="319" w:lineRule="auto" w:before="66"/>
        <w:ind w:left="1494" w:right="0"/>
        <w:jc w:val="left"/>
      </w:pPr>
      <w:r>
        <w:rPr/>
        <w:t>公司</w:t>
      </w:r>
      <w:r>
        <w:rPr>
          <w:rFonts w:ascii="Times New Roman" w:hAnsi="Times New Roman" w:cs="Times New Roman" w:eastAsia="Times New Roman" w:hint="default"/>
        </w:rPr>
        <w:t>2015</w:t>
      </w:r>
      <w:r>
        <w:rPr/>
        <w:t>年度主要业绩变动及其原因，说明如下： 首先，公司</w:t>
      </w:r>
      <w:r>
        <w:rPr>
          <w:rFonts w:ascii="Times New Roman" w:hAnsi="Times New Roman" w:cs="Times New Roman" w:eastAsia="Times New Roman" w:hint="default"/>
        </w:rPr>
        <w:t>2015</w:t>
      </w:r>
      <w:r>
        <w:rPr/>
        <w:t>年度的收入为</w:t>
      </w:r>
      <w:r>
        <w:rPr>
          <w:rFonts w:ascii="Times New Roman" w:hAnsi="Times New Roman" w:cs="Times New Roman" w:eastAsia="Times New Roman" w:hint="default"/>
        </w:rPr>
        <w:t>938,623,959.01</w:t>
      </w:r>
      <w:r>
        <w:rPr/>
        <w:t>元，同比</w:t>
      </w:r>
      <w:r>
        <w:rPr>
          <w:rFonts w:ascii="Times New Roman" w:hAnsi="Times New Roman" w:cs="Times New Roman" w:eastAsia="Times New Roman" w:hint="default"/>
        </w:rPr>
        <w:t>2014</w:t>
      </w:r>
      <w:r>
        <w:rPr/>
        <w:t>年的</w:t>
      </w:r>
      <w:r>
        <w:rPr>
          <w:rFonts w:ascii="Times New Roman" w:hAnsi="Times New Roman" w:cs="Times New Roman" w:eastAsia="Times New Roman" w:hint="default"/>
        </w:rPr>
        <w:t>995,930,625.91</w:t>
      </w:r>
      <w:r>
        <w:rPr/>
        <w:t>元，下降</w:t>
      </w:r>
      <w:r>
        <w:rPr>
          <w:rFonts w:ascii="Times New Roman" w:hAnsi="Times New Roman" w:cs="Times New Roman" w:eastAsia="Times New Roman" w:hint="default"/>
        </w:rPr>
        <w:t>5.75%</w:t>
      </w:r>
      <w:r>
        <w:rPr/>
        <w:t>。若将收入构成按照业务</w:t>
      </w:r>
    </w:p>
    <w:p>
      <w:pPr>
        <w:pStyle w:val="BodyText"/>
        <w:spacing w:line="213" w:lineRule="exact"/>
        <w:ind w:left="1134" w:right="0"/>
        <w:jc w:val="left"/>
      </w:pPr>
      <w:r>
        <w:rPr/>
        <w:t>类型拆分后，为：</w:t>
      </w:r>
    </w:p>
    <w:p>
      <w:pPr>
        <w:spacing w:after="0" w:line="213" w:lineRule="exact"/>
        <w:jc w:val="left"/>
        <w:sectPr>
          <w:pgSz w:w="11910" w:h="16840"/>
          <w:pgMar w:header="877" w:footer="1187" w:top="1100" w:bottom="1380" w:left="0" w:right="0"/>
        </w:sectPr>
      </w:pPr>
    </w:p>
    <w:p>
      <w:pPr>
        <w:spacing w:line="240" w:lineRule="auto" w:before="13"/>
        <w:rPr>
          <w:rFonts w:ascii="宋体" w:hAnsi="宋体" w:cs="宋体" w:eastAsia="宋体" w:hint="default"/>
          <w:sz w:val="21"/>
          <w:szCs w:val="21"/>
        </w:rPr>
      </w:pPr>
    </w:p>
    <w:p>
      <w:pPr>
        <w:pStyle w:val="BodyText"/>
        <w:spacing w:line="240" w:lineRule="auto" w:before="44"/>
        <w:ind w:left="0" w:right="1769"/>
        <w:jc w:val="right"/>
      </w:pPr>
      <w:r>
        <w:rPr/>
        <w:t>单位：元</w:t>
      </w:r>
    </w:p>
    <w:p>
      <w:pPr>
        <w:spacing w:line="240" w:lineRule="auto" w:before="13"/>
        <w:rPr>
          <w:rFonts w:ascii="宋体" w:hAnsi="宋体" w:cs="宋体" w:eastAsia="宋体" w:hint="default"/>
          <w:sz w:val="7"/>
          <w:szCs w:val="7"/>
        </w:rPr>
      </w:pPr>
    </w:p>
    <w:tbl>
      <w:tblPr>
        <w:tblW w:w="0" w:type="auto"/>
        <w:jc w:val="left"/>
        <w:tblInd w:w="1543" w:type="dxa"/>
        <w:tblLayout w:type="fixed"/>
        <w:tblCellMar>
          <w:top w:w="0" w:type="dxa"/>
          <w:left w:w="0" w:type="dxa"/>
          <w:bottom w:w="0" w:type="dxa"/>
          <w:right w:w="0" w:type="dxa"/>
        </w:tblCellMar>
        <w:tblLook w:val="01E0"/>
      </w:tblPr>
      <w:tblGrid>
        <w:gridCol w:w="2198"/>
        <w:gridCol w:w="1653"/>
        <w:gridCol w:w="1654"/>
        <w:gridCol w:w="1653"/>
        <w:gridCol w:w="1654"/>
      </w:tblGrid>
      <w:tr>
        <w:trPr>
          <w:trHeight w:val="499" w:hRule="exact"/>
        </w:trPr>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收入类别</w:t>
            </w:r>
            <w:r>
              <w:rPr>
                <w:rFonts w:ascii="宋体" w:hAnsi="宋体" w:cs="宋体" w:eastAsia="宋体" w:hint="default"/>
                <w:sz w:val="18"/>
                <w:szCs w:val="18"/>
              </w:rPr>
            </w:r>
          </w:p>
        </w:tc>
        <w:tc>
          <w:tcPr>
            <w:tcW w:w="1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48"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2015</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年收入</w:t>
            </w:r>
            <w:r>
              <w:rPr>
                <w:rFonts w:ascii="宋体" w:hAnsi="宋体" w:cs="宋体" w:eastAsia="宋体" w:hint="default"/>
                <w:sz w:val="18"/>
                <w:szCs w:val="18"/>
              </w:rPr>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47"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2014</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年收入</w:t>
            </w:r>
            <w:r>
              <w:rPr>
                <w:rFonts w:ascii="宋体" w:hAnsi="宋体" w:cs="宋体" w:eastAsia="宋体" w:hint="default"/>
                <w:sz w:val="18"/>
                <w:szCs w:val="18"/>
              </w:rPr>
            </w:r>
          </w:p>
        </w:tc>
        <w:tc>
          <w:tcPr>
            <w:tcW w:w="1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60" w:right="0"/>
              <w:jc w:val="left"/>
              <w:rPr>
                <w:rFonts w:ascii="宋体" w:hAnsi="宋体" w:cs="宋体" w:eastAsia="宋体" w:hint="default"/>
                <w:sz w:val="18"/>
                <w:szCs w:val="18"/>
              </w:rPr>
            </w:pPr>
            <w:r>
              <w:rPr>
                <w:rFonts w:ascii="宋体" w:hAnsi="宋体" w:cs="宋体" w:eastAsia="宋体" w:hint="default"/>
                <w:b/>
                <w:bCs/>
                <w:sz w:val="18"/>
                <w:szCs w:val="18"/>
              </w:rPr>
              <w:t>变动比率</w:t>
            </w:r>
            <w:r>
              <w:rPr>
                <w:rFonts w:ascii="宋体" w:hAnsi="宋体" w:cs="宋体" w:eastAsia="宋体" w:hint="default"/>
                <w:sz w:val="18"/>
                <w:szCs w:val="18"/>
              </w:rPr>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b/>
                <w:bCs/>
                <w:sz w:val="18"/>
                <w:szCs w:val="18"/>
              </w:rPr>
              <w:t>毛利率</w:t>
            </w:r>
            <w:r>
              <w:rPr>
                <w:rFonts w:ascii="宋体" w:hAnsi="宋体" w:cs="宋体" w:eastAsia="宋体" w:hint="default"/>
                <w:sz w:val="18"/>
                <w:szCs w:val="18"/>
              </w:rPr>
            </w:r>
          </w:p>
        </w:tc>
      </w:tr>
      <w:tr>
        <w:trPr>
          <w:trHeight w:val="402" w:hRule="exact"/>
        </w:trPr>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解决方案</w:t>
            </w:r>
          </w:p>
        </w:tc>
        <w:tc>
          <w:tcPr>
            <w:tcW w:w="1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418,496,452.71</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394,445,501.82</w:t>
            </w:r>
          </w:p>
        </w:tc>
        <w:tc>
          <w:tcPr>
            <w:tcW w:w="1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4.98%</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41.73%</w:t>
            </w:r>
          </w:p>
        </w:tc>
      </w:tr>
      <w:tr>
        <w:trPr>
          <w:trHeight w:val="402" w:hRule="exact"/>
        </w:trPr>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运维服务</w:t>
            </w:r>
          </w:p>
        </w:tc>
        <w:tc>
          <w:tcPr>
            <w:tcW w:w="1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104,945,851.64</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100,608,652.66</w:t>
            </w:r>
          </w:p>
        </w:tc>
        <w:tc>
          <w:tcPr>
            <w:tcW w:w="1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1.08%</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21.26%</w:t>
            </w:r>
          </w:p>
        </w:tc>
      </w:tr>
      <w:tr>
        <w:trPr>
          <w:trHeight w:val="402" w:hRule="exact"/>
        </w:trPr>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415,181,654.66</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500,876,471.43</w:t>
            </w:r>
          </w:p>
        </w:tc>
        <w:tc>
          <w:tcPr>
            <w:tcW w:w="1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-6.06%</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7.10%</w:t>
            </w:r>
          </w:p>
        </w:tc>
      </w:tr>
    </w:tbl>
    <w:p>
      <w:pPr>
        <w:pStyle w:val="BodyText"/>
        <w:spacing w:line="285" w:lineRule="auto" w:before="9"/>
        <w:ind w:right="1130" w:firstLine="360"/>
        <w:jc w:val="both"/>
      </w:pPr>
      <w:r>
        <w:rPr>
          <w:spacing w:val="-2"/>
        </w:rPr>
        <w:t>从中可以看到，</w:t>
      </w:r>
      <w:r>
        <w:rPr>
          <w:rFonts w:ascii="Times New Roman" w:hAnsi="Times New Roman" w:cs="Times New Roman" w:eastAsia="Times New Roman" w:hint="default"/>
          <w:spacing w:val="-2"/>
        </w:rPr>
        <w:t>2015</w:t>
      </w:r>
      <w:r>
        <w:rPr>
          <w:spacing w:val="-2"/>
        </w:rPr>
        <w:t>年公司调减了毛利率较低的系统集成业务在整体业务的比重。从</w:t>
      </w:r>
      <w:r>
        <w:rPr>
          <w:rFonts w:ascii="Times New Roman" w:hAnsi="Times New Roman" w:cs="Times New Roman" w:eastAsia="Times New Roman" w:hint="default"/>
          <w:spacing w:val="-2"/>
        </w:rPr>
        <w:t>2015</w:t>
      </w:r>
      <w:r>
        <w:rPr>
          <w:spacing w:val="-2"/>
        </w:rPr>
        <w:t>年伊始，公司有计划有选择的</w:t>
      </w:r>
      <w:r>
        <w:rPr/>
        <w:t> </w:t>
      </w:r>
      <w:r>
        <w:rPr>
          <w:spacing w:val="-2"/>
        </w:rPr>
        <w:t>逐步调降系统集成业务的比例。除证券行业等重点拓展的行业客户需要系统集成订单维持客户粘性外，传统的银行业客户的</w:t>
      </w:r>
      <w:r>
        <w:rPr>
          <w:spacing w:val="-64"/>
        </w:rPr>
        <w:t> </w:t>
      </w:r>
      <w:r>
        <w:rPr>
          <w:spacing w:val="-64"/>
        </w:rPr>
      </w:r>
      <w:r>
        <w:rPr>
          <w:spacing w:val="-5"/>
        </w:rPr>
        <w:t>系统集成订单，呈现逐渐递减的趋势。对于</w:t>
      </w:r>
      <w:r>
        <w:rPr>
          <w:rFonts w:ascii="Times New Roman" w:hAnsi="Times New Roman" w:cs="Times New Roman" w:eastAsia="Times New Roman" w:hint="default"/>
          <w:spacing w:val="-5"/>
        </w:rPr>
        <w:t>IT</w:t>
      </w:r>
      <w:r>
        <w:rPr>
          <w:spacing w:val="-5"/>
        </w:rPr>
        <w:t>解决方案这类高毛利的业务，公司重点布局，逐步提高其在业务中的比重。</w:t>
      </w:r>
      <w:r>
        <w:rPr>
          <w:rFonts w:ascii="Times New Roman" w:hAnsi="Times New Roman" w:cs="Times New Roman" w:eastAsia="Times New Roman" w:hint="default"/>
          <w:spacing w:val="-5"/>
        </w:rPr>
        <w:t>2015</w:t>
      </w:r>
      <w:r>
        <w:rPr>
          <w:rFonts w:ascii="Times New Roman" w:hAnsi="Times New Roman" w:cs="Times New Roman" w:eastAsia="Times New Roman" w:hint="default"/>
          <w:spacing w:val="-9"/>
        </w:rPr>
        <w:t> </w:t>
      </w:r>
      <w:r>
        <w:rPr>
          <w:spacing w:val="-2"/>
        </w:rPr>
        <w:t>年</w:t>
      </w:r>
      <w:r>
        <w:rPr>
          <w:rFonts w:ascii="Times New Roman" w:hAnsi="Times New Roman" w:cs="Times New Roman" w:eastAsia="Times New Roman" w:hint="default"/>
          <w:spacing w:val="-2"/>
        </w:rPr>
        <w:t>IT</w:t>
      </w:r>
      <w:r>
        <w:rPr>
          <w:spacing w:val="-2"/>
        </w:rPr>
        <w:t>解决方案和运维服务业务均有小幅提高。尽管如此，由于</w:t>
      </w:r>
      <w:r>
        <w:rPr>
          <w:rFonts w:ascii="Times New Roman" w:hAnsi="Times New Roman" w:cs="Times New Roman" w:eastAsia="Times New Roman" w:hint="default"/>
          <w:spacing w:val="-2"/>
        </w:rPr>
        <w:t>2014</w:t>
      </w:r>
      <w:r>
        <w:rPr>
          <w:spacing w:val="-2"/>
        </w:rPr>
        <w:t>年度系统集成在整体业务收入的比重高达</w:t>
      </w:r>
      <w:r>
        <w:rPr>
          <w:rFonts w:ascii="Times New Roman" w:hAnsi="Times New Roman" w:cs="Times New Roman" w:eastAsia="Times New Roman" w:hint="default"/>
          <w:spacing w:val="-2"/>
        </w:rPr>
        <w:t>50.29%</w:t>
      </w:r>
      <w:r>
        <w:rPr>
          <w:spacing w:val="-2"/>
        </w:rPr>
        <w:t>，因此系</w:t>
      </w:r>
      <w:r>
        <w:rPr>
          <w:spacing w:val="-59"/>
        </w:rPr>
        <w:t> </w:t>
      </w:r>
      <w:r>
        <w:rPr>
          <w:spacing w:val="-59"/>
        </w:rPr>
      </w:r>
      <w:r>
        <w:rPr/>
        <w:t>统集成业务收入下降</w:t>
      </w:r>
      <w:r>
        <w:rPr>
          <w:rFonts w:ascii="Times New Roman" w:hAnsi="Times New Roman" w:cs="Times New Roman" w:eastAsia="Times New Roman" w:hint="default"/>
        </w:rPr>
        <w:t>8,569.48</w:t>
      </w:r>
      <w:r>
        <w:rPr/>
        <w:t>万元，拖累公司整体收入下降了</w:t>
      </w:r>
      <w:r>
        <w:rPr>
          <w:rFonts w:ascii="Times New Roman" w:hAnsi="Times New Roman" w:cs="Times New Roman" w:eastAsia="Times New Roman" w:hint="default"/>
        </w:rPr>
        <w:t>5.75%</w:t>
      </w:r>
      <w:r>
        <w:rPr/>
        <w:t>。</w:t>
      </w:r>
    </w:p>
    <w:p>
      <w:pPr>
        <w:pStyle w:val="BodyText"/>
        <w:spacing w:line="280" w:lineRule="auto" w:before="45"/>
        <w:ind w:right="1130" w:firstLine="360"/>
        <w:jc w:val="both"/>
      </w:pPr>
      <w:r>
        <w:rPr>
          <w:spacing w:val="-2"/>
        </w:rPr>
        <w:t>其次，</w:t>
      </w:r>
      <w:r>
        <w:rPr>
          <w:rFonts w:ascii="Times New Roman" w:hAnsi="Times New Roman" w:cs="Times New Roman" w:eastAsia="Times New Roman" w:hint="default"/>
          <w:spacing w:val="-2"/>
        </w:rPr>
        <w:t>2015</w:t>
      </w:r>
      <w:r>
        <w:rPr>
          <w:spacing w:val="-2"/>
        </w:rPr>
        <w:t>年，由于人工成本的提高，公司业务成本并未随着系统集成业务下降外购设备的减少而较快下滑。</w:t>
      </w:r>
      <w:r>
        <w:rPr>
          <w:rFonts w:ascii="Times New Roman" w:hAnsi="Times New Roman" w:cs="Times New Roman" w:eastAsia="Times New Roman" w:hint="default"/>
          <w:spacing w:val="-2"/>
        </w:rPr>
        <w:t>2015</w:t>
      </w:r>
      <w:r>
        <w:rPr>
          <w:spacing w:val="-2"/>
        </w:rPr>
        <w:t>年公</w:t>
      </w:r>
      <w:r>
        <w:rPr/>
        <w:t> 司主营业务成本为</w:t>
      </w:r>
      <w:r>
        <w:rPr>
          <w:rFonts w:ascii="Times New Roman" w:hAnsi="Times New Roman" w:cs="Times New Roman" w:eastAsia="Times New Roman" w:hint="default"/>
        </w:rPr>
        <w:t>712,197,972.00</w:t>
      </w:r>
      <w:r>
        <w:rPr/>
        <w:t>元，同比</w:t>
      </w:r>
      <w:r>
        <w:rPr>
          <w:rFonts w:ascii="Times New Roman" w:hAnsi="Times New Roman" w:cs="Times New Roman" w:eastAsia="Times New Roman" w:hint="default"/>
        </w:rPr>
        <w:t>2014</w:t>
      </w:r>
      <w:r>
        <w:rPr/>
        <w:t>年的</w:t>
      </w:r>
      <w:r>
        <w:rPr>
          <w:rFonts w:ascii="Times New Roman" w:hAnsi="Times New Roman" w:cs="Times New Roman" w:eastAsia="Times New Roman" w:hint="default"/>
        </w:rPr>
        <w:t>769,271,397.73</w:t>
      </w:r>
      <w:r>
        <w:rPr/>
        <w:t>元，下降</w:t>
      </w:r>
      <w:r>
        <w:rPr>
          <w:rFonts w:ascii="Times New Roman" w:hAnsi="Times New Roman" w:cs="Times New Roman" w:eastAsia="Times New Roman" w:hint="default"/>
        </w:rPr>
        <w:t>7.42%</w:t>
      </w:r>
      <w:r>
        <w:rPr/>
        <w:t>。其中，系统集成业务的外购设备的成本</w:t>
      </w:r>
      <w:r>
        <w:rPr>
          <w:spacing w:val="-24"/>
        </w:rPr>
        <w:t> </w:t>
      </w:r>
      <w:r>
        <w:rPr>
          <w:spacing w:val="-24"/>
        </w:rPr>
      </w:r>
      <w:r>
        <w:rPr/>
        <w:t>为</w:t>
      </w:r>
      <w:r>
        <w:rPr>
          <w:rFonts w:ascii="Times New Roman" w:hAnsi="Times New Roman" w:cs="Times New Roman" w:eastAsia="Times New Roman" w:hint="default"/>
        </w:rPr>
        <w:t>385,699,770.52</w:t>
      </w:r>
      <w:r>
        <w:rPr/>
        <w:t>元，同比下滑</w:t>
      </w:r>
      <w:r>
        <w:rPr>
          <w:rFonts w:ascii="Times New Roman" w:hAnsi="Times New Roman" w:cs="Times New Roman" w:eastAsia="Times New Roman" w:hint="default"/>
        </w:rPr>
        <w:t>6.04%</w:t>
      </w:r>
      <w:r>
        <w:rPr/>
        <w:t>。人工成本为</w:t>
      </w:r>
      <w:r>
        <w:rPr>
          <w:rFonts w:ascii="Times New Roman" w:hAnsi="Times New Roman" w:cs="Times New Roman" w:eastAsia="Times New Roman" w:hint="default"/>
        </w:rPr>
        <w:t>233,907,002.63</w:t>
      </w:r>
      <w:r>
        <w:rPr/>
        <w:t>元，同比上升</w:t>
      </w:r>
      <w:r>
        <w:rPr>
          <w:rFonts w:ascii="Times New Roman" w:hAnsi="Times New Roman" w:cs="Times New Roman" w:eastAsia="Times New Roman" w:hint="default"/>
        </w:rPr>
        <w:t>9.18%</w:t>
      </w:r>
      <w:r>
        <w:rPr/>
        <w:t>。</w:t>
      </w:r>
    </w:p>
    <w:p>
      <w:pPr>
        <w:pStyle w:val="BodyText"/>
        <w:spacing w:line="280" w:lineRule="auto" w:before="49"/>
        <w:ind w:left="1134" w:right="1132" w:firstLine="360"/>
        <w:jc w:val="both"/>
      </w:pPr>
      <w:r>
        <w:rPr>
          <w:spacing w:val="-2"/>
        </w:rPr>
        <w:t>再次，</w:t>
      </w:r>
      <w:r>
        <w:rPr>
          <w:rFonts w:ascii="Times New Roman" w:hAnsi="Times New Roman" w:cs="Times New Roman" w:eastAsia="Times New Roman" w:hint="default"/>
          <w:spacing w:val="-2"/>
        </w:rPr>
        <w:t>2015</w:t>
      </w:r>
      <w:r>
        <w:rPr>
          <w:spacing w:val="-2"/>
        </w:rPr>
        <w:t>年公司的销售费用和研发费用大幅提升，在很大程度上影响了公司整体的净利润水平。当期公司销售费用的</w:t>
      </w:r>
      <w:r>
        <w:rPr/>
        <w:t> 具体情况为：</w:t>
      </w:r>
    </w:p>
    <w:p>
      <w:pPr>
        <w:pStyle w:val="BodyText"/>
        <w:spacing w:line="240" w:lineRule="auto" w:before="107"/>
        <w:ind w:left="0" w:right="1850"/>
        <w:jc w:val="right"/>
      </w:pPr>
      <w:r>
        <w:rPr/>
        <w:t>单位：元</w:t>
      </w:r>
    </w:p>
    <w:p>
      <w:pPr>
        <w:spacing w:line="240" w:lineRule="auto" w:before="1"/>
        <w:rPr>
          <w:rFonts w:ascii="宋体" w:hAnsi="宋体" w:cs="宋体" w:eastAsia="宋体" w:hint="default"/>
          <w:sz w:val="8"/>
          <w:szCs w:val="8"/>
        </w:rPr>
      </w:pPr>
    </w:p>
    <w:tbl>
      <w:tblPr>
        <w:tblW w:w="0" w:type="auto"/>
        <w:jc w:val="left"/>
        <w:tblInd w:w="1532" w:type="dxa"/>
        <w:tblLayout w:type="fixed"/>
        <w:tblCellMar>
          <w:top w:w="0" w:type="dxa"/>
          <w:left w:w="0" w:type="dxa"/>
          <w:bottom w:w="0" w:type="dxa"/>
          <w:right w:w="0" w:type="dxa"/>
        </w:tblCellMar>
        <w:tblLook w:val="01E0"/>
      </w:tblPr>
      <w:tblGrid>
        <w:gridCol w:w="2054"/>
        <w:gridCol w:w="1643"/>
        <w:gridCol w:w="2030"/>
        <w:gridCol w:w="1752"/>
        <w:gridCol w:w="1354"/>
      </w:tblGrid>
      <w:tr>
        <w:trPr>
          <w:trHeight w:val="402" w:hRule="exact"/>
        </w:trPr>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9"/>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57"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8" w:right="0"/>
              <w:jc w:val="left"/>
              <w:rPr>
                <w:rFonts w:ascii="宋体" w:hAnsi="宋体" w:cs="宋体" w:eastAsia="宋体" w:hint="default"/>
                <w:sz w:val="18"/>
                <w:szCs w:val="18"/>
              </w:rPr>
            </w:pPr>
            <w:r>
              <w:rPr>
                <w:rFonts w:ascii="宋体" w:hAnsi="宋体" w:cs="宋体" w:eastAsia="宋体" w:hint="default"/>
                <w:b/>
                <w:bCs/>
                <w:sz w:val="18"/>
                <w:szCs w:val="18"/>
              </w:rPr>
              <w:t>变动金额</w:t>
            </w:r>
            <w:r>
              <w:rPr>
                <w:rFonts w:ascii="宋体" w:hAnsi="宋体" w:cs="宋体" w:eastAsia="宋体" w:hint="default"/>
                <w:sz w:val="18"/>
                <w:szCs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b/>
                <w:bCs/>
                <w:sz w:val="18"/>
                <w:szCs w:val="18"/>
              </w:rPr>
              <w:t>变动比例</w:t>
            </w:r>
            <w:r>
              <w:rPr>
                <w:rFonts w:ascii="宋体" w:hAnsi="宋体" w:cs="宋体" w:eastAsia="宋体" w:hint="default"/>
                <w:sz w:val="18"/>
                <w:szCs w:val="18"/>
              </w:rPr>
            </w:r>
          </w:p>
        </w:tc>
      </w:tr>
      <w:tr>
        <w:trPr>
          <w:trHeight w:val="402" w:hRule="exact"/>
        </w:trPr>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51,058,013.95</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41,017,069.77</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10,040,944.18</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24%</w:t>
            </w:r>
          </w:p>
        </w:tc>
      </w:tr>
      <w:tr>
        <w:trPr>
          <w:trHeight w:val="402" w:hRule="exact"/>
        </w:trPr>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11,200,252.27</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10,533,955.08</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666,297.19</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10,216,373.10</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7,324,315.59</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2,892,057.51</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39%</w:t>
            </w:r>
          </w:p>
        </w:tc>
      </w:tr>
      <w:tr>
        <w:trPr>
          <w:trHeight w:val="402" w:hRule="exact"/>
        </w:trPr>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2,820,268.06</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2,843,197.17</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-22,929.11</w:t>
            </w:r>
            <w:r>
              <w:rPr>
                <w:rFonts w:ascii="Times New Roman"/>
                <w:sz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场租费</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2,349,185.12</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1,935,893.31</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413,291.81</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21%</w:t>
            </w:r>
          </w:p>
        </w:tc>
      </w:tr>
      <w:tr>
        <w:trPr>
          <w:trHeight w:val="402" w:hRule="exact"/>
        </w:trPr>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4,688,806.68</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4,775,070.80</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-86,264.12</w:t>
            </w:r>
            <w:r>
              <w:rPr>
                <w:rFonts w:ascii="Times New Roman"/>
                <w:sz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39"/>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b/>
                <w:spacing w:val="-1"/>
                <w:sz w:val="18"/>
              </w:rPr>
              <w:t>82,332,899.18</w:t>
            </w:r>
            <w:r>
              <w:rPr>
                <w:rFonts w:ascii="Times New Roman"/>
                <w:spacing w:val="-1"/>
                <w:sz w:val="18"/>
              </w:rPr>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b/>
                <w:spacing w:val="-1"/>
                <w:sz w:val="18"/>
              </w:rPr>
              <w:t>68,429,501.72</w:t>
            </w:r>
            <w:r>
              <w:rPr>
                <w:rFonts w:ascii="Times New Roman"/>
                <w:spacing w:val="-1"/>
                <w:sz w:val="18"/>
              </w:rPr>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b/>
                <w:spacing w:val="-1"/>
                <w:sz w:val="18"/>
              </w:rPr>
              <w:t>13,903,397.46</w:t>
            </w:r>
            <w:r>
              <w:rPr>
                <w:rFonts w:ascii="Times New Roman"/>
                <w:spacing w:val="-1"/>
                <w:sz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b/>
                <w:sz w:val="18"/>
              </w:rPr>
              <w:t>20%</w:t>
            </w:r>
            <w:r>
              <w:rPr>
                <w:rFonts w:ascii="Times New Roman"/>
                <w:sz w:val="18"/>
              </w:rPr>
            </w:r>
          </w:p>
        </w:tc>
      </w:tr>
    </w:tbl>
    <w:p>
      <w:pPr>
        <w:pStyle w:val="BodyText"/>
        <w:spacing w:line="297" w:lineRule="auto" w:before="9"/>
        <w:ind w:left="1134" w:right="0" w:firstLine="360"/>
        <w:jc w:val="left"/>
      </w:pPr>
      <w:r>
        <w:rPr>
          <w:spacing w:val="-2"/>
        </w:rPr>
        <w:t>销售人员薪酬和差旅费用的提高在很大程度上影响了公司整体销售费用的提高。当期销售费用中员工薪酬和差旅费用的</w:t>
      </w:r>
      <w:r>
        <w:rPr/>
        <w:t> 合计为</w:t>
      </w:r>
      <w:r>
        <w:rPr>
          <w:rFonts w:ascii="Times New Roman" w:hAnsi="Times New Roman" w:cs="Times New Roman" w:eastAsia="Times New Roman" w:hint="default"/>
        </w:rPr>
        <w:t>12,933,001.69</w:t>
      </w:r>
      <w:r>
        <w:rPr/>
        <w:t>元，占当期销售费用增加额的</w:t>
      </w:r>
      <w:r>
        <w:rPr>
          <w:rFonts w:ascii="Times New Roman" w:hAnsi="Times New Roman" w:cs="Times New Roman" w:eastAsia="Times New Roman" w:hint="default"/>
        </w:rPr>
        <w:t>93.02%</w:t>
      </w:r>
      <w:r>
        <w:rPr/>
        <w:t>。</w:t>
      </w:r>
    </w:p>
    <w:p>
      <w:pPr>
        <w:pStyle w:val="BodyText"/>
        <w:spacing w:line="240" w:lineRule="auto" w:before="34"/>
        <w:ind w:left="1494" w:right="0"/>
        <w:jc w:val="left"/>
        <w:rPr>
          <w:rFonts w:ascii="Times New Roman" w:hAnsi="Times New Roman" w:cs="Times New Roman" w:eastAsia="Times New Roman" w:hint="default"/>
        </w:rPr>
      </w:pPr>
      <w:r>
        <w:rPr>
          <w:rFonts w:ascii="Times New Roman" w:hAnsi="Times New Roman" w:cs="Times New Roman" w:eastAsia="Times New Roman" w:hint="default"/>
        </w:rPr>
        <w:t>2015</w:t>
      </w:r>
      <w:r>
        <w:rPr/>
        <w:t>年公司管理费用的变化为</w:t>
      </w:r>
      <w:r>
        <w:rPr>
          <w:rFonts w:ascii="Times New Roman" w:hAnsi="Times New Roman" w:cs="Times New Roman" w:eastAsia="Times New Roman" w:hint="default"/>
        </w:rPr>
        <w:t>:</w:t>
      </w:r>
    </w:p>
    <w:p>
      <w:pPr>
        <w:pStyle w:val="BodyText"/>
        <w:spacing w:line="240" w:lineRule="auto" w:before="125"/>
        <w:ind w:left="0" w:right="1990"/>
        <w:jc w:val="right"/>
      </w:pPr>
      <w:r>
        <w:rPr/>
        <w:t>单位：元</w:t>
      </w:r>
    </w:p>
    <w:p>
      <w:pPr>
        <w:spacing w:line="240" w:lineRule="auto" w:before="13"/>
        <w:rPr>
          <w:rFonts w:ascii="宋体" w:hAnsi="宋体" w:cs="宋体" w:eastAsia="宋体" w:hint="default"/>
          <w:sz w:val="7"/>
          <w:szCs w:val="7"/>
        </w:rPr>
      </w:pPr>
    </w:p>
    <w:tbl>
      <w:tblPr>
        <w:tblW w:w="0" w:type="auto"/>
        <w:jc w:val="left"/>
        <w:tblInd w:w="1471" w:type="dxa"/>
        <w:tblLayout w:type="fixed"/>
        <w:tblCellMar>
          <w:top w:w="0" w:type="dxa"/>
          <w:left w:w="0" w:type="dxa"/>
          <w:bottom w:w="0" w:type="dxa"/>
          <w:right w:w="0" w:type="dxa"/>
        </w:tblCellMar>
        <w:tblLook w:val="01E0"/>
      </w:tblPr>
      <w:tblGrid>
        <w:gridCol w:w="1955"/>
        <w:gridCol w:w="1816"/>
        <w:gridCol w:w="2093"/>
        <w:gridCol w:w="1932"/>
        <w:gridCol w:w="1158"/>
      </w:tblGrid>
      <w:tr>
        <w:trPr>
          <w:trHeight w:val="462" w:hRule="exact"/>
        </w:trPr>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0"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9"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00" w:right="0"/>
              <w:jc w:val="left"/>
              <w:rPr>
                <w:rFonts w:ascii="宋体" w:hAnsi="宋体" w:cs="宋体" w:eastAsia="宋体" w:hint="default"/>
                <w:sz w:val="18"/>
                <w:szCs w:val="18"/>
              </w:rPr>
            </w:pPr>
            <w:r>
              <w:rPr>
                <w:rFonts w:ascii="宋体" w:hAnsi="宋体" w:cs="宋体" w:eastAsia="宋体" w:hint="default"/>
                <w:b/>
                <w:bCs/>
                <w:sz w:val="18"/>
                <w:szCs w:val="18"/>
              </w:rPr>
              <w:t>变动金额</w:t>
            </w:r>
            <w:r>
              <w:rPr>
                <w:rFonts w:ascii="宋体" w:hAnsi="宋体" w:cs="宋体" w:eastAsia="宋体" w:hint="default"/>
                <w:sz w:val="18"/>
                <w:szCs w:val="18"/>
              </w:rPr>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b/>
                <w:bCs/>
                <w:sz w:val="18"/>
                <w:szCs w:val="18"/>
              </w:rPr>
              <w:t>变动比例</w:t>
            </w:r>
            <w:r>
              <w:rPr>
                <w:rFonts w:ascii="宋体" w:hAnsi="宋体" w:cs="宋体" w:eastAsia="宋体" w:hint="default"/>
                <w:sz w:val="18"/>
                <w:szCs w:val="18"/>
              </w:rPr>
            </w:r>
          </w:p>
        </w:tc>
      </w:tr>
      <w:tr>
        <w:trPr>
          <w:trHeight w:val="402" w:hRule="exact"/>
        </w:trPr>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47,649,493.00</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38,045,884.06</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9,603,608.94</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20,977,341.37</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12,042,221.62</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8,935,119.75</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74%</w:t>
            </w:r>
          </w:p>
        </w:tc>
      </w:tr>
      <w:tr>
        <w:trPr>
          <w:trHeight w:val="402" w:hRule="exact"/>
        </w:trPr>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4,557,367.77</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3,530,222.93</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1,027,144.84</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29%</w:t>
            </w:r>
          </w:p>
        </w:tc>
      </w:tr>
      <w:tr>
        <w:trPr>
          <w:trHeight w:val="402" w:hRule="exact"/>
        </w:trPr>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4,194,173.59</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3,638,402.73</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555,770.86</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2,462,801.63</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1,511,416.07</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951,385.56</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63%</w:t>
            </w:r>
          </w:p>
        </w:tc>
      </w:tr>
      <w:tr>
        <w:trPr>
          <w:trHeight w:val="402" w:hRule="exact"/>
        </w:trPr>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场租费</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2,740,185.52</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1,631,336.69</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1,108,848.83</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68%</w:t>
            </w:r>
          </w:p>
        </w:tc>
      </w:tr>
      <w:tr>
        <w:trPr>
          <w:trHeight w:val="402" w:hRule="exact"/>
        </w:trPr>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1,611,505.61</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1,584,172.29</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27,333.32</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1,614,408.45</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844,262.10</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770,146.35</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7" w:top="1100" w:bottom="1380" w:left="0" w:right="0"/>
        </w:sectPr>
      </w:pPr>
    </w:p>
    <w:p>
      <w:pPr>
        <w:spacing w:line="240" w:lineRule="auto" w:before="6"/>
        <w:rPr>
          <w:rFonts w:ascii="宋体" w:hAnsi="宋体" w:cs="宋体" w:eastAsia="宋体" w:hint="default"/>
          <w:sz w:val="24"/>
          <w:szCs w:val="24"/>
        </w:rPr>
      </w:pPr>
    </w:p>
    <w:tbl>
      <w:tblPr>
        <w:tblW w:w="0" w:type="auto"/>
        <w:jc w:val="left"/>
        <w:tblInd w:w="1471" w:type="dxa"/>
        <w:tblLayout w:type="fixed"/>
        <w:tblCellMar>
          <w:top w:w="0" w:type="dxa"/>
          <w:left w:w="0" w:type="dxa"/>
          <w:bottom w:w="0" w:type="dxa"/>
          <w:right w:w="0" w:type="dxa"/>
        </w:tblCellMar>
        <w:tblLook w:val="01E0"/>
      </w:tblPr>
      <w:tblGrid>
        <w:gridCol w:w="1955"/>
        <w:gridCol w:w="1816"/>
        <w:gridCol w:w="2093"/>
        <w:gridCol w:w="1932"/>
        <w:gridCol w:w="1158"/>
      </w:tblGrid>
      <w:tr>
        <w:trPr>
          <w:trHeight w:val="402" w:hRule="exact"/>
        </w:trPr>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培训费</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337,901.53</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210,121.90</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127,779.63</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61%</w:t>
            </w:r>
          </w:p>
        </w:tc>
      </w:tr>
      <w:tr>
        <w:trPr>
          <w:trHeight w:val="402" w:hRule="exact"/>
        </w:trPr>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3,635,197.61</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3,266,781.56</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368,416.05</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11%</w:t>
            </w:r>
          </w:p>
        </w:tc>
      </w:tr>
      <w:tr>
        <w:trPr>
          <w:trHeight w:val="412" w:hRule="exact"/>
        </w:trPr>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Times New Roman" w:hAnsi="Times New Roman" w:cs="Times New Roman" w:eastAsia="Times New Roman" w:hint="default"/>
                <w:sz w:val="18"/>
                <w:szCs w:val="18"/>
              </w:rPr>
            </w:pPr>
            <w:r>
              <w:rPr>
                <w:rFonts w:ascii="Times New Roman"/>
                <w:b/>
                <w:spacing w:val="-1"/>
                <w:sz w:val="18"/>
              </w:rPr>
              <w:t>89,780,376.08</w:t>
            </w:r>
            <w:r>
              <w:rPr>
                <w:rFonts w:ascii="Times New Roman"/>
                <w:spacing w:val="-1"/>
                <w:sz w:val="18"/>
              </w:rPr>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b/>
                <w:spacing w:val="-1"/>
                <w:sz w:val="18"/>
              </w:rPr>
              <w:t>66,304,821.95</w:t>
            </w:r>
            <w:r>
              <w:rPr>
                <w:rFonts w:ascii="Times New Roman"/>
                <w:spacing w:val="-1"/>
                <w:sz w:val="18"/>
              </w:rPr>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b/>
                <w:spacing w:val="-1"/>
                <w:sz w:val="18"/>
              </w:rPr>
              <w:t>23,475,554.13</w:t>
            </w:r>
            <w:r>
              <w:rPr>
                <w:rFonts w:ascii="Times New Roman"/>
                <w:spacing w:val="-1"/>
                <w:sz w:val="18"/>
              </w:rPr>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b/>
                <w:sz w:val="18"/>
              </w:rPr>
              <w:t>35%</w:t>
            </w:r>
            <w:r>
              <w:rPr>
                <w:rFonts w:ascii="Times New Roman"/>
                <w:sz w:val="18"/>
              </w:rPr>
            </w:r>
          </w:p>
        </w:tc>
      </w:tr>
    </w:tbl>
    <w:p>
      <w:pPr>
        <w:pStyle w:val="BodyText"/>
        <w:spacing w:line="240" w:lineRule="auto" w:before="9"/>
        <w:ind w:left="0" w:right="1133"/>
        <w:jc w:val="right"/>
      </w:pPr>
      <w:r>
        <w:rPr>
          <w:rFonts w:ascii="Times New Roman" w:hAnsi="Times New Roman" w:cs="Times New Roman" w:eastAsia="Times New Roman" w:hint="default"/>
          <w:spacing w:val="5"/>
        </w:rPr>
        <w:t>2015</w:t>
      </w:r>
      <w:r>
        <w:rPr>
          <w:spacing w:val="5"/>
        </w:rPr>
        <w:t>年公司管理费用提高</w:t>
      </w:r>
      <w:r>
        <w:rPr>
          <w:rFonts w:ascii="Times New Roman" w:hAnsi="Times New Roman" w:cs="Times New Roman" w:eastAsia="Times New Roman" w:hint="default"/>
          <w:spacing w:val="5"/>
        </w:rPr>
        <w:t>35%</w:t>
      </w:r>
      <w:r>
        <w:rPr>
          <w:spacing w:val="5"/>
        </w:rPr>
        <w:t>，同比</w:t>
      </w:r>
      <w:r>
        <w:rPr>
          <w:rFonts w:ascii="Times New Roman" w:hAnsi="Times New Roman" w:cs="Times New Roman" w:eastAsia="Times New Roman" w:hint="default"/>
          <w:spacing w:val="5"/>
        </w:rPr>
        <w:t>2014</w:t>
      </w:r>
      <w:r>
        <w:rPr>
          <w:spacing w:val="5"/>
        </w:rPr>
        <w:t>年增加了</w:t>
      </w:r>
      <w:r>
        <w:rPr>
          <w:rFonts w:ascii="Times New Roman" w:hAnsi="Times New Roman" w:cs="Times New Roman" w:eastAsia="Times New Roman" w:hint="default"/>
          <w:spacing w:val="5"/>
        </w:rPr>
        <w:t>23,475,554.13</w:t>
      </w:r>
      <w:r>
        <w:rPr>
          <w:spacing w:val="5"/>
        </w:rPr>
        <w:t>元，其中研发费用为</w:t>
      </w:r>
      <w:r>
        <w:rPr>
          <w:rFonts w:ascii="Times New Roman" w:hAnsi="Times New Roman" w:cs="Times New Roman" w:eastAsia="Times New Roman" w:hint="default"/>
          <w:spacing w:val="5"/>
        </w:rPr>
        <w:t>47,649,493.00</w:t>
      </w:r>
      <w:r>
        <w:rPr>
          <w:spacing w:val="5"/>
        </w:rPr>
        <w:t>元，同比增加了</w:t>
      </w:r>
    </w:p>
    <w:p>
      <w:pPr>
        <w:pStyle w:val="BodyText"/>
        <w:spacing w:line="319" w:lineRule="auto" w:before="42"/>
        <w:ind w:left="1494" w:right="0" w:hanging="360"/>
        <w:jc w:val="left"/>
      </w:pPr>
      <w:r>
        <w:rPr>
          <w:rFonts w:ascii="Times New Roman" w:hAnsi="Times New Roman" w:cs="Times New Roman" w:eastAsia="Times New Roman" w:hint="default"/>
        </w:rPr>
        <w:t>9,603,608.94</w:t>
      </w:r>
      <w:r>
        <w:rPr/>
        <w:t>元，提高了</w:t>
      </w:r>
      <w:r>
        <w:rPr>
          <w:rFonts w:ascii="Times New Roman" w:hAnsi="Times New Roman" w:cs="Times New Roman" w:eastAsia="Times New Roman" w:hint="default"/>
        </w:rPr>
        <w:t>25%</w:t>
      </w:r>
      <w:r>
        <w:rPr/>
        <w:t>，占管理费用增加额的</w:t>
      </w:r>
      <w:r>
        <w:rPr>
          <w:rFonts w:ascii="Times New Roman" w:hAnsi="Times New Roman" w:cs="Times New Roman" w:eastAsia="Times New Roman" w:hint="default"/>
        </w:rPr>
        <w:t>40.91%</w:t>
      </w:r>
      <w:r>
        <w:rPr/>
        <w:t>。 </w:t>
      </w:r>
      <w:r>
        <w:rPr>
          <w:spacing w:val="-1"/>
        </w:rPr>
        <w:t>最后，我们可以看到</w:t>
      </w:r>
      <w:r>
        <w:rPr>
          <w:rFonts w:ascii="Times New Roman" w:hAnsi="Times New Roman" w:cs="Times New Roman" w:eastAsia="Times New Roman" w:hint="default"/>
          <w:spacing w:val="-1"/>
        </w:rPr>
        <w:t>2015</w:t>
      </w:r>
      <w:r>
        <w:rPr>
          <w:spacing w:val="-1"/>
        </w:rPr>
        <w:t>年研发费用和销售费用合计的增加额为</w:t>
      </w:r>
      <w:r>
        <w:rPr>
          <w:rFonts w:ascii="Times New Roman" w:hAnsi="Times New Roman" w:cs="Times New Roman" w:eastAsia="Times New Roman" w:hint="default"/>
          <w:spacing w:val="-1"/>
        </w:rPr>
        <w:t>23,507,006.40</w:t>
      </w:r>
      <w:r>
        <w:rPr>
          <w:spacing w:val="-1"/>
        </w:rPr>
        <w:t>元。与此同时，公司</w:t>
      </w:r>
      <w:r>
        <w:rPr>
          <w:rFonts w:ascii="Times New Roman" w:hAnsi="Times New Roman" w:cs="Times New Roman" w:eastAsia="Times New Roman" w:hint="default"/>
          <w:spacing w:val="-1"/>
        </w:rPr>
        <w:t>2015</w:t>
      </w:r>
      <w:r>
        <w:rPr>
          <w:spacing w:val="-1"/>
        </w:rPr>
        <w:t>年归属于上市公</w:t>
      </w:r>
    </w:p>
    <w:p>
      <w:pPr>
        <w:pStyle w:val="BodyText"/>
        <w:spacing w:line="226" w:lineRule="exact"/>
        <w:ind w:right="0"/>
        <w:jc w:val="left"/>
      </w:pPr>
      <w:r>
        <w:rPr/>
        <w:t>司股东的净利润为</w:t>
      </w:r>
      <w:r>
        <w:rPr>
          <w:rFonts w:ascii="Times New Roman" w:hAnsi="Times New Roman" w:cs="Times New Roman" w:eastAsia="Times New Roman" w:hint="default"/>
        </w:rPr>
        <w:t>41,228,939.46</w:t>
      </w:r>
      <w:r>
        <w:rPr/>
        <w:t>元，同比</w:t>
      </w:r>
      <w:r>
        <w:rPr>
          <w:rFonts w:ascii="Times New Roman" w:hAnsi="Times New Roman" w:cs="Times New Roman" w:eastAsia="Times New Roman" w:hint="default"/>
        </w:rPr>
        <w:t>2014</w:t>
      </w:r>
      <w:r>
        <w:rPr/>
        <w:t>年的</w:t>
      </w:r>
      <w:r>
        <w:rPr>
          <w:rFonts w:ascii="Times New Roman" w:hAnsi="Times New Roman" w:cs="Times New Roman" w:eastAsia="Times New Roman" w:hint="default"/>
        </w:rPr>
        <w:t>66,080,887.67</w:t>
      </w:r>
      <w:r>
        <w:rPr/>
        <w:t>元，减少了</w:t>
      </w:r>
      <w:r>
        <w:rPr>
          <w:rFonts w:ascii="Times New Roman" w:hAnsi="Times New Roman" w:cs="Times New Roman" w:eastAsia="Times New Roman" w:hint="default"/>
        </w:rPr>
        <w:t>24,851,948.21</w:t>
      </w:r>
      <w:r>
        <w:rPr/>
        <w:t>元。如果剔除研发费用和销售费用</w:t>
      </w:r>
    </w:p>
    <w:p>
      <w:pPr>
        <w:pStyle w:val="BodyText"/>
        <w:spacing w:line="319" w:lineRule="auto" w:before="42"/>
        <w:ind w:left="1493" w:right="0" w:hanging="360"/>
        <w:jc w:val="left"/>
      </w:pPr>
      <w:r>
        <w:rPr/>
        <w:t>增长带来的影响，公司</w:t>
      </w:r>
      <w:r>
        <w:rPr>
          <w:rFonts w:ascii="Times New Roman" w:hAnsi="Times New Roman" w:cs="Times New Roman" w:eastAsia="Times New Roman" w:hint="default"/>
        </w:rPr>
        <w:t>2015</w:t>
      </w:r>
      <w:r>
        <w:rPr/>
        <w:t>年净利润变动水平与公司</w:t>
      </w:r>
      <w:r>
        <w:rPr>
          <w:rFonts w:ascii="Times New Roman" w:hAnsi="Times New Roman" w:cs="Times New Roman" w:eastAsia="Times New Roman" w:hint="default"/>
        </w:rPr>
        <w:t>2015</w:t>
      </w:r>
      <w:r>
        <w:rPr/>
        <w:t>年度的收入变动幅度基本持平。 </w:t>
      </w:r>
      <w:r>
        <w:rPr>
          <w:spacing w:val="-2"/>
        </w:rPr>
        <w:t>收入小幅下滑的情况下，以及公司加大研发和销售的投入主要原因为：首先，</w:t>
      </w:r>
      <w:r>
        <w:rPr>
          <w:rFonts w:ascii="Times New Roman" w:hAnsi="Times New Roman" w:cs="Times New Roman" w:eastAsia="Times New Roman" w:hint="default"/>
          <w:spacing w:val="-2"/>
        </w:rPr>
        <w:t>2015</w:t>
      </w:r>
      <w:r>
        <w:rPr>
          <w:spacing w:val="-2"/>
        </w:rPr>
        <w:t>年系统集成业务规模的下调是公司调</w:t>
      </w:r>
    </w:p>
    <w:p>
      <w:pPr>
        <w:pStyle w:val="BodyText"/>
        <w:spacing w:line="226" w:lineRule="exact"/>
        <w:ind w:right="0"/>
        <w:jc w:val="left"/>
      </w:pPr>
      <w:r>
        <w:rPr/>
        <w:t>整和优化业务结构的必然结果。降低低毛利率的系统集成业务，提高解决方案业务在收入结构中的比例，是公司</w:t>
      </w:r>
      <w:r>
        <w:rPr>
          <w:rFonts w:ascii="Times New Roman" w:hAnsi="Times New Roman" w:cs="Times New Roman" w:eastAsia="Times New Roman" w:hint="default"/>
        </w:rPr>
        <w:t>2015</w:t>
      </w:r>
      <w:r>
        <w:rPr/>
        <w:t>年既定</w:t>
      </w:r>
    </w:p>
    <w:p>
      <w:pPr>
        <w:pStyle w:val="BodyText"/>
        <w:spacing w:line="285" w:lineRule="auto" w:before="42"/>
        <w:ind w:right="1130"/>
        <w:jc w:val="both"/>
      </w:pPr>
      <w:r>
        <w:rPr/>
        <w:t>的策略。</w:t>
      </w:r>
      <w:r>
        <w:rPr>
          <w:rFonts w:ascii="Times New Roman" w:hAnsi="Times New Roman" w:cs="Times New Roman" w:eastAsia="Times New Roman" w:hint="default"/>
        </w:rPr>
        <w:t>2015</w:t>
      </w:r>
      <w:r>
        <w:rPr/>
        <w:t>年公司整体毛利率从</w:t>
      </w:r>
      <w:r>
        <w:rPr>
          <w:rFonts w:ascii="Times New Roman" w:hAnsi="Times New Roman" w:cs="Times New Roman" w:eastAsia="Times New Roman" w:hint="default"/>
        </w:rPr>
        <w:t>22.76%</w:t>
      </w:r>
      <w:r>
        <w:rPr/>
        <w:t>，提高到</w:t>
      </w:r>
      <w:r>
        <w:rPr>
          <w:rFonts w:ascii="Times New Roman" w:hAnsi="Times New Roman" w:cs="Times New Roman" w:eastAsia="Times New Roman" w:hint="default"/>
        </w:rPr>
        <w:t>24.12%</w:t>
      </w:r>
      <w:r>
        <w:rPr/>
        <w:t>。其次，</w:t>
      </w:r>
      <w:r>
        <w:rPr>
          <w:rFonts w:ascii="Times New Roman" w:hAnsi="Times New Roman" w:cs="Times New Roman" w:eastAsia="Times New Roman" w:hint="default"/>
        </w:rPr>
        <w:t>2015</w:t>
      </w:r>
      <w:r>
        <w:rPr/>
        <w:t>年公司成立了独立的研发中心，有步骤的上抽部分</w:t>
      </w:r>
      <w:r>
        <w:rPr>
          <w:spacing w:val="-36"/>
        </w:rPr>
        <w:t> </w:t>
      </w:r>
      <w:r>
        <w:rPr>
          <w:spacing w:val="-36"/>
        </w:rPr>
      </w:r>
      <w:r>
        <w:rPr>
          <w:spacing w:val="-2"/>
        </w:rPr>
        <w:t>业务精干力量到总部组成独立的研发中心。同时积极寻求行业内资深专家和业务骨干，网罗包括</w:t>
      </w:r>
      <w:r>
        <w:rPr>
          <w:rFonts w:ascii="Times New Roman" w:hAnsi="Times New Roman" w:cs="Times New Roman" w:eastAsia="Times New Roman" w:hint="default"/>
          <w:spacing w:val="-2"/>
        </w:rPr>
        <w:t>IT</w:t>
      </w:r>
      <w:r>
        <w:rPr>
          <w:spacing w:val="-2"/>
        </w:rPr>
        <w:t>解决方案、金融技术和金</w:t>
      </w:r>
      <w:r>
        <w:rPr>
          <w:spacing w:val="-51"/>
        </w:rPr>
        <w:t> </w:t>
      </w:r>
      <w:r>
        <w:rPr>
          <w:spacing w:val="-51"/>
        </w:rPr>
      </w:r>
      <w:r>
        <w:rPr>
          <w:spacing w:val="-2"/>
        </w:rPr>
        <w:t>融业务等多方人才。公司寄希望于通过集中化管理和重点投入，在重点的领域进一步加大业务的产品化程度，以及技术快速</w:t>
      </w:r>
      <w:r>
        <w:rPr>
          <w:spacing w:val="-65"/>
        </w:rPr>
        <w:t> </w:t>
      </w:r>
      <w:r>
        <w:rPr>
          <w:spacing w:val="-65"/>
        </w:rPr>
      </w:r>
      <w:r>
        <w:rPr/>
        <w:t>迭代的能力。研发中心的运作、研发人员的扩张和研发环境的建设，无形中增加了公司研发投入。</w:t>
      </w:r>
    </w:p>
    <w:p>
      <w:pPr>
        <w:pStyle w:val="BodyText"/>
        <w:spacing w:line="288" w:lineRule="auto" w:before="62"/>
        <w:ind w:left="1134" w:right="1131" w:firstLine="360"/>
        <w:jc w:val="both"/>
      </w:pPr>
      <w:r>
        <w:rPr>
          <w:spacing w:val="-2"/>
        </w:rPr>
        <w:t>公司所在的金融</w:t>
      </w:r>
      <w:r>
        <w:rPr>
          <w:rFonts w:ascii="Times New Roman" w:hAnsi="Times New Roman" w:cs="Times New Roman" w:eastAsia="Times New Roman" w:hint="default"/>
          <w:spacing w:val="-2"/>
        </w:rPr>
        <w:t>IT</w:t>
      </w:r>
      <w:r>
        <w:rPr>
          <w:spacing w:val="-2"/>
        </w:rPr>
        <w:t>行业是一个产品升级换代迅速的竞争激烈的行业。科技界的新成果和新技术，总是会首先在金融行业</w:t>
      </w:r>
      <w:r>
        <w:rPr/>
        <w:t> </w:t>
      </w:r>
      <w:r>
        <w:rPr>
          <w:spacing w:val="-2"/>
        </w:rPr>
        <w:t>应用。没有专业化的研发力量和持续的研发投入，公司就可能被客户所抛弃。研发要走在客户的前面，对新技术的应用更必</w:t>
      </w:r>
      <w:r>
        <w:rPr>
          <w:spacing w:val="-66"/>
        </w:rPr>
        <w:t> </w:t>
      </w:r>
      <w:r>
        <w:rPr>
          <w:spacing w:val="-66"/>
        </w:rPr>
      </w:r>
      <w:r>
        <w:rPr/>
        <w:t>须走在整个行业的前面。</w:t>
      </w:r>
    </w:p>
    <w:p>
      <w:pPr>
        <w:pStyle w:val="BodyText"/>
        <w:spacing w:line="292" w:lineRule="auto" w:before="61"/>
        <w:ind w:right="1131" w:firstLine="360"/>
        <w:jc w:val="both"/>
      </w:pPr>
      <w:r>
        <w:rPr>
          <w:spacing w:val="-2"/>
        </w:rPr>
        <w:t>公司力求以研发引领公司业务的转型和升级。研发中心成立后确实起到了积极的作用。</w:t>
      </w:r>
      <w:r>
        <w:rPr>
          <w:rFonts w:ascii="Times New Roman" w:hAnsi="Times New Roman" w:cs="Times New Roman" w:eastAsia="Times New Roman" w:hint="default"/>
          <w:spacing w:val="-2"/>
        </w:rPr>
        <w:t>2015</w:t>
      </w:r>
      <w:r>
        <w:rPr>
          <w:spacing w:val="-2"/>
        </w:rPr>
        <w:t>年公司在信用风险缓释、银</w:t>
      </w:r>
      <w:r>
        <w:rPr/>
        <w:t> </w:t>
      </w:r>
      <w:r>
        <w:rPr>
          <w:spacing w:val="-2"/>
        </w:rPr>
        <w:t>行新信贷系统、银行新核心系统、大数据、金融资产交易平台等一系列新产品和领域的研发方面有了重要的进展，也到了客</w:t>
      </w:r>
      <w:r>
        <w:rPr>
          <w:spacing w:val="-66"/>
        </w:rPr>
        <w:t> </w:t>
      </w:r>
      <w:r>
        <w:rPr>
          <w:spacing w:val="-66"/>
        </w:rPr>
      </w:r>
      <w:r>
        <w:rPr>
          <w:spacing w:val="-2"/>
        </w:rPr>
        <w:t>户的认可。与此同时，公司要求销售团队要跟上公司业务转型的步伐。在有效跟进原有客户需求的同时，加大在新客户，新</w:t>
      </w:r>
      <w:r>
        <w:rPr>
          <w:spacing w:val="-66"/>
        </w:rPr>
        <w:t> </w:t>
      </w:r>
      <w:r>
        <w:rPr>
          <w:spacing w:val="-66"/>
        </w:rPr>
      </w:r>
      <w:r>
        <w:rPr/>
        <w:t>领域的销售力度，也因此带来资源向销售端的倾斜，并导致当期销售费用的提升。</w:t>
      </w:r>
    </w:p>
    <w:p>
      <w:pPr>
        <w:pStyle w:val="BodyText"/>
        <w:spacing w:line="280" w:lineRule="auto" w:before="57"/>
        <w:ind w:right="1133" w:firstLine="360"/>
        <w:jc w:val="both"/>
      </w:pPr>
      <w:r>
        <w:rPr/>
        <w:t>公司认为无论是研发还是销售支出都是对未来的投入。公司将在</w:t>
      </w:r>
      <w:r>
        <w:rPr>
          <w:rFonts w:ascii="Times New Roman" w:hAnsi="Times New Roman" w:cs="Times New Roman" w:eastAsia="Times New Roman" w:hint="default"/>
        </w:rPr>
        <w:t>2016</w:t>
      </w:r>
      <w:r>
        <w:rPr/>
        <w:t>年有计划的维持对上述两个领域的投入。同时在 </w:t>
      </w:r>
      <w:r>
        <w:rPr>
          <w:rFonts w:ascii="Times New Roman" w:hAnsi="Times New Roman" w:cs="Times New Roman" w:eastAsia="Times New Roman" w:hint="default"/>
          <w:spacing w:val="-2"/>
        </w:rPr>
        <w:t>2016</w:t>
      </w:r>
      <w:r>
        <w:rPr>
          <w:spacing w:val="-2"/>
        </w:rPr>
        <w:t>年初，公司也加大了在研发和销售领域的监督和管控，力图使以上两项支出增长的节奏，与公司未来业绩的提升步伐相</w:t>
      </w:r>
      <w:r>
        <w:rPr>
          <w:spacing w:val="-62"/>
        </w:rPr>
        <w:t> </w:t>
      </w:r>
      <w:r>
        <w:rPr>
          <w:spacing w:val="-62"/>
        </w:rPr>
      </w:r>
      <w:r>
        <w:rPr/>
        <w:t>一致。</w:t>
      </w:r>
    </w:p>
    <w:p>
      <w:pPr>
        <w:spacing w:line="240" w:lineRule="auto" w:before="5"/>
        <w:rPr>
          <w:rFonts w:ascii="宋体" w:hAnsi="宋体" w:cs="宋体" w:eastAsia="宋体" w:hint="default"/>
          <w:sz w:val="24"/>
          <w:szCs w:val="24"/>
        </w:rPr>
      </w:pPr>
    </w:p>
    <w:p>
      <w:pPr>
        <w:pStyle w:val="Heading2"/>
        <w:spacing w:line="240" w:lineRule="auto"/>
        <w:ind w:left="1134" w:right="0"/>
        <w:jc w:val="left"/>
        <w:rPr>
          <w:b w:val="0"/>
          <w:bCs w:val="0"/>
        </w:rPr>
      </w:pPr>
      <w:bookmarkStart w:name="二、主营业务分析" w:id="24"/>
      <w:bookmarkEnd w:id="24"/>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spacing w:line="547" w:lineRule="auto" w:before="0"/>
        <w:ind w:left="1133" w:right="6653" w:firstLine="0"/>
        <w:jc w:val="left"/>
        <w:rPr>
          <w:rFonts w:ascii="宋体" w:hAnsi="宋体" w:cs="宋体" w:eastAsia="宋体" w:hint="default"/>
          <w:sz w:val="21"/>
          <w:szCs w:val="21"/>
        </w:rPr>
      </w:pPr>
      <w:bookmarkStart w:name="1、概述" w:id="25"/>
      <w:bookmarkEnd w:id="25"/>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管理层讨论与分析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6"/>
      <w:bookmarkEnd w:id="26"/>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4"/>
        <w:spacing w:line="240" w:lineRule="auto" w:before="26"/>
        <w:ind w:right="0"/>
        <w:jc w:val="left"/>
        <w:rPr>
          <w:b w:val="0"/>
          <w:bCs w:val="0"/>
        </w:rPr>
      </w:pPr>
      <w:bookmarkStart w:name="（1）营业收入构成" w:id="27"/>
      <w:bookmarkEnd w:id="27"/>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591"/>
        <w:gridCol w:w="1594"/>
        <w:gridCol w:w="1589"/>
        <w:gridCol w:w="1600"/>
        <w:gridCol w:w="1583"/>
        <w:gridCol w:w="1601"/>
      </w:tblGrid>
      <w:tr>
        <w:trPr>
          <w:trHeight w:val="206" w:hRule="exact"/>
        </w:trPr>
        <w:tc>
          <w:tcPr>
            <w:tcW w:w="15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591" w:type="dxa"/>
            <w:vMerge w:val="restart"/>
            <w:tcBorders>
              <w:top w:val="nil" w:sz="6" w:space="0" w:color="auto"/>
              <w:left w:val="single" w:sz="4" w:space="0" w:color="000000"/>
              <w:right w:val="single" w:sz="4" w:space="0" w:color="000000"/>
            </w:tcBorders>
            <w:shd w:val="clear" w:color="auto" w:fill="D2D2D2"/>
          </w:tcPr>
          <w:p>
            <w:pPr/>
          </w:p>
        </w:tc>
        <w:tc>
          <w:tcPr>
            <w:tcW w:w="3183" w:type="dxa"/>
            <w:gridSpan w:val="2"/>
            <w:vMerge/>
            <w:tcBorders>
              <w:left w:val="single" w:sz="4" w:space="0" w:color="000000"/>
              <w:bottom w:val="single" w:sz="4" w:space="0" w:color="000000"/>
              <w:right w:val="single" w:sz="4" w:space="0" w:color="000000"/>
            </w:tcBorders>
            <w:shd w:val="clear" w:color="auto" w:fill="D2D2D2"/>
          </w:tcPr>
          <w:p>
            <w:pPr/>
          </w:p>
        </w:tc>
        <w:tc>
          <w:tcPr>
            <w:tcW w:w="3182" w:type="dxa"/>
            <w:gridSpan w:val="2"/>
            <w:vMerge/>
            <w:tcBorders>
              <w:left w:val="single" w:sz="4" w:space="0" w:color="000000"/>
              <w:bottom w:val="single" w:sz="4" w:space="0" w:color="000000"/>
              <w:right w:val="single" w:sz="4" w:space="0" w:color="000000"/>
            </w:tcBorders>
            <w:shd w:val="clear" w:color="auto" w:fill="D2D2D2"/>
          </w:tcPr>
          <w:p>
            <w:pPr/>
          </w:p>
        </w:tc>
        <w:tc>
          <w:tcPr>
            <w:tcW w:w="16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0" w:hRule="exact"/>
        </w:trPr>
        <w:tc>
          <w:tcPr>
            <w:tcW w:w="1591"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9"/>
              <w:jc w:val="center"/>
              <w:rPr>
                <w:rFonts w:ascii="宋体" w:hAnsi="宋体" w:cs="宋体" w:eastAsia="宋体" w:hint="default"/>
                <w:sz w:val="18"/>
                <w:szCs w:val="18"/>
              </w:rPr>
            </w:pPr>
            <w:r>
              <w:rPr>
                <w:rFonts w:ascii="宋体" w:hAnsi="宋体" w:cs="宋体" w:eastAsia="宋体" w:hint="default"/>
                <w:sz w:val="18"/>
                <w:szCs w:val="18"/>
              </w:rPr>
              <w:t>金额</w:t>
            </w:r>
          </w:p>
        </w:tc>
        <w:tc>
          <w:tcPr>
            <w:tcW w:w="15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7"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6"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1"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1"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89" w:type="dxa"/>
            <w:vMerge/>
            <w:tcBorders>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single" w:sz="4" w:space="0" w:color="000000"/>
              <w:right w:val="single" w:sz="4" w:space="0" w:color="000000"/>
            </w:tcBorders>
            <w:shd w:val="clear" w:color="auto" w:fill="D2D2D2"/>
          </w:tcPr>
          <w:p>
            <w:pPr/>
          </w:p>
        </w:tc>
        <w:tc>
          <w:tcPr>
            <w:tcW w:w="1583" w:type="dxa"/>
            <w:vMerge/>
            <w:tcBorders>
              <w:left w:val="single" w:sz="4" w:space="0" w:color="000000"/>
              <w:bottom w:val="single" w:sz="4" w:space="0" w:color="000000"/>
              <w:right w:val="single" w:sz="4" w:space="0" w:color="000000"/>
            </w:tcBorders>
            <w:shd w:val="clear" w:color="auto" w:fill="D2D2D2"/>
          </w:tcPr>
          <w:p>
            <w:pPr/>
          </w:p>
        </w:tc>
        <w:tc>
          <w:tcPr>
            <w:tcW w:w="160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938,623,959.01</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600"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995,930,625.91</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6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-5.75%</w:t>
            </w:r>
          </w:p>
        </w:tc>
      </w:tr>
      <w:tr>
        <w:trPr>
          <w:trHeight w:val="398" w:hRule="exact"/>
        </w:trPr>
        <w:tc>
          <w:tcPr>
            <w:tcW w:w="955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1"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676,837,266.01</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72.11%</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823,110,980.17</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82.65%</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-17.77%</w:t>
            </w:r>
          </w:p>
        </w:tc>
      </w:tr>
      <w:tr>
        <w:trPr>
          <w:trHeight w:val="402" w:hRule="exact"/>
        </w:trPr>
        <w:tc>
          <w:tcPr>
            <w:tcW w:w="159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证券业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133,610,006.76</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14.23%</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21,177,543.04</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2.13%</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530.90%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7" w:top="1100" w:bottom="138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保险业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57,659,613.08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120,248,853.23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-52.05%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70,517,073.16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31,393,249.47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124.62%</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解决方案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418,496,452.71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394,445,501.82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39.61%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运维服务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104,945,851.64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100,608,652.66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415,181,654.66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500,876,471.43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50.29%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-6.06%</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13,416,250.90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63,908,657.94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520,817,380.50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622,590,795.67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62.51%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227,349,185.16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183,493,691.56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18.42%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59,862,196.29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51,456,114.80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36,173,978.73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27,756,080.27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1,285,518.02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4,180,316.06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79,719,449.41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42,544,969.61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4.22%</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占公司营业收入或营业利润10%以上的行业、产品或地区情况" w:id="28"/>
      <w:bookmarkEnd w:id="28"/>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59"/>
        <w:gridCol w:w="1375"/>
        <w:gridCol w:w="1366"/>
        <w:gridCol w:w="1367"/>
        <w:gridCol w:w="1367"/>
        <w:gridCol w:w="1367"/>
        <w:gridCol w:w="1372"/>
      </w:tblGrid>
      <w:tr>
        <w:trPr>
          <w:trHeight w:val="714" w:hRule="exact"/>
        </w:trPr>
        <w:tc>
          <w:tcPr>
            <w:tcW w:w="135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银行业</w:t>
            </w:r>
          </w:p>
        </w:tc>
        <w:tc>
          <w:tcPr>
            <w:tcW w:w="1375"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676,837,266.01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488,225,313.24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-23.05%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4.95%</w:t>
            </w:r>
          </w:p>
        </w:tc>
      </w:tr>
      <w:tr>
        <w:trPr>
          <w:trHeight w:val="402" w:hRule="exact"/>
        </w:trPr>
        <w:tc>
          <w:tcPr>
            <w:tcW w:w="13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证券业</w:t>
            </w:r>
          </w:p>
        </w:tc>
        <w:tc>
          <w:tcPr>
            <w:tcW w:w="1375"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133,610,006.76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121,526,092.04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530.90%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771.13%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-25.08%</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解决方案</w:t>
            </w:r>
          </w:p>
        </w:tc>
        <w:tc>
          <w:tcPr>
            <w:tcW w:w="1375"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418,496,452.71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243,864,562.58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0.09%</w:t>
            </w:r>
          </w:p>
        </w:tc>
      </w:tr>
      <w:tr>
        <w:trPr>
          <w:trHeight w:val="402" w:hRule="exact"/>
        </w:trPr>
        <w:tc>
          <w:tcPr>
            <w:tcW w:w="13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运维服务</w:t>
            </w:r>
          </w:p>
        </w:tc>
        <w:tc>
          <w:tcPr>
            <w:tcW w:w="1375"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104,945,851.64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82,633,638.90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-3.15%</w:t>
            </w:r>
          </w:p>
        </w:tc>
      </w:tr>
      <w:tr>
        <w:trPr>
          <w:trHeight w:val="402" w:hRule="exact"/>
        </w:trPr>
        <w:tc>
          <w:tcPr>
            <w:tcW w:w="13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75"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415,181,654.66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385,699,770.52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-17.11%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-16.70%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-0.46%</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华北区</w:t>
            </w:r>
          </w:p>
        </w:tc>
        <w:tc>
          <w:tcPr>
            <w:tcW w:w="1375"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520,817,380.50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391,705,017.71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-18.89%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2.36%</w:t>
            </w:r>
          </w:p>
        </w:tc>
      </w:tr>
      <w:tr>
        <w:trPr>
          <w:trHeight w:val="402" w:hRule="exact"/>
        </w:trPr>
        <w:tc>
          <w:tcPr>
            <w:tcW w:w="13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华东区</w:t>
            </w:r>
          </w:p>
        </w:tc>
        <w:tc>
          <w:tcPr>
            <w:tcW w:w="1375"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227,349,185.16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182,673,863.74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27.05%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-1.99%</w:t>
            </w:r>
          </w:p>
        </w:tc>
      </w:tr>
    </w:tbl>
    <w:p>
      <w:pPr>
        <w:pStyle w:val="BodyText"/>
        <w:spacing w:line="240" w:lineRule="auto" w:before="51"/>
        <w:ind w:left="1134"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309" w:lineRule="auto" w:before="104"/>
        <w:ind w:left="1493" w:right="607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对于公司证券行业业务在</w:t>
      </w:r>
      <w:r>
        <w:rPr>
          <w:rFonts w:ascii="Times New Roman" w:hAnsi="Times New Roman" w:cs="Times New Roman" w:eastAsia="Times New Roman" w:hint="default"/>
        </w:rPr>
        <w:t>2015</w:t>
      </w:r>
      <w:r>
        <w:rPr/>
        <w:t>年的业绩情况说明如下： </w:t>
      </w:r>
      <w:r>
        <w:rPr>
          <w:rFonts w:ascii="Times New Roman" w:hAnsi="Times New Roman" w:cs="Times New Roman" w:eastAsia="Times New Roman" w:hint="default"/>
        </w:rPr>
        <w:t>2015</w:t>
      </w:r>
      <w:r>
        <w:rPr/>
        <w:t>年，公司在证券行业的业务收入情况为：</w:t>
      </w:r>
    </w:p>
    <w:p>
      <w:pPr>
        <w:spacing w:after="0" w:line="309" w:lineRule="auto"/>
        <w:jc w:val="left"/>
        <w:sectPr>
          <w:pgSz w:w="11910" w:h="16840"/>
          <w:pgMar w:header="877" w:footer="1187" w:top="1100" w:bottom="1380" w:left="0" w:right="0"/>
        </w:sectPr>
      </w:pPr>
    </w:p>
    <w:p>
      <w:pPr>
        <w:spacing w:line="240" w:lineRule="auto" w:before="13"/>
        <w:rPr>
          <w:rFonts w:ascii="宋体" w:hAnsi="宋体" w:cs="宋体" w:eastAsia="宋体" w:hint="default"/>
          <w:sz w:val="21"/>
          <w:szCs w:val="21"/>
        </w:rPr>
      </w:pPr>
    </w:p>
    <w:p>
      <w:pPr>
        <w:pStyle w:val="BodyText"/>
        <w:spacing w:line="240" w:lineRule="auto" w:before="44"/>
        <w:ind w:left="0" w:right="1859"/>
        <w:jc w:val="right"/>
      </w:pPr>
      <w:r>
        <w:rPr/>
        <w:t>单位：元</w:t>
      </w:r>
    </w:p>
    <w:p>
      <w:pPr>
        <w:spacing w:line="240" w:lineRule="auto" w:before="13"/>
        <w:rPr>
          <w:rFonts w:ascii="宋体" w:hAnsi="宋体" w:cs="宋体" w:eastAsia="宋体" w:hint="default"/>
          <w:sz w:val="7"/>
          <w:szCs w:val="7"/>
        </w:rPr>
      </w:pPr>
    </w:p>
    <w:tbl>
      <w:tblPr>
        <w:tblW w:w="0" w:type="auto"/>
        <w:jc w:val="left"/>
        <w:tblInd w:w="1168" w:type="dxa"/>
        <w:tblLayout w:type="fixed"/>
        <w:tblCellMar>
          <w:top w:w="0" w:type="dxa"/>
          <w:left w:w="0" w:type="dxa"/>
          <w:bottom w:w="0" w:type="dxa"/>
          <w:right w:w="0" w:type="dxa"/>
        </w:tblCellMar>
        <w:tblLook w:val="01E0"/>
      </w:tblPr>
      <w:tblGrid>
        <w:gridCol w:w="2532"/>
        <w:gridCol w:w="2652"/>
        <w:gridCol w:w="2784"/>
        <w:gridCol w:w="1590"/>
      </w:tblGrid>
      <w:tr>
        <w:trPr>
          <w:trHeight w:val="402" w:hRule="exact"/>
        </w:trPr>
        <w:tc>
          <w:tcPr>
            <w:tcW w:w="2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类型</w:t>
            </w:r>
            <w:r>
              <w:rPr>
                <w:rFonts w:ascii="宋体" w:hAnsi="宋体" w:cs="宋体" w:eastAsia="宋体" w:hint="default"/>
                <w:sz w:val="18"/>
                <w:szCs w:val="18"/>
              </w:rPr>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收入</w:t>
            </w:r>
            <w:r>
              <w:rPr>
                <w:rFonts w:ascii="宋体" w:hAnsi="宋体" w:cs="宋体" w:eastAsia="宋体" w:hint="default"/>
                <w:sz w:val="18"/>
                <w:szCs w:val="18"/>
              </w:rPr>
            </w:r>
          </w:p>
        </w:tc>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毛利</w:t>
            </w:r>
            <w:r>
              <w:rPr>
                <w:rFonts w:ascii="宋体" w:hAnsi="宋体" w:cs="宋体" w:eastAsia="宋体" w:hint="default"/>
                <w:sz w:val="18"/>
                <w:szCs w:val="18"/>
              </w:rPr>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18" w:right="0"/>
              <w:jc w:val="left"/>
              <w:rPr>
                <w:rFonts w:ascii="宋体" w:hAnsi="宋体" w:cs="宋体" w:eastAsia="宋体" w:hint="default"/>
                <w:sz w:val="18"/>
                <w:szCs w:val="18"/>
              </w:rPr>
            </w:pPr>
            <w:r>
              <w:rPr>
                <w:rFonts w:ascii="宋体" w:hAnsi="宋体" w:cs="宋体" w:eastAsia="宋体" w:hint="default"/>
                <w:b/>
                <w:bCs/>
                <w:sz w:val="18"/>
                <w:szCs w:val="18"/>
              </w:rPr>
              <w:t>毛利率</w:t>
            </w:r>
            <w:r>
              <w:rPr>
                <w:rFonts w:ascii="宋体" w:hAnsi="宋体" w:cs="宋体" w:eastAsia="宋体" w:hint="default"/>
                <w:sz w:val="18"/>
                <w:szCs w:val="18"/>
              </w:rPr>
            </w:r>
          </w:p>
        </w:tc>
      </w:tr>
      <w:tr>
        <w:trPr>
          <w:trHeight w:val="402" w:hRule="exact"/>
        </w:trPr>
        <w:tc>
          <w:tcPr>
            <w:tcW w:w="2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解决方案</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13,684,225.36</w:t>
            </w:r>
          </w:p>
        </w:tc>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6,683,730.04</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48.84%</w:t>
            </w:r>
          </w:p>
        </w:tc>
      </w:tr>
      <w:tr>
        <w:trPr>
          <w:trHeight w:val="402" w:hRule="exact"/>
        </w:trPr>
        <w:tc>
          <w:tcPr>
            <w:tcW w:w="2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111,291,453.04</w:t>
            </w:r>
          </w:p>
        </w:tc>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2,359,729.01</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2.12%</w:t>
            </w:r>
          </w:p>
        </w:tc>
      </w:tr>
      <w:tr>
        <w:trPr>
          <w:trHeight w:val="402" w:hRule="exact"/>
        </w:trPr>
        <w:tc>
          <w:tcPr>
            <w:tcW w:w="2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运维服务</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8,634,328.36</w:t>
            </w:r>
          </w:p>
        </w:tc>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3,040,455.67</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35.21%</w:t>
            </w:r>
          </w:p>
        </w:tc>
      </w:tr>
      <w:tr>
        <w:trPr>
          <w:trHeight w:val="403" w:hRule="exact"/>
        </w:trPr>
        <w:tc>
          <w:tcPr>
            <w:tcW w:w="2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b/>
                <w:bCs/>
                <w:sz w:val="18"/>
                <w:szCs w:val="18"/>
              </w:rPr>
              <w:t>总计</w:t>
            </w:r>
            <w:r>
              <w:rPr>
                <w:rFonts w:ascii="宋体" w:hAnsi="宋体" w:cs="宋体" w:eastAsia="宋体" w:hint="default"/>
                <w:sz w:val="18"/>
                <w:szCs w:val="18"/>
              </w:rPr>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b/>
                <w:spacing w:val="-1"/>
                <w:sz w:val="18"/>
              </w:rPr>
              <w:t>133,610,006.76</w:t>
            </w:r>
            <w:r>
              <w:rPr>
                <w:rFonts w:ascii="Times New Roman"/>
                <w:spacing w:val="-1"/>
                <w:sz w:val="18"/>
              </w:rPr>
            </w:r>
          </w:p>
        </w:tc>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2"/>
              <w:jc w:val="right"/>
              <w:rPr>
                <w:rFonts w:ascii="Times New Roman" w:hAnsi="Times New Roman" w:cs="Times New Roman" w:eastAsia="Times New Roman" w:hint="default"/>
                <w:sz w:val="18"/>
                <w:szCs w:val="18"/>
              </w:rPr>
            </w:pPr>
            <w:r>
              <w:rPr>
                <w:rFonts w:ascii="Times New Roman"/>
                <w:b/>
                <w:spacing w:val="-1"/>
                <w:sz w:val="18"/>
              </w:rPr>
              <w:t>12,083,914.72</w:t>
            </w:r>
            <w:r>
              <w:rPr>
                <w:rFonts w:ascii="Times New Roman"/>
                <w:spacing w:val="-1"/>
                <w:sz w:val="18"/>
              </w:rPr>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9.04%</w:t>
            </w:r>
          </w:p>
        </w:tc>
      </w:tr>
    </w:tbl>
    <w:p>
      <w:pPr>
        <w:pStyle w:val="BodyText"/>
        <w:spacing w:line="240" w:lineRule="auto" w:before="9"/>
        <w:ind w:left="1494" w:right="0"/>
        <w:jc w:val="left"/>
      </w:pPr>
      <w:r>
        <w:rPr/>
        <w:t>与</w:t>
      </w:r>
      <w:r>
        <w:rPr>
          <w:rFonts w:ascii="Times New Roman" w:hAnsi="Times New Roman" w:cs="Times New Roman" w:eastAsia="Times New Roman" w:hint="default"/>
        </w:rPr>
        <w:t>2014</w:t>
      </w:r>
      <w:r>
        <w:rPr/>
        <w:t>年的情况相比较：</w:t>
      </w:r>
    </w:p>
    <w:p>
      <w:pPr>
        <w:pStyle w:val="BodyText"/>
        <w:spacing w:line="240" w:lineRule="auto" w:before="124"/>
        <w:ind w:left="0" w:right="1859"/>
        <w:jc w:val="right"/>
      </w:pPr>
      <w:r>
        <w:rPr/>
        <w:t>单位：元</w:t>
      </w:r>
    </w:p>
    <w:p>
      <w:pPr>
        <w:spacing w:line="240" w:lineRule="auto" w:before="1"/>
        <w:rPr>
          <w:rFonts w:ascii="宋体" w:hAnsi="宋体" w:cs="宋体" w:eastAsia="宋体" w:hint="default"/>
          <w:sz w:val="8"/>
          <w:szCs w:val="8"/>
        </w:rPr>
      </w:pPr>
    </w:p>
    <w:tbl>
      <w:tblPr>
        <w:tblW w:w="0" w:type="auto"/>
        <w:jc w:val="left"/>
        <w:tblInd w:w="1148" w:type="dxa"/>
        <w:tblLayout w:type="fixed"/>
        <w:tblCellMar>
          <w:top w:w="0" w:type="dxa"/>
          <w:left w:w="0" w:type="dxa"/>
          <w:bottom w:w="0" w:type="dxa"/>
          <w:right w:w="0" w:type="dxa"/>
        </w:tblCellMar>
        <w:tblLook w:val="01E0"/>
      </w:tblPr>
      <w:tblGrid>
        <w:gridCol w:w="2570"/>
        <w:gridCol w:w="2654"/>
        <w:gridCol w:w="2786"/>
        <w:gridCol w:w="1592"/>
      </w:tblGrid>
      <w:tr>
        <w:trPr>
          <w:trHeight w:val="402" w:hRule="exact"/>
        </w:trPr>
        <w:tc>
          <w:tcPr>
            <w:tcW w:w="2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b/>
                <w:bCs/>
                <w:sz w:val="18"/>
                <w:szCs w:val="18"/>
              </w:rPr>
              <w:t>类型</w:t>
            </w:r>
            <w:r>
              <w:rPr>
                <w:rFonts w:ascii="宋体" w:hAnsi="宋体" w:cs="宋体" w:eastAsia="宋体" w:hint="default"/>
                <w:sz w:val="18"/>
                <w:szCs w:val="18"/>
              </w:rPr>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收入</w:t>
            </w:r>
            <w:r>
              <w:rPr>
                <w:rFonts w:ascii="宋体" w:hAnsi="宋体" w:cs="宋体" w:eastAsia="宋体" w:hint="default"/>
                <w:sz w:val="18"/>
                <w:szCs w:val="18"/>
              </w:rPr>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毛利</w:t>
            </w:r>
            <w:r>
              <w:rPr>
                <w:rFonts w:ascii="宋体" w:hAnsi="宋体" w:cs="宋体" w:eastAsia="宋体" w:hint="default"/>
                <w:sz w:val="18"/>
                <w:szCs w:val="18"/>
              </w:rPr>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19" w:right="0"/>
              <w:jc w:val="left"/>
              <w:rPr>
                <w:rFonts w:ascii="宋体" w:hAnsi="宋体" w:cs="宋体" w:eastAsia="宋体" w:hint="default"/>
                <w:sz w:val="18"/>
                <w:szCs w:val="18"/>
              </w:rPr>
            </w:pPr>
            <w:r>
              <w:rPr>
                <w:rFonts w:ascii="宋体" w:hAnsi="宋体" w:cs="宋体" w:eastAsia="宋体" w:hint="default"/>
                <w:b/>
                <w:bCs/>
                <w:sz w:val="18"/>
                <w:szCs w:val="18"/>
              </w:rPr>
              <w:t>毛利率</w:t>
            </w:r>
            <w:r>
              <w:rPr>
                <w:rFonts w:ascii="宋体" w:hAnsi="宋体" w:cs="宋体" w:eastAsia="宋体" w:hint="default"/>
                <w:sz w:val="18"/>
                <w:szCs w:val="18"/>
              </w:rPr>
            </w:r>
          </w:p>
        </w:tc>
      </w:tr>
      <w:tr>
        <w:trPr>
          <w:trHeight w:val="420" w:hRule="exact"/>
        </w:trPr>
        <w:tc>
          <w:tcPr>
            <w:tcW w:w="2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解决方案</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10,212,281.96</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4,640,390.86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45.44%</w:t>
            </w:r>
          </w:p>
        </w:tc>
      </w:tr>
      <w:tr>
        <w:trPr>
          <w:trHeight w:val="402" w:hRule="exact"/>
        </w:trPr>
        <w:tc>
          <w:tcPr>
            <w:tcW w:w="2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2,895,726.49</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313,675.21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10.83%</w:t>
            </w:r>
          </w:p>
        </w:tc>
      </w:tr>
      <w:tr>
        <w:trPr>
          <w:trHeight w:val="402" w:hRule="exact"/>
        </w:trPr>
        <w:tc>
          <w:tcPr>
            <w:tcW w:w="2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运维服务</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8,069,534.58</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2,273,021.12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28.17%</w:t>
            </w:r>
          </w:p>
        </w:tc>
      </w:tr>
      <w:tr>
        <w:trPr>
          <w:trHeight w:val="402" w:hRule="exact"/>
        </w:trPr>
        <w:tc>
          <w:tcPr>
            <w:tcW w:w="2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b/>
                <w:bCs/>
                <w:sz w:val="18"/>
                <w:szCs w:val="18"/>
              </w:rPr>
              <w:t>总计</w:t>
            </w:r>
            <w:r>
              <w:rPr>
                <w:rFonts w:ascii="宋体" w:hAnsi="宋体" w:cs="宋体" w:eastAsia="宋体" w:hint="default"/>
                <w:sz w:val="18"/>
                <w:szCs w:val="18"/>
              </w:rPr>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b/>
                <w:spacing w:val="-1"/>
                <w:sz w:val="18"/>
              </w:rPr>
              <w:t>21,177,543.03</w:t>
            </w:r>
            <w:r>
              <w:rPr>
                <w:rFonts w:ascii="Times New Roman"/>
                <w:spacing w:val="-1"/>
                <w:sz w:val="18"/>
              </w:rPr>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Times New Roman" w:hAnsi="Times New Roman" w:cs="Times New Roman" w:eastAsia="Times New Roman" w:hint="default"/>
                <w:sz w:val="18"/>
                <w:szCs w:val="18"/>
              </w:rPr>
            </w:pPr>
            <w:r>
              <w:rPr>
                <w:rFonts w:ascii="Times New Roman"/>
                <w:b/>
                <w:spacing w:val="-1"/>
                <w:sz w:val="18"/>
              </w:rPr>
              <w:t>7,227,087.19</w:t>
            </w:r>
            <w:r>
              <w:rPr>
                <w:rFonts w:ascii="Times New Roman"/>
                <w:spacing w:val="-1"/>
                <w:sz w:val="18"/>
              </w:rPr>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34.13%</w:t>
            </w:r>
          </w:p>
        </w:tc>
      </w:tr>
    </w:tbl>
    <w:p>
      <w:pPr>
        <w:pStyle w:val="BodyText"/>
        <w:spacing w:line="240" w:lineRule="auto" w:before="9"/>
        <w:ind w:left="1494" w:right="0"/>
        <w:jc w:val="left"/>
      </w:pPr>
      <w:r>
        <w:rPr>
          <w:rFonts w:ascii="Times New Roman" w:hAnsi="Times New Roman" w:cs="Times New Roman" w:eastAsia="Times New Roman" w:hint="default"/>
        </w:rPr>
        <w:t>2015</w:t>
      </w:r>
      <w:r>
        <w:rPr/>
        <w:t>年与</w:t>
      </w:r>
      <w:r>
        <w:rPr>
          <w:rFonts w:ascii="Times New Roman" w:hAnsi="Times New Roman" w:cs="Times New Roman" w:eastAsia="Times New Roman" w:hint="default"/>
        </w:rPr>
        <w:t>2014</w:t>
      </w:r>
      <w:r>
        <w:rPr/>
        <w:t>年的变化情况如下表：</w:t>
      </w:r>
    </w:p>
    <w:p>
      <w:pPr>
        <w:pStyle w:val="BodyText"/>
        <w:spacing w:line="240" w:lineRule="auto" w:before="125"/>
        <w:ind w:left="0" w:right="1945"/>
        <w:jc w:val="right"/>
      </w:pPr>
      <w:r>
        <w:rPr/>
        <w:t>单位：元</w:t>
      </w:r>
    </w:p>
    <w:p>
      <w:pPr>
        <w:spacing w:line="240" w:lineRule="auto" w:before="13"/>
        <w:rPr>
          <w:rFonts w:ascii="宋体" w:hAnsi="宋体" w:cs="宋体" w:eastAsia="宋体" w:hint="default"/>
          <w:sz w:val="7"/>
          <w:szCs w:val="7"/>
        </w:rPr>
      </w:pPr>
    </w:p>
    <w:tbl>
      <w:tblPr>
        <w:tblW w:w="0" w:type="auto"/>
        <w:jc w:val="left"/>
        <w:tblInd w:w="1144" w:type="dxa"/>
        <w:tblLayout w:type="fixed"/>
        <w:tblCellMar>
          <w:top w:w="0" w:type="dxa"/>
          <w:left w:w="0" w:type="dxa"/>
          <w:bottom w:w="0" w:type="dxa"/>
          <w:right w:w="0" w:type="dxa"/>
        </w:tblCellMar>
        <w:tblLook w:val="01E0"/>
      </w:tblPr>
      <w:tblGrid>
        <w:gridCol w:w="2640"/>
        <w:gridCol w:w="2546"/>
        <w:gridCol w:w="2830"/>
        <w:gridCol w:w="1591"/>
      </w:tblGrid>
      <w:tr>
        <w:trPr>
          <w:trHeight w:val="402" w:hRule="exact"/>
        </w:trPr>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类型</w:t>
            </w:r>
            <w:r>
              <w:rPr>
                <w:rFonts w:ascii="宋体" w:hAnsi="宋体" w:cs="宋体" w:eastAsia="宋体" w:hint="default"/>
                <w:sz w:val="18"/>
                <w:szCs w:val="18"/>
              </w:rPr>
            </w:r>
          </w:p>
        </w:tc>
        <w:tc>
          <w:tcPr>
            <w:tcW w:w="2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14" w:right="0"/>
              <w:jc w:val="left"/>
              <w:rPr>
                <w:rFonts w:ascii="宋体" w:hAnsi="宋体" w:cs="宋体" w:eastAsia="宋体" w:hint="default"/>
                <w:sz w:val="18"/>
                <w:szCs w:val="18"/>
              </w:rPr>
            </w:pPr>
            <w:r>
              <w:rPr>
                <w:rFonts w:ascii="宋体" w:hAnsi="宋体" w:cs="宋体" w:eastAsia="宋体" w:hint="default"/>
                <w:b/>
                <w:bCs/>
                <w:sz w:val="18"/>
                <w:szCs w:val="18"/>
              </w:rPr>
              <w:t>收入变化率</w:t>
            </w:r>
            <w:r>
              <w:rPr>
                <w:rFonts w:ascii="宋体" w:hAnsi="宋体" w:cs="宋体" w:eastAsia="宋体" w:hint="default"/>
                <w:sz w:val="18"/>
                <w:szCs w:val="18"/>
              </w:rPr>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毛利变化率</w:t>
            </w:r>
            <w:r>
              <w:rPr>
                <w:rFonts w:ascii="宋体" w:hAnsi="宋体" w:cs="宋体" w:eastAsia="宋体" w:hint="default"/>
                <w:sz w:val="18"/>
                <w:szCs w:val="18"/>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39" w:right="0"/>
              <w:jc w:val="left"/>
              <w:rPr>
                <w:rFonts w:ascii="宋体" w:hAnsi="宋体" w:cs="宋体" w:eastAsia="宋体" w:hint="default"/>
                <w:sz w:val="18"/>
                <w:szCs w:val="18"/>
              </w:rPr>
            </w:pPr>
            <w:r>
              <w:rPr>
                <w:rFonts w:ascii="宋体" w:hAnsi="宋体" w:cs="宋体" w:eastAsia="宋体" w:hint="default"/>
                <w:b/>
                <w:bCs/>
                <w:sz w:val="18"/>
                <w:szCs w:val="18"/>
              </w:rPr>
              <w:t>毛利率变动</w:t>
            </w:r>
            <w:r>
              <w:rPr>
                <w:rFonts w:ascii="宋体" w:hAnsi="宋体" w:cs="宋体" w:eastAsia="宋体" w:hint="default"/>
                <w:sz w:val="18"/>
                <w:szCs w:val="18"/>
              </w:rPr>
            </w:r>
          </w:p>
        </w:tc>
      </w:tr>
      <w:tr>
        <w:trPr>
          <w:trHeight w:val="458" w:hRule="exact"/>
        </w:trPr>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3" w:right="0"/>
              <w:jc w:val="left"/>
              <w:rPr>
                <w:rFonts w:ascii="宋体" w:hAnsi="宋体" w:cs="宋体" w:eastAsia="宋体" w:hint="default"/>
                <w:sz w:val="18"/>
                <w:szCs w:val="18"/>
              </w:rPr>
            </w:pPr>
            <w:r>
              <w:rPr>
                <w:rFonts w:ascii="宋体" w:hAnsi="宋体" w:cs="宋体" w:eastAsia="宋体" w:hint="default"/>
                <w:sz w:val="18"/>
                <w:szCs w:val="18"/>
              </w:rPr>
              <w:t>解决方案</w:t>
            </w:r>
          </w:p>
        </w:tc>
        <w:tc>
          <w:tcPr>
            <w:tcW w:w="2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34.00%</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144.03%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3.40%</w:t>
            </w:r>
          </w:p>
        </w:tc>
      </w:tr>
      <w:tr>
        <w:trPr>
          <w:trHeight w:val="459" w:hRule="exact"/>
        </w:trPr>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3"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2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3743.30%</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752.28%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-8.71%</w:t>
            </w:r>
          </w:p>
        </w:tc>
      </w:tr>
      <w:tr>
        <w:trPr>
          <w:trHeight w:val="457" w:hRule="exact"/>
        </w:trPr>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3" w:right="0"/>
              <w:jc w:val="left"/>
              <w:rPr>
                <w:rFonts w:ascii="宋体" w:hAnsi="宋体" w:cs="宋体" w:eastAsia="宋体" w:hint="default"/>
                <w:sz w:val="18"/>
                <w:szCs w:val="18"/>
              </w:rPr>
            </w:pPr>
            <w:r>
              <w:rPr>
                <w:rFonts w:ascii="宋体" w:hAnsi="宋体" w:cs="宋体" w:eastAsia="宋体" w:hint="default"/>
                <w:sz w:val="18"/>
                <w:szCs w:val="18"/>
              </w:rPr>
              <w:t>运维服务</w:t>
            </w:r>
          </w:p>
        </w:tc>
        <w:tc>
          <w:tcPr>
            <w:tcW w:w="2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7.00%</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133.76%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7.05%</w:t>
            </w:r>
          </w:p>
        </w:tc>
      </w:tr>
      <w:tr>
        <w:trPr>
          <w:trHeight w:val="511" w:hRule="exact"/>
        </w:trPr>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宋体" w:hAnsi="宋体" w:cs="宋体" w:eastAsia="宋体" w:hint="default"/>
                <w:sz w:val="18"/>
                <w:szCs w:val="18"/>
              </w:rPr>
            </w:pPr>
            <w:r>
              <w:rPr>
                <w:rFonts w:ascii="宋体" w:hAnsi="宋体" w:cs="宋体" w:eastAsia="宋体" w:hint="default"/>
                <w:b/>
                <w:bCs/>
                <w:sz w:val="18"/>
                <w:szCs w:val="18"/>
              </w:rPr>
              <w:t>总计</w:t>
            </w:r>
            <w:r>
              <w:rPr>
                <w:rFonts w:ascii="宋体" w:hAnsi="宋体" w:cs="宋体" w:eastAsia="宋体" w:hint="default"/>
                <w:sz w:val="18"/>
                <w:szCs w:val="18"/>
              </w:rPr>
            </w:r>
          </w:p>
        </w:tc>
        <w:tc>
          <w:tcPr>
            <w:tcW w:w="2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b/>
                <w:sz w:val="18"/>
              </w:rPr>
              <w:t>530.90%</w:t>
            </w:r>
            <w:r>
              <w:rPr>
                <w:rFonts w:ascii="Times New Roman"/>
                <w:sz w:val="18"/>
              </w:rPr>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b/>
                <w:sz w:val="18"/>
              </w:rPr>
              <w:t>67.20%</w:t>
            </w:r>
            <w:r>
              <w:rPr>
                <w:rFonts w:ascii="Times New Roman"/>
                <w:sz w:val="18"/>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b/>
                <w:sz w:val="18"/>
              </w:rPr>
              <w:t>-25.08%</w:t>
            </w:r>
            <w:r>
              <w:rPr>
                <w:rFonts w:ascii="Times New Roman"/>
                <w:sz w:val="18"/>
              </w:rPr>
            </w:r>
          </w:p>
        </w:tc>
      </w:tr>
    </w:tbl>
    <w:p>
      <w:pPr>
        <w:pStyle w:val="BodyText"/>
        <w:spacing w:line="283" w:lineRule="auto" w:before="9"/>
        <w:ind w:right="0" w:firstLine="360"/>
        <w:jc w:val="left"/>
      </w:pPr>
      <w:r>
        <w:rPr/>
        <w:t>从上表可以看出，</w:t>
      </w:r>
      <w:r>
        <w:rPr>
          <w:rFonts w:ascii="Times New Roman" w:hAnsi="Times New Roman" w:cs="Times New Roman" w:eastAsia="Times New Roman" w:hint="default"/>
        </w:rPr>
        <w:t>2015</w:t>
      </w:r>
      <w:r>
        <w:rPr/>
        <w:t>年公司证券业务的收入、毛利和毛利率的主要变化来自系统集成业务的变化带来的影响。</w:t>
      </w:r>
      <w:r>
        <w:rPr>
          <w:rFonts w:ascii="Times New Roman" w:hAnsi="Times New Roman" w:cs="Times New Roman" w:eastAsia="Times New Roman" w:hint="default"/>
        </w:rPr>
        <w:t>2015 </w:t>
      </w:r>
      <w:r>
        <w:rPr/>
        <w:t>年证券行业的系统集成业务收入上涨了</w:t>
      </w:r>
      <w:r>
        <w:rPr>
          <w:rFonts w:ascii="Times New Roman" w:hAnsi="Times New Roman" w:cs="Times New Roman" w:eastAsia="Times New Roman" w:hint="default"/>
        </w:rPr>
        <w:t>3,743.3%</w:t>
      </w:r>
      <w:r>
        <w:rPr/>
        <w:t>，毛利额提升了</w:t>
      </w:r>
      <w:r>
        <w:rPr>
          <w:rFonts w:ascii="Times New Roman" w:hAnsi="Times New Roman" w:cs="Times New Roman" w:eastAsia="Times New Roman" w:hint="default"/>
        </w:rPr>
        <w:t>752.28%</w:t>
      </w:r>
      <w:r>
        <w:rPr/>
        <w:t>。但是毛利率下降了</w:t>
      </w:r>
      <w:r>
        <w:rPr>
          <w:rFonts w:ascii="Times New Roman" w:hAnsi="Times New Roman" w:cs="Times New Roman" w:eastAsia="Times New Roman" w:hint="default"/>
        </w:rPr>
        <w:t>8.71</w:t>
      </w:r>
      <w:r>
        <w:rPr/>
        <w:t>个百分点。</w:t>
      </w:r>
    </w:p>
    <w:p>
      <w:pPr>
        <w:pStyle w:val="BodyText"/>
        <w:spacing w:line="319" w:lineRule="auto" w:before="46"/>
        <w:ind w:left="1493" w:right="0"/>
        <w:jc w:val="left"/>
      </w:pPr>
      <w:r>
        <w:rPr>
          <w:rFonts w:ascii="Times New Roman" w:hAnsi="Times New Roman" w:cs="Times New Roman" w:eastAsia="Times New Roman" w:hint="default"/>
        </w:rPr>
        <w:t>2015</w:t>
      </w:r>
      <w:r>
        <w:rPr/>
        <w:t>年度证券业系统集成的订单收入比</w:t>
      </w:r>
      <w:r>
        <w:rPr>
          <w:rFonts w:ascii="Times New Roman" w:hAnsi="Times New Roman" w:cs="Times New Roman" w:eastAsia="Times New Roman" w:hint="default"/>
        </w:rPr>
        <w:t>2014</w:t>
      </w:r>
      <w:r>
        <w:rPr/>
        <w:t>年在订单数量、客户多元化、实际收入等都呈现出快速上升的趋势。 为加大公司在证券行业的竞争优势，公司采取的策略归结下来主要是三点：</w:t>
      </w:r>
      <w:r>
        <w:rPr>
          <w:rFonts w:ascii="Times New Roman" w:hAnsi="Times New Roman" w:cs="Times New Roman" w:eastAsia="Times New Roman" w:hint="default"/>
        </w:rPr>
        <w:t>“</w:t>
      </w:r>
      <w:r>
        <w:rPr/>
        <w:t>集成业务打单来增加客户粘性；避开证券</w:t>
      </w:r>
    </w:p>
    <w:p>
      <w:pPr>
        <w:pStyle w:val="BodyText"/>
        <w:spacing w:line="226" w:lineRule="exact"/>
        <w:ind w:right="0"/>
        <w:jc w:val="both"/>
      </w:pPr>
      <w:r>
        <w:rPr/>
        <w:t>核心交易系统等对手的强势领域，在</w:t>
      </w:r>
      <w:r>
        <w:rPr>
          <w:rFonts w:ascii="Times New Roman" w:hAnsi="Times New Roman" w:cs="Times New Roman" w:eastAsia="Times New Roman" w:hint="default"/>
        </w:rPr>
        <w:t>CRM</w:t>
      </w:r>
      <w:r>
        <w:rPr/>
        <w:t>、客户信息系统（</w:t>
      </w:r>
      <w:r>
        <w:rPr>
          <w:rFonts w:ascii="Times New Roman" w:hAnsi="Times New Roman" w:cs="Times New Roman" w:eastAsia="Times New Roman" w:hint="default"/>
        </w:rPr>
        <w:t>ECIF</w:t>
      </w:r>
      <w:r>
        <w:rPr/>
        <w:t>）领域发力；集中注意力，避开小客户，而重点切入龙头</w:t>
      </w:r>
    </w:p>
    <w:p>
      <w:pPr>
        <w:pStyle w:val="BodyText"/>
        <w:spacing w:line="285" w:lineRule="auto" w:before="42"/>
        <w:ind w:right="1130"/>
        <w:jc w:val="both"/>
      </w:pPr>
      <w:r>
        <w:rPr/>
        <w:t>企业，产生行业内的示范效应。</w:t>
      </w:r>
      <w:r>
        <w:rPr>
          <w:rFonts w:ascii="Times New Roman" w:hAnsi="Times New Roman" w:cs="Times New Roman" w:eastAsia="Times New Roman" w:hint="default"/>
        </w:rPr>
        <w:t>”</w:t>
      </w:r>
      <w:r>
        <w:rPr/>
        <w:t>这些策略在</w:t>
      </w:r>
      <w:r>
        <w:rPr>
          <w:rFonts w:ascii="Times New Roman" w:hAnsi="Times New Roman" w:cs="Times New Roman" w:eastAsia="Times New Roman" w:hint="default"/>
        </w:rPr>
        <w:t>2015</w:t>
      </w:r>
      <w:r>
        <w:rPr/>
        <w:t>年业务数据方面就体现为：行业排名前两位的大型券商华泰联合证券和中</w:t>
      </w:r>
      <w:r>
        <w:rPr>
          <w:spacing w:val="-75"/>
        </w:rPr>
        <w:t> </w:t>
      </w:r>
      <w:r>
        <w:rPr>
          <w:spacing w:val="-75"/>
        </w:rPr>
      </w:r>
      <w:r>
        <w:rPr/>
        <w:t>信证券都为公司的重点客户；同时由于</w:t>
      </w:r>
      <w:r>
        <w:rPr>
          <w:rFonts w:ascii="Times New Roman" w:hAnsi="Times New Roman" w:cs="Times New Roman" w:eastAsia="Times New Roman" w:hint="default"/>
        </w:rPr>
        <w:t>CRM</w:t>
      </w:r>
      <w:r>
        <w:rPr/>
        <w:t>等产品在解决方案领域避免了与证券行业传统的</w:t>
      </w:r>
      <w:r>
        <w:rPr>
          <w:rFonts w:ascii="Times New Roman" w:hAnsi="Times New Roman" w:cs="Times New Roman" w:eastAsia="Times New Roman" w:hint="default"/>
        </w:rPr>
        <w:t>IT</w:t>
      </w:r>
      <w:r>
        <w:rPr/>
        <w:t>供应商的直接竞争，因此证</w:t>
      </w:r>
      <w:r>
        <w:rPr>
          <w:spacing w:val="-30"/>
        </w:rPr>
        <w:t> </w:t>
      </w:r>
      <w:r>
        <w:rPr>
          <w:spacing w:val="-30"/>
        </w:rPr>
      </w:r>
      <w:r>
        <w:rPr>
          <w:spacing w:val="-2"/>
        </w:rPr>
        <w:t>券行业解决方案的实现了收入和毛利率的双双提升：最后重要的一点是系统集成业务快速上升，但作为公司加强客户粘性的</w:t>
      </w:r>
      <w:r>
        <w:rPr>
          <w:spacing w:val="-64"/>
        </w:rPr>
        <w:t> </w:t>
      </w:r>
      <w:r>
        <w:rPr>
          <w:spacing w:val="-64"/>
        </w:rPr>
      </w:r>
      <w:r>
        <w:rPr/>
        <w:t>手段，集成业务的毛利率有所下降；</w:t>
      </w:r>
    </w:p>
    <w:p>
      <w:pPr>
        <w:pStyle w:val="BodyText"/>
        <w:spacing w:line="280" w:lineRule="auto" w:before="61"/>
        <w:ind w:right="0" w:firstLine="360"/>
        <w:jc w:val="left"/>
      </w:pPr>
      <w:r>
        <w:rPr>
          <w:spacing w:val="-2"/>
        </w:rPr>
        <w:t>除系统集成业务外，</w:t>
      </w:r>
      <w:r>
        <w:rPr>
          <w:rFonts w:ascii="Times New Roman" w:hAnsi="Times New Roman" w:cs="Times New Roman" w:eastAsia="Times New Roman" w:hint="default"/>
          <w:spacing w:val="-2"/>
        </w:rPr>
        <w:t>2015</w:t>
      </w:r>
      <w:r>
        <w:rPr>
          <w:spacing w:val="-2"/>
        </w:rPr>
        <w:t>年公司在证券行业解决方案业务方面也做了重点拓展，在重点客户华泰联合证券也有了突出成</w:t>
      </w:r>
      <w:r>
        <w:rPr/>
        <w:t> 绩，实现收入</w:t>
      </w:r>
      <w:r>
        <w:rPr>
          <w:rFonts w:ascii="Times New Roman" w:hAnsi="Times New Roman" w:cs="Times New Roman" w:eastAsia="Times New Roman" w:hint="default"/>
        </w:rPr>
        <w:t>1300</w:t>
      </w:r>
      <w:r>
        <w:rPr/>
        <w:t>余万元。</w:t>
      </w:r>
    </w:p>
    <w:p>
      <w:pPr>
        <w:pStyle w:val="BodyText"/>
        <w:spacing w:line="240" w:lineRule="auto" w:before="49"/>
        <w:ind w:left="1494" w:right="0"/>
        <w:jc w:val="left"/>
      </w:pPr>
      <w:r>
        <w:rPr>
          <w:rFonts w:ascii="Times New Roman" w:hAnsi="Times New Roman" w:cs="Times New Roman" w:eastAsia="Times New Roman" w:hint="default"/>
        </w:rPr>
        <w:t>2015</w:t>
      </w:r>
      <w:r>
        <w:rPr/>
        <w:t>年与</w:t>
      </w:r>
      <w:r>
        <w:rPr>
          <w:rFonts w:ascii="Times New Roman" w:hAnsi="Times New Roman" w:cs="Times New Roman" w:eastAsia="Times New Roman" w:hint="default"/>
        </w:rPr>
        <w:t>2014</w:t>
      </w:r>
      <w:r>
        <w:rPr/>
        <w:t>年，公司在证券行业业务的比较表如下：</w:t>
      </w:r>
    </w:p>
    <w:p>
      <w:pPr>
        <w:pStyle w:val="BodyText"/>
        <w:spacing w:line="240" w:lineRule="auto" w:before="12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462" w:type="dxa"/>
        <w:tblLayout w:type="fixed"/>
        <w:tblCellMar>
          <w:top w:w="0" w:type="dxa"/>
          <w:left w:w="0" w:type="dxa"/>
          <w:bottom w:w="0" w:type="dxa"/>
          <w:right w:w="0" w:type="dxa"/>
        </w:tblCellMar>
        <w:tblLook w:val="01E0"/>
      </w:tblPr>
      <w:tblGrid>
        <w:gridCol w:w="640"/>
        <w:gridCol w:w="1530"/>
        <w:gridCol w:w="1423"/>
        <w:gridCol w:w="1074"/>
        <w:gridCol w:w="1424"/>
        <w:gridCol w:w="1319"/>
        <w:gridCol w:w="970"/>
        <w:gridCol w:w="864"/>
        <w:gridCol w:w="864"/>
        <w:gridCol w:w="864"/>
      </w:tblGrid>
      <w:tr>
        <w:trPr>
          <w:trHeight w:val="402" w:hRule="exact"/>
        </w:trPr>
        <w:tc>
          <w:tcPr>
            <w:tcW w:w="640"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40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收入</w:t>
            </w:r>
            <w:r>
              <w:rPr>
                <w:rFonts w:ascii="宋体" w:hAnsi="宋体" w:cs="宋体" w:eastAsia="宋体" w:hint="default"/>
                <w:sz w:val="18"/>
                <w:szCs w:val="18"/>
              </w:rPr>
            </w:r>
          </w:p>
        </w:tc>
        <w:tc>
          <w:tcPr>
            <w:tcW w:w="371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毛利</w:t>
            </w:r>
            <w:r>
              <w:rPr>
                <w:rFonts w:ascii="宋体" w:hAnsi="宋体" w:cs="宋体" w:eastAsia="宋体" w:hint="default"/>
                <w:sz w:val="18"/>
                <w:szCs w:val="18"/>
              </w:rPr>
            </w:r>
          </w:p>
        </w:tc>
        <w:tc>
          <w:tcPr>
            <w:tcW w:w="25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毛利率</w:t>
            </w:r>
            <w:r>
              <w:rPr>
                <w:rFonts w:ascii="宋体" w:hAnsi="宋体" w:cs="宋体" w:eastAsia="宋体" w:hint="default"/>
                <w:sz w:val="18"/>
                <w:szCs w:val="18"/>
              </w:rPr>
            </w:r>
          </w:p>
        </w:tc>
      </w:tr>
      <w:tr>
        <w:trPr>
          <w:trHeight w:val="402" w:hRule="exact"/>
        </w:trPr>
        <w:tc>
          <w:tcPr>
            <w:tcW w:w="640" w:type="dxa"/>
            <w:vMerge/>
            <w:tcBorders>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2015</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2014</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1" w:right="0"/>
              <w:jc w:val="left"/>
              <w:rPr>
                <w:rFonts w:ascii="宋体" w:hAnsi="宋体" w:cs="宋体" w:eastAsia="宋体" w:hint="default"/>
                <w:sz w:val="18"/>
                <w:szCs w:val="18"/>
              </w:rPr>
            </w:pPr>
            <w:r>
              <w:rPr>
                <w:rFonts w:ascii="宋体" w:hAnsi="宋体" w:cs="宋体" w:eastAsia="宋体" w:hint="default"/>
                <w:sz w:val="18"/>
                <w:szCs w:val="18"/>
              </w:rPr>
              <w:t>增速</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2015</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2014</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9" w:right="0"/>
              <w:jc w:val="left"/>
              <w:rPr>
                <w:rFonts w:ascii="宋体" w:hAnsi="宋体" w:cs="宋体" w:eastAsia="宋体" w:hint="default"/>
                <w:sz w:val="18"/>
                <w:szCs w:val="18"/>
              </w:rPr>
            </w:pPr>
            <w:r>
              <w:rPr>
                <w:rFonts w:ascii="宋体" w:hAnsi="宋体" w:cs="宋体" w:eastAsia="宋体" w:hint="default"/>
                <w:sz w:val="18"/>
                <w:szCs w:val="18"/>
              </w:rPr>
              <w:t>增速</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7" w:right="0"/>
              <w:jc w:val="left"/>
              <w:rPr>
                <w:rFonts w:ascii="Times New Roman" w:hAnsi="Times New Roman" w:cs="Times New Roman" w:eastAsia="Times New Roman" w:hint="default"/>
                <w:sz w:val="18"/>
                <w:szCs w:val="18"/>
              </w:rPr>
            </w:pPr>
            <w:r>
              <w:rPr>
                <w:rFonts w:ascii="Times New Roman"/>
                <w:sz w:val="18"/>
              </w:rPr>
              <w:t>2015</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2014</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变动</w:t>
            </w:r>
          </w:p>
        </w:tc>
      </w:tr>
      <w:tr>
        <w:trPr>
          <w:trHeight w:val="714" w:hRule="exact"/>
        </w:trPr>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64"/>
              <w:jc w:val="left"/>
              <w:rPr>
                <w:rFonts w:ascii="宋体" w:hAnsi="宋体" w:cs="宋体" w:eastAsia="宋体" w:hint="default"/>
                <w:sz w:val="18"/>
                <w:szCs w:val="18"/>
              </w:rPr>
            </w:pPr>
            <w:r>
              <w:rPr>
                <w:rFonts w:ascii="宋体" w:hAnsi="宋体" w:cs="宋体" w:eastAsia="宋体" w:hint="default"/>
                <w:sz w:val="18"/>
                <w:szCs w:val="18"/>
              </w:rPr>
              <w:t>解决 方案</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1" w:right="0"/>
              <w:jc w:val="left"/>
              <w:rPr>
                <w:rFonts w:ascii="Times New Roman" w:hAnsi="Times New Roman" w:cs="Times New Roman" w:eastAsia="Times New Roman" w:hint="default"/>
                <w:sz w:val="18"/>
                <w:szCs w:val="18"/>
              </w:rPr>
            </w:pPr>
            <w:r>
              <w:rPr>
                <w:rFonts w:ascii="Times New Roman"/>
                <w:sz w:val="18"/>
              </w:rPr>
              <w:t>13,684,225.36</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7" w:right="0"/>
              <w:jc w:val="left"/>
              <w:rPr>
                <w:rFonts w:ascii="Times New Roman" w:hAnsi="Times New Roman" w:cs="Times New Roman" w:eastAsia="Times New Roman" w:hint="default"/>
                <w:sz w:val="18"/>
                <w:szCs w:val="18"/>
              </w:rPr>
            </w:pPr>
            <w:r>
              <w:rPr>
                <w:rFonts w:ascii="Times New Roman"/>
                <w:sz w:val="18"/>
              </w:rPr>
              <w:t>10,212,281.96</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6" w:right="0"/>
              <w:jc w:val="left"/>
              <w:rPr>
                <w:rFonts w:ascii="Times New Roman" w:hAnsi="Times New Roman" w:cs="Times New Roman" w:eastAsia="Times New Roman" w:hint="default"/>
                <w:sz w:val="18"/>
                <w:szCs w:val="18"/>
              </w:rPr>
            </w:pPr>
            <w:r>
              <w:rPr>
                <w:rFonts w:ascii="Times New Roman"/>
                <w:sz w:val="18"/>
              </w:rPr>
              <w:t>34.00%</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7" w:right="0"/>
              <w:jc w:val="left"/>
              <w:rPr>
                <w:rFonts w:ascii="Times New Roman" w:hAnsi="Times New Roman" w:cs="Times New Roman" w:eastAsia="Times New Roman" w:hint="default"/>
                <w:sz w:val="18"/>
                <w:szCs w:val="18"/>
              </w:rPr>
            </w:pPr>
            <w:r>
              <w:rPr>
                <w:rFonts w:ascii="Times New Roman"/>
                <w:sz w:val="18"/>
              </w:rPr>
              <w:t>6,683,730.04</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1" w:right="0"/>
              <w:jc w:val="left"/>
              <w:rPr>
                <w:rFonts w:ascii="Times New Roman" w:hAnsi="Times New Roman" w:cs="Times New Roman" w:eastAsia="Times New Roman" w:hint="default"/>
                <w:sz w:val="18"/>
                <w:szCs w:val="18"/>
              </w:rPr>
            </w:pPr>
            <w:r>
              <w:rPr>
                <w:rFonts w:ascii="Times New Roman"/>
                <w:sz w:val="18"/>
              </w:rPr>
              <w:t>4,640,390.86</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1" w:right="0"/>
              <w:jc w:val="left"/>
              <w:rPr>
                <w:rFonts w:ascii="Times New Roman" w:hAnsi="Times New Roman" w:cs="Times New Roman" w:eastAsia="Times New Roman" w:hint="default"/>
                <w:sz w:val="18"/>
                <w:szCs w:val="18"/>
              </w:rPr>
            </w:pPr>
            <w:r>
              <w:rPr>
                <w:rFonts w:ascii="Times New Roman"/>
                <w:sz w:val="18"/>
              </w:rPr>
              <w:t>44.03%</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6" w:right="0"/>
              <w:jc w:val="left"/>
              <w:rPr>
                <w:rFonts w:ascii="Times New Roman" w:hAnsi="Times New Roman" w:cs="Times New Roman" w:eastAsia="Times New Roman" w:hint="default"/>
                <w:sz w:val="18"/>
                <w:szCs w:val="18"/>
              </w:rPr>
            </w:pPr>
            <w:r>
              <w:rPr>
                <w:rFonts w:ascii="Times New Roman"/>
                <w:sz w:val="18"/>
              </w:rPr>
              <w:t>48.84%</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4" w:right="0"/>
              <w:jc w:val="center"/>
              <w:rPr>
                <w:rFonts w:ascii="Times New Roman" w:hAnsi="Times New Roman" w:cs="Times New Roman" w:eastAsia="Times New Roman" w:hint="default"/>
                <w:sz w:val="18"/>
                <w:szCs w:val="18"/>
              </w:rPr>
            </w:pPr>
            <w:r>
              <w:rPr>
                <w:rFonts w:ascii="Times New Roman"/>
                <w:sz w:val="18"/>
              </w:rPr>
              <w:t>45.44%</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6" w:right="0"/>
              <w:jc w:val="left"/>
              <w:rPr>
                <w:rFonts w:ascii="Times New Roman" w:hAnsi="Times New Roman" w:cs="Times New Roman" w:eastAsia="Times New Roman" w:hint="default"/>
                <w:sz w:val="18"/>
                <w:szCs w:val="18"/>
              </w:rPr>
            </w:pPr>
            <w:r>
              <w:rPr>
                <w:rFonts w:ascii="Times New Roman"/>
                <w:sz w:val="18"/>
              </w:rPr>
              <w:t>3.40%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187" w:top="1100" w:bottom="1380" w:left="0" w:right="0"/>
        </w:sectPr>
      </w:pPr>
    </w:p>
    <w:p>
      <w:pPr>
        <w:spacing w:line="240" w:lineRule="auto" w:before="2"/>
        <w:rPr>
          <w:rFonts w:ascii="宋体" w:hAnsi="宋体" w:cs="宋体" w:eastAsia="宋体" w:hint="default"/>
          <w:sz w:val="24"/>
          <w:szCs w:val="24"/>
        </w:rPr>
      </w:pPr>
    </w:p>
    <w:tbl>
      <w:tblPr>
        <w:tblW w:w="0" w:type="auto"/>
        <w:jc w:val="left"/>
        <w:tblInd w:w="462" w:type="dxa"/>
        <w:tblLayout w:type="fixed"/>
        <w:tblCellMar>
          <w:top w:w="0" w:type="dxa"/>
          <w:left w:w="0" w:type="dxa"/>
          <w:bottom w:w="0" w:type="dxa"/>
          <w:right w:w="0" w:type="dxa"/>
        </w:tblCellMar>
        <w:tblLook w:val="01E0"/>
      </w:tblPr>
      <w:tblGrid>
        <w:gridCol w:w="640"/>
        <w:gridCol w:w="1530"/>
        <w:gridCol w:w="1423"/>
        <w:gridCol w:w="1074"/>
        <w:gridCol w:w="1424"/>
        <w:gridCol w:w="1319"/>
        <w:gridCol w:w="970"/>
        <w:gridCol w:w="864"/>
        <w:gridCol w:w="864"/>
        <w:gridCol w:w="864"/>
      </w:tblGrid>
      <w:tr>
        <w:trPr>
          <w:trHeight w:val="709" w:hRule="exact"/>
        </w:trPr>
        <w:tc>
          <w:tcPr>
            <w:tcW w:w="640" w:type="dxa"/>
            <w:tcBorders>
              <w:top w:val="nil" w:sz="6" w:space="0" w:color="auto"/>
              <w:left w:val="single" w:sz="4" w:space="0" w:color="000000"/>
              <w:bottom w:val="single" w:sz="4" w:space="0" w:color="000000"/>
              <w:right w:val="single" w:sz="4" w:space="0" w:color="000000"/>
            </w:tcBorders>
          </w:tcPr>
          <w:p>
            <w:pPr>
              <w:pStyle w:val="TableParagraph"/>
              <w:spacing w:line="316" w:lineRule="auto" w:before="51"/>
              <w:ind w:left="103" w:right="164"/>
              <w:jc w:val="left"/>
              <w:rPr>
                <w:rFonts w:ascii="宋体" w:hAnsi="宋体" w:cs="宋体" w:eastAsia="宋体" w:hint="default"/>
                <w:sz w:val="18"/>
                <w:szCs w:val="18"/>
              </w:rPr>
            </w:pPr>
            <w:r>
              <w:rPr>
                <w:rFonts w:ascii="宋体" w:hAnsi="宋体" w:cs="宋体" w:eastAsia="宋体" w:hint="default"/>
                <w:sz w:val="18"/>
                <w:szCs w:val="18"/>
              </w:rPr>
              <w:t>系统 集成</w:t>
            </w:r>
          </w:p>
        </w:tc>
        <w:tc>
          <w:tcPr>
            <w:tcW w:w="153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111,291,453.04</w:t>
            </w:r>
          </w:p>
        </w:tc>
        <w:tc>
          <w:tcPr>
            <w:tcW w:w="142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2,895,726.49</w:t>
            </w:r>
          </w:p>
        </w:tc>
        <w:tc>
          <w:tcPr>
            <w:tcW w:w="107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3743.30%</w:t>
            </w:r>
          </w:p>
        </w:tc>
        <w:tc>
          <w:tcPr>
            <w:tcW w:w="14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2,359,729.01</w:t>
            </w:r>
          </w:p>
        </w:tc>
        <w:tc>
          <w:tcPr>
            <w:tcW w:w="13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313,675.21</w:t>
            </w:r>
          </w:p>
        </w:tc>
        <w:tc>
          <w:tcPr>
            <w:tcW w:w="9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652.28%</w:t>
            </w:r>
          </w:p>
        </w:tc>
        <w:tc>
          <w:tcPr>
            <w:tcW w:w="8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2.12%</w:t>
            </w:r>
          </w:p>
        </w:tc>
        <w:tc>
          <w:tcPr>
            <w:tcW w:w="8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10.83%</w:t>
            </w:r>
          </w:p>
        </w:tc>
        <w:tc>
          <w:tcPr>
            <w:tcW w:w="8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-8.71%</w:t>
            </w:r>
          </w:p>
        </w:tc>
      </w:tr>
      <w:tr>
        <w:trPr>
          <w:trHeight w:val="714" w:hRule="exact"/>
        </w:trPr>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64"/>
              <w:jc w:val="left"/>
              <w:rPr>
                <w:rFonts w:ascii="宋体" w:hAnsi="宋体" w:cs="宋体" w:eastAsia="宋体" w:hint="default"/>
                <w:sz w:val="18"/>
                <w:szCs w:val="18"/>
              </w:rPr>
            </w:pPr>
            <w:r>
              <w:rPr>
                <w:rFonts w:ascii="宋体" w:hAnsi="宋体" w:cs="宋体" w:eastAsia="宋体" w:hint="default"/>
                <w:sz w:val="18"/>
                <w:szCs w:val="18"/>
              </w:rPr>
              <w:t>运维 服务</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8,634,328.36</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8,069,534.58</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7.00%</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3,040,455.67</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2,273,021.12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33.76%</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35.21%</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28.17%</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7.04%</w:t>
            </w:r>
          </w:p>
        </w:tc>
      </w:tr>
      <w:tr>
        <w:trPr>
          <w:trHeight w:val="402" w:hRule="exact"/>
        </w:trPr>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总计</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133,610,006.76</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21,177,543.03</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530.90%</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12,083,914.72</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7,227,087.19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67.20%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9.04%</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34.13%</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25.09%</w:t>
            </w:r>
          </w:p>
        </w:tc>
      </w:tr>
    </w:tbl>
    <w:p>
      <w:pPr>
        <w:pStyle w:val="BodyText"/>
        <w:spacing w:line="280" w:lineRule="auto" w:before="9"/>
        <w:ind w:left="1134" w:right="0" w:firstLine="360"/>
        <w:jc w:val="left"/>
      </w:pPr>
      <w:r>
        <w:rPr>
          <w:spacing w:val="-2"/>
        </w:rPr>
        <w:t>公司注意到</w:t>
      </w:r>
      <w:r>
        <w:rPr>
          <w:rFonts w:ascii="Times New Roman" w:hAnsi="Times New Roman" w:cs="Times New Roman" w:eastAsia="Times New Roman" w:hint="default"/>
          <w:spacing w:val="-2"/>
        </w:rPr>
        <w:t>2015</w:t>
      </w:r>
      <w:r>
        <w:rPr>
          <w:spacing w:val="-2"/>
        </w:rPr>
        <w:t>年在证券行业的收入、订单，以及解决方案的毛利率快速增长的同时，公司在系统集成的毛利率方面下</w:t>
      </w:r>
      <w:r>
        <w:rPr/>
        <w:t> 降很快。</w:t>
      </w:r>
      <w:r>
        <w:rPr>
          <w:rFonts w:ascii="Times New Roman" w:hAnsi="Times New Roman" w:cs="Times New Roman" w:eastAsia="Times New Roman" w:hint="default"/>
        </w:rPr>
        <w:t>2016</w:t>
      </w:r>
      <w:r>
        <w:rPr/>
        <w:t>年公司会积极调整，在关注客户、业务增长的同时，也会在下一阶段积极寻求订单质量和毛利率的提升。</w:t>
      </w:r>
    </w:p>
    <w:p>
      <w:pPr>
        <w:spacing w:line="240" w:lineRule="auto" w:before="11"/>
        <w:rPr>
          <w:rFonts w:ascii="宋体" w:hAnsi="宋体" w:cs="宋体" w:eastAsia="宋体" w:hint="default"/>
          <w:sz w:val="24"/>
          <w:szCs w:val="24"/>
        </w:rPr>
      </w:pPr>
    </w:p>
    <w:p>
      <w:pPr>
        <w:pStyle w:val="Heading4"/>
        <w:spacing w:line="240" w:lineRule="auto"/>
        <w:ind w:right="0"/>
        <w:jc w:val="left"/>
        <w:rPr>
          <w:b w:val="0"/>
          <w:bCs w:val="0"/>
        </w:rPr>
      </w:pPr>
      <w:bookmarkStart w:name="（3）公司实物销售收入是否大于劳务收入" w:id="29"/>
      <w:bookmarkEnd w:id="29"/>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4）公司已签订的重大销售合同截至本报告期的履行情况" w:id="30"/>
      <w:bookmarkEnd w:id="30"/>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5）营业成本构成" w:id="31"/>
      <w:bookmarkEnd w:id="31"/>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134" w:right="0"/>
        <w:jc w:val="left"/>
      </w:pPr>
      <w:r>
        <w:rPr/>
        <w:t>产品分类</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解决方案</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194,973,858.55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183,056,410.06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3.58%</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解决方案</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25,028,236.97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23,051,235.20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0.52%</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解决方案</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外购成本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23,862,467.19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24,106,153.73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0.22%</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运维服务</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38,933,144.08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31,177,153.49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运维服务</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2,718,234.29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3,518,244.33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-0.08%</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运维服务</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外购成本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40,982,260.44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41,353,297.71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0.38%</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系统集成</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外购成本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385,699,770.52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463,008,903.21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-6.04%</w:t>
            </w:r>
          </w:p>
        </w:tc>
      </w:tr>
    </w:tbl>
    <w:p>
      <w:pPr>
        <w:pStyle w:val="BodyText"/>
        <w:spacing w:line="240" w:lineRule="auto" w:before="51"/>
        <w:ind w:left="1134" w:right="0"/>
        <w:jc w:val="left"/>
      </w:pPr>
      <w:r>
        <w:rPr/>
        <w:t>说明</w:t>
      </w:r>
    </w:p>
    <w:p>
      <w:pPr>
        <w:spacing w:line="240" w:lineRule="auto" w:before="11"/>
        <w:rPr>
          <w:rFonts w:ascii="宋体" w:hAnsi="宋体" w:cs="宋体" w:eastAsia="宋体" w:hint="default"/>
          <w:sz w:val="26"/>
          <w:szCs w:val="26"/>
        </w:rPr>
      </w:pPr>
    </w:p>
    <w:p>
      <w:pPr>
        <w:pStyle w:val="Heading4"/>
        <w:spacing w:line="240" w:lineRule="auto"/>
        <w:ind w:left="1134" w:right="0"/>
        <w:jc w:val="left"/>
        <w:rPr>
          <w:b w:val="0"/>
          <w:bCs w:val="0"/>
        </w:rPr>
      </w:pPr>
      <w:bookmarkStart w:name="（6）报告期内合并范围是否发生变动" w:id="32"/>
      <w:bookmarkEnd w:id="32"/>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7）公司报告期内业务、产品或服务发生重大变化或调整有关情况" w:id="33"/>
      <w:bookmarkEnd w:id="33"/>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1187" w:top="1100" w:bottom="1380" w:left="0" w:right="0"/>
        </w:sectPr>
      </w:pPr>
    </w:p>
    <w:p>
      <w:pPr>
        <w:spacing w:line="240" w:lineRule="auto" w:before="9"/>
        <w:rPr>
          <w:rFonts w:ascii="宋体" w:hAnsi="宋体" w:cs="宋体" w:eastAsia="宋体" w:hint="default"/>
          <w:sz w:val="20"/>
          <w:szCs w:val="20"/>
        </w:rPr>
      </w:pPr>
    </w:p>
    <w:p>
      <w:pPr>
        <w:pStyle w:val="Heading4"/>
        <w:spacing w:line="240" w:lineRule="auto" w:before="35"/>
        <w:ind w:right="0"/>
        <w:jc w:val="left"/>
        <w:rPr>
          <w:b w:val="0"/>
          <w:bCs w:val="0"/>
        </w:rPr>
      </w:pPr>
      <w:bookmarkStart w:name="（8）主要销售客户和主要供应商情况" w:id="34"/>
      <w:bookmarkEnd w:id="34"/>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519,851,856.45</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55.38%</w:t>
            </w:r>
          </w:p>
        </w:tc>
      </w:tr>
    </w:tbl>
    <w:p>
      <w:pPr>
        <w:pStyle w:val="BodyText"/>
        <w:spacing w:line="376" w:lineRule="auto" w:before="51"/>
        <w:ind w:left="1493" w:right="7693" w:hanging="36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 关于收入集中的情况，说明如下：</w:t>
      </w:r>
    </w:p>
    <w:p>
      <w:pPr>
        <w:pStyle w:val="BodyText"/>
        <w:spacing w:line="240" w:lineRule="auto" w:before="74"/>
        <w:ind w:left="1493" w:right="0"/>
        <w:jc w:val="left"/>
      </w:pPr>
      <w:r>
        <w:rPr/>
        <w:t>我公司</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年度前五大客户在收入中的占比的具体情况，如下表：</w:t>
      </w:r>
    </w:p>
    <w:p>
      <w:pPr>
        <w:spacing w:line="240" w:lineRule="auto" w:before="4"/>
        <w:rPr>
          <w:rFonts w:ascii="宋体" w:hAnsi="宋体" w:cs="宋体" w:eastAsia="宋体" w:hint="default"/>
          <w:sz w:val="9"/>
          <w:szCs w:val="9"/>
        </w:rPr>
      </w:pPr>
    </w:p>
    <w:p>
      <w:pPr>
        <w:pStyle w:val="Heading5"/>
        <w:spacing w:line="240" w:lineRule="auto"/>
        <w:ind w:right="1552"/>
        <w:jc w:val="right"/>
      </w:pPr>
      <w:r>
        <w:rPr>
          <w:spacing w:val="-5"/>
        </w:rPr>
        <w:t>单位：元</w:t>
      </w:r>
    </w:p>
    <w:p>
      <w:pPr>
        <w:spacing w:line="240" w:lineRule="auto" w:before="9"/>
        <w:rPr>
          <w:rFonts w:ascii="宋体" w:hAnsi="宋体" w:cs="宋体" w:eastAsia="宋体" w:hint="default"/>
          <w:sz w:val="10"/>
          <w:szCs w:val="10"/>
        </w:rPr>
      </w:pPr>
    </w:p>
    <w:tbl>
      <w:tblPr>
        <w:tblW w:w="0" w:type="auto"/>
        <w:jc w:val="left"/>
        <w:tblInd w:w="1021" w:type="dxa"/>
        <w:tblLayout w:type="fixed"/>
        <w:tblCellMar>
          <w:top w:w="0" w:type="dxa"/>
          <w:left w:w="0" w:type="dxa"/>
          <w:bottom w:w="0" w:type="dxa"/>
          <w:right w:w="0" w:type="dxa"/>
        </w:tblCellMar>
        <w:tblLook w:val="01E0"/>
      </w:tblPr>
      <w:tblGrid>
        <w:gridCol w:w="3940"/>
        <w:gridCol w:w="1327"/>
        <w:gridCol w:w="2339"/>
        <w:gridCol w:w="2000"/>
      </w:tblGrid>
      <w:tr>
        <w:trPr>
          <w:trHeight w:val="448" w:hRule="exact"/>
        </w:trPr>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b/>
                <w:bCs/>
                <w:sz w:val="18"/>
                <w:szCs w:val="18"/>
              </w:rPr>
              <w:t>客户</w:t>
            </w:r>
            <w:r>
              <w:rPr>
                <w:rFonts w:ascii="宋体" w:hAnsi="宋体" w:cs="宋体" w:eastAsia="宋体" w:hint="default"/>
                <w:sz w:val="18"/>
                <w:szCs w:val="18"/>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销售收入</w:t>
            </w:r>
            <w:r>
              <w:rPr>
                <w:rFonts w:ascii="宋体" w:hAnsi="宋体" w:cs="宋体" w:eastAsia="宋体" w:hint="default"/>
                <w:sz w:val="18"/>
                <w:szCs w:val="18"/>
              </w:rPr>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占该业务比</w:t>
            </w:r>
            <w:r>
              <w:rPr>
                <w:rFonts w:ascii="宋体" w:hAnsi="宋体" w:cs="宋体" w:eastAsia="宋体" w:hint="default"/>
                <w:sz w:val="18"/>
                <w:szCs w:val="18"/>
              </w:rPr>
            </w:r>
          </w:p>
        </w:tc>
      </w:tr>
      <w:tr>
        <w:trPr>
          <w:trHeight w:val="402" w:hRule="exact"/>
        </w:trPr>
        <w:tc>
          <w:tcPr>
            <w:tcW w:w="394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客户一</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系统集成</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39"/>
              <w:jc w:val="right"/>
              <w:rPr>
                <w:rFonts w:ascii="Times New Roman" w:hAnsi="Times New Roman" w:cs="Times New Roman" w:eastAsia="Times New Roman" w:hint="default"/>
                <w:sz w:val="18"/>
                <w:szCs w:val="18"/>
              </w:rPr>
            </w:pPr>
            <w:r>
              <w:rPr>
                <w:rFonts w:ascii="Times New Roman"/>
                <w:spacing w:val="-1"/>
                <w:sz w:val="18"/>
              </w:rPr>
              <w:t>90,896,096.17</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22%</w:t>
            </w:r>
          </w:p>
        </w:tc>
      </w:tr>
      <w:tr>
        <w:trPr>
          <w:trHeight w:val="402" w:hRule="exact"/>
        </w:trPr>
        <w:tc>
          <w:tcPr>
            <w:tcW w:w="3940" w:type="dxa"/>
            <w:vMerge/>
            <w:tcBorders>
              <w:left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运维服务</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39"/>
              <w:jc w:val="right"/>
              <w:rPr>
                <w:rFonts w:ascii="Times New Roman" w:hAnsi="Times New Roman" w:cs="Times New Roman" w:eastAsia="Times New Roman" w:hint="default"/>
                <w:sz w:val="18"/>
                <w:szCs w:val="18"/>
              </w:rPr>
            </w:pPr>
            <w:r>
              <w:rPr>
                <w:rFonts w:ascii="Times New Roman"/>
                <w:spacing w:val="-1"/>
                <w:sz w:val="18"/>
              </w:rPr>
              <w:t>57,948,213.61</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55%</w:t>
            </w:r>
          </w:p>
        </w:tc>
      </w:tr>
      <w:tr>
        <w:trPr>
          <w:trHeight w:val="402" w:hRule="exact"/>
        </w:trPr>
        <w:tc>
          <w:tcPr>
            <w:tcW w:w="3940" w:type="dxa"/>
            <w:vMerge/>
            <w:tcBorders>
              <w:left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解决方案</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39"/>
              <w:jc w:val="right"/>
              <w:rPr>
                <w:rFonts w:ascii="Times New Roman" w:hAnsi="Times New Roman" w:cs="Times New Roman" w:eastAsia="Times New Roman" w:hint="default"/>
                <w:sz w:val="18"/>
                <w:szCs w:val="18"/>
              </w:rPr>
            </w:pPr>
            <w:r>
              <w:rPr>
                <w:rFonts w:ascii="Times New Roman"/>
                <w:spacing w:val="-1"/>
                <w:sz w:val="18"/>
              </w:rPr>
              <w:t>158,847,731.18</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38%</w:t>
            </w:r>
          </w:p>
        </w:tc>
      </w:tr>
      <w:tr>
        <w:trPr>
          <w:trHeight w:val="402" w:hRule="exact"/>
        </w:trPr>
        <w:tc>
          <w:tcPr>
            <w:tcW w:w="3940" w:type="dxa"/>
            <w:vMerge/>
            <w:tcBorders>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738"/>
              <w:jc w:val="right"/>
              <w:rPr>
                <w:rFonts w:ascii="Times New Roman" w:hAnsi="Times New Roman" w:cs="Times New Roman" w:eastAsia="Times New Roman" w:hint="default"/>
                <w:sz w:val="18"/>
                <w:szCs w:val="18"/>
              </w:rPr>
            </w:pPr>
            <w:r>
              <w:rPr>
                <w:rFonts w:ascii="Times New Roman"/>
                <w:b/>
                <w:spacing w:val="-1"/>
                <w:sz w:val="18"/>
              </w:rPr>
              <w:t>307,692,040.96</w:t>
            </w:r>
            <w:r>
              <w:rPr>
                <w:rFonts w:ascii="Times New Roman"/>
                <w:spacing w:val="-1"/>
                <w:sz w:val="18"/>
              </w:rPr>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占整体业务的</w:t>
            </w:r>
            <w:r>
              <w:rPr>
                <w:rFonts w:ascii="宋体" w:hAnsi="宋体" w:cs="宋体" w:eastAsia="宋体" w:hint="default"/>
                <w:b/>
                <w:bCs/>
                <w:spacing w:val="-48"/>
                <w:sz w:val="18"/>
                <w:szCs w:val="18"/>
              </w:rPr>
              <w:t> </w:t>
            </w:r>
            <w:r>
              <w:rPr>
                <w:rFonts w:ascii="Times New Roman" w:hAnsi="Times New Roman" w:cs="Times New Roman" w:eastAsia="Times New Roman" w:hint="default"/>
                <w:b/>
                <w:bCs/>
                <w:sz w:val="18"/>
                <w:szCs w:val="18"/>
              </w:rPr>
              <w:t>33%</w:t>
            </w:r>
            <w:r>
              <w:rPr>
                <w:rFonts w:ascii="Times New Roman" w:hAnsi="Times New Roman" w:cs="Times New Roman" w:eastAsia="Times New Roman" w:hint="default"/>
                <w:sz w:val="18"/>
                <w:szCs w:val="18"/>
              </w:rPr>
            </w:r>
          </w:p>
        </w:tc>
      </w:tr>
      <w:tr>
        <w:trPr>
          <w:trHeight w:val="402" w:hRule="exact"/>
        </w:trPr>
        <w:tc>
          <w:tcPr>
            <w:tcW w:w="3940" w:type="dxa"/>
            <w:vMerge w:val="restart"/>
            <w:tcBorders>
              <w:top w:val="single" w:sz="4" w:space="0" w:color="000000"/>
              <w:left w:val="single" w:sz="4" w:space="0" w:color="000000"/>
              <w:right w:val="single" w:sz="4" w:space="0" w:color="000000"/>
            </w:tcBorders>
          </w:tcPr>
          <w:p>
            <w:pPr>
              <w:pStyle w:val="TableParagraph"/>
              <w:spacing w:line="240" w:lineRule="auto" w:before="146"/>
              <w:ind w:right="1"/>
              <w:jc w:val="center"/>
              <w:rPr>
                <w:rFonts w:ascii="宋体" w:hAnsi="宋体" w:cs="宋体" w:eastAsia="宋体" w:hint="default"/>
                <w:sz w:val="18"/>
                <w:szCs w:val="18"/>
              </w:rPr>
            </w:pPr>
            <w:r>
              <w:rPr>
                <w:rFonts w:ascii="宋体" w:hAnsi="宋体" w:cs="宋体" w:eastAsia="宋体" w:hint="default"/>
                <w:sz w:val="18"/>
                <w:szCs w:val="18"/>
              </w:rPr>
              <w:t>客户二</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系统集成</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39"/>
              <w:jc w:val="right"/>
              <w:rPr>
                <w:rFonts w:ascii="Times New Roman" w:hAnsi="Times New Roman" w:cs="Times New Roman" w:eastAsia="Times New Roman" w:hint="default"/>
                <w:sz w:val="18"/>
                <w:szCs w:val="18"/>
              </w:rPr>
            </w:pPr>
            <w:r>
              <w:rPr>
                <w:rFonts w:ascii="Times New Roman"/>
                <w:spacing w:val="-1"/>
                <w:sz w:val="18"/>
              </w:rPr>
              <w:t>75,641,025.70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18%</w:t>
            </w:r>
          </w:p>
        </w:tc>
      </w:tr>
      <w:tr>
        <w:trPr>
          <w:trHeight w:val="402" w:hRule="exact"/>
        </w:trPr>
        <w:tc>
          <w:tcPr>
            <w:tcW w:w="3940" w:type="dxa"/>
            <w:vMerge/>
            <w:tcBorders>
              <w:left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运维服务</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39"/>
              <w:jc w:val="right"/>
              <w:rPr>
                <w:rFonts w:ascii="Times New Roman" w:hAnsi="Times New Roman" w:cs="Times New Roman" w:eastAsia="Times New Roman" w:hint="default"/>
                <w:sz w:val="18"/>
                <w:szCs w:val="18"/>
              </w:rPr>
            </w:pPr>
            <w:r>
              <w:rPr>
                <w:rFonts w:ascii="Times New Roman"/>
                <w:spacing w:val="-1"/>
                <w:sz w:val="18"/>
              </w:rPr>
              <w:t>8,007,967.50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8%</w:t>
            </w:r>
          </w:p>
        </w:tc>
      </w:tr>
      <w:tr>
        <w:trPr>
          <w:trHeight w:val="402" w:hRule="exact"/>
        </w:trPr>
        <w:tc>
          <w:tcPr>
            <w:tcW w:w="3940" w:type="dxa"/>
            <w:vMerge/>
            <w:tcBorders>
              <w:left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解决方案</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1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940" w:type="dxa"/>
            <w:vMerge/>
            <w:tcBorders>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738"/>
              <w:jc w:val="right"/>
              <w:rPr>
                <w:rFonts w:ascii="Times New Roman" w:hAnsi="Times New Roman" w:cs="Times New Roman" w:eastAsia="Times New Roman" w:hint="default"/>
                <w:sz w:val="18"/>
                <w:szCs w:val="18"/>
              </w:rPr>
            </w:pPr>
            <w:r>
              <w:rPr>
                <w:rFonts w:ascii="Times New Roman"/>
                <w:b/>
                <w:spacing w:val="-1"/>
                <w:sz w:val="18"/>
              </w:rPr>
              <w:t>83,648,993.20</w:t>
            </w:r>
            <w:r>
              <w:rPr>
                <w:rFonts w:ascii="Times New Roman"/>
                <w:spacing w:val="-1"/>
                <w:sz w:val="18"/>
              </w:rPr>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占整体业务的</w:t>
            </w:r>
            <w:r>
              <w:rPr>
                <w:rFonts w:ascii="宋体" w:hAnsi="宋体" w:cs="宋体" w:eastAsia="宋体" w:hint="default"/>
                <w:b/>
                <w:bCs/>
                <w:spacing w:val="-50"/>
                <w:sz w:val="18"/>
                <w:szCs w:val="18"/>
              </w:rPr>
              <w:t> </w:t>
            </w:r>
            <w:r>
              <w:rPr>
                <w:rFonts w:ascii="Times New Roman" w:hAnsi="Times New Roman" w:cs="Times New Roman" w:eastAsia="Times New Roman" w:hint="default"/>
                <w:b/>
                <w:bCs/>
                <w:sz w:val="18"/>
                <w:szCs w:val="18"/>
              </w:rPr>
              <w:t>9%</w:t>
            </w:r>
            <w:r>
              <w:rPr>
                <w:rFonts w:ascii="Times New Roman" w:hAnsi="Times New Roman" w:cs="Times New Roman" w:eastAsia="Times New Roman" w:hint="default"/>
                <w:sz w:val="18"/>
                <w:szCs w:val="18"/>
              </w:rPr>
            </w:r>
          </w:p>
        </w:tc>
      </w:tr>
      <w:tr>
        <w:trPr>
          <w:trHeight w:val="402" w:hRule="exact"/>
        </w:trPr>
        <w:tc>
          <w:tcPr>
            <w:tcW w:w="3940" w:type="dxa"/>
            <w:vMerge w:val="restart"/>
            <w:tcBorders>
              <w:top w:val="single" w:sz="4" w:space="0" w:color="000000"/>
              <w:left w:val="single" w:sz="4" w:space="0" w:color="000000"/>
              <w:right w:val="single" w:sz="4" w:space="0" w:color="000000"/>
            </w:tcBorders>
          </w:tcPr>
          <w:p>
            <w:pPr>
              <w:pStyle w:val="TableParagraph"/>
              <w:spacing w:line="240" w:lineRule="auto" w:before="146"/>
              <w:ind w:right="1"/>
              <w:jc w:val="center"/>
              <w:rPr>
                <w:rFonts w:ascii="宋体" w:hAnsi="宋体" w:cs="宋体" w:eastAsia="宋体" w:hint="default"/>
                <w:sz w:val="18"/>
                <w:szCs w:val="18"/>
              </w:rPr>
            </w:pPr>
            <w:r>
              <w:rPr>
                <w:rFonts w:ascii="宋体" w:hAnsi="宋体" w:cs="宋体" w:eastAsia="宋体" w:hint="default"/>
                <w:sz w:val="18"/>
                <w:szCs w:val="18"/>
              </w:rPr>
              <w:t>客户三</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系统集成</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39"/>
              <w:jc w:val="right"/>
              <w:rPr>
                <w:rFonts w:ascii="Times New Roman" w:hAnsi="Times New Roman" w:cs="Times New Roman" w:eastAsia="Times New Roman" w:hint="default"/>
                <w:sz w:val="18"/>
                <w:szCs w:val="18"/>
              </w:rPr>
            </w:pPr>
            <w:r>
              <w:rPr>
                <w:rFonts w:ascii="Times New Roman"/>
                <w:spacing w:val="-1"/>
                <w:sz w:val="18"/>
              </w:rPr>
              <w:t>31,005,231.71</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940" w:type="dxa"/>
            <w:vMerge/>
            <w:tcBorders>
              <w:left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运维服务</w:t>
            </w:r>
          </w:p>
        </w:tc>
        <w:tc>
          <w:tcPr>
            <w:tcW w:w="2339"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940" w:type="dxa"/>
            <w:vMerge/>
            <w:tcBorders>
              <w:left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解决方案</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39"/>
              <w:jc w:val="right"/>
              <w:rPr>
                <w:rFonts w:ascii="Times New Roman" w:hAnsi="Times New Roman" w:cs="Times New Roman" w:eastAsia="Times New Roman" w:hint="default"/>
                <w:sz w:val="18"/>
                <w:szCs w:val="18"/>
              </w:rPr>
            </w:pPr>
            <w:r>
              <w:rPr>
                <w:rFonts w:ascii="Times New Roman"/>
                <w:spacing w:val="-1"/>
                <w:sz w:val="18"/>
              </w:rPr>
              <w:t>13,003,047.04</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940" w:type="dxa"/>
            <w:vMerge/>
            <w:tcBorders>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738"/>
              <w:jc w:val="right"/>
              <w:rPr>
                <w:rFonts w:ascii="Times New Roman" w:hAnsi="Times New Roman" w:cs="Times New Roman" w:eastAsia="Times New Roman" w:hint="default"/>
                <w:sz w:val="18"/>
                <w:szCs w:val="18"/>
              </w:rPr>
            </w:pPr>
            <w:r>
              <w:rPr>
                <w:rFonts w:ascii="Times New Roman"/>
                <w:b/>
                <w:spacing w:val="-1"/>
                <w:sz w:val="18"/>
              </w:rPr>
              <w:t>44,008,278.75</w:t>
            </w:r>
            <w:r>
              <w:rPr>
                <w:rFonts w:ascii="Times New Roman"/>
                <w:spacing w:val="-1"/>
                <w:sz w:val="18"/>
              </w:rPr>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占整体业务的</w:t>
            </w:r>
            <w:r>
              <w:rPr>
                <w:rFonts w:ascii="宋体" w:hAnsi="宋体" w:cs="宋体" w:eastAsia="宋体" w:hint="default"/>
                <w:b/>
                <w:bCs/>
                <w:spacing w:val="-50"/>
                <w:sz w:val="18"/>
                <w:szCs w:val="18"/>
              </w:rPr>
              <w:t> </w:t>
            </w:r>
            <w:r>
              <w:rPr>
                <w:rFonts w:ascii="Times New Roman" w:hAnsi="Times New Roman" w:cs="Times New Roman" w:eastAsia="Times New Roman" w:hint="default"/>
                <w:b/>
                <w:bCs/>
                <w:sz w:val="18"/>
                <w:szCs w:val="18"/>
              </w:rPr>
              <w:t>5%</w:t>
            </w:r>
            <w:r>
              <w:rPr>
                <w:rFonts w:ascii="Times New Roman" w:hAnsi="Times New Roman" w:cs="Times New Roman" w:eastAsia="Times New Roman" w:hint="default"/>
                <w:sz w:val="18"/>
                <w:szCs w:val="18"/>
              </w:rPr>
            </w:r>
          </w:p>
        </w:tc>
      </w:tr>
      <w:tr>
        <w:trPr>
          <w:trHeight w:val="402" w:hRule="exact"/>
        </w:trPr>
        <w:tc>
          <w:tcPr>
            <w:tcW w:w="3940" w:type="dxa"/>
            <w:vMerge w:val="restart"/>
            <w:tcBorders>
              <w:top w:val="single" w:sz="4" w:space="0" w:color="000000"/>
              <w:left w:val="single" w:sz="4" w:space="0" w:color="000000"/>
              <w:right w:val="single" w:sz="4" w:space="0" w:color="000000"/>
            </w:tcBorders>
          </w:tcPr>
          <w:p>
            <w:pPr>
              <w:pStyle w:val="TableParagraph"/>
              <w:spacing w:line="240" w:lineRule="auto" w:before="146"/>
              <w:ind w:right="1"/>
              <w:jc w:val="center"/>
              <w:rPr>
                <w:rFonts w:ascii="宋体" w:hAnsi="宋体" w:cs="宋体" w:eastAsia="宋体" w:hint="default"/>
                <w:sz w:val="18"/>
                <w:szCs w:val="18"/>
              </w:rPr>
            </w:pPr>
            <w:r>
              <w:rPr>
                <w:rFonts w:ascii="宋体" w:hAnsi="宋体" w:cs="宋体" w:eastAsia="宋体" w:hint="default"/>
                <w:sz w:val="18"/>
                <w:szCs w:val="18"/>
              </w:rPr>
              <w:t>客户四</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系统集成</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39"/>
              <w:jc w:val="right"/>
              <w:rPr>
                <w:rFonts w:ascii="Times New Roman" w:hAnsi="Times New Roman" w:cs="Times New Roman" w:eastAsia="Times New Roman" w:hint="default"/>
                <w:sz w:val="18"/>
                <w:szCs w:val="18"/>
              </w:rPr>
            </w:pPr>
            <w:r>
              <w:rPr>
                <w:rFonts w:ascii="Times New Roman"/>
                <w:spacing w:val="-1"/>
                <w:sz w:val="18"/>
              </w:rPr>
              <w:t>1,837,606.85</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940" w:type="dxa"/>
            <w:vMerge/>
            <w:tcBorders>
              <w:left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运维服务</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1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940" w:type="dxa"/>
            <w:vMerge/>
            <w:tcBorders>
              <w:left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解决方案</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39"/>
              <w:jc w:val="right"/>
              <w:rPr>
                <w:rFonts w:ascii="Times New Roman" w:hAnsi="Times New Roman" w:cs="Times New Roman" w:eastAsia="Times New Roman" w:hint="default"/>
                <w:sz w:val="18"/>
                <w:szCs w:val="18"/>
              </w:rPr>
            </w:pPr>
            <w:r>
              <w:rPr>
                <w:rFonts w:ascii="Times New Roman"/>
                <w:spacing w:val="-1"/>
                <w:sz w:val="18"/>
              </w:rPr>
              <w:t>40,790,346.41</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3940" w:type="dxa"/>
            <w:vMerge/>
            <w:tcBorders>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738"/>
              <w:jc w:val="right"/>
              <w:rPr>
                <w:rFonts w:ascii="Times New Roman" w:hAnsi="Times New Roman" w:cs="Times New Roman" w:eastAsia="Times New Roman" w:hint="default"/>
                <w:sz w:val="18"/>
                <w:szCs w:val="18"/>
              </w:rPr>
            </w:pPr>
            <w:r>
              <w:rPr>
                <w:rFonts w:ascii="Times New Roman"/>
                <w:b/>
                <w:spacing w:val="-1"/>
                <w:sz w:val="18"/>
              </w:rPr>
              <w:t>42,627,953.26</w:t>
            </w:r>
            <w:r>
              <w:rPr>
                <w:rFonts w:ascii="Times New Roman"/>
                <w:spacing w:val="-1"/>
                <w:sz w:val="18"/>
              </w:rPr>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占整体业务的</w:t>
            </w:r>
            <w:r>
              <w:rPr>
                <w:rFonts w:ascii="宋体" w:hAnsi="宋体" w:cs="宋体" w:eastAsia="宋体" w:hint="default"/>
                <w:b/>
                <w:bCs/>
                <w:spacing w:val="-50"/>
                <w:sz w:val="18"/>
                <w:szCs w:val="18"/>
              </w:rPr>
              <w:t> </w:t>
            </w:r>
            <w:r>
              <w:rPr>
                <w:rFonts w:ascii="Times New Roman" w:hAnsi="Times New Roman" w:cs="Times New Roman" w:eastAsia="Times New Roman" w:hint="default"/>
                <w:b/>
                <w:bCs/>
                <w:sz w:val="18"/>
                <w:szCs w:val="18"/>
              </w:rPr>
              <w:t>5%</w:t>
            </w:r>
            <w:r>
              <w:rPr>
                <w:rFonts w:ascii="Times New Roman" w:hAnsi="Times New Roman" w:cs="Times New Roman" w:eastAsia="Times New Roman" w:hint="default"/>
                <w:sz w:val="18"/>
                <w:szCs w:val="18"/>
              </w:rPr>
            </w:r>
          </w:p>
        </w:tc>
      </w:tr>
      <w:tr>
        <w:trPr>
          <w:trHeight w:val="402" w:hRule="exact"/>
        </w:trPr>
        <w:tc>
          <w:tcPr>
            <w:tcW w:w="3940" w:type="dxa"/>
            <w:vMerge w:val="restart"/>
            <w:tcBorders>
              <w:top w:val="single" w:sz="4" w:space="0" w:color="000000"/>
              <w:left w:val="single" w:sz="4" w:space="0" w:color="000000"/>
              <w:right w:val="single" w:sz="4" w:space="0" w:color="000000"/>
            </w:tcBorders>
          </w:tcPr>
          <w:p>
            <w:pPr>
              <w:pStyle w:val="TableParagraph"/>
              <w:spacing w:line="240" w:lineRule="auto" w:before="146"/>
              <w:ind w:right="1"/>
              <w:jc w:val="center"/>
              <w:rPr>
                <w:rFonts w:ascii="宋体" w:hAnsi="宋体" w:cs="宋体" w:eastAsia="宋体" w:hint="default"/>
                <w:sz w:val="18"/>
                <w:szCs w:val="18"/>
              </w:rPr>
            </w:pPr>
            <w:r>
              <w:rPr>
                <w:rFonts w:ascii="宋体" w:hAnsi="宋体" w:cs="宋体" w:eastAsia="宋体" w:hint="default"/>
                <w:sz w:val="18"/>
                <w:szCs w:val="18"/>
              </w:rPr>
              <w:t>客户五</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系统集成</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39"/>
              <w:jc w:val="right"/>
              <w:rPr>
                <w:rFonts w:ascii="Times New Roman" w:hAnsi="Times New Roman" w:cs="Times New Roman" w:eastAsia="Times New Roman" w:hint="default"/>
                <w:sz w:val="18"/>
                <w:szCs w:val="18"/>
              </w:rPr>
            </w:pPr>
            <w:r>
              <w:rPr>
                <w:rFonts w:ascii="Times New Roman"/>
                <w:spacing w:val="-1"/>
                <w:sz w:val="18"/>
              </w:rPr>
              <w:t>27,658,974.36</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940" w:type="dxa"/>
            <w:vMerge/>
            <w:tcBorders>
              <w:left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运维服务</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94"/>
              <w:jc w:val="right"/>
              <w:rPr>
                <w:rFonts w:ascii="Times New Roman" w:hAnsi="Times New Roman" w:cs="Times New Roman" w:eastAsia="Times New Roman" w:hint="default"/>
                <w:sz w:val="18"/>
                <w:szCs w:val="18"/>
              </w:rPr>
            </w:pPr>
            <w:r>
              <w:rPr>
                <w:rFonts w:ascii="Times New Roman"/>
                <w:spacing w:val="-1"/>
                <w:sz w:val="18"/>
              </w:rPr>
              <w:t>531,390.56</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3940" w:type="dxa"/>
            <w:vMerge/>
            <w:tcBorders>
              <w:left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解决方案</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39"/>
              <w:jc w:val="right"/>
              <w:rPr>
                <w:rFonts w:ascii="Times New Roman" w:hAnsi="Times New Roman" w:cs="Times New Roman" w:eastAsia="Times New Roman" w:hint="default"/>
                <w:sz w:val="18"/>
                <w:szCs w:val="18"/>
              </w:rPr>
            </w:pPr>
            <w:r>
              <w:rPr>
                <w:rFonts w:ascii="Times New Roman"/>
                <w:spacing w:val="-1"/>
                <w:sz w:val="18"/>
              </w:rPr>
              <w:t>13,684,225.36</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940" w:type="dxa"/>
            <w:vMerge/>
            <w:tcBorders>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738"/>
              <w:jc w:val="right"/>
              <w:rPr>
                <w:rFonts w:ascii="Times New Roman" w:hAnsi="Times New Roman" w:cs="Times New Roman" w:eastAsia="Times New Roman" w:hint="default"/>
                <w:sz w:val="18"/>
                <w:szCs w:val="18"/>
              </w:rPr>
            </w:pPr>
            <w:r>
              <w:rPr>
                <w:rFonts w:ascii="Times New Roman"/>
                <w:b/>
                <w:spacing w:val="-1"/>
                <w:sz w:val="18"/>
              </w:rPr>
              <w:t>41,874,590.28</w:t>
            </w:r>
            <w:r>
              <w:rPr>
                <w:rFonts w:ascii="Times New Roman"/>
                <w:spacing w:val="-1"/>
                <w:sz w:val="18"/>
              </w:rPr>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占整体业务的</w:t>
            </w:r>
            <w:r>
              <w:rPr>
                <w:rFonts w:ascii="宋体" w:hAnsi="宋体" w:cs="宋体" w:eastAsia="宋体" w:hint="default"/>
                <w:b/>
                <w:bCs/>
                <w:spacing w:val="-50"/>
                <w:sz w:val="18"/>
                <w:szCs w:val="18"/>
              </w:rPr>
              <w:t> </w:t>
            </w:r>
            <w:r>
              <w:rPr>
                <w:rFonts w:ascii="Times New Roman" w:hAnsi="Times New Roman" w:cs="Times New Roman" w:eastAsia="Times New Roman" w:hint="default"/>
                <w:b/>
                <w:bCs/>
                <w:sz w:val="18"/>
                <w:szCs w:val="18"/>
              </w:rPr>
              <w:t>4%</w:t>
            </w:r>
            <w:r>
              <w:rPr>
                <w:rFonts w:ascii="Times New Roman" w:hAnsi="Times New Roman" w:cs="Times New Roman" w:eastAsia="Times New Roman" w:hint="default"/>
                <w:sz w:val="18"/>
                <w:szCs w:val="18"/>
              </w:rPr>
            </w:r>
          </w:p>
        </w:tc>
      </w:tr>
      <w:tr>
        <w:trPr>
          <w:trHeight w:val="402" w:hRule="exact"/>
        </w:trPr>
        <w:tc>
          <w:tcPr>
            <w:tcW w:w="3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前五名合计</w:t>
            </w:r>
          </w:p>
        </w:tc>
        <w:tc>
          <w:tcPr>
            <w:tcW w:w="1327" w:type="dxa"/>
            <w:tcBorders>
              <w:top w:val="single" w:sz="4" w:space="0" w:color="000000"/>
              <w:left w:val="single" w:sz="4" w:space="0" w:color="000000"/>
              <w:bottom w:val="single" w:sz="4" w:space="0" w:color="000000"/>
              <w:right w:val="single" w:sz="4" w:space="0" w:color="000000"/>
            </w:tcBorders>
          </w:tcPr>
          <w:p>
            <w:pP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738"/>
              <w:jc w:val="right"/>
              <w:rPr>
                <w:rFonts w:ascii="Times New Roman" w:hAnsi="Times New Roman" w:cs="Times New Roman" w:eastAsia="Times New Roman" w:hint="default"/>
                <w:sz w:val="18"/>
                <w:szCs w:val="18"/>
              </w:rPr>
            </w:pPr>
            <w:r>
              <w:rPr>
                <w:rFonts w:ascii="Times New Roman"/>
                <w:b/>
                <w:spacing w:val="-1"/>
                <w:sz w:val="18"/>
              </w:rPr>
              <w:t>519,851,856.45</w:t>
            </w:r>
            <w:r>
              <w:rPr>
                <w:rFonts w:ascii="Times New Roman"/>
                <w:spacing w:val="-1"/>
                <w:sz w:val="18"/>
              </w:rPr>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Times New Roman" w:hAnsi="Times New Roman" w:cs="Times New Roman" w:eastAsia="Times New Roman" w:hint="default"/>
                <w:sz w:val="18"/>
                <w:szCs w:val="18"/>
              </w:rPr>
            </w:pPr>
            <w:r>
              <w:rPr>
                <w:rFonts w:ascii="Times New Roman"/>
                <w:b/>
                <w:sz w:val="18"/>
              </w:rPr>
              <w:t>55%</w:t>
            </w:r>
            <w:r>
              <w:rPr>
                <w:rFonts w:ascii="Times New Roman"/>
                <w:sz w:val="18"/>
              </w:rPr>
            </w:r>
          </w:p>
        </w:tc>
      </w:tr>
    </w:tbl>
    <w:p>
      <w:pPr>
        <w:pStyle w:val="BodyText"/>
        <w:spacing w:line="280" w:lineRule="auto" w:before="90"/>
        <w:ind w:left="1134" w:right="1026" w:firstLine="360"/>
        <w:jc w:val="left"/>
      </w:pPr>
      <w:r>
        <w:rPr/>
        <w:t>公司</w:t>
      </w:r>
      <w:r>
        <w:rPr>
          <w:spacing w:val="-4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年主营业务收入中的</w:t>
      </w:r>
      <w:r>
        <w:rPr>
          <w:spacing w:val="-43"/>
        </w:rPr>
        <w:t> </w:t>
      </w:r>
      <w:r>
        <w:rPr>
          <w:rFonts w:ascii="Times New Roman" w:hAnsi="Times New Roman" w:cs="Times New Roman" w:eastAsia="Times New Roman" w:hint="default"/>
          <w:spacing w:val="-3"/>
        </w:rPr>
        <w:t>55%</w:t>
      </w:r>
      <w:r>
        <w:rPr>
          <w:spacing w:val="-3"/>
        </w:rPr>
        <w:t>来自前五大客户。金融</w:t>
      </w:r>
      <w:r>
        <w:rPr>
          <w:spacing w:val="-43"/>
        </w:rPr>
        <w:t> </w:t>
      </w:r>
      <w:r>
        <w:rPr>
          <w:rFonts w:ascii="Times New Roman" w:hAnsi="Times New Roman" w:cs="Times New Roman" w:eastAsia="Times New Roman" w:hint="default"/>
        </w:rPr>
        <w:t>IT</w:t>
      </w:r>
      <w:r>
        <w:rPr>
          <w:rFonts w:ascii="Times New Roman" w:hAnsi="Times New Roman" w:cs="Times New Roman" w:eastAsia="Times New Roman" w:hint="default"/>
          <w:spacing w:val="2"/>
        </w:rPr>
        <w:t> </w:t>
      </w:r>
      <w:r>
        <w:rPr>
          <w:spacing w:val="-3"/>
        </w:rPr>
        <w:t>行业，特别是对银行、保险和证券这类传统金融机构提供</w:t>
      </w:r>
      <w:r>
        <w:rPr/>
        <w:t> 服务的</w:t>
      </w:r>
      <w:r>
        <w:rPr>
          <w:spacing w:val="-36"/>
        </w:rPr>
        <w:t> </w:t>
      </w:r>
      <w:r>
        <w:rPr>
          <w:rFonts w:ascii="Times New Roman" w:hAnsi="Times New Roman" w:cs="Times New Roman" w:eastAsia="Times New Roman" w:hint="default"/>
        </w:rPr>
        <w:t>IT</w:t>
      </w:r>
      <w:r>
        <w:rPr>
          <w:rFonts w:ascii="Times New Roman" w:hAnsi="Times New Roman" w:cs="Times New Roman" w:eastAsia="Times New Roman" w:hint="default"/>
          <w:spacing w:val="9"/>
        </w:rPr>
        <w:t> </w:t>
      </w:r>
      <w:r>
        <w:rPr/>
        <w:t>行业都普遍有一个特点，会将某一个或几个大客户的业务做得比较深。这点和行业现状有关。首先，传统金融机 构中的大型企业的每年单家</w:t>
      </w:r>
      <w:r>
        <w:rPr>
          <w:spacing w:val="-39"/>
        </w:rPr>
        <w:t> </w:t>
      </w:r>
      <w:r>
        <w:rPr>
          <w:rFonts w:ascii="Times New Roman" w:hAnsi="Times New Roman" w:cs="Times New Roman" w:eastAsia="Times New Roman" w:hint="default"/>
        </w:rPr>
        <w:t>IT</w:t>
      </w:r>
      <w:r>
        <w:rPr>
          <w:rFonts w:ascii="Times New Roman" w:hAnsi="Times New Roman" w:cs="Times New Roman" w:eastAsia="Times New Roman" w:hint="default"/>
          <w:spacing w:val="6"/>
        </w:rPr>
        <w:t> </w:t>
      </w:r>
      <w:r>
        <w:rPr/>
        <w:t>需求是非常庞大的，如果没有一个或几个能力强、服务全的</w:t>
      </w:r>
      <w:r>
        <w:rPr>
          <w:spacing w:val="-39"/>
        </w:rPr>
        <w:t> </w:t>
      </w:r>
      <w:r>
        <w:rPr>
          <w:rFonts w:ascii="Times New Roman" w:hAnsi="Times New Roman" w:cs="Times New Roman" w:eastAsia="Times New Roman" w:hint="default"/>
        </w:rPr>
        <w:t>IT</w:t>
      </w:r>
      <w:r>
        <w:rPr>
          <w:rFonts w:ascii="Times New Roman" w:hAnsi="Times New Roman" w:cs="Times New Roman" w:eastAsia="Times New Roman" w:hint="default"/>
          <w:spacing w:val="6"/>
        </w:rPr>
        <w:t> </w:t>
      </w:r>
      <w:r>
        <w:rPr/>
        <w:t>公司持续对接它的</w:t>
      </w:r>
      <w:r>
        <w:rPr>
          <w:spacing w:val="-40"/>
        </w:rPr>
        <w:t> </w:t>
      </w:r>
      <w:r>
        <w:rPr>
          <w:rFonts w:ascii="Times New Roman" w:hAnsi="Times New Roman" w:cs="Times New Roman" w:eastAsia="Times New Roman" w:hint="default"/>
        </w:rPr>
        <w:t>IT</w:t>
      </w:r>
      <w:r>
        <w:rPr>
          <w:rFonts w:ascii="Times New Roman" w:hAnsi="Times New Roman" w:cs="Times New Roman" w:eastAsia="Times New Roman" w:hint="default"/>
          <w:spacing w:val="6"/>
        </w:rPr>
        <w:t> </w:t>
      </w:r>
      <w:r>
        <w:rPr/>
        <w:t>需求， 那么这些传统金融机构的</w:t>
      </w:r>
      <w:r>
        <w:rPr>
          <w:spacing w:val="-42"/>
        </w:rPr>
        <w:t> </w:t>
      </w:r>
      <w:r>
        <w:rPr>
          <w:rFonts w:ascii="Times New Roman" w:hAnsi="Times New Roman" w:cs="Times New Roman" w:eastAsia="Times New Roman" w:hint="default"/>
        </w:rPr>
        <w:t>IT</w:t>
      </w:r>
      <w:r>
        <w:rPr>
          <w:rFonts w:ascii="Times New Roman" w:hAnsi="Times New Roman" w:cs="Times New Roman" w:eastAsia="Times New Roman" w:hint="default"/>
          <w:spacing w:val="5"/>
        </w:rPr>
        <w:t> </w:t>
      </w:r>
      <w:r>
        <w:rPr>
          <w:spacing w:val="-6"/>
        </w:rPr>
        <w:t>建设的延续性就会收到限制。一些</w:t>
      </w:r>
      <w:r>
        <w:rPr>
          <w:spacing w:val="-42"/>
        </w:rPr>
        <w:t> </w:t>
      </w:r>
      <w:r>
        <w:rPr>
          <w:rFonts w:ascii="Times New Roman" w:hAnsi="Times New Roman" w:cs="Times New Roman" w:eastAsia="Times New Roman" w:hint="default"/>
        </w:rPr>
        <w:t>IT</w:t>
      </w:r>
      <w:r>
        <w:rPr>
          <w:rFonts w:ascii="Times New Roman" w:hAnsi="Times New Roman" w:cs="Times New Roman" w:eastAsia="Times New Roman" w:hint="default"/>
          <w:spacing w:val="3"/>
        </w:rPr>
        <w:t> </w:t>
      </w:r>
      <w:r>
        <w:rPr>
          <w:spacing w:val="-3"/>
        </w:rPr>
        <w:t>项目的周期很长，如果将某一类需求分成很细很碎的订单，</w:t>
      </w:r>
      <w:r>
        <w:rPr/>
        <w:t> </w:t>
      </w:r>
      <w:r>
        <w:rPr>
          <w:spacing w:val="-2"/>
        </w:rPr>
        <w:t>那么将极大的增加项目管理难度，对项目的实施不利。也因此，这些大型的金融机构都会挑选和培养一到几家实力强和需求</w:t>
      </w:r>
    </w:p>
    <w:p>
      <w:pPr>
        <w:spacing w:after="0" w:line="280" w:lineRule="auto"/>
        <w:jc w:val="left"/>
        <w:sectPr>
          <w:pgSz w:w="11910" w:h="16840"/>
          <w:pgMar w:header="877" w:footer="1187" w:top="1100" w:bottom="1380" w:left="0" w:right="0"/>
        </w:sectPr>
      </w:pPr>
    </w:p>
    <w:p>
      <w:pPr>
        <w:spacing w:line="240" w:lineRule="auto" w:before="10"/>
        <w:rPr>
          <w:rFonts w:ascii="宋体" w:hAnsi="宋体" w:cs="宋体" w:eastAsia="宋体" w:hint="default"/>
          <w:sz w:val="18"/>
          <w:szCs w:val="18"/>
        </w:rPr>
      </w:pPr>
    </w:p>
    <w:p>
      <w:pPr>
        <w:pStyle w:val="BodyText"/>
        <w:spacing w:line="280" w:lineRule="auto" w:before="44"/>
        <w:ind w:right="1119"/>
        <w:jc w:val="left"/>
      </w:pPr>
      <w:r>
        <w:rPr/>
        <w:t>对接快的大型</w:t>
      </w:r>
      <w:r>
        <w:rPr>
          <w:spacing w:val="-39"/>
        </w:rPr>
        <w:t> </w:t>
      </w:r>
      <w:r>
        <w:rPr>
          <w:rFonts w:ascii="Times New Roman" w:hAnsi="Times New Roman" w:cs="Times New Roman" w:eastAsia="Times New Roman" w:hint="default"/>
        </w:rPr>
        <w:t>IT</w:t>
      </w:r>
      <w:r>
        <w:rPr>
          <w:rFonts w:ascii="Times New Roman" w:hAnsi="Times New Roman" w:cs="Times New Roman" w:eastAsia="Times New Roman" w:hint="default"/>
          <w:spacing w:val="6"/>
        </w:rPr>
        <w:t> </w:t>
      </w:r>
      <w:r>
        <w:rPr/>
        <w:t>公司作为自己的骨干和基础</w:t>
      </w:r>
      <w:r>
        <w:rPr>
          <w:spacing w:val="-40"/>
        </w:rPr>
        <w:t> </w:t>
      </w:r>
      <w:r>
        <w:rPr>
          <w:rFonts w:ascii="Times New Roman" w:hAnsi="Times New Roman" w:cs="Times New Roman" w:eastAsia="Times New Roman" w:hint="default"/>
        </w:rPr>
        <w:t>IT</w:t>
      </w:r>
      <w:r>
        <w:rPr>
          <w:rFonts w:ascii="Times New Roman" w:hAnsi="Times New Roman" w:cs="Times New Roman" w:eastAsia="Times New Roman" w:hint="default"/>
          <w:spacing w:val="6"/>
        </w:rPr>
        <w:t> </w:t>
      </w:r>
      <w:r>
        <w:rPr/>
        <w:t>提供商。这些</w:t>
      </w:r>
      <w:r>
        <w:rPr>
          <w:spacing w:val="-40"/>
        </w:rPr>
        <w:t> </w:t>
      </w:r>
      <w:r>
        <w:rPr>
          <w:rFonts w:ascii="Times New Roman" w:hAnsi="Times New Roman" w:cs="Times New Roman" w:eastAsia="Times New Roman" w:hint="default"/>
        </w:rPr>
        <w:t>IT</w:t>
      </w:r>
      <w:r>
        <w:rPr>
          <w:rFonts w:ascii="Times New Roman" w:hAnsi="Times New Roman" w:cs="Times New Roman" w:eastAsia="Times New Roman" w:hint="default"/>
          <w:spacing w:val="6"/>
        </w:rPr>
        <w:t> </w:t>
      </w:r>
      <w:r>
        <w:rPr/>
        <w:t>提供商就会持续不断的在这家金融机构获取订单。在同一 家金融机构的订单量，就会逐渐提升。</w:t>
      </w:r>
    </w:p>
    <w:p>
      <w:pPr>
        <w:pStyle w:val="BodyText"/>
        <w:spacing w:line="280" w:lineRule="auto" w:before="145"/>
        <w:ind w:right="1132" w:firstLine="360"/>
        <w:jc w:val="both"/>
      </w:pPr>
      <w:r>
        <w:rPr/>
        <w:t>同时金融机构的</w:t>
      </w:r>
      <w:r>
        <w:rPr>
          <w:spacing w:val="-57"/>
        </w:rPr>
        <w:t> </w:t>
      </w:r>
      <w:r>
        <w:rPr>
          <w:rFonts w:ascii="Times New Roman" w:hAnsi="Times New Roman" w:cs="Times New Roman" w:eastAsia="Times New Roman" w:hint="default"/>
        </w:rPr>
        <w:t>IT</w:t>
      </w:r>
      <w:r>
        <w:rPr>
          <w:rFonts w:ascii="Times New Roman" w:hAnsi="Times New Roman" w:cs="Times New Roman" w:eastAsia="Times New Roman" w:hint="default"/>
          <w:spacing w:val="-12"/>
        </w:rPr>
        <w:t> </w:t>
      </w:r>
      <w:r>
        <w:rPr/>
        <w:t>项目和需求，是随着金融机构自身的发展而不断提高的。尤其是最近的十年，金融</w:t>
      </w:r>
      <w:r>
        <w:rPr>
          <w:spacing w:val="-56"/>
        </w:rPr>
        <w:t> </w:t>
      </w:r>
      <w:r>
        <w:rPr>
          <w:rFonts w:ascii="Times New Roman" w:hAnsi="Times New Roman" w:cs="Times New Roman" w:eastAsia="Times New Roman" w:hint="default"/>
        </w:rPr>
        <w:t>IT</w:t>
      </w:r>
      <w:r>
        <w:rPr>
          <w:rFonts w:ascii="Times New Roman" w:hAnsi="Times New Roman" w:cs="Times New Roman" w:eastAsia="Times New Roman" w:hint="default"/>
          <w:spacing w:val="-12"/>
        </w:rPr>
        <w:t> </w:t>
      </w:r>
      <w:r>
        <w:rPr>
          <w:spacing w:val="-3"/>
        </w:rPr>
        <w:t>的更新、扩容</w:t>
      </w:r>
      <w:r>
        <w:rPr/>
        <w:t> 的需求十分旺盛。也因此，之前提供过服务的骨干</w:t>
      </w:r>
      <w:r>
        <w:rPr>
          <w:spacing w:val="-36"/>
        </w:rPr>
        <w:t> </w:t>
      </w:r>
      <w:r>
        <w:rPr>
          <w:rFonts w:ascii="Times New Roman" w:hAnsi="Times New Roman" w:cs="Times New Roman" w:eastAsia="Times New Roman" w:hint="default"/>
        </w:rPr>
        <w:t>IT</w:t>
      </w:r>
      <w:r>
        <w:rPr>
          <w:rFonts w:ascii="Times New Roman" w:hAnsi="Times New Roman" w:cs="Times New Roman" w:eastAsia="Times New Roman" w:hint="default"/>
          <w:spacing w:val="9"/>
        </w:rPr>
        <w:t> </w:t>
      </w:r>
      <w:r>
        <w:rPr/>
        <w:t>供应商，又会在相同项目的持续更新中，获得持续的订单。这样的业 务的客户粘性很强，只要不出重大差错，一般总有持续订单。</w:t>
      </w:r>
    </w:p>
    <w:p>
      <w:pPr>
        <w:pStyle w:val="BodyText"/>
        <w:spacing w:line="297" w:lineRule="auto" w:before="144"/>
        <w:ind w:left="1134" w:right="1131" w:firstLine="360"/>
        <w:jc w:val="right"/>
      </w:pPr>
      <w:r>
        <w:rPr>
          <w:spacing w:val="-2"/>
        </w:rPr>
        <w:t>最后，对于很多产品全，服务链条长的供应商，某个或某几个拳头产品只是进入这个客户供应商的敲门砖。在成功进入</w:t>
      </w:r>
      <w:r>
        <w:rPr/>
        <w:t> 后，会逐渐将自己全面的</w:t>
      </w:r>
      <w:r>
        <w:rPr>
          <w:spacing w:val="-46"/>
        </w:rPr>
        <w:t> </w:t>
      </w:r>
      <w:r>
        <w:rPr>
          <w:rFonts w:ascii="Times New Roman" w:hAnsi="Times New Roman" w:cs="Times New Roman" w:eastAsia="Times New Roman" w:hint="default"/>
        </w:rPr>
        <w:t>IT</w:t>
      </w:r>
      <w:r>
        <w:rPr>
          <w:rFonts w:ascii="Times New Roman" w:hAnsi="Times New Roman" w:cs="Times New Roman" w:eastAsia="Times New Roman" w:hint="default"/>
          <w:spacing w:val="1"/>
        </w:rPr>
        <w:t> </w:t>
      </w:r>
      <w:r>
        <w:rPr/>
        <w:t>解决方案能力应用到这个金融机构的其他领域内，从而以点带面的扩大在这个客户的占有率。</w:t>
      </w:r>
    </w:p>
    <w:p>
      <w:pPr>
        <w:pStyle w:val="BodyText"/>
        <w:spacing w:line="280" w:lineRule="auto" w:before="113"/>
        <w:ind w:right="1130" w:firstLine="360"/>
        <w:jc w:val="both"/>
      </w:pPr>
      <w:r>
        <w:rPr/>
        <w:t>综上，由于金融机构拥有足够庞大的体量和持续不断的</w:t>
      </w:r>
      <w:r>
        <w:rPr>
          <w:spacing w:val="-51"/>
        </w:rPr>
        <w:t> </w:t>
      </w:r>
      <w:r>
        <w:rPr>
          <w:rFonts w:ascii="Times New Roman" w:hAnsi="Times New Roman" w:cs="Times New Roman" w:eastAsia="Times New Roman" w:hint="default"/>
        </w:rPr>
        <w:t>IT</w:t>
      </w:r>
      <w:r>
        <w:rPr>
          <w:rFonts w:ascii="Times New Roman" w:hAnsi="Times New Roman" w:cs="Times New Roman" w:eastAsia="Times New Roman" w:hint="default"/>
          <w:spacing w:val="-7"/>
        </w:rPr>
        <w:t> </w:t>
      </w:r>
      <w:r>
        <w:rPr/>
        <w:t>需求，因此它们会培养优质的能够持续为自身提供服务的</w:t>
      </w:r>
      <w:r>
        <w:rPr>
          <w:spacing w:val="-52"/>
        </w:rPr>
        <w:t> </w:t>
      </w:r>
      <w:r>
        <w:rPr>
          <w:rFonts w:ascii="Times New Roman" w:hAnsi="Times New Roman" w:cs="Times New Roman" w:eastAsia="Times New Roman" w:hint="default"/>
        </w:rPr>
        <w:t>IT </w:t>
      </w:r>
      <w:r>
        <w:rPr/>
        <w:t>供应商，而随着产品的更新换代，骨干供应商会持续不断获取新的订单。对于解决方案能力强产品全的 </w:t>
      </w:r>
      <w:r>
        <w:rPr>
          <w:rFonts w:ascii="Times New Roman" w:hAnsi="Times New Roman" w:cs="Times New Roman" w:eastAsia="Times New Roman" w:hint="default"/>
        </w:rPr>
        <w:t>IT</w:t>
      </w:r>
      <w:r>
        <w:rPr>
          <w:rFonts w:ascii="Times New Roman" w:hAnsi="Times New Roman" w:cs="Times New Roman" w:eastAsia="Times New Roman" w:hint="default"/>
          <w:spacing w:val="-26"/>
        </w:rPr>
        <w:t> </w:t>
      </w:r>
      <w:r>
        <w:rPr/>
        <w:t>供应商，也会逐 渐扩大自身不同产品在同一客户的商业机会。</w:t>
      </w:r>
    </w:p>
    <w:p>
      <w:pPr>
        <w:pStyle w:val="BodyText"/>
        <w:spacing w:line="240" w:lineRule="auto" w:before="108"/>
        <w:ind w:right="0"/>
        <w:jc w:val="left"/>
      </w:pPr>
      <w:r>
        <w:rPr/>
        <w:t>公司主要供应商情况</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271,933,936.00</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57.82%</w:t>
            </w:r>
          </w:p>
        </w:tc>
      </w:tr>
    </w:tbl>
    <w:p>
      <w:pPr>
        <w:pStyle w:val="BodyText"/>
        <w:spacing w:line="240" w:lineRule="auto" w:before="51"/>
        <w:ind w:left="113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2"/>
        <w:rPr>
          <w:rFonts w:ascii="宋体" w:hAnsi="宋体" w:cs="宋体" w:eastAsia="宋体" w:hint="default"/>
          <w:sz w:val="6"/>
          <w:szCs w:val="6"/>
        </w:rPr>
      </w:pPr>
    </w:p>
    <w:tbl>
      <w:tblPr>
        <w:tblW w:w="0" w:type="auto"/>
        <w:jc w:val="left"/>
        <w:tblInd w:w="1140" w:type="dxa"/>
        <w:tblLayout w:type="fixed"/>
        <w:tblCellMar>
          <w:top w:w="0" w:type="dxa"/>
          <w:left w:w="0" w:type="dxa"/>
          <w:bottom w:w="0" w:type="dxa"/>
          <w:right w:w="0" w:type="dxa"/>
        </w:tblCellMar>
        <w:tblLook w:val="01E0"/>
      </w:tblPr>
      <w:tblGrid>
        <w:gridCol w:w="912"/>
        <w:gridCol w:w="3180"/>
        <w:gridCol w:w="2322"/>
        <w:gridCol w:w="3143"/>
      </w:tblGrid>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201,157,972.85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42.77%</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21,484,087.15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4.57%</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17,440,613.00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3.71%</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16,989,358.00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3.61%</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14,861,905.00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3.16%</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271,933,936.00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57.82%</w:t>
            </w:r>
          </w:p>
        </w:tc>
      </w:tr>
    </w:tbl>
    <w:p>
      <w:pPr>
        <w:pStyle w:val="BodyText"/>
        <w:spacing w:line="240" w:lineRule="auto" w:before="89"/>
        <w:ind w:left="1494" w:right="0"/>
        <w:jc w:val="left"/>
      </w:pPr>
      <w:r>
        <w:rPr/>
        <w:t>关于采购集中的情况，说明如下：</w:t>
      </w:r>
    </w:p>
    <w:p>
      <w:pPr>
        <w:spacing w:line="240" w:lineRule="auto" w:before="5"/>
        <w:rPr>
          <w:rFonts w:ascii="宋体" w:hAnsi="宋体" w:cs="宋体" w:eastAsia="宋体" w:hint="default"/>
          <w:sz w:val="13"/>
          <w:szCs w:val="13"/>
        </w:rPr>
      </w:pPr>
    </w:p>
    <w:p>
      <w:pPr>
        <w:pStyle w:val="BodyText"/>
        <w:spacing w:line="297" w:lineRule="auto"/>
        <w:ind w:right="1131" w:firstLine="360"/>
        <w:jc w:val="both"/>
      </w:pPr>
      <w:r>
        <w:rPr/>
        <w:t>公司的采购主要为了系统集成业务的设备和硬件采购。长期以来公司依赖设备进口服务商从境外采购相应的设备和硬 </w:t>
      </w:r>
      <w:r>
        <w:rPr>
          <w:spacing w:val="-2"/>
        </w:rPr>
        <w:t>件。北京中北万兴国际贸易有限公司是一家进口代理商，由于双方长时间的合作，逐渐达成相互信任的关系。公司的设备进</w:t>
      </w:r>
      <w:r>
        <w:rPr>
          <w:spacing w:val="-66"/>
        </w:rPr>
        <w:t> </w:t>
      </w:r>
      <w:r>
        <w:rPr>
          <w:spacing w:val="-66"/>
        </w:rPr>
      </w:r>
      <w:r>
        <w:rPr/>
        <w:t>口大部分委托该公司代理。</w:t>
      </w:r>
    </w:p>
    <w:p>
      <w:pPr>
        <w:pStyle w:val="BodyText"/>
        <w:spacing w:line="290" w:lineRule="auto" w:before="133"/>
        <w:ind w:left="1495" w:right="8103" w:hanging="2"/>
        <w:jc w:val="left"/>
      </w:pPr>
      <w:r>
        <w:rPr/>
        <w:t>该公司的基本情况： 成立日期：</w:t>
      </w:r>
      <w:r>
        <w:rPr>
          <w:rFonts w:ascii="Times New Roman" w:hAnsi="Times New Roman" w:cs="Times New Roman" w:eastAsia="Times New Roman" w:hint="default"/>
        </w:rPr>
        <w:t>1999</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日 类型：有限公司</w:t>
      </w:r>
    </w:p>
    <w:p>
      <w:pPr>
        <w:pStyle w:val="BodyText"/>
        <w:spacing w:line="240" w:lineRule="auto" w:before="18"/>
        <w:ind w:left="1495" w:right="0"/>
        <w:jc w:val="left"/>
        <w:rPr>
          <w:rFonts w:ascii="Times New Roman" w:hAnsi="Times New Roman" w:cs="Times New Roman" w:eastAsia="Times New Roman" w:hint="default"/>
        </w:rPr>
      </w:pPr>
      <w:r>
        <w:rPr/>
        <w:t>住所：北京市海淀区金源时代购物中心二期</w:t>
      </w:r>
      <w:r>
        <w:rPr>
          <w:spacing w:val="-46"/>
        </w:rPr>
        <w:t> </w:t>
      </w:r>
      <w:r>
        <w:rPr>
          <w:rFonts w:ascii="Times New Roman" w:hAnsi="Times New Roman" w:cs="Times New Roman" w:eastAsia="Times New Roman" w:hint="default"/>
        </w:rPr>
        <w:t>B</w:t>
      </w:r>
      <w:r>
        <w:rPr>
          <w:rFonts w:ascii="Times New Roman" w:hAnsi="Times New Roman" w:cs="Times New Roman" w:eastAsia="Times New Roman" w:hint="default"/>
          <w:spacing w:val="-2"/>
        </w:rPr>
        <w:t> </w:t>
      </w:r>
      <w:r>
        <w:rPr/>
        <w:t>区写字楼</w:t>
      </w:r>
      <w:r>
        <w:rPr>
          <w:spacing w:val="-47"/>
        </w:rPr>
        <w:t> </w:t>
      </w:r>
      <w:r>
        <w:rPr>
          <w:rFonts w:ascii="Times New Roman" w:hAnsi="Times New Roman" w:cs="Times New Roman" w:eastAsia="Times New Roman" w:hint="default"/>
        </w:rPr>
        <w:t>17E</w:t>
      </w:r>
    </w:p>
    <w:p>
      <w:pPr>
        <w:pStyle w:val="BodyText"/>
        <w:spacing w:line="297" w:lineRule="auto" w:before="42"/>
        <w:ind w:left="1495" w:right="8459"/>
        <w:jc w:val="left"/>
      </w:pPr>
      <w:r>
        <w:rPr/>
        <w:t>法定代表人：侯超 注册资本：</w:t>
      </w:r>
      <w:r>
        <w:rPr>
          <w:rFonts w:ascii="Times New Roman" w:hAnsi="Times New Roman" w:cs="Times New Roman" w:eastAsia="Times New Roman" w:hint="default"/>
        </w:rPr>
        <w:t>2,185.18</w:t>
      </w:r>
      <w:r>
        <w:rPr>
          <w:rFonts w:ascii="Times New Roman" w:hAnsi="Times New Roman" w:cs="Times New Roman" w:eastAsia="Times New Roman" w:hint="default"/>
          <w:spacing w:val="-3"/>
        </w:rPr>
        <w:t> </w:t>
      </w:r>
      <w:r>
        <w:rPr/>
        <w:t>万元</w:t>
      </w:r>
    </w:p>
    <w:p>
      <w:pPr>
        <w:pStyle w:val="BodyText"/>
        <w:spacing w:line="290" w:lineRule="auto"/>
        <w:ind w:left="1134" w:right="1130" w:firstLine="361"/>
        <w:jc w:val="both"/>
      </w:pPr>
      <w:r>
        <w:rPr/>
        <w:t>经营范围：自营和代理各类商品及技术的进出口业务，但国家限</w:t>
      </w:r>
      <w:r>
        <w:rPr>
          <w:spacing w:val="7"/>
        </w:rPr>
        <w:t> </w:t>
      </w:r>
      <w:r>
        <w:rPr/>
        <w:t>定公司经营或禁止进出口的商品及技术除外（不另附</w:t>
      </w:r>
      <w:r>
        <w:rPr/>
        <w:t> 进出口商品目 录）；经营进料加工和</w:t>
      </w:r>
      <w:r>
        <w:rPr>
          <w:rFonts w:ascii="Times New Roman" w:hAnsi="Times New Roman" w:cs="Times New Roman" w:eastAsia="Times New Roman" w:hint="default"/>
        </w:rPr>
        <w:t>“</w:t>
      </w:r>
      <w:r>
        <w:rPr/>
        <w:t>三来一补</w:t>
      </w:r>
      <w:r>
        <w:rPr>
          <w:rFonts w:ascii="Times New Roman" w:hAnsi="Times New Roman" w:cs="Times New Roman" w:eastAsia="Times New Roman" w:hint="default"/>
        </w:rPr>
        <w:t>”</w:t>
      </w:r>
      <w:r>
        <w:rPr/>
        <w:t>业务；经营对销贸易和转口贸易；</w:t>
      </w:r>
      <w:r>
        <w:rPr>
          <w:spacing w:val="-64"/>
        </w:rPr>
        <w:t> </w:t>
      </w:r>
      <w:r>
        <w:rPr/>
        <w:t>销售汽车（含小轿车）。（依法须经批</w:t>
      </w:r>
      <w:r>
        <w:rPr/>
        <w:t> 准的项目，经相关部门批准后依 批准的内容开展经营活动。）</w:t>
      </w:r>
    </w:p>
    <w:p>
      <w:pPr>
        <w:pStyle w:val="BodyText"/>
        <w:spacing w:line="297" w:lineRule="auto" w:before="137"/>
        <w:ind w:left="1134" w:right="1130" w:firstLine="360"/>
        <w:jc w:val="both"/>
      </w:pPr>
      <w:r>
        <w:rPr>
          <w:spacing w:val="-2"/>
        </w:rPr>
        <w:t>在经营过程中，公司没有刻意的将自身的采购集中到一家或某几家公司。但由于进口设备采购有其业务的特殊性，也非</w:t>
      </w:r>
      <w:r>
        <w:rPr/>
        <w:t> </w:t>
      </w:r>
      <w:r>
        <w:rPr>
          <w:spacing w:val="-2"/>
        </w:rPr>
        <w:t>公司的主营业务方向，因此今后公司还会继续采用进口代理商方式帮助公司完成进口设备的采购。同时也会积极务色新的有</w:t>
      </w:r>
      <w:r>
        <w:rPr>
          <w:spacing w:val="-63"/>
        </w:rPr>
        <w:t> </w:t>
      </w:r>
      <w:r>
        <w:rPr>
          <w:spacing w:val="-63"/>
        </w:rPr>
      </w:r>
      <w:r>
        <w:rPr/>
        <w:t>诚信有实力的进口代理商，作为备选，将公司的对外采购渠道进一步的多元化。</w:t>
      </w:r>
    </w:p>
    <w:p>
      <w:pPr>
        <w:spacing w:after="0" w:line="297" w:lineRule="auto"/>
        <w:jc w:val="both"/>
        <w:sectPr>
          <w:pgSz w:w="11910" w:h="16840"/>
          <w:pgMar w:header="877" w:footer="1187" w:top="1100" w:bottom="1380" w:left="0" w:right="0"/>
        </w:sectPr>
      </w:pPr>
    </w:p>
    <w:p>
      <w:pPr>
        <w:spacing w:line="240" w:lineRule="auto" w:before="9"/>
        <w:rPr>
          <w:rFonts w:ascii="宋体" w:hAnsi="宋体" w:cs="宋体" w:eastAsia="宋体" w:hint="default"/>
          <w:sz w:val="20"/>
          <w:szCs w:val="20"/>
        </w:rPr>
      </w:pPr>
    </w:p>
    <w:p>
      <w:pPr>
        <w:pStyle w:val="Heading4"/>
        <w:spacing w:line="240" w:lineRule="auto" w:before="35"/>
        <w:ind w:right="0"/>
        <w:jc w:val="left"/>
        <w:rPr>
          <w:b w:val="0"/>
          <w:bCs w:val="0"/>
        </w:rPr>
      </w:pPr>
      <w:bookmarkStart w:name="3、费用" w:id="35"/>
      <w:bookmarkEnd w:id="35"/>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spacing w:line="240" w:lineRule="auto" w:before="44"/>
        <w:ind w:left="0" w:right="1139"/>
        <w:jc w:val="right"/>
      </w:pPr>
      <w:r>
        <w:rPr/>
        <w:pict>
          <v:shape style="position:absolute;margin-left:57.029999pt;margin-top:-20.99828pt;width:478.6pt;height:127.75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04"/>
                    <w:gridCol w:w="1346"/>
                    <w:gridCol w:w="1559"/>
                    <w:gridCol w:w="1417"/>
                    <w:gridCol w:w="3330"/>
                  </w:tblGrid>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3"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3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62"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346" w:type="dxa"/>
                        <w:vMerge w:val="restart"/>
                        <w:tcBorders>
                          <w:top w:val="single" w:sz="4" w:space="0" w:color="000000"/>
                          <w:left w:val="single" w:sz="10"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82,332,899.18</w:t>
                        </w:r>
                      </w:p>
                    </w:tc>
                    <w:tc>
                      <w:tcPr>
                        <w:tcW w:w="155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91" w:right="0"/>
                          <w:jc w:val="left"/>
                          <w:rPr>
                            <w:rFonts w:ascii="Times New Roman" w:hAnsi="Times New Roman" w:cs="Times New Roman" w:eastAsia="Times New Roman" w:hint="default"/>
                            <w:sz w:val="18"/>
                            <w:szCs w:val="18"/>
                          </w:rPr>
                        </w:pPr>
                        <w:r>
                          <w:rPr>
                            <w:rFonts w:ascii="Times New Roman"/>
                            <w:sz w:val="18"/>
                          </w:rPr>
                          <w:t>68,429,501.72</w:t>
                        </w: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29" w:right="0"/>
                          <w:jc w:val="left"/>
                          <w:rPr>
                            <w:rFonts w:ascii="Times New Roman" w:hAnsi="Times New Roman" w:cs="Times New Roman" w:eastAsia="Times New Roman" w:hint="default"/>
                            <w:sz w:val="18"/>
                            <w:szCs w:val="18"/>
                          </w:rPr>
                        </w:pPr>
                        <w:r>
                          <w:rPr>
                            <w:rFonts w:ascii="Times New Roman"/>
                            <w:sz w:val="18"/>
                          </w:rPr>
                          <w:t>20.32%</w:t>
                        </w:r>
                      </w:p>
                    </w:tc>
                    <w:tc>
                      <w:tcPr>
                        <w:tcW w:w="3330" w:type="dxa"/>
                        <w:vMerge w:val="restart"/>
                        <w:tcBorders>
                          <w:top w:val="single" w:sz="4" w:space="0" w:color="000000"/>
                          <w:left w:val="single" w:sz="4" w:space="0" w:color="000000"/>
                          <w:right w:val="single" w:sz="4" w:space="0" w:color="000000"/>
                        </w:tcBorders>
                        <w:shd w:val="clear" w:color="auto" w:fill="C6ECCC"/>
                      </w:tcPr>
                      <w:p>
                        <w:pPr>
                          <w:pStyle w:val="TableParagraph"/>
                          <w:spacing w:line="316" w:lineRule="auto" w:before="52"/>
                          <w:ind w:left="22" w:right="111"/>
                          <w:jc w:val="left"/>
                          <w:rPr>
                            <w:rFonts w:ascii="宋体" w:hAnsi="宋体" w:cs="宋体" w:eastAsia="宋体" w:hint="default"/>
                            <w:sz w:val="18"/>
                            <w:szCs w:val="18"/>
                          </w:rPr>
                        </w:pPr>
                        <w:r>
                          <w:rPr>
                            <w:rFonts w:ascii="宋体" w:hAnsi="宋体" w:cs="宋体" w:eastAsia="宋体" w:hint="default"/>
                            <w:spacing w:val="-4"/>
                            <w:sz w:val="18"/>
                            <w:szCs w:val="18"/>
                          </w:rPr>
                          <w:t>主要系薪酬、差旅费较去年同期增加所致</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企业拓展市场以及潜在客户增加投入。</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346" w:type="dxa"/>
                        <w:vMerge/>
                        <w:tcBorders>
                          <w:left w:val="single" w:sz="10" w:space="0" w:color="D2D2D2"/>
                          <w:right w:val="single" w:sz="4" w:space="0" w:color="000000"/>
                        </w:tcBorders>
                      </w:tcPr>
                      <w:p>
                        <w:pPr/>
                      </w:p>
                    </w:tc>
                    <w:tc>
                      <w:tcPr>
                        <w:tcW w:w="1559"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3330" w:type="dxa"/>
                        <w:vMerge/>
                        <w:tcBorders>
                          <w:left w:val="single" w:sz="4" w:space="0" w:color="000000"/>
                          <w:right w:val="single" w:sz="4" w:space="0" w:color="000000"/>
                        </w:tcBorders>
                        <w:shd w:val="clear" w:color="auto" w:fill="C6ECCC"/>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346" w:type="dxa"/>
                        <w:vMerge/>
                        <w:tcBorders>
                          <w:left w:val="single" w:sz="10" w:space="0" w:color="D2D2D2"/>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3330" w:type="dxa"/>
                        <w:vMerge/>
                        <w:tcBorders>
                          <w:left w:val="single" w:sz="4" w:space="0" w:color="000000"/>
                          <w:bottom w:val="single" w:sz="4" w:space="0" w:color="000000"/>
                          <w:right w:val="single" w:sz="4" w:space="0" w:color="000000"/>
                        </w:tcBorders>
                        <w:shd w:val="clear" w:color="auto" w:fill="C6ECCC"/>
                      </w:tcPr>
                      <w:p>
                        <w:pPr/>
                      </w:p>
                    </w:tc>
                  </w:tr>
                  <w:tr>
                    <w:trPr>
                      <w:trHeight w:val="162"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346" w:type="dxa"/>
                        <w:vMerge w:val="restart"/>
                        <w:tcBorders>
                          <w:top w:val="single" w:sz="4" w:space="0" w:color="000000"/>
                          <w:left w:val="single" w:sz="10"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89,780,376.08</w:t>
                        </w:r>
                      </w:p>
                    </w:tc>
                    <w:tc>
                      <w:tcPr>
                        <w:tcW w:w="155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91" w:right="0"/>
                          <w:jc w:val="left"/>
                          <w:rPr>
                            <w:rFonts w:ascii="Times New Roman" w:hAnsi="Times New Roman" w:cs="Times New Roman" w:eastAsia="Times New Roman" w:hint="default"/>
                            <w:sz w:val="18"/>
                            <w:szCs w:val="18"/>
                          </w:rPr>
                        </w:pPr>
                        <w:r>
                          <w:rPr>
                            <w:rFonts w:ascii="Times New Roman"/>
                            <w:sz w:val="18"/>
                          </w:rPr>
                          <w:t>66,304,821.95</w:t>
                        </w: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29" w:right="0"/>
                          <w:jc w:val="left"/>
                          <w:rPr>
                            <w:rFonts w:ascii="Times New Roman" w:hAnsi="Times New Roman" w:cs="Times New Roman" w:eastAsia="Times New Roman" w:hint="default"/>
                            <w:sz w:val="18"/>
                            <w:szCs w:val="18"/>
                          </w:rPr>
                        </w:pPr>
                        <w:r>
                          <w:rPr>
                            <w:rFonts w:ascii="Times New Roman"/>
                            <w:sz w:val="18"/>
                          </w:rPr>
                          <w:t>35.41%</w:t>
                        </w:r>
                      </w:p>
                    </w:tc>
                    <w:tc>
                      <w:tcPr>
                        <w:tcW w:w="3330" w:type="dxa"/>
                        <w:vMerge w:val="restart"/>
                        <w:tcBorders>
                          <w:top w:val="single" w:sz="4" w:space="0" w:color="000000"/>
                          <w:left w:val="single" w:sz="4" w:space="0" w:color="000000"/>
                          <w:right w:val="single" w:sz="4" w:space="0" w:color="000000"/>
                        </w:tcBorders>
                        <w:shd w:val="clear" w:color="auto" w:fill="C6ECCC"/>
                      </w:tcPr>
                      <w:p>
                        <w:pPr>
                          <w:pStyle w:val="TableParagraph"/>
                          <w:spacing w:line="316" w:lineRule="auto" w:before="52"/>
                          <w:ind w:left="22" w:right="57"/>
                          <w:jc w:val="left"/>
                          <w:rPr>
                            <w:rFonts w:ascii="宋体" w:hAnsi="宋体" w:cs="宋体" w:eastAsia="宋体" w:hint="default"/>
                            <w:sz w:val="18"/>
                            <w:szCs w:val="18"/>
                          </w:rPr>
                        </w:pPr>
                        <w:r>
                          <w:rPr>
                            <w:rFonts w:ascii="宋体" w:hAnsi="宋体" w:cs="宋体" w:eastAsia="宋体" w:hint="default"/>
                            <w:sz w:val="18"/>
                            <w:szCs w:val="18"/>
                          </w:rPr>
                          <w:t>主要系薪酬、研发投入增加所致，企业战 略研发部门人员增加所致</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346" w:type="dxa"/>
                        <w:vMerge/>
                        <w:tcBorders>
                          <w:left w:val="single" w:sz="10" w:space="0" w:color="D2D2D2"/>
                          <w:right w:val="single" w:sz="4" w:space="0" w:color="000000"/>
                        </w:tcBorders>
                      </w:tcPr>
                      <w:p>
                        <w:pPr/>
                      </w:p>
                    </w:tc>
                    <w:tc>
                      <w:tcPr>
                        <w:tcW w:w="1559"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3330" w:type="dxa"/>
                        <w:vMerge/>
                        <w:tcBorders>
                          <w:left w:val="single" w:sz="4" w:space="0" w:color="000000"/>
                          <w:right w:val="single" w:sz="4" w:space="0" w:color="000000"/>
                        </w:tcBorders>
                        <w:shd w:val="clear" w:color="auto" w:fill="C6ECCC"/>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346" w:type="dxa"/>
                        <w:vMerge/>
                        <w:tcBorders>
                          <w:left w:val="single" w:sz="10" w:space="0" w:color="D2D2D2"/>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3330" w:type="dxa"/>
                        <w:vMerge/>
                        <w:tcBorders>
                          <w:left w:val="single" w:sz="4" w:space="0" w:color="000000"/>
                          <w:bottom w:val="single" w:sz="4" w:space="0" w:color="000000"/>
                          <w:right w:val="single" w:sz="4" w:space="0" w:color="000000"/>
                        </w:tcBorders>
                        <w:shd w:val="clear" w:color="auto" w:fill="C6ECCC"/>
                      </w:tcPr>
                      <w:p>
                        <w:pPr/>
                      </w:p>
                    </w:tc>
                  </w:tr>
                  <w:tr>
                    <w:trPr>
                      <w:trHeight w:val="162"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346" w:type="dxa"/>
                        <w:vMerge w:val="restart"/>
                        <w:tcBorders>
                          <w:top w:val="single" w:sz="4" w:space="0" w:color="000000"/>
                          <w:left w:val="single" w:sz="10"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61" w:right="0"/>
                          <w:jc w:val="left"/>
                          <w:rPr>
                            <w:rFonts w:ascii="Times New Roman" w:hAnsi="Times New Roman" w:cs="Times New Roman" w:eastAsia="Times New Roman" w:hint="default"/>
                            <w:sz w:val="18"/>
                            <w:szCs w:val="18"/>
                          </w:rPr>
                        </w:pPr>
                        <w:r>
                          <w:rPr>
                            <w:rFonts w:ascii="Times New Roman"/>
                            <w:sz w:val="18"/>
                          </w:rPr>
                          <w:t>1,584,209.67</w:t>
                        </w:r>
                      </w:p>
                    </w:tc>
                    <w:tc>
                      <w:tcPr>
                        <w:tcW w:w="155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81" w:right="0"/>
                          <w:jc w:val="left"/>
                          <w:rPr>
                            <w:rFonts w:ascii="Times New Roman" w:hAnsi="Times New Roman" w:cs="Times New Roman" w:eastAsia="Times New Roman" w:hint="default"/>
                            <w:sz w:val="18"/>
                            <w:szCs w:val="18"/>
                          </w:rPr>
                        </w:pPr>
                        <w:r>
                          <w:rPr>
                            <w:rFonts w:ascii="Times New Roman"/>
                            <w:sz w:val="18"/>
                          </w:rPr>
                          <w:t>8,154,825.10</w:t>
                        </w: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69" w:right="0"/>
                          <w:jc w:val="left"/>
                          <w:rPr>
                            <w:rFonts w:ascii="Times New Roman" w:hAnsi="Times New Roman" w:cs="Times New Roman" w:eastAsia="Times New Roman" w:hint="default"/>
                            <w:sz w:val="18"/>
                            <w:szCs w:val="18"/>
                          </w:rPr>
                        </w:pPr>
                        <w:r>
                          <w:rPr>
                            <w:rFonts w:ascii="Times New Roman"/>
                            <w:sz w:val="18"/>
                          </w:rPr>
                          <w:t>-80.57%</w:t>
                        </w:r>
                      </w:p>
                    </w:tc>
                    <w:tc>
                      <w:tcPr>
                        <w:tcW w:w="3330" w:type="dxa"/>
                        <w:vMerge w:val="restart"/>
                        <w:tcBorders>
                          <w:top w:val="single" w:sz="4" w:space="0" w:color="000000"/>
                          <w:left w:val="single" w:sz="4" w:space="0" w:color="000000"/>
                          <w:right w:val="single" w:sz="4" w:space="0" w:color="000000"/>
                        </w:tcBorders>
                        <w:shd w:val="clear" w:color="auto" w:fill="C6ECCC"/>
                      </w:tcPr>
                      <w:p>
                        <w:pPr>
                          <w:pStyle w:val="TableParagraph"/>
                          <w:spacing w:line="316" w:lineRule="auto" w:before="52"/>
                          <w:ind w:left="22" w:right="111"/>
                          <w:jc w:val="left"/>
                          <w:rPr>
                            <w:rFonts w:ascii="宋体" w:hAnsi="宋体" w:cs="宋体" w:eastAsia="宋体" w:hint="default"/>
                            <w:sz w:val="18"/>
                            <w:szCs w:val="18"/>
                          </w:rPr>
                        </w:pPr>
                        <w:r>
                          <w:rPr>
                            <w:rFonts w:ascii="宋体" w:hAnsi="宋体" w:cs="宋体" w:eastAsia="宋体" w:hint="default"/>
                            <w:spacing w:val="-4"/>
                            <w:sz w:val="18"/>
                            <w:szCs w:val="18"/>
                          </w:rPr>
                          <w:t>主要系募集资到位后，企业经营资金充足</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降低筹资成本所致</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346" w:type="dxa"/>
                        <w:vMerge/>
                        <w:tcBorders>
                          <w:left w:val="single" w:sz="10" w:space="0" w:color="D2D2D2"/>
                          <w:right w:val="single" w:sz="4" w:space="0" w:color="000000"/>
                        </w:tcBorders>
                      </w:tcPr>
                      <w:p>
                        <w:pPr/>
                      </w:p>
                    </w:tc>
                    <w:tc>
                      <w:tcPr>
                        <w:tcW w:w="1559"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3330" w:type="dxa"/>
                        <w:vMerge/>
                        <w:tcBorders>
                          <w:left w:val="single" w:sz="4" w:space="0" w:color="000000"/>
                          <w:right w:val="single" w:sz="4" w:space="0" w:color="000000"/>
                        </w:tcBorders>
                        <w:shd w:val="clear" w:color="auto" w:fill="C6ECCC"/>
                      </w:tcPr>
                      <w:p>
                        <w:pPr/>
                      </w:p>
                    </w:tc>
                  </w:tr>
                  <w:tr>
                    <w:trPr>
                      <w:trHeight w:val="162"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346" w:type="dxa"/>
                        <w:vMerge/>
                        <w:tcBorders>
                          <w:left w:val="single" w:sz="10" w:space="0" w:color="D2D2D2"/>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3330" w:type="dxa"/>
                        <w:vMerge/>
                        <w:tcBorders>
                          <w:left w:val="single" w:sz="4" w:space="0" w:color="000000"/>
                          <w:bottom w:val="single" w:sz="4" w:space="0" w:color="000000"/>
                          <w:right w:val="single" w:sz="4" w:space="0" w:color="000000"/>
                        </w:tcBorders>
                        <w:shd w:val="clear" w:color="auto" w:fill="C6ECCC"/>
                      </w:tcPr>
                      <w:p>
                        <w:pP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before="44"/>
        <w:ind w:left="0" w:right="1139"/>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90"/>
        <w:ind w:left="1134" w:right="0"/>
        <w:jc w:val="left"/>
        <w:rPr>
          <w:b w:val="0"/>
          <w:bCs w:val="0"/>
        </w:rPr>
      </w:pPr>
      <w:bookmarkStart w:name="4、研发投入" w:id="36"/>
      <w:bookmarkEnd w:id="36"/>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88" w:lineRule="auto" w:before="60"/>
        <w:ind w:right="1131" w:firstLine="360"/>
        <w:jc w:val="both"/>
      </w:pPr>
      <w:r>
        <w:rPr>
          <w:rFonts w:ascii="Times New Roman" w:hAnsi="Times New Roman" w:cs="Times New Roman" w:eastAsia="Times New Roman" w:hint="default"/>
          <w:spacing w:val="-1"/>
        </w:rPr>
        <w:t>1.</w:t>
      </w:r>
      <w:r>
        <w:rPr>
          <w:spacing w:val="-1"/>
        </w:rPr>
        <w:t>【高伟达保险业务系统开发平台】公司将保险行业最新发展动态与技术要求与自身业务发展战略规划相结合，研发出</w:t>
      </w:r>
      <w:r>
        <w:rPr/>
        <w:t> </w:t>
      </w:r>
      <w:r>
        <w:rPr>
          <w:spacing w:val="-2"/>
        </w:rPr>
        <w:t>自有的保险业务统一开发管理平台。目前已完成开发框架数据模型、服务接口组件、元数据及数据字典、服务接口技术方案</w:t>
      </w:r>
      <w:r>
        <w:rPr>
          <w:spacing w:val="-66"/>
        </w:rPr>
        <w:t> </w:t>
      </w:r>
      <w:r>
        <w:rPr>
          <w:spacing w:val="-66"/>
        </w:rPr>
      </w:r>
      <w:r>
        <w:rPr/>
        <w:t>等工作。目标客户群为：中国人寿、建信人寿、泰康人寿等十余家寿险企业。</w:t>
      </w:r>
    </w:p>
    <w:p>
      <w:pPr>
        <w:pStyle w:val="BodyText"/>
        <w:spacing w:line="280" w:lineRule="auto" w:before="61"/>
        <w:ind w:right="1131" w:firstLine="360"/>
        <w:jc w:val="both"/>
      </w:pPr>
      <w:r>
        <w:rPr>
          <w:rFonts w:ascii="Times New Roman" w:hAnsi="Times New Roman" w:cs="Times New Roman" w:eastAsia="Times New Roman" w:hint="default"/>
          <w:spacing w:val="-1"/>
        </w:rPr>
        <w:t>2.</w:t>
      </w:r>
      <w:r>
        <w:rPr>
          <w:spacing w:val="-1"/>
        </w:rPr>
        <w:t>【高伟达核心业务系统】核心系统市场向来是金融领域厂家的必争领域，且公司在此领域已有一定基础，未来可推广</w:t>
      </w:r>
      <w:r>
        <w:rPr/>
        <w:t> </w:t>
      </w:r>
      <w:r>
        <w:rPr>
          <w:spacing w:val="-2"/>
        </w:rPr>
        <w:t>于城市商业银行清算中心的</w:t>
      </w:r>
      <w:r>
        <w:rPr>
          <w:rFonts w:ascii="Times New Roman" w:hAnsi="Times New Roman" w:cs="Times New Roman" w:eastAsia="Times New Roman" w:hint="default"/>
          <w:spacing w:val="-2"/>
        </w:rPr>
        <w:t>SaaS</w:t>
      </w:r>
      <w:r>
        <w:rPr>
          <w:spacing w:val="-2"/>
        </w:rPr>
        <w:t>托管服务。当前阶段已完成：前台柜员系统、产品及参数配置平台、批处理调度平台等。研</w:t>
      </w:r>
      <w:r>
        <w:rPr>
          <w:spacing w:val="-63"/>
        </w:rPr>
        <w:t> </w:t>
      </w:r>
      <w:r>
        <w:rPr>
          <w:spacing w:val="-63"/>
        </w:rPr>
      </w:r>
      <w:r>
        <w:rPr/>
        <w:t>发成果已投产于华夏家润村镇银行，并已为公司带来初步盈利。</w:t>
      </w:r>
    </w:p>
    <w:p>
      <w:pPr>
        <w:pStyle w:val="BodyText"/>
        <w:spacing w:line="280" w:lineRule="auto" w:before="66"/>
        <w:ind w:right="1095" w:firstLine="360"/>
        <w:jc w:val="both"/>
      </w:pPr>
      <w:r>
        <w:rPr>
          <w:rFonts w:ascii="Times New Roman" w:hAnsi="Times New Roman" w:cs="Times New Roman" w:eastAsia="Times New Roman" w:hint="default"/>
        </w:rPr>
        <w:t>3.</w:t>
      </w:r>
      <w:r>
        <w:rPr/>
        <w:t>【高伟达大数据分析平台】公司信贷产品正需要结合大数据所需的新技术和巨大商机，进一步提升审批质量与效率。 </w:t>
      </w:r>
      <w:r>
        <w:rPr>
          <w:spacing w:val="-2"/>
        </w:rPr>
        <w:t>截至</w:t>
      </w:r>
      <w:r>
        <w:rPr>
          <w:rFonts w:ascii="Times New Roman" w:hAnsi="Times New Roman" w:cs="Times New Roman" w:eastAsia="Times New Roman" w:hint="default"/>
          <w:spacing w:val="-2"/>
        </w:rPr>
        <w:t>2015</w:t>
      </w:r>
      <w:r>
        <w:rPr>
          <w:spacing w:val="-2"/>
        </w:rPr>
        <w:t>年末，已完成风险决策支持系统的主体功能、大数据技术积累、初步的数据资产积累。未来可获取风险预警、数据</w:t>
      </w:r>
      <w:r>
        <w:rPr>
          <w:spacing w:val="-62"/>
        </w:rPr>
        <w:t> </w:t>
      </w:r>
      <w:r>
        <w:rPr>
          <w:spacing w:val="-62"/>
        </w:rPr>
      </w:r>
      <w:r>
        <w:rPr/>
        <w:t>服务等多种商机，目标客户有邮储银行、稠州银行、民生银行等。</w:t>
      </w:r>
    </w:p>
    <w:p>
      <w:pPr>
        <w:pStyle w:val="BodyText"/>
        <w:spacing w:line="288" w:lineRule="auto" w:before="66"/>
        <w:ind w:left="1134" w:right="1130" w:firstLine="360"/>
        <w:jc w:val="both"/>
      </w:pPr>
      <w:r>
        <w:rPr>
          <w:rFonts w:ascii="Times New Roman" w:hAnsi="Times New Roman" w:cs="Times New Roman" w:eastAsia="Times New Roman" w:hint="default"/>
        </w:rPr>
        <w:t>4</w:t>
      </w:r>
      <w:r>
        <w:rPr/>
        <w:t>、【高伟达业务管理集成系统】随着公司业务的发展以及客户项目越来越复杂，并结合客户满意度与质量管控要求， </w:t>
      </w:r>
      <w:r>
        <w:rPr>
          <w:spacing w:val="-2"/>
        </w:rPr>
        <w:t>从源头入手，将项目需求管理，跟踪，变更，管控过程系统化，平台化，初步建成了业务管理集成系统，并逐步推广到项目</w:t>
      </w:r>
      <w:r>
        <w:rPr>
          <w:spacing w:val="-72"/>
        </w:rPr>
        <w:t> </w:t>
      </w:r>
      <w:r>
        <w:rPr>
          <w:spacing w:val="-72"/>
        </w:rPr>
      </w:r>
      <w:r>
        <w:rPr/>
        <w:t>中，提高公司客户方项目的管控能力与项目质量，并形成了可售的业务管理系统与方案。</w:t>
      </w:r>
    </w:p>
    <w:p>
      <w:pPr>
        <w:pStyle w:val="BodyText"/>
        <w:spacing w:line="280" w:lineRule="auto" w:before="59"/>
        <w:ind w:right="1132" w:firstLine="360"/>
        <w:jc w:val="both"/>
      </w:pPr>
      <w:r>
        <w:rPr>
          <w:rFonts w:ascii="Times New Roman" w:hAnsi="Times New Roman" w:cs="Times New Roman" w:eastAsia="Times New Roman" w:hint="default"/>
          <w:spacing w:val="-1"/>
        </w:rPr>
        <w:t>5.</w:t>
      </w:r>
      <w:r>
        <w:rPr>
          <w:spacing w:val="-1"/>
        </w:rPr>
        <w:t>【</w:t>
      </w:r>
      <w:r>
        <w:rPr>
          <w:rFonts w:ascii="Times New Roman" w:hAnsi="Times New Roman" w:cs="Times New Roman" w:eastAsia="Times New Roman" w:hint="default"/>
          <w:spacing w:val="-1"/>
        </w:rPr>
        <w:t>EasyCMS</w:t>
      </w:r>
      <w:r>
        <w:rPr>
          <w:spacing w:val="-1"/>
        </w:rPr>
        <w:t>信用风险缓释管理系统】本次风险缓释管理系统项目研发，在原有押品管理系统的基础上，建立了对信用</w:t>
      </w:r>
      <w:r>
        <w:rPr/>
        <w:t> 风险缓释全方位的管理。目前阶段已完成的模块有：</w:t>
      </w:r>
      <w:r>
        <w:rPr>
          <w:rFonts w:ascii="Times New Roman" w:hAnsi="Times New Roman" w:cs="Times New Roman" w:eastAsia="Times New Roman" w:hint="default"/>
        </w:rPr>
        <w:t>1.</w:t>
      </w:r>
      <w:r>
        <w:rPr/>
        <w:t>工作台；</w:t>
      </w:r>
      <w:r>
        <w:rPr>
          <w:rFonts w:ascii="Times New Roman" w:hAnsi="Times New Roman" w:cs="Times New Roman" w:eastAsia="Times New Roman" w:hint="default"/>
        </w:rPr>
        <w:t>2.</w:t>
      </w:r>
      <w:r>
        <w:rPr/>
        <w:t>押品管理；</w:t>
      </w:r>
      <w:r>
        <w:rPr>
          <w:rFonts w:ascii="Times New Roman" w:hAnsi="Times New Roman" w:cs="Times New Roman" w:eastAsia="Times New Roman" w:hint="default"/>
        </w:rPr>
        <w:t>3.</w:t>
      </w:r>
      <w:r>
        <w:rPr/>
        <w:t>估值管理；</w:t>
      </w:r>
      <w:r>
        <w:rPr>
          <w:rFonts w:ascii="Times New Roman" w:hAnsi="Times New Roman" w:cs="Times New Roman" w:eastAsia="Times New Roman" w:hint="default"/>
        </w:rPr>
        <w:t>4.</w:t>
      </w:r>
      <w:r>
        <w:rPr/>
        <w:t>实物管理；</w:t>
      </w:r>
      <w:r>
        <w:rPr>
          <w:rFonts w:ascii="Times New Roman" w:hAnsi="Times New Roman" w:cs="Times New Roman" w:eastAsia="Times New Roman" w:hint="default"/>
        </w:rPr>
        <w:t>5.</w:t>
      </w:r>
      <w:r>
        <w:rPr/>
        <w:t>预警管理；</w:t>
      </w:r>
      <w:r>
        <w:rPr>
          <w:rFonts w:ascii="Times New Roman" w:hAnsi="Times New Roman" w:cs="Times New Roman" w:eastAsia="Times New Roman" w:hint="default"/>
        </w:rPr>
        <w:t>6.</w:t>
      </w:r>
      <w:r>
        <w:rPr/>
        <w:t>高管</w:t>
      </w:r>
      <w:r>
        <w:rPr>
          <w:spacing w:val="-86"/>
        </w:rPr>
        <w:t> </w:t>
      </w:r>
      <w:r>
        <w:rPr/>
        <w:t>视图等，并已取得软件著作权证书。市场前景广阔，目标客户群为上海银行、兴业银行、宁夏银行等。</w:t>
      </w:r>
    </w:p>
    <w:p>
      <w:pPr>
        <w:pStyle w:val="BodyText"/>
        <w:spacing w:line="240" w:lineRule="auto" w:before="107"/>
        <w:ind w:right="0"/>
        <w:jc w:val="left"/>
      </w:pPr>
      <w:r>
        <w:rPr/>
        <w:t>近三年公司研发投入金额及占营业收入的比例</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47,649,493.00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38,045,884.06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46,514,771.24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3,784,125.70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0"/>
        <w:jc w:val="left"/>
      </w:pPr>
      <w:r>
        <w:rPr/>
        <w:t>研发投入总额占营业收入的比重较上年发生显著变化的原因</w:t>
      </w:r>
    </w:p>
    <w:p>
      <w:pPr>
        <w:spacing w:after="0" w:line="240" w:lineRule="auto"/>
        <w:jc w:val="left"/>
        <w:sectPr>
          <w:pgSz w:w="11910" w:h="16840"/>
          <w:pgMar w:header="877" w:footer="1187" w:top="1100" w:bottom="1380" w:left="0" w:right="0"/>
        </w:sectPr>
      </w:pPr>
    </w:p>
    <w:p>
      <w:pPr>
        <w:spacing w:line="240" w:lineRule="auto" w:before="13"/>
        <w:rPr>
          <w:rFonts w:ascii="宋体" w:hAnsi="宋体" w:cs="宋体" w:eastAsia="宋体" w:hint="default"/>
          <w:sz w:val="21"/>
          <w:szCs w:val="21"/>
        </w:rPr>
      </w:pPr>
    </w:p>
    <w:p>
      <w:pPr>
        <w:pStyle w:val="BodyText"/>
        <w:spacing w:line="338" w:lineRule="auto" w:before="44"/>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338" w:lineRule="auto" w:before="43"/>
        <w:ind w:left="1496" w:right="1125" w:hanging="36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1"/>
        </w:rPr>
        <w:t>本企业</w:t>
      </w:r>
      <w:r>
        <w:rPr>
          <w:rFonts w:ascii="Times New Roman" w:hAnsi="Times New Roman" w:cs="Times New Roman" w:eastAsia="Times New Roman" w:hint="default"/>
          <w:spacing w:val="-1"/>
        </w:rPr>
        <w:t>2015</w:t>
      </w:r>
      <w:r>
        <w:rPr>
          <w:spacing w:val="-1"/>
        </w:rPr>
        <w:t>年投入研发的</w:t>
      </w:r>
      <w:r>
        <w:rPr>
          <w:rFonts w:ascii="Times New Roman" w:hAnsi="Times New Roman" w:cs="Times New Roman" w:eastAsia="Times New Roman" w:hint="default"/>
          <w:spacing w:val="-1"/>
        </w:rPr>
        <w:t>EasyCMS</w:t>
      </w:r>
      <w:r>
        <w:rPr>
          <w:spacing w:val="-1"/>
        </w:rPr>
        <w:t>信用风险缓释管理系统</w:t>
      </w:r>
      <w:r>
        <w:rPr>
          <w:rFonts w:ascii="Times New Roman" w:hAnsi="Times New Roman" w:cs="Times New Roman" w:eastAsia="Times New Roman" w:hint="default"/>
          <w:spacing w:val="-1"/>
        </w:rPr>
        <w:t>378.41</w:t>
      </w:r>
      <w:r>
        <w:rPr>
          <w:spacing w:val="-1"/>
        </w:rPr>
        <w:t>万元，已获得国家版权局颁发的计算机软件著作权登记</w:t>
      </w:r>
    </w:p>
    <w:p>
      <w:pPr>
        <w:pStyle w:val="BodyText"/>
        <w:spacing w:line="231" w:lineRule="exact"/>
        <w:ind w:right="0"/>
        <w:jc w:val="left"/>
      </w:pPr>
      <w:r>
        <w:rPr/>
        <w:t>证书，软著登字第</w:t>
      </w:r>
      <w:r>
        <w:rPr>
          <w:rFonts w:ascii="Times New Roman" w:hAnsi="Times New Roman" w:cs="Times New Roman" w:eastAsia="Times New Roman" w:hint="default"/>
        </w:rPr>
        <w:t>1209242</w:t>
      </w:r>
      <w:r>
        <w:rPr/>
        <w:t>号，并在</w:t>
      </w:r>
      <w:r>
        <w:rPr>
          <w:rFonts w:ascii="Times New Roman" w:hAnsi="Times New Roman" w:cs="Times New Roman" w:eastAsia="Times New Roman" w:hint="default"/>
        </w:rPr>
        <w:t>2016</w:t>
      </w:r>
      <w:r>
        <w:rPr/>
        <w:t>年获得民生银行等商业机会，从技术可行性、出售意图、市场可行性以及其他资源</w:t>
      </w:r>
    </w:p>
    <w:p>
      <w:pPr>
        <w:pStyle w:val="BodyText"/>
        <w:spacing w:line="309" w:lineRule="auto" w:before="63"/>
        <w:ind w:left="1493" w:right="4471" w:hanging="360"/>
        <w:jc w:val="left"/>
      </w:pPr>
      <w:r>
        <w:rPr/>
        <w:t>支持等方面均符合研发投入资本化的条件。 公司</w:t>
      </w:r>
      <w:r>
        <w:rPr>
          <w:rFonts w:ascii="Times New Roman" w:hAnsi="Times New Roman" w:cs="Times New Roman" w:eastAsia="Times New Roman" w:hint="default"/>
        </w:rPr>
        <w:t>2015</w:t>
      </w:r>
      <w:r>
        <w:rPr/>
        <w:t>年将研发作为公司未来几年的核心工作之一，提到了极高的位置。 公司</w:t>
      </w:r>
      <w:r>
        <w:rPr>
          <w:rFonts w:ascii="Times New Roman" w:hAnsi="Times New Roman" w:cs="Times New Roman" w:eastAsia="Times New Roman" w:hint="default"/>
        </w:rPr>
        <w:t>2013-2015</w:t>
      </w:r>
      <w:r>
        <w:rPr/>
        <w:t>年的研发人员，研发投入的情况，请见下表：</w:t>
      </w:r>
    </w:p>
    <w:tbl>
      <w:tblPr>
        <w:tblW w:w="0" w:type="auto"/>
        <w:jc w:val="left"/>
        <w:tblInd w:w="1255" w:type="dxa"/>
        <w:tblLayout w:type="fixed"/>
        <w:tblCellMar>
          <w:top w:w="0" w:type="dxa"/>
          <w:left w:w="0" w:type="dxa"/>
          <w:bottom w:w="0" w:type="dxa"/>
          <w:right w:w="0" w:type="dxa"/>
        </w:tblCellMar>
        <w:tblLook w:val="01E0"/>
      </w:tblPr>
      <w:tblGrid>
        <w:gridCol w:w="4016"/>
        <w:gridCol w:w="1782"/>
        <w:gridCol w:w="1794"/>
        <w:gridCol w:w="1794"/>
      </w:tblGrid>
      <w:tr>
        <w:trPr>
          <w:trHeight w:val="277" w:hRule="exact"/>
        </w:trPr>
        <w:tc>
          <w:tcPr>
            <w:tcW w:w="401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362" w:right="0"/>
              <w:jc w:val="center"/>
              <w:rPr>
                <w:rFonts w:ascii="宋体" w:hAnsi="宋体" w:cs="宋体" w:eastAsia="宋体" w:hint="default"/>
                <w:sz w:val="18"/>
                <w:szCs w:val="18"/>
              </w:rPr>
            </w:pPr>
            <w:r>
              <w:rPr>
                <w:rFonts w:ascii="宋体" w:hAnsi="宋体" w:cs="宋体" w:eastAsia="宋体" w:hint="default"/>
                <w:b/>
                <w:bCs/>
                <w:sz w:val="18"/>
                <w:szCs w:val="18"/>
              </w:rPr>
              <w:t>划分</w:t>
            </w:r>
            <w:r>
              <w:rPr>
                <w:rFonts w:ascii="宋体" w:hAnsi="宋体" w:cs="宋体" w:eastAsia="宋体" w:hint="default"/>
                <w:sz w:val="18"/>
                <w:szCs w:val="18"/>
              </w:rPr>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61"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2015</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416"/>
              <w:jc w:val="right"/>
              <w:rPr>
                <w:rFonts w:ascii="宋体" w:hAnsi="宋体" w:cs="宋体" w:eastAsia="宋体" w:hint="default"/>
                <w:sz w:val="18"/>
                <w:szCs w:val="18"/>
              </w:rPr>
            </w:pPr>
            <w:r>
              <w:rPr>
                <w:rFonts w:ascii="Times New Roman" w:hAnsi="Times New Roman" w:cs="Times New Roman" w:eastAsia="Times New Roman" w:hint="default"/>
                <w:b/>
                <w:bCs/>
                <w:sz w:val="18"/>
                <w:szCs w:val="18"/>
              </w:rPr>
              <w:t>2014 </w:t>
            </w:r>
            <w:r>
              <w:rPr>
                <w:rFonts w:ascii="宋体" w:hAnsi="宋体" w:cs="宋体" w:eastAsia="宋体" w:hint="default"/>
                <w:b/>
                <w:bCs/>
                <w:sz w:val="18"/>
                <w:szCs w:val="18"/>
              </w:rPr>
              <w:t>年</w:t>
            </w:r>
            <w:r>
              <w:rPr>
                <w:rFonts w:ascii="宋体" w:hAnsi="宋体" w:cs="宋体" w:eastAsia="宋体" w:hint="default"/>
                <w:sz w:val="18"/>
                <w:szCs w:val="18"/>
              </w:rPr>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416"/>
              <w:jc w:val="right"/>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r>
      <w:tr>
        <w:trPr>
          <w:trHeight w:val="277" w:hRule="exact"/>
        </w:trPr>
        <w:tc>
          <w:tcPr>
            <w:tcW w:w="401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191"/>
              <w:jc w:val="right"/>
              <w:rPr>
                <w:rFonts w:ascii="宋体" w:hAnsi="宋体" w:cs="宋体" w:eastAsia="宋体" w:hint="default"/>
                <w:sz w:val="18"/>
                <w:szCs w:val="18"/>
              </w:rPr>
            </w:pPr>
            <w:r>
              <w:rPr>
                <w:rFonts w:ascii="宋体" w:hAnsi="宋体" w:cs="宋体" w:eastAsia="宋体" w:hint="default"/>
                <w:sz w:val="18"/>
                <w:szCs w:val="18"/>
              </w:rPr>
              <w:t>专职研发（人）</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360" w:right="0"/>
              <w:jc w:val="center"/>
              <w:rPr>
                <w:rFonts w:ascii="Times New Roman" w:hAnsi="Times New Roman" w:cs="Times New Roman" w:eastAsia="Times New Roman" w:hint="default"/>
                <w:sz w:val="18"/>
                <w:szCs w:val="18"/>
              </w:rPr>
            </w:pPr>
            <w:r>
              <w:rPr>
                <w:rFonts w:ascii="Times New Roman"/>
                <w:sz w:val="18"/>
              </w:rPr>
              <w:t>150</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358" w:right="0"/>
              <w:jc w:val="center"/>
              <w:rPr>
                <w:rFonts w:ascii="Times New Roman" w:hAnsi="Times New Roman" w:cs="Times New Roman" w:eastAsia="Times New Roman" w:hint="default"/>
                <w:sz w:val="18"/>
                <w:szCs w:val="18"/>
              </w:rPr>
            </w:pPr>
            <w:r>
              <w:rPr>
                <w:rFonts w:ascii="Times New Roman"/>
                <w:sz w:val="18"/>
              </w:rPr>
              <w:t>24</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358" w:right="0"/>
              <w:jc w:val="center"/>
              <w:rPr>
                <w:rFonts w:ascii="Times New Roman" w:hAnsi="Times New Roman" w:cs="Times New Roman" w:eastAsia="Times New Roman" w:hint="default"/>
                <w:sz w:val="18"/>
                <w:szCs w:val="18"/>
              </w:rPr>
            </w:pPr>
            <w:r>
              <w:rPr>
                <w:rFonts w:ascii="Times New Roman"/>
                <w:sz w:val="18"/>
              </w:rPr>
              <w:t>23</w:t>
            </w:r>
          </w:p>
        </w:tc>
      </w:tr>
      <w:tr>
        <w:trPr>
          <w:trHeight w:val="276" w:hRule="exact"/>
        </w:trPr>
        <w:tc>
          <w:tcPr>
            <w:tcW w:w="401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099"/>
              <w:jc w:val="right"/>
              <w:rPr>
                <w:rFonts w:ascii="宋体" w:hAnsi="宋体" w:cs="宋体" w:eastAsia="宋体" w:hint="default"/>
                <w:sz w:val="18"/>
                <w:szCs w:val="18"/>
              </w:rPr>
            </w:pPr>
            <w:r>
              <w:rPr>
                <w:rFonts w:ascii="宋体" w:hAnsi="宋体" w:cs="宋体" w:eastAsia="宋体" w:hint="default"/>
                <w:b/>
                <w:bCs/>
                <w:w w:val="95"/>
                <w:sz w:val="18"/>
                <w:szCs w:val="18"/>
              </w:rPr>
              <w:t>研发投入（万元）</w:t>
            </w:r>
            <w:r>
              <w:rPr>
                <w:rFonts w:ascii="宋体" w:hAnsi="宋体" w:cs="宋体" w:eastAsia="宋体" w:hint="default"/>
                <w:sz w:val="18"/>
                <w:szCs w:val="18"/>
              </w:rPr>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61"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2015</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416"/>
              <w:jc w:val="right"/>
              <w:rPr>
                <w:rFonts w:ascii="宋体" w:hAnsi="宋体" w:cs="宋体" w:eastAsia="宋体" w:hint="default"/>
                <w:sz w:val="18"/>
                <w:szCs w:val="18"/>
              </w:rPr>
            </w:pPr>
            <w:r>
              <w:rPr>
                <w:rFonts w:ascii="Times New Roman" w:hAnsi="Times New Roman" w:cs="Times New Roman" w:eastAsia="Times New Roman" w:hint="default"/>
                <w:b/>
                <w:bCs/>
                <w:sz w:val="18"/>
                <w:szCs w:val="18"/>
              </w:rPr>
              <w:t>2014 </w:t>
            </w:r>
            <w:r>
              <w:rPr>
                <w:rFonts w:ascii="宋体" w:hAnsi="宋体" w:cs="宋体" w:eastAsia="宋体" w:hint="default"/>
                <w:b/>
                <w:bCs/>
                <w:sz w:val="18"/>
                <w:szCs w:val="18"/>
              </w:rPr>
              <w:t>年</w:t>
            </w:r>
            <w:r>
              <w:rPr>
                <w:rFonts w:ascii="宋体" w:hAnsi="宋体" w:cs="宋体" w:eastAsia="宋体" w:hint="default"/>
                <w:sz w:val="18"/>
                <w:szCs w:val="18"/>
              </w:rPr>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416"/>
              <w:jc w:val="right"/>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r>
      <w:tr>
        <w:trPr>
          <w:trHeight w:val="277" w:hRule="exact"/>
        </w:trPr>
        <w:tc>
          <w:tcPr>
            <w:tcW w:w="4016"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360" w:right="0"/>
              <w:jc w:val="center"/>
              <w:rPr>
                <w:rFonts w:ascii="宋体" w:hAnsi="宋体" w:cs="宋体" w:eastAsia="宋体" w:hint="default"/>
                <w:sz w:val="18"/>
                <w:szCs w:val="18"/>
              </w:rPr>
            </w:pPr>
            <w:r>
              <w:rPr>
                <w:rFonts w:ascii="宋体" w:hAnsi="宋体" w:cs="宋体" w:eastAsia="宋体" w:hint="default"/>
                <w:sz w:val="18"/>
                <w:szCs w:val="18"/>
              </w:rPr>
              <w:t>研发费用</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60" w:right="0"/>
              <w:jc w:val="center"/>
              <w:rPr>
                <w:rFonts w:ascii="Times New Roman" w:hAnsi="Times New Roman" w:cs="Times New Roman" w:eastAsia="Times New Roman" w:hint="default"/>
                <w:sz w:val="18"/>
                <w:szCs w:val="18"/>
              </w:rPr>
            </w:pPr>
            <w:r>
              <w:rPr>
                <w:rFonts w:ascii="Times New Roman"/>
                <w:sz w:val="18"/>
              </w:rPr>
              <w:t>4,765</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07"/>
              <w:jc w:val="right"/>
              <w:rPr>
                <w:rFonts w:ascii="Times New Roman" w:hAnsi="Times New Roman" w:cs="Times New Roman" w:eastAsia="Times New Roman" w:hint="default"/>
                <w:sz w:val="18"/>
                <w:szCs w:val="18"/>
              </w:rPr>
            </w:pPr>
            <w:r>
              <w:rPr>
                <w:rFonts w:ascii="Times New Roman"/>
                <w:sz w:val="18"/>
              </w:rPr>
              <w:t>3,805</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07"/>
              <w:jc w:val="right"/>
              <w:rPr>
                <w:rFonts w:ascii="Times New Roman" w:hAnsi="Times New Roman" w:cs="Times New Roman" w:eastAsia="Times New Roman" w:hint="default"/>
                <w:sz w:val="18"/>
                <w:szCs w:val="18"/>
              </w:rPr>
            </w:pPr>
            <w:r>
              <w:rPr>
                <w:rFonts w:ascii="Times New Roman"/>
                <w:sz w:val="18"/>
              </w:rPr>
              <w:t>4,651</w:t>
            </w:r>
          </w:p>
        </w:tc>
      </w:tr>
      <w:tr>
        <w:trPr>
          <w:trHeight w:val="277" w:hRule="exact"/>
        </w:trPr>
        <w:tc>
          <w:tcPr>
            <w:tcW w:w="401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161"/>
              <w:jc w:val="right"/>
              <w:rPr>
                <w:rFonts w:ascii="宋体" w:hAnsi="宋体" w:cs="宋体" w:eastAsia="宋体" w:hint="default"/>
                <w:sz w:val="18"/>
                <w:szCs w:val="18"/>
              </w:rPr>
            </w:pPr>
            <w:r>
              <w:rPr>
                <w:rFonts w:ascii="宋体" w:hAnsi="宋体" w:cs="宋体" w:eastAsia="宋体" w:hint="default"/>
                <w:sz w:val="18"/>
                <w:szCs w:val="18"/>
              </w:rPr>
              <w:t>资本化</w:t>
            </w:r>
            <w:r>
              <w:rPr>
                <w:rFonts w:ascii="Times New Roman" w:hAnsi="Times New Roman" w:cs="Times New Roman" w:eastAsia="Times New Roman" w:hint="default"/>
                <w:sz w:val="18"/>
                <w:szCs w:val="18"/>
              </w:rPr>
              <w:t>-</w:t>
            </w:r>
            <w:r>
              <w:rPr>
                <w:rFonts w:ascii="宋体" w:hAnsi="宋体" w:cs="宋体" w:eastAsia="宋体" w:hint="default"/>
                <w:sz w:val="18"/>
                <w:szCs w:val="18"/>
              </w:rPr>
              <w:t>无形资产</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60" w:right="0"/>
              <w:jc w:val="center"/>
              <w:rPr>
                <w:rFonts w:ascii="Times New Roman" w:hAnsi="Times New Roman" w:cs="Times New Roman" w:eastAsia="Times New Roman" w:hint="default"/>
                <w:sz w:val="18"/>
                <w:szCs w:val="18"/>
              </w:rPr>
            </w:pPr>
            <w:r>
              <w:rPr>
                <w:rFonts w:ascii="Times New Roman"/>
                <w:sz w:val="18"/>
              </w:rPr>
              <w:t>378</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59" w:right="0"/>
              <w:jc w:val="center"/>
              <w:rPr>
                <w:rFonts w:ascii="Times New Roman" w:hAnsi="Times New Roman" w:cs="Times New Roman" w:eastAsia="Times New Roman" w:hint="default"/>
                <w:sz w:val="18"/>
                <w:szCs w:val="18"/>
              </w:rPr>
            </w:pPr>
            <w:r>
              <w:rPr>
                <w:rFonts w:ascii="Times New Roman"/>
                <w:sz w:val="18"/>
              </w:rPr>
              <w:t>0</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60" w:right="0"/>
              <w:jc w:val="center"/>
              <w:rPr>
                <w:rFonts w:ascii="Times New Roman" w:hAnsi="Times New Roman" w:cs="Times New Roman" w:eastAsia="Times New Roman" w:hint="default"/>
                <w:sz w:val="18"/>
                <w:szCs w:val="18"/>
              </w:rPr>
            </w:pPr>
            <w:r>
              <w:rPr>
                <w:rFonts w:ascii="Times New Roman"/>
                <w:sz w:val="18"/>
              </w:rPr>
              <w:t>0</w:t>
            </w:r>
          </w:p>
        </w:tc>
      </w:tr>
      <w:tr>
        <w:trPr>
          <w:trHeight w:val="277" w:hRule="exact"/>
        </w:trPr>
        <w:tc>
          <w:tcPr>
            <w:tcW w:w="40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613" w:right="0"/>
              <w:jc w:val="left"/>
              <w:rPr>
                <w:rFonts w:ascii="宋体" w:hAnsi="宋体" w:cs="宋体" w:eastAsia="宋体" w:hint="default"/>
                <w:sz w:val="18"/>
                <w:szCs w:val="18"/>
              </w:rPr>
            </w:pPr>
            <w:r>
              <w:rPr>
                <w:rFonts w:ascii="宋体" w:hAnsi="宋体" w:cs="宋体" w:eastAsia="宋体" w:hint="default"/>
                <w:sz w:val="18"/>
                <w:szCs w:val="18"/>
              </w:rPr>
              <w:t>资本化</w:t>
            </w:r>
            <w:r>
              <w:rPr>
                <w:rFonts w:ascii="Times New Roman" w:hAnsi="Times New Roman" w:cs="Times New Roman" w:eastAsia="Times New Roman" w:hint="default"/>
                <w:sz w:val="18"/>
                <w:szCs w:val="18"/>
              </w:rPr>
              <w:t>-</w:t>
            </w:r>
            <w:r>
              <w:rPr>
                <w:rFonts w:ascii="宋体" w:hAnsi="宋体" w:cs="宋体" w:eastAsia="宋体" w:hint="default"/>
                <w:sz w:val="18"/>
                <w:szCs w:val="18"/>
              </w:rPr>
              <w:t>在产品</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361" w:right="0"/>
              <w:jc w:val="center"/>
              <w:rPr>
                <w:rFonts w:ascii="Times New Roman" w:hAnsi="Times New Roman" w:cs="Times New Roman" w:eastAsia="Times New Roman" w:hint="default"/>
                <w:sz w:val="18"/>
                <w:szCs w:val="18"/>
              </w:rPr>
            </w:pPr>
            <w:r>
              <w:rPr>
                <w:rFonts w:ascii="Times New Roman"/>
                <w:sz w:val="18"/>
              </w:rPr>
              <w:t>1,428</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359" w:right="0"/>
              <w:jc w:val="center"/>
              <w:rPr>
                <w:rFonts w:ascii="Times New Roman" w:hAnsi="Times New Roman" w:cs="Times New Roman" w:eastAsia="Times New Roman" w:hint="default"/>
                <w:sz w:val="18"/>
                <w:szCs w:val="18"/>
              </w:rPr>
            </w:pPr>
            <w:r>
              <w:rPr>
                <w:rFonts w:ascii="Times New Roman"/>
                <w:sz w:val="18"/>
              </w:rPr>
              <w:t>0</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360" w:right="0"/>
              <w:jc w:val="center"/>
              <w:rPr>
                <w:rFonts w:ascii="Times New Roman" w:hAnsi="Times New Roman" w:cs="Times New Roman" w:eastAsia="Times New Roman" w:hint="default"/>
                <w:sz w:val="18"/>
                <w:szCs w:val="18"/>
              </w:rPr>
            </w:pPr>
            <w:r>
              <w:rPr>
                <w:rFonts w:ascii="Times New Roman"/>
                <w:sz w:val="18"/>
              </w:rPr>
              <w:t>0</w:t>
            </w:r>
          </w:p>
        </w:tc>
      </w:tr>
      <w:tr>
        <w:trPr>
          <w:trHeight w:val="277" w:hRule="exact"/>
        </w:trPr>
        <w:tc>
          <w:tcPr>
            <w:tcW w:w="401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643" w:right="0"/>
              <w:jc w:val="left"/>
              <w:rPr>
                <w:rFonts w:ascii="宋体" w:hAnsi="宋体" w:cs="宋体" w:eastAsia="宋体" w:hint="default"/>
                <w:sz w:val="18"/>
                <w:szCs w:val="18"/>
              </w:rPr>
            </w:pPr>
            <w:r>
              <w:rPr>
                <w:rFonts w:ascii="宋体" w:hAnsi="宋体" w:cs="宋体" w:eastAsia="宋体" w:hint="default"/>
                <w:sz w:val="18"/>
                <w:szCs w:val="18"/>
              </w:rPr>
              <w:t>合计（万元）</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361" w:right="0"/>
              <w:jc w:val="center"/>
              <w:rPr>
                <w:rFonts w:ascii="Times New Roman" w:hAnsi="Times New Roman" w:cs="Times New Roman" w:eastAsia="Times New Roman" w:hint="default"/>
                <w:sz w:val="18"/>
                <w:szCs w:val="18"/>
              </w:rPr>
            </w:pPr>
            <w:r>
              <w:rPr>
                <w:rFonts w:ascii="Times New Roman"/>
                <w:sz w:val="18"/>
              </w:rPr>
              <w:t>6,571</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507"/>
              <w:jc w:val="right"/>
              <w:rPr>
                <w:rFonts w:ascii="Times New Roman" w:hAnsi="Times New Roman" w:cs="Times New Roman" w:eastAsia="Times New Roman" w:hint="default"/>
                <w:sz w:val="18"/>
                <w:szCs w:val="18"/>
              </w:rPr>
            </w:pPr>
            <w:r>
              <w:rPr>
                <w:rFonts w:ascii="Times New Roman"/>
                <w:sz w:val="18"/>
              </w:rPr>
              <w:t>3,805</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506"/>
              <w:jc w:val="right"/>
              <w:rPr>
                <w:rFonts w:ascii="Times New Roman" w:hAnsi="Times New Roman" w:cs="Times New Roman" w:eastAsia="Times New Roman" w:hint="default"/>
                <w:sz w:val="18"/>
                <w:szCs w:val="18"/>
              </w:rPr>
            </w:pPr>
            <w:r>
              <w:rPr>
                <w:rFonts w:ascii="Times New Roman"/>
                <w:sz w:val="18"/>
              </w:rPr>
              <w:t>4,651</w:t>
            </w:r>
          </w:p>
        </w:tc>
      </w:tr>
    </w:tbl>
    <w:p>
      <w:pPr>
        <w:pStyle w:val="BodyText"/>
        <w:spacing w:line="316" w:lineRule="auto" w:before="5"/>
        <w:ind w:left="1134" w:right="1130" w:firstLine="360"/>
        <w:jc w:val="both"/>
      </w:pPr>
      <w:r>
        <w:rPr>
          <w:spacing w:val="-2"/>
        </w:rPr>
        <w:t>虽然</w:t>
      </w:r>
      <w:r>
        <w:rPr>
          <w:rFonts w:ascii="宋体" w:hAnsi="宋体" w:cs="宋体" w:eastAsia="宋体" w:hint="default"/>
          <w:spacing w:val="-2"/>
        </w:rPr>
        <w:t>2014</w:t>
      </w:r>
      <w:r>
        <w:rPr>
          <w:spacing w:val="-2"/>
        </w:rPr>
        <w:t>年公司专职的研发团队保持在</w:t>
      </w:r>
      <w:r>
        <w:rPr>
          <w:rFonts w:ascii="宋体" w:hAnsi="宋体" w:cs="宋体" w:eastAsia="宋体" w:hint="default"/>
          <w:spacing w:val="-2"/>
        </w:rPr>
        <w:t>24</w:t>
      </w:r>
      <w:r>
        <w:rPr>
          <w:spacing w:val="-2"/>
        </w:rPr>
        <w:t>人的规模，但是其中的技术专家和骨干的比重相比较</w:t>
      </w:r>
      <w:r>
        <w:rPr>
          <w:rFonts w:ascii="宋体" w:hAnsi="宋体" w:cs="宋体" w:eastAsia="宋体" w:hint="default"/>
          <w:spacing w:val="-2"/>
        </w:rPr>
        <w:t>2013</w:t>
      </w:r>
      <w:r>
        <w:rPr>
          <w:spacing w:val="-2"/>
        </w:rPr>
        <w:t>年已经大大降低。可</w:t>
      </w:r>
      <w:r>
        <w:rPr/>
        <w:t> 以看到在研发人员结构变化之后，</w:t>
      </w:r>
      <w:r>
        <w:rPr>
          <w:rFonts w:ascii="宋体" w:hAnsi="宋体" w:cs="宋体" w:eastAsia="宋体" w:hint="default"/>
        </w:rPr>
        <w:t>2014</w:t>
      </w:r>
      <w:r>
        <w:rPr/>
        <w:t>年研发团队的费用比</w:t>
      </w:r>
      <w:r>
        <w:rPr>
          <w:rFonts w:ascii="宋体" w:hAnsi="宋体" w:cs="宋体" w:eastAsia="宋体" w:hint="default"/>
        </w:rPr>
        <w:t>2013</w:t>
      </w:r>
      <w:r>
        <w:rPr/>
        <w:t>年下降了</w:t>
      </w:r>
      <w:r>
        <w:rPr>
          <w:rFonts w:ascii="宋体" w:hAnsi="宋体" w:cs="宋体" w:eastAsia="宋体" w:hint="default"/>
        </w:rPr>
        <w:t>18.19%</w:t>
      </w:r>
      <w:r>
        <w:rPr/>
        <w:t>。</w:t>
      </w:r>
    </w:p>
    <w:p>
      <w:pPr>
        <w:pStyle w:val="BodyText"/>
        <w:spacing w:line="316" w:lineRule="auto" w:before="19"/>
        <w:ind w:right="1131" w:firstLine="360"/>
        <w:jc w:val="both"/>
      </w:pPr>
      <w:r>
        <w:rPr>
          <w:rFonts w:ascii="宋体" w:hAnsi="宋体" w:cs="宋体" w:eastAsia="宋体" w:hint="default"/>
          <w:spacing w:val="-2"/>
        </w:rPr>
        <w:t>2015</w:t>
      </w:r>
      <w:r>
        <w:rPr>
          <w:spacing w:val="-2"/>
        </w:rPr>
        <w:t>年公司成功上市后，募集资金到位，公司依据新的战略布局，高度重视技术研发和产品创新能力的建设，坚持走产</w:t>
      </w:r>
      <w:r>
        <w:rPr/>
        <w:t> </w:t>
      </w:r>
      <w:r>
        <w:rPr>
          <w:spacing w:val="-2"/>
        </w:rPr>
        <w:t>品化的</w:t>
      </w:r>
      <w:r>
        <w:rPr>
          <w:rFonts w:ascii="宋体" w:hAnsi="宋体" w:cs="宋体" w:eastAsia="宋体" w:hint="default"/>
          <w:spacing w:val="-2"/>
        </w:rPr>
        <w:t>IT</w:t>
      </w:r>
      <w:r>
        <w:rPr>
          <w:spacing w:val="-2"/>
        </w:rPr>
        <w:t>产业发展道路，通过技术创新引领产品和服务创新，从研发理念到组织机构，研发流程制度等方面均进行了系统的</w:t>
      </w:r>
      <w:r>
        <w:rPr>
          <w:spacing w:val="-64"/>
        </w:rPr>
        <w:t> </w:t>
      </w:r>
      <w:r>
        <w:rPr>
          <w:spacing w:val="-64"/>
        </w:rPr>
      </w:r>
      <w:r>
        <w:rPr/>
        <w:t>构建。</w:t>
      </w:r>
    </w:p>
    <w:p>
      <w:pPr>
        <w:pStyle w:val="BodyText"/>
        <w:spacing w:line="316" w:lineRule="auto" w:before="19"/>
        <w:ind w:right="1132" w:firstLine="360"/>
        <w:jc w:val="both"/>
      </w:pPr>
      <w:r>
        <w:rPr>
          <w:rFonts w:ascii="宋体" w:hAnsi="宋体" w:cs="宋体" w:eastAsia="宋体" w:hint="default"/>
        </w:rPr>
        <w:t>2015</w:t>
      </w:r>
      <w:r>
        <w:rPr/>
        <w:t>年</w:t>
      </w:r>
      <w:r>
        <w:rPr>
          <w:rFonts w:ascii="宋体" w:hAnsi="宋体" w:cs="宋体" w:eastAsia="宋体" w:hint="default"/>
        </w:rPr>
        <w:t>6</w:t>
      </w:r>
      <w:r>
        <w:rPr>
          <w:rFonts w:ascii="宋体" w:hAnsi="宋体" w:cs="宋体" w:eastAsia="宋体" w:hint="default"/>
          <w:spacing w:val="10"/>
        </w:rPr>
        <w:t> </w:t>
      </w:r>
      <w:r>
        <w:rPr>
          <w:spacing w:val="-2"/>
        </w:rPr>
        <w:t>月份在技术架构部基础上，研发中心正式成立。公司积极从社会引进专业人才，并从公司各实施部门抽调技术</w:t>
      </w:r>
      <w:r>
        <w:rPr/>
        <w:t> </w:t>
      </w:r>
      <w:r>
        <w:rPr>
          <w:spacing w:val="-2"/>
        </w:rPr>
        <w:t>精英，在厦门、深圳等地均设立研发试验室。在研发中心经理室下设架构部、测试部、产品部、业务分析部、实施部、开发</w:t>
      </w:r>
      <w:r>
        <w:rPr>
          <w:spacing w:val="-67"/>
        </w:rPr>
        <w:t> </w:t>
      </w:r>
      <w:r>
        <w:rPr>
          <w:spacing w:val="-67"/>
        </w:rPr>
      </w:r>
      <w:r>
        <w:rPr/>
        <w:t>部</w:t>
      </w:r>
      <w:r>
        <w:rPr>
          <w:rFonts w:ascii="宋体" w:hAnsi="宋体" w:cs="宋体" w:eastAsia="宋体" w:hint="default"/>
        </w:rPr>
        <w:t>6</w:t>
      </w:r>
      <w:r>
        <w:rPr/>
        <w:t>个部门，专职研发人员陆续增加，到年底达到</w:t>
      </w:r>
      <w:r>
        <w:rPr>
          <w:rFonts w:ascii="宋体" w:hAnsi="宋体" w:cs="宋体" w:eastAsia="宋体" w:hint="default"/>
        </w:rPr>
        <w:t>150</w:t>
      </w:r>
      <w:r>
        <w:rPr/>
        <w:t>人规模。</w:t>
      </w:r>
    </w:p>
    <w:p>
      <w:pPr>
        <w:pStyle w:val="BodyText"/>
        <w:spacing w:line="316" w:lineRule="auto" w:before="19"/>
        <w:ind w:right="1131" w:firstLine="360"/>
        <w:jc w:val="both"/>
      </w:pPr>
      <w:r>
        <w:rPr>
          <w:rFonts w:ascii="宋体" w:hAnsi="宋体" w:cs="宋体" w:eastAsia="宋体" w:hint="default"/>
          <w:spacing w:val="-2"/>
        </w:rPr>
        <w:t>2015</w:t>
      </w:r>
      <w:r>
        <w:rPr>
          <w:spacing w:val="-2"/>
        </w:rPr>
        <w:t>年研发投入达到</w:t>
      </w:r>
      <w:r>
        <w:rPr>
          <w:rFonts w:ascii="宋体" w:hAnsi="宋体" w:cs="宋体" w:eastAsia="宋体" w:hint="default"/>
          <w:spacing w:val="-2"/>
        </w:rPr>
        <w:t>6,571</w:t>
      </w:r>
      <w:r>
        <w:rPr>
          <w:spacing w:val="-2"/>
        </w:rPr>
        <w:t>万元，其中计入管理费用</w:t>
      </w:r>
      <w:r>
        <w:rPr>
          <w:rFonts w:ascii="宋体" w:hAnsi="宋体" w:cs="宋体" w:eastAsia="宋体" w:hint="default"/>
          <w:spacing w:val="-2"/>
        </w:rPr>
        <w:t>-</w:t>
      </w:r>
      <w:r>
        <w:rPr>
          <w:spacing w:val="-2"/>
        </w:rPr>
        <w:t>研发费用</w:t>
      </w:r>
      <w:r>
        <w:rPr>
          <w:rFonts w:ascii="宋体" w:hAnsi="宋体" w:cs="宋体" w:eastAsia="宋体" w:hint="default"/>
          <w:spacing w:val="-2"/>
        </w:rPr>
        <w:t>4,765</w:t>
      </w:r>
      <w:r>
        <w:rPr>
          <w:spacing w:val="-2"/>
        </w:rPr>
        <w:t>万元。研发支出资本化的金额为</w:t>
      </w:r>
      <w:r>
        <w:rPr>
          <w:rFonts w:ascii="宋体" w:hAnsi="宋体" w:cs="宋体" w:eastAsia="宋体" w:hint="default"/>
          <w:spacing w:val="-2"/>
        </w:rPr>
        <w:t>1,806</w:t>
      </w:r>
      <w:r>
        <w:rPr>
          <w:spacing w:val="-2"/>
        </w:rPr>
        <w:t>万元，当期形</w:t>
      </w:r>
      <w:r>
        <w:rPr/>
        <w:t> 成无形资产的金额为</w:t>
      </w:r>
      <w:r>
        <w:rPr>
          <w:rFonts w:ascii="宋体" w:hAnsi="宋体" w:cs="宋体" w:eastAsia="宋体" w:hint="default"/>
        </w:rPr>
        <w:t>378</w:t>
      </w:r>
      <w:r>
        <w:rPr/>
        <w:t>万元。研发支出资本化在项目中的具体情况为：</w:t>
      </w:r>
    </w:p>
    <w:tbl>
      <w:tblPr>
        <w:tblW w:w="0" w:type="auto"/>
        <w:jc w:val="left"/>
        <w:tblInd w:w="1198" w:type="dxa"/>
        <w:tblLayout w:type="fixed"/>
        <w:tblCellMar>
          <w:top w:w="0" w:type="dxa"/>
          <w:left w:w="0" w:type="dxa"/>
          <w:bottom w:w="0" w:type="dxa"/>
          <w:right w:w="0" w:type="dxa"/>
        </w:tblCellMar>
        <w:tblLook w:val="01E0"/>
      </w:tblPr>
      <w:tblGrid>
        <w:gridCol w:w="3119"/>
        <w:gridCol w:w="1701"/>
        <w:gridCol w:w="4679"/>
      </w:tblGrid>
      <w:tr>
        <w:trPr>
          <w:trHeight w:val="448"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资本化项目</w:t>
            </w:r>
            <w:r>
              <w:rPr>
                <w:rFonts w:ascii="宋体" w:hAnsi="宋体" w:cs="宋体" w:eastAsia="宋体" w:hint="default"/>
                <w:sz w:val="18"/>
                <w:szCs w:val="18"/>
              </w:rPr>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03" w:right="0"/>
              <w:jc w:val="left"/>
              <w:rPr>
                <w:rFonts w:ascii="宋体" w:hAnsi="宋体" w:cs="宋体" w:eastAsia="宋体" w:hint="default"/>
                <w:sz w:val="18"/>
                <w:szCs w:val="18"/>
              </w:rPr>
            </w:pPr>
            <w:r>
              <w:rPr>
                <w:rFonts w:ascii="宋体" w:hAnsi="宋体" w:cs="宋体" w:eastAsia="宋体" w:hint="default"/>
                <w:b/>
                <w:bCs/>
                <w:sz w:val="18"/>
                <w:szCs w:val="18"/>
              </w:rPr>
              <w:t>金额（万元）</w:t>
            </w:r>
            <w:r>
              <w:rPr>
                <w:rFonts w:ascii="宋体" w:hAnsi="宋体" w:cs="宋体" w:eastAsia="宋体" w:hint="default"/>
                <w:sz w:val="18"/>
                <w:szCs w:val="18"/>
              </w:rPr>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20" w:right="0"/>
              <w:jc w:val="left"/>
              <w:rPr>
                <w:rFonts w:ascii="宋体" w:hAnsi="宋体" w:cs="宋体" w:eastAsia="宋体" w:hint="default"/>
                <w:sz w:val="18"/>
                <w:szCs w:val="18"/>
              </w:rPr>
            </w:pPr>
            <w:r>
              <w:rPr>
                <w:rFonts w:ascii="宋体" w:hAnsi="宋体" w:cs="宋体" w:eastAsia="宋体" w:hint="default"/>
                <w:b/>
                <w:bCs/>
                <w:sz w:val="18"/>
                <w:szCs w:val="18"/>
              </w:rPr>
              <w:t>具体进展及转化情况</w:t>
            </w:r>
            <w:r>
              <w:rPr>
                <w:rFonts w:ascii="宋体" w:hAnsi="宋体" w:cs="宋体" w:eastAsia="宋体" w:hint="default"/>
                <w:sz w:val="18"/>
                <w:szCs w:val="18"/>
              </w:rPr>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信用风险缓释</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378</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无形资产，已有销售案例，在进行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期改造优化</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保险业务系统开发平台</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782</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在产品</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核心业务系</w:t>
            </w:r>
            <w:r>
              <w:rPr>
                <w:rFonts w:ascii="宋体" w:hAnsi="宋体" w:cs="宋体" w:eastAsia="宋体" w:hint="default"/>
                <w:spacing w:val="-90"/>
                <w:sz w:val="18"/>
                <w:szCs w:val="18"/>
              </w:rPr>
              <w:t>统</w:t>
            </w:r>
            <w:r>
              <w:rPr>
                <w:rFonts w:ascii="宋体" w:hAnsi="宋体" w:cs="宋体" w:eastAsia="宋体" w:hint="default"/>
                <w:sz w:val="18"/>
                <w:szCs w:val="18"/>
              </w:rPr>
              <w:t>（五期</w:t>
            </w:r>
            <w:r>
              <w:rPr>
                <w:rFonts w:ascii="宋体" w:hAnsi="宋体" w:cs="宋体" w:eastAsia="宋体" w:hint="default"/>
                <w:spacing w:val="-64"/>
                <w:sz w:val="18"/>
                <w:szCs w:val="18"/>
              </w:rPr>
              <w:t> </w:t>
            </w:r>
            <w:r>
              <w:rPr>
                <w:rFonts w:ascii="Times New Roman" w:hAnsi="Times New Roman" w:cs="Times New Roman" w:eastAsia="Times New Roman" w:hint="default"/>
                <w:spacing w:val="-1"/>
                <w:w w:val="99"/>
                <w:sz w:val="18"/>
                <w:szCs w:val="18"/>
              </w:rPr>
              <w:t>SAA</w:t>
            </w:r>
            <w:r>
              <w:rPr>
                <w:rFonts w:ascii="Times New Roman" w:hAnsi="Times New Roman" w:cs="Times New Roman" w:eastAsia="Times New Roman" w:hint="default"/>
                <w:w w:val="99"/>
                <w:sz w:val="18"/>
                <w:szCs w:val="18"/>
              </w:rPr>
              <w:t>S</w:t>
            </w:r>
            <w:r>
              <w:rPr>
                <w:rFonts w:ascii="Times New Roman" w:hAnsi="Times New Roman" w:cs="Times New Roman" w:eastAsia="Times New Roman" w:hint="default"/>
                <w:spacing w:val="-19"/>
                <w:sz w:val="18"/>
                <w:szCs w:val="18"/>
              </w:rPr>
              <w:t> </w:t>
            </w:r>
            <w:r>
              <w:rPr>
                <w:rFonts w:ascii="宋体" w:hAnsi="宋体" w:cs="宋体" w:eastAsia="宋体" w:hint="default"/>
                <w:spacing w:val="1"/>
                <w:sz w:val="18"/>
                <w:szCs w:val="18"/>
              </w:rPr>
              <w:t>托</w:t>
            </w:r>
            <w:r>
              <w:rPr>
                <w:rFonts w:ascii="宋体" w:hAnsi="宋体" w:cs="宋体" w:eastAsia="宋体" w:hint="default"/>
                <w:sz w:val="18"/>
                <w:szCs w:val="18"/>
              </w:rPr>
              <w:t>管</w:t>
            </w:r>
            <w:r>
              <w:rPr>
                <w:rFonts w:ascii="Times New Roman" w:hAnsi="Times New Roman" w:cs="Times New Roman" w:eastAsia="Times New Roman" w:hint="default"/>
                <w:sz w:val="18"/>
                <w:szCs w:val="18"/>
              </w:rPr>
              <w:t>\</w:t>
            </w:r>
            <w:r>
              <w:rPr>
                <w:rFonts w:ascii="宋体" w:hAnsi="宋体" w:cs="宋体" w:eastAsia="宋体" w:hint="default"/>
                <w:sz w:val="18"/>
                <w:szCs w:val="18"/>
              </w:rPr>
              <w:t>四期）</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421</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在产品</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大数据分析平台</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125</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在产品</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业务集成管理系统</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100</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在产品，公司自用，进入二期开发</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1,806</w:t>
            </w:r>
          </w:p>
        </w:tc>
        <w:tc>
          <w:tcPr>
            <w:tcW w:w="467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16" w:lineRule="auto" w:before="19"/>
        <w:ind w:left="1134" w:right="1130" w:firstLine="360"/>
        <w:jc w:val="both"/>
      </w:pPr>
      <w:r>
        <w:rPr/>
        <w:t>在人员规模逐渐增加的同时，公司设立了由业务专家组成的研发委员会，指导</w:t>
      </w:r>
      <w:r>
        <w:rPr>
          <w:rFonts w:ascii="宋体" w:hAnsi="宋体" w:cs="宋体" w:eastAsia="宋体" w:hint="default"/>
        </w:rPr>
        <w:t>PQA</w:t>
      </w:r>
      <w:r>
        <w:rPr/>
        <w:t>部门、项目管理部逐步完善研发管理 </w:t>
      </w:r>
      <w:r>
        <w:rPr>
          <w:spacing w:val="-2"/>
        </w:rPr>
        <w:t>流程，从研发立项评审，市场机会获取，预算评估，阶段监控、结项评审、成果转化等均设置了相应管理流程，每个研发项</w:t>
      </w:r>
      <w:r>
        <w:rPr>
          <w:spacing w:val="-72"/>
        </w:rPr>
        <w:t> </w:t>
      </w:r>
      <w:r>
        <w:rPr>
          <w:spacing w:val="-72"/>
        </w:rPr>
      </w:r>
      <w:r>
        <w:rPr>
          <w:spacing w:val="-2"/>
        </w:rPr>
        <w:t>目均会从可行性分析、立项计划书、立项报告、项目预算、决策分析等方面提交委员会进行评审，结项时针对相应计划进行</w:t>
      </w:r>
      <w:r>
        <w:rPr>
          <w:spacing w:val="-66"/>
        </w:rPr>
        <w:t> </w:t>
      </w:r>
      <w:r>
        <w:rPr>
          <w:spacing w:val="-66"/>
        </w:rPr>
      </w:r>
      <w:r>
        <w:rPr/>
        <w:t>验收评估。从根本上改变了上市前，由各实施部门封闭管理的模式。</w:t>
      </w:r>
    </w:p>
    <w:p>
      <w:pPr>
        <w:pStyle w:val="BodyText"/>
        <w:spacing w:line="316" w:lineRule="auto" w:before="19"/>
        <w:ind w:right="1036" w:firstLine="360"/>
        <w:jc w:val="left"/>
      </w:pPr>
      <w:r>
        <w:rPr>
          <w:spacing w:val="-2"/>
        </w:rPr>
        <w:t>财务人员根据会计准则“开发支出资本化”的必要条件对公司各项目开发阶段的支出进行严格判断，从技术可行性、出</w:t>
      </w:r>
      <w:r>
        <w:rPr/>
        <w:t> 售意图、市场可行性或内部使用价值、财务资源、支出可靠计量等五个方面进行判断，</w:t>
      </w:r>
      <w:r>
        <w:rPr>
          <w:rFonts w:ascii="宋体" w:hAnsi="宋体" w:cs="宋体" w:eastAsia="宋体" w:hint="default"/>
        </w:rPr>
        <w:t>2015</w:t>
      </w:r>
      <w:r>
        <w:rPr/>
        <w:t>年末“</w:t>
      </w:r>
      <w:r>
        <w:rPr>
          <w:rFonts w:ascii="宋体" w:hAnsi="宋体" w:cs="宋体" w:eastAsia="宋体" w:hint="default"/>
        </w:rPr>
        <w:t>EasyCMS</w:t>
      </w:r>
      <w:r>
        <w:rPr/>
        <w:t>风险缓释管理系</w:t>
      </w:r>
      <w:r>
        <w:rPr>
          <w:spacing w:val="-84"/>
        </w:rPr>
        <w:t> </w:t>
      </w:r>
      <w:r>
        <w:rPr>
          <w:spacing w:val="-3"/>
        </w:rPr>
        <w:t>统”成功结项验收，并获得民生银行签约，取得版权”</w:t>
      </w:r>
      <w:r>
        <w:rPr>
          <w:rFonts w:ascii="宋体" w:hAnsi="宋体" w:cs="宋体" w:eastAsia="宋体" w:hint="default"/>
          <w:spacing w:val="-3"/>
        </w:rPr>
        <w:t>EasyCMS</w:t>
      </w:r>
      <w:r>
        <w:rPr>
          <w:spacing w:val="-3"/>
        </w:rPr>
        <w:t>风险缓释管理系统</w:t>
      </w:r>
      <w:r>
        <w:rPr>
          <w:rFonts w:ascii="宋体" w:hAnsi="宋体" w:cs="宋体" w:eastAsia="宋体" w:hint="default"/>
          <w:spacing w:val="-3"/>
        </w:rPr>
        <w:t>V1.1</w:t>
      </w:r>
      <w:r>
        <w:rPr>
          <w:spacing w:val="-3"/>
        </w:rPr>
        <w:t>”</w:t>
      </w:r>
      <w:r>
        <w:rPr>
          <w:rFonts w:ascii="宋体" w:hAnsi="宋体" w:cs="宋体" w:eastAsia="宋体" w:hint="default"/>
          <w:spacing w:val="-3"/>
        </w:rPr>
        <w:t>,</w:t>
      </w:r>
      <w:r>
        <w:rPr>
          <w:spacing w:val="-3"/>
        </w:rPr>
        <w:t>同时在一些商业银行获得商业机会，</w:t>
      </w:r>
      <w:r>
        <w:rPr>
          <w:spacing w:val="-81"/>
        </w:rPr>
        <w:t> </w:t>
      </w:r>
      <w:r>
        <w:rPr>
          <w:spacing w:val="-81"/>
        </w:rPr>
      </w:r>
      <w:r>
        <w:rPr>
          <w:spacing w:val="-2"/>
        </w:rPr>
        <w:t>符合无形资产确认条件；另外保险业务系统、核心业务系统</w:t>
      </w:r>
      <w:r>
        <w:rPr>
          <w:rFonts w:ascii="宋体" w:hAnsi="宋体" w:cs="宋体" w:eastAsia="宋体" w:hint="default"/>
          <w:spacing w:val="-2"/>
        </w:rPr>
        <w:t>(SAAS</w:t>
      </w:r>
      <w:r>
        <w:rPr>
          <w:spacing w:val="-2"/>
        </w:rPr>
        <w:t>托管</w:t>
      </w:r>
      <w:r>
        <w:rPr>
          <w:rFonts w:ascii="宋体" w:hAnsi="宋体" w:cs="宋体" w:eastAsia="宋体" w:hint="default"/>
          <w:spacing w:val="-2"/>
        </w:rPr>
        <w:t>)</w:t>
      </w:r>
      <w:r>
        <w:rPr>
          <w:spacing w:val="-2"/>
        </w:rPr>
        <w:t>、大数据分析平台、业务管理集成系统（自用）四个</w:t>
      </w:r>
      <w:r>
        <w:rPr>
          <w:spacing w:val="-62"/>
        </w:rPr>
        <w:t> </w:t>
      </w:r>
      <w:r>
        <w:rPr>
          <w:spacing w:val="-62"/>
        </w:rPr>
      </w:r>
      <w:r>
        <w:rPr>
          <w:spacing w:val="-2"/>
        </w:rPr>
        <w:t>项目</w:t>
      </w:r>
      <w:r>
        <w:rPr>
          <w:rFonts w:ascii="宋体" w:hAnsi="宋体" w:cs="宋体" w:eastAsia="宋体" w:hint="default"/>
          <w:spacing w:val="-2"/>
        </w:rPr>
        <w:t>2015</w:t>
      </w:r>
      <w:r>
        <w:rPr>
          <w:spacing w:val="-2"/>
        </w:rPr>
        <w:t>年末还处在开发阶段，预计会在</w:t>
      </w:r>
      <w:r>
        <w:rPr>
          <w:rFonts w:ascii="宋体" w:hAnsi="宋体" w:cs="宋体" w:eastAsia="宋体" w:hint="default"/>
          <w:spacing w:val="-2"/>
        </w:rPr>
        <w:t>2016</w:t>
      </w:r>
      <w:r>
        <w:rPr>
          <w:spacing w:val="-2"/>
        </w:rPr>
        <w:t>年陆续结项验收。其余研发项目，由于市场可行性证据不足，经审计师确认不</w:t>
      </w:r>
      <w:r>
        <w:rPr>
          <w:spacing w:val="-59"/>
        </w:rPr>
        <w:t> </w:t>
      </w:r>
      <w:r>
        <w:rPr>
          <w:spacing w:val="-59"/>
        </w:rPr>
      </w:r>
      <w:r>
        <w:rPr/>
        <w:t>符合资本化条件，于当年费用化计入损益。</w:t>
      </w:r>
    </w:p>
    <w:p>
      <w:pPr>
        <w:spacing w:after="0" w:line="316" w:lineRule="auto"/>
        <w:jc w:val="left"/>
        <w:sectPr>
          <w:pgSz w:w="11910" w:h="16840"/>
          <w:pgMar w:header="877" w:footer="1187" w:top="1100" w:bottom="1380" w:left="0" w:right="0"/>
        </w:sectPr>
      </w:pPr>
    </w:p>
    <w:p>
      <w:pPr>
        <w:spacing w:line="240" w:lineRule="auto" w:before="10"/>
        <w:rPr>
          <w:rFonts w:ascii="宋体" w:hAnsi="宋体" w:cs="宋体" w:eastAsia="宋体" w:hint="default"/>
          <w:sz w:val="20"/>
          <w:szCs w:val="20"/>
        </w:rPr>
      </w:pPr>
    </w:p>
    <w:p>
      <w:pPr>
        <w:pStyle w:val="Heading4"/>
        <w:spacing w:line="240" w:lineRule="auto" w:before="35"/>
        <w:ind w:right="0"/>
        <w:jc w:val="left"/>
        <w:rPr>
          <w:b w:val="0"/>
          <w:bCs w:val="0"/>
        </w:rPr>
      </w:pPr>
      <w:bookmarkStart w:name="5、现金流" w:id="37"/>
      <w:bookmarkEnd w:id="37"/>
      <w:r>
        <w:rPr>
          <w:b w:val="0"/>
          <w:bCs w:val="0"/>
        </w:rPr>
      </w:r>
      <w:r>
        <w:rPr>
          <w:rFonts w:ascii="Times New Roman" w:hAnsi="Times New Roman" w:cs="Times New Roman" w:eastAsia="Times New Roman" w:hint="default"/>
        </w:rPr>
        <w:t>5</w:t>
      </w:r>
      <w:r>
        <w:rPr/>
        <w:t>、现金流</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369"/>
        <w:gridCol w:w="2405"/>
        <w:gridCol w:w="2392"/>
        <w:gridCol w:w="2464"/>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990,425,921.21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1,073,611,561.84</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-7.75%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959,747,075.01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1,034,076,357.91</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-7.19%</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30,678,846.20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39,535,203.93</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-22.40%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203,186.93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3,100.53</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6,453.30%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100,392,945.61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6,892,914.50</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1,356.47%</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-100,189,758.68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-6,889,813.97</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1,354.17%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418,441,642.00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150,590,000.00</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177.87%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200,930,682.37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108,713,319.10</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84.83%</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217,510,959.63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41,876,680.90</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419.41%</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148,000,051.34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74,522,071.03</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98.60%</w:t>
            </w:r>
          </w:p>
        </w:tc>
      </w:tr>
    </w:tbl>
    <w:p>
      <w:pPr>
        <w:pStyle w:val="BodyText"/>
        <w:spacing w:line="240" w:lineRule="auto" w:before="51"/>
        <w:ind w:left="1134" w:right="0"/>
        <w:jc w:val="both"/>
      </w:pPr>
      <w:r>
        <w:rPr/>
        <w:t>相关数据同比发生重大变动的主要影响因素说明</w:t>
      </w:r>
    </w:p>
    <w:p>
      <w:pPr>
        <w:pStyle w:val="BodyText"/>
        <w:spacing w:line="240" w:lineRule="auto" w:before="116"/>
        <w:ind w:left="1134"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80" w:lineRule="auto" w:before="62"/>
        <w:ind w:right="1131" w:firstLine="360"/>
        <w:jc w:val="both"/>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8</w:t>
      </w:r>
      <w:r>
        <w:rPr>
          <w:spacing w:val="-2"/>
        </w:rPr>
        <w:t>日，经中国证券监督管理委员会《关于核准高伟达软件股份有限公司首次公开发行股票的批复》（证监许可</w:t>
      </w:r>
      <w:r>
        <w:rPr/>
        <w:t> </w:t>
      </w:r>
      <w:r>
        <w:rPr>
          <w:rFonts w:ascii="Times New Roman" w:hAnsi="Times New Roman" w:cs="Times New Roman" w:eastAsia="Times New Roman" w:hint="default"/>
        </w:rPr>
        <w:t>[2015]833</w:t>
      </w:r>
      <w:r>
        <w:rPr/>
        <w:t>号）核准，本公司公开发行人民币普通股股票</w:t>
      </w:r>
      <w:r>
        <w:rPr>
          <w:rFonts w:ascii="Times New Roman" w:hAnsi="Times New Roman" w:cs="Times New Roman" w:eastAsia="Times New Roman" w:hint="default"/>
        </w:rPr>
        <w:t>33,340,000</w:t>
      </w:r>
      <w:r>
        <w:rPr/>
        <w:t>股，公开发行后股份总额为</w:t>
      </w:r>
      <w:r>
        <w:rPr>
          <w:rFonts w:ascii="Times New Roman" w:hAnsi="Times New Roman" w:cs="Times New Roman" w:eastAsia="Times New Roman" w:hint="default"/>
        </w:rPr>
        <w:t>133,340,000</w:t>
      </w:r>
      <w:r>
        <w:rPr/>
        <w:t>股。</w:t>
      </w:r>
    </w:p>
    <w:p>
      <w:pPr>
        <w:pStyle w:val="BodyText"/>
        <w:spacing w:line="240" w:lineRule="auto" w:before="48"/>
        <w:ind w:left="1494" w:right="0"/>
        <w:jc w:val="left"/>
      </w:pPr>
      <w:r>
        <w:rPr/>
        <w:t>本公司于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16</w:t>
      </w:r>
      <w:r>
        <w:rPr/>
        <w:t>日召开第二届董事会第十五次会议，会议审议通过了《关于使用自有资金收购盈行金融信息服务</w:t>
      </w:r>
    </w:p>
    <w:p>
      <w:pPr>
        <w:pStyle w:val="BodyText"/>
        <w:spacing w:line="280" w:lineRule="auto" w:before="43"/>
        <w:ind w:right="1129"/>
        <w:jc w:val="both"/>
      </w:pPr>
      <w:r>
        <w:rPr/>
        <w:t>（上海）有限公司</w:t>
      </w:r>
      <w:r>
        <w:rPr>
          <w:rFonts w:ascii="Times New Roman" w:hAnsi="Times New Roman" w:cs="Times New Roman" w:eastAsia="Times New Roman" w:hint="default"/>
        </w:rPr>
        <w:t>30%</w:t>
      </w:r>
      <w:r>
        <w:rPr/>
        <w:t>股权的议案</w:t>
      </w:r>
      <w:r>
        <w:rPr>
          <w:rFonts w:ascii="Times New Roman" w:hAnsi="Times New Roman" w:cs="Times New Roman" w:eastAsia="Times New Roman" w:hint="default"/>
          <w:position w:val="8"/>
          <w:sz w:val="12"/>
          <w:szCs w:val="12"/>
        </w:rPr>
        <w:t>1</w:t>
      </w:r>
      <w:r>
        <w:rPr/>
        <w:t>》（以下简称</w:t>
      </w:r>
      <w:r>
        <w:rPr>
          <w:rFonts w:ascii="Times New Roman" w:hAnsi="Times New Roman" w:cs="Times New Roman" w:eastAsia="Times New Roman" w:hint="default"/>
        </w:rPr>
        <w:t>“</w:t>
      </w:r>
      <w:r>
        <w:rPr/>
        <w:t>议案</w:t>
      </w:r>
      <w:r>
        <w:rPr>
          <w:rFonts w:ascii="Times New Roman" w:hAnsi="Times New Roman" w:cs="Times New Roman" w:eastAsia="Times New Roman" w:hint="default"/>
        </w:rPr>
        <w:t>”</w:t>
      </w:r>
      <w:r>
        <w:rPr/>
        <w:t>）。根据议案，本公司与上海易能投资管理合伙企业（有限合伙）</w:t>
      </w:r>
      <w:r>
        <w:rPr>
          <w:spacing w:val="-17"/>
        </w:rPr>
        <w:t> </w:t>
      </w:r>
      <w:r>
        <w:rPr>
          <w:spacing w:val="-17"/>
        </w:rPr>
      </w:r>
      <w:r>
        <w:rPr>
          <w:spacing w:val="-2"/>
        </w:rPr>
        <w:t>签订了《盈行金融信息服务（上海）有限公司股权转让协议》（以下简称</w:t>
      </w:r>
      <w:r>
        <w:rPr>
          <w:rFonts w:ascii="Times New Roman" w:hAnsi="Times New Roman" w:cs="Times New Roman" w:eastAsia="Times New Roman" w:hint="default"/>
          <w:spacing w:val="-2"/>
        </w:rPr>
        <w:t>“</w:t>
      </w:r>
      <w:r>
        <w:rPr>
          <w:spacing w:val="-2"/>
        </w:rPr>
        <w:t>协议</w:t>
      </w:r>
      <w:r>
        <w:rPr>
          <w:rFonts w:ascii="Times New Roman" w:hAnsi="Times New Roman" w:cs="Times New Roman" w:eastAsia="Times New Roman" w:hint="default"/>
          <w:spacing w:val="-2"/>
        </w:rPr>
        <w:t>”</w:t>
      </w:r>
      <w:r>
        <w:rPr>
          <w:spacing w:val="-2"/>
        </w:rPr>
        <w:t>），协议约定本公司根据对盈行金融信息服</w:t>
      </w:r>
      <w:r>
        <w:rPr>
          <w:spacing w:val="-47"/>
        </w:rPr>
        <w:t> </w:t>
      </w:r>
      <w:r>
        <w:rPr>
          <w:spacing w:val="-47"/>
        </w:rPr>
      </w:r>
      <w:r>
        <w:rPr>
          <w:spacing w:val="-1"/>
        </w:rPr>
        <w:t>务（上海）有限公司（以下简称</w:t>
      </w:r>
      <w:r>
        <w:rPr>
          <w:rFonts w:ascii="Times New Roman" w:hAnsi="Times New Roman" w:cs="Times New Roman" w:eastAsia="Times New Roman" w:hint="default"/>
          <w:spacing w:val="-1"/>
        </w:rPr>
        <w:t>“</w:t>
      </w:r>
      <w:r>
        <w:rPr>
          <w:spacing w:val="-1"/>
        </w:rPr>
        <w:t>盈行金融</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1.30</w:t>
      </w:r>
      <w:r>
        <w:rPr>
          <w:spacing w:val="-1"/>
        </w:rPr>
        <w:t>亿元的估值，分两期收购盈行金融</w:t>
      </w:r>
      <w:r>
        <w:rPr>
          <w:rFonts w:ascii="Times New Roman" w:hAnsi="Times New Roman" w:cs="Times New Roman" w:eastAsia="Times New Roman" w:hint="default"/>
          <w:spacing w:val="-1"/>
        </w:rPr>
        <w:t>30.00%</w:t>
      </w:r>
      <w:r>
        <w:rPr>
          <w:spacing w:val="-1"/>
        </w:rPr>
        <w:t>股权，其中首期购股以货币资金</w:t>
      </w:r>
      <w:r>
        <w:rPr>
          <w:spacing w:val="-66"/>
        </w:rPr>
        <w:t> </w:t>
      </w:r>
      <w:r>
        <w:rPr>
          <w:spacing w:val="-66"/>
        </w:rPr>
      </w:r>
      <w:r>
        <w:rPr>
          <w:rFonts w:ascii="Times New Roman" w:hAnsi="Times New Roman" w:cs="Times New Roman" w:eastAsia="Times New Roman" w:hint="default"/>
          <w:spacing w:val="-1"/>
        </w:rPr>
        <w:t>1,950.00</w:t>
      </w:r>
      <w:r>
        <w:rPr>
          <w:spacing w:val="-1"/>
        </w:rPr>
        <w:t>万元人民币收购盈行金融</w:t>
      </w:r>
      <w:r>
        <w:rPr>
          <w:rFonts w:ascii="Times New Roman" w:hAnsi="Times New Roman" w:cs="Times New Roman" w:eastAsia="Times New Roman" w:hint="default"/>
          <w:spacing w:val="-1"/>
        </w:rPr>
        <w:t>15.00%</w:t>
      </w:r>
      <w:r>
        <w:rPr>
          <w:spacing w:val="-1"/>
        </w:rPr>
        <w:t>的股权；第二期购股根据盈行金融</w:t>
      </w:r>
      <w:r>
        <w:rPr>
          <w:rFonts w:ascii="Times New Roman" w:hAnsi="Times New Roman" w:cs="Times New Roman" w:eastAsia="Times New Roman" w:hint="default"/>
          <w:spacing w:val="-1"/>
        </w:rPr>
        <w:t>2016</w:t>
      </w:r>
      <w:r>
        <w:rPr>
          <w:spacing w:val="-1"/>
        </w:rPr>
        <w:t>年相关业绩承诺完成情况（经审计的扣除非</w:t>
      </w:r>
      <w:r>
        <w:rPr>
          <w:spacing w:val="-39"/>
        </w:rPr>
        <w:t> </w:t>
      </w:r>
      <w:r>
        <w:rPr>
          <w:spacing w:val="-39"/>
        </w:rPr>
      </w:r>
      <w:r>
        <w:rPr/>
        <w:t>经常性损益后的净利润不低于</w:t>
      </w:r>
      <w:r>
        <w:rPr>
          <w:rFonts w:ascii="Times New Roman" w:hAnsi="Times New Roman" w:cs="Times New Roman" w:eastAsia="Times New Roman" w:hint="default"/>
        </w:rPr>
        <w:t>371.48</w:t>
      </w:r>
      <w:r>
        <w:rPr/>
        <w:t>万元，平台流水不低于</w:t>
      </w:r>
      <w:r>
        <w:rPr>
          <w:rFonts w:ascii="Times New Roman" w:hAnsi="Times New Roman" w:cs="Times New Roman" w:eastAsia="Times New Roman" w:hint="default"/>
        </w:rPr>
        <w:t>50.00</w:t>
      </w:r>
      <w:r>
        <w:rPr/>
        <w:t>亿元人民币），收购盈行金融另外</w:t>
      </w:r>
      <w:r>
        <w:rPr>
          <w:rFonts w:ascii="Times New Roman" w:hAnsi="Times New Roman" w:cs="Times New Roman" w:eastAsia="Times New Roman" w:hint="default"/>
        </w:rPr>
        <w:t>15.00%</w:t>
      </w:r>
      <w:r>
        <w:rPr/>
        <w:t>股权，购股对价</w:t>
      </w:r>
      <w:r>
        <w:rPr>
          <w:spacing w:val="-16"/>
        </w:rPr>
        <w:t> </w:t>
      </w:r>
      <w:r>
        <w:rPr>
          <w:spacing w:val="-16"/>
        </w:rPr>
      </w:r>
      <w:r>
        <w:rPr/>
        <w:t>为：若盈行金融完成</w:t>
      </w:r>
      <w:r>
        <w:rPr>
          <w:rFonts w:ascii="Times New Roman" w:hAnsi="Times New Roman" w:cs="Times New Roman" w:eastAsia="Times New Roman" w:hint="default"/>
        </w:rPr>
        <w:t>2016</w:t>
      </w:r>
      <w:r>
        <w:rPr/>
        <w:t>年相关业绩承诺，公司对盈行金融的估值不进行调整，第二期购股的对价为</w:t>
      </w:r>
      <w:r>
        <w:rPr>
          <w:rFonts w:ascii="Times New Roman" w:hAnsi="Times New Roman" w:cs="Times New Roman" w:eastAsia="Times New Roman" w:hint="default"/>
        </w:rPr>
        <w:t>1,950.00</w:t>
      </w:r>
      <w:r>
        <w:rPr/>
        <w:t>万元人民币；</w:t>
      </w:r>
      <w:r>
        <w:rPr>
          <w:spacing w:val="-85"/>
        </w:rPr>
        <w:t> </w:t>
      </w:r>
      <w:r>
        <w:rPr>
          <w:spacing w:val="-85"/>
        </w:rPr>
      </w:r>
      <w:r>
        <w:rPr>
          <w:spacing w:val="-2"/>
        </w:rPr>
        <w:t>若盈行金融未完成</w:t>
      </w:r>
      <w:r>
        <w:rPr>
          <w:rFonts w:ascii="Times New Roman" w:hAnsi="Times New Roman" w:cs="Times New Roman" w:eastAsia="Times New Roman" w:hint="default"/>
          <w:spacing w:val="-2"/>
        </w:rPr>
        <w:t>2016</w:t>
      </w:r>
      <w:r>
        <w:rPr>
          <w:spacing w:val="-2"/>
        </w:rPr>
        <w:t>年相关业绩承诺，公司会对盈行金融的估值进行调整，同时公司有权选择暂停或终止第二期购股，或</w:t>
      </w:r>
      <w:r>
        <w:rPr>
          <w:spacing w:val="-62"/>
        </w:rPr>
        <w:t> </w:t>
      </w:r>
      <w:r>
        <w:rPr>
          <w:spacing w:val="-62"/>
        </w:rPr>
      </w:r>
      <w:r>
        <w:rPr>
          <w:spacing w:val="-3"/>
        </w:rPr>
        <w:t>有权选择以下两种方式之一完成第二期购股，（</w:t>
      </w:r>
      <w:r>
        <w:rPr>
          <w:rFonts w:ascii="Times New Roman" w:hAnsi="Times New Roman" w:cs="Times New Roman" w:eastAsia="Times New Roman" w:hint="default"/>
          <w:spacing w:val="-3"/>
        </w:rPr>
        <w:t>1</w:t>
      </w:r>
      <w:r>
        <w:rPr>
          <w:spacing w:val="-3"/>
        </w:rPr>
        <w:t>）以</w:t>
      </w:r>
      <w:r>
        <w:rPr>
          <w:rFonts w:ascii="Times New Roman" w:hAnsi="Times New Roman" w:cs="Times New Roman" w:eastAsia="Times New Roman" w:hint="default"/>
          <w:spacing w:val="-3"/>
        </w:rPr>
        <w:t>2016</w:t>
      </w:r>
      <w:r>
        <w:rPr>
          <w:spacing w:val="-3"/>
        </w:rPr>
        <w:t>年估值为基础购买盈行金融公司</w:t>
      </w:r>
      <w:r>
        <w:rPr>
          <w:rFonts w:ascii="Times New Roman" w:hAnsi="Times New Roman" w:cs="Times New Roman" w:eastAsia="Times New Roman" w:hint="default"/>
          <w:spacing w:val="-3"/>
        </w:rPr>
        <w:t>15.00%</w:t>
      </w:r>
      <w:r>
        <w:rPr>
          <w:spacing w:val="-3"/>
        </w:rPr>
        <w:t>的股权，或（</w:t>
      </w:r>
      <w:r>
        <w:rPr>
          <w:rFonts w:ascii="Times New Roman" w:hAnsi="Times New Roman" w:cs="Times New Roman" w:eastAsia="Times New Roman" w:hint="default"/>
          <w:spacing w:val="-3"/>
        </w:rPr>
        <w:t>2</w:t>
      </w:r>
      <w:r>
        <w:rPr>
          <w:spacing w:val="-3"/>
        </w:rPr>
        <w:t>）以</w:t>
      </w:r>
      <w:r>
        <w:rPr>
          <w:rFonts w:ascii="Times New Roman" w:hAnsi="Times New Roman" w:cs="Times New Roman" w:eastAsia="Times New Roman" w:hint="default"/>
          <w:spacing w:val="-3"/>
        </w:rPr>
        <w:t>1,950.00</w:t>
      </w:r>
      <w:r>
        <w:rPr>
          <w:rFonts w:ascii="Times New Roman" w:hAnsi="Times New Roman" w:cs="Times New Roman" w:eastAsia="Times New Roman" w:hint="default"/>
        </w:rPr>
        <w:t> </w:t>
      </w:r>
      <w:r>
        <w:rPr/>
        <w:t>万元人民币的价格购买根据</w:t>
      </w:r>
      <w:r>
        <w:rPr>
          <w:rFonts w:ascii="Times New Roman" w:hAnsi="Times New Roman" w:cs="Times New Roman" w:eastAsia="Times New Roman" w:hint="default"/>
        </w:rPr>
        <w:t>2016</w:t>
      </w:r>
      <w:r>
        <w:rPr/>
        <w:t>年估值计算得出的相应比例的盈行金融股权。</w:t>
      </w:r>
    </w:p>
    <w:p>
      <w:pPr>
        <w:pStyle w:val="BodyText"/>
        <w:spacing w:line="283" w:lineRule="auto" w:before="48"/>
        <w:ind w:right="1130" w:firstLine="360"/>
        <w:jc w:val="both"/>
      </w:pPr>
      <w:r>
        <w:rPr/>
        <w:t>本公司于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23</w:t>
      </w:r>
      <w:r>
        <w:rPr/>
        <w:t>日召开第二届董事会第十次会议，会议审议通过了《关于使用自有资金对外投资设立合资公司的 </w:t>
      </w:r>
      <w:r>
        <w:rPr>
          <w:spacing w:val="-2"/>
        </w:rPr>
        <w:t>议案》（以下简称</w:t>
      </w:r>
      <w:r>
        <w:rPr>
          <w:rFonts w:ascii="Times New Roman" w:hAnsi="Times New Roman" w:cs="Times New Roman" w:eastAsia="Times New Roman" w:hint="default"/>
          <w:spacing w:val="-2"/>
        </w:rPr>
        <w:t>“</w:t>
      </w:r>
      <w:r>
        <w:rPr>
          <w:spacing w:val="-2"/>
        </w:rPr>
        <w:t>议案</w:t>
      </w:r>
      <w:r>
        <w:rPr>
          <w:rFonts w:ascii="Times New Roman" w:hAnsi="Times New Roman" w:cs="Times New Roman" w:eastAsia="Times New Roman" w:hint="default"/>
          <w:spacing w:val="-2"/>
        </w:rPr>
        <w:t>”</w:t>
      </w:r>
      <w:r>
        <w:rPr>
          <w:spacing w:val="-2"/>
        </w:rPr>
        <w:t>）。根据议案，本公司与兴业财富资产管理有限公司、上海倍远投资管理中心（有限合伙）、福建</w:t>
      </w:r>
      <w:r>
        <w:rPr>
          <w:spacing w:val="-49"/>
        </w:rPr>
        <w:t> </w:t>
      </w:r>
      <w:r>
        <w:rPr>
          <w:spacing w:val="-49"/>
        </w:rPr>
      </w:r>
      <w:r>
        <w:rPr>
          <w:spacing w:val="-2"/>
        </w:rPr>
        <w:t>新大陆云商股权投资企业（有限合伙）和深圳市金正科技股份有限公司共同签订了《发起设立兴业数字金融服务（上海）股</w:t>
      </w:r>
      <w:r>
        <w:rPr>
          <w:spacing w:val="-67"/>
        </w:rPr>
        <w:t> </w:t>
      </w:r>
      <w:r>
        <w:rPr>
          <w:spacing w:val="-67"/>
        </w:rPr>
      </w:r>
      <w:r>
        <w:rPr>
          <w:spacing w:val="-2"/>
        </w:rPr>
        <w:t>份有限公司之发起人协议》（以下简称</w:t>
      </w:r>
      <w:r>
        <w:rPr>
          <w:rFonts w:ascii="Times New Roman" w:hAnsi="Times New Roman" w:cs="Times New Roman" w:eastAsia="Times New Roman" w:hint="default"/>
          <w:spacing w:val="-2"/>
        </w:rPr>
        <w:t>“</w:t>
      </w:r>
      <w:r>
        <w:rPr>
          <w:spacing w:val="-2"/>
        </w:rPr>
        <w:t>协议</w:t>
      </w:r>
      <w:r>
        <w:rPr>
          <w:rFonts w:ascii="Times New Roman" w:hAnsi="Times New Roman" w:cs="Times New Roman" w:eastAsia="Times New Roman" w:hint="default"/>
          <w:spacing w:val="-2"/>
        </w:rPr>
        <w:t>”</w:t>
      </w:r>
      <w:r>
        <w:rPr>
          <w:spacing w:val="-2"/>
        </w:rPr>
        <w:t>），协议约定以上各方共同投资设立一家股份有限公司，即兴业数字金融服务</w:t>
      </w:r>
      <w:r>
        <w:rPr>
          <w:spacing w:val="-44"/>
        </w:rPr>
        <w:t> </w:t>
      </w:r>
      <w:r>
        <w:rPr>
          <w:spacing w:val="-44"/>
        </w:rPr>
      </w:r>
      <w:r>
        <w:rPr>
          <w:rFonts w:ascii="Times New Roman" w:hAnsi="Times New Roman" w:cs="Times New Roman" w:eastAsia="Times New Roman" w:hint="default"/>
        </w:rPr>
        <w:t>(</w:t>
      </w:r>
      <w:r>
        <w:rPr/>
        <w:t>上海</w:t>
      </w:r>
      <w:r>
        <w:rPr>
          <w:rFonts w:ascii="Times New Roman" w:hAnsi="Times New Roman" w:cs="Times New Roman" w:eastAsia="Times New Roman" w:hint="default"/>
        </w:rPr>
        <w:t>)</w:t>
      </w:r>
      <w:r>
        <w:rPr/>
        <w:t>股份有限公司（以下简称</w:t>
      </w:r>
      <w:r>
        <w:rPr>
          <w:rFonts w:ascii="Times New Roman" w:hAnsi="Times New Roman" w:cs="Times New Roman" w:eastAsia="Times New Roman" w:hint="default"/>
        </w:rPr>
        <w:t>“</w:t>
      </w:r>
      <w:r>
        <w:rPr/>
        <w:t>兴业数金</w:t>
      </w:r>
      <w:r>
        <w:rPr>
          <w:rFonts w:ascii="Times New Roman" w:hAnsi="Times New Roman" w:cs="Times New Roman" w:eastAsia="Times New Roman" w:hint="default"/>
        </w:rPr>
        <w:t>”</w:t>
      </w:r>
      <w:r>
        <w:rPr/>
        <w:t>），兴业数金注册资本人民币</w:t>
      </w:r>
      <w:r>
        <w:rPr>
          <w:rFonts w:ascii="Times New Roman" w:hAnsi="Times New Roman" w:cs="Times New Roman" w:eastAsia="Times New Roman" w:hint="default"/>
        </w:rPr>
        <w:t>50,000.00</w:t>
      </w:r>
      <w:r>
        <w:rPr/>
        <w:t>万元人民币，其中本公司出资金额人民币 </w:t>
      </w:r>
      <w:r>
        <w:rPr>
          <w:rFonts w:ascii="Times New Roman" w:hAnsi="Times New Roman" w:cs="Times New Roman" w:eastAsia="Times New Roman" w:hint="default"/>
        </w:rPr>
        <w:t>5,000.00</w:t>
      </w:r>
      <w:r>
        <w:rPr/>
        <w:t>万元人民币，持股比例</w:t>
      </w:r>
      <w:r>
        <w:rPr>
          <w:rFonts w:ascii="Times New Roman" w:hAnsi="Times New Roman" w:cs="Times New Roman" w:eastAsia="Times New Roman" w:hint="default"/>
        </w:rPr>
        <w:t>10.00%</w:t>
      </w:r>
      <w:r>
        <w:rPr/>
        <w:t>。</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134" w:right="0"/>
        <w:jc w:val="both"/>
      </w:pPr>
      <w:r>
        <w:rPr/>
        <w:t>报告期内公司经营活动产生的现金净流量与本年度净利润存在重大差异的原因说明</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2"/>
          <w:szCs w:val="12"/>
        </w:rPr>
      </w:pPr>
    </w:p>
    <w:p>
      <w:pPr>
        <w:spacing w:line="20" w:lineRule="exact"/>
        <w:ind w:left="1129" w:right="0" w:firstLine="0"/>
        <w:rPr>
          <w:rFonts w:ascii="宋体" w:hAnsi="宋体" w:cs="宋体" w:eastAsia="宋体" w:hint="default"/>
          <w:sz w:val="2"/>
          <w:szCs w:val="2"/>
        </w:rPr>
      </w:pPr>
      <w:r>
        <w:rPr>
          <w:rFonts w:ascii="宋体" w:hAnsi="宋体" w:cs="宋体" w:eastAsia="宋体" w:hint="default"/>
          <w:sz w:val="2"/>
          <w:szCs w:val="2"/>
        </w:rPr>
        <w:pict>
          <v:group style="width:144.450pt;height:.45pt;mso-position-horizontal-relative:char;mso-position-vertical-relative:line" coordorigin="0,0" coordsize="2889,9">
            <v:group style="position:absolute;left:4;top:4;width:2881;height:2" coordorigin="4,4" coordsize="2881,2">
              <v:shape style="position:absolute;left:4;top:4;width:2881;height:2" coordorigin="4,4" coordsize="2881,0" path="m4,4l2885,4e" filled="false" stroked="true" strokeweight=".42pt" strokecolor="#000000">
                <v:path arrowok="t"/>
              </v:shape>
            </v:group>
          </v:group>
        </w:pict>
      </w:r>
      <w:r>
        <w:rPr>
          <w:rFonts w:ascii="宋体" w:hAnsi="宋体" w:cs="宋体" w:eastAsia="宋体" w:hint="default"/>
          <w:sz w:val="2"/>
          <w:szCs w:val="2"/>
        </w:rPr>
      </w:r>
    </w:p>
    <w:p>
      <w:pPr>
        <w:pStyle w:val="BodyText"/>
        <w:spacing w:line="240" w:lineRule="auto" w:before="80"/>
        <w:ind w:left="1134" w:right="0"/>
        <w:jc w:val="left"/>
      </w:pPr>
      <w:r>
        <w:rPr>
          <w:rFonts w:ascii="Times New Roman" w:hAnsi="Times New Roman" w:cs="Times New Roman" w:eastAsia="Times New Roman" w:hint="default"/>
          <w:position w:val="8"/>
          <w:sz w:val="12"/>
          <w:szCs w:val="12"/>
        </w:rPr>
        <w:t>1   </w:t>
      </w:r>
      <w:r>
        <w:rPr/>
        <w:t>曾用名为盈行金融信息服务（上海）有限公司，现更名为盈行金融信息技术（上海）有限公司。</w:t>
      </w:r>
    </w:p>
    <w:p>
      <w:pPr>
        <w:spacing w:after="0" w:line="240" w:lineRule="auto"/>
        <w:jc w:val="left"/>
        <w:sectPr>
          <w:pgSz w:w="11910" w:h="16840"/>
          <w:pgMar w:header="877" w:footer="1187" w:top="1100" w:bottom="1380" w:left="0" w:right="0"/>
        </w:sectPr>
      </w:pPr>
    </w:p>
    <w:p>
      <w:pPr>
        <w:spacing w:line="240" w:lineRule="auto" w:before="13"/>
        <w:rPr>
          <w:rFonts w:ascii="宋体" w:hAnsi="宋体" w:cs="宋体" w:eastAsia="宋体" w:hint="default"/>
          <w:sz w:val="21"/>
          <w:szCs w:val="21"/>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非主营业务情况" w:id="38"/>
      <w:bookmarkEnd w:id="38"/>
      <w:r>
        <w:rPr>
          <w:b w:val="0"/>
          <w:bCs w:val="0"/>
        </w:rPr>
      </w:r>
      <w:r>
        <w:rPr/>
        <w:t>三、非主营业务情况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500"/>
        <w:gridCol w:w="1928"/>
        <w:gridCol w:w="1623"/>
        <w:gridCol w:w="2736"/>
        <w:gridCol w:w="1760"/>
      </w:tblGrid>
      <w:tr>
        <w:trPr>
          <w:trHeight w:val="402"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2"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1,877,138.63</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4.02%</w:t>
            </w:r>
          </w:p>
        </w:tc>
        <w:tc>
          <w:tcPr>
            <w:tcW w:w="273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即征即退退税收入、政府补助收入</w:t>
            </w:r>
          </w:p>
        </w:tc>
        <w:tc>
          <w:tcPr>
            <w:tcW w:w="17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610,555.49</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w:t>
            </w:r>
          </w:p>
        </w:tc>
        <w:tc>
          <w:tcPr>
            <w:tcW w:w="273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捐赠支出</w:t>
            </w:r>
          </w:p>
        </w:tc>
        <w:tc>
          <w:tcPr>
            <w:tcW w:w="17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四、资产及负债状况" w:id="39"/>
      <w:bookmarkEnd w:id="39"/>
      <w:r>
        <w:rPr>
          <w:b w:val="0"/>
          <w:bCs w:val="0"/>
        </w:rPr>
      </w:r>
      <w:r>
        <w:rPr/>
        <w:t>四、资产及负债状况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资产构成重大变动情况" w:id="40"/>
      <w:bookmarkEnd w:id="40"/>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253"/>
        <w:gridCol w:w="1288"/>
        <w:gridCol w:w="1276"/>
        <w:gridCol w:w="1276"/>
        <w:gridCol w:w="1276"/>
        <w:gridCol w:w="1276"/>
        <w:gridCol w:w="1903"/>
      </w:tblGrid>
      <w:tr>
        <w:trPr>
          <w:trHeight w:val="205" w:hRule="exact"/>
        </w:trPr>
        <w:tc>
          <w:tcPr>
            <w:tcW w:w="1253" w:type="dxa"/>
            <w:tcBorders>
              <w:top w:val="single" w:sz="4" w:space="0" w:color="000000"/>
              <w:left w:val="single" w:sz="4" w:space="0" w:color="000000"/>
              <w:bottom w:val="nil" w:sz="6" w:space="0" w:color="auto"/>
              <w:right w:val="single" w:sz="4" w:space="0" w:color="000000"/>
            </w:tcBorders>
            <w:shd w:val="clear" w:color="auto" w:fill="D2D2D2"/>
          </w:tcPr>
          <w:p>
            <w:pPr/>
          </w:p>
        </w:tc>
        <w:tc>
          <w:tcPr>
            <w:tcW w:w="256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55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19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253" w:type="dxa"/>
            <w:vMerge w:val="restart"/>
            <w:tcBorders>
              <w:top w:val="nil" w:sz="6" w:space="0" w:color="auto"/>
              <w:left w:val="single" w:sz="4" w:space="0" w:color="000000"/>
              <w:right w:val="single" w:sz="4" w:space="0" w:color="000000"/>
            </w:tcBorders>
            <w:shd w:val="clear" w:color="auto" w:fill="D2D2D2"/>
          </w:tcPr>
          <w:p>
            <w:pPr/>
          </w:p>
        </w:tc>
        <w:tc>
          <w:tcPr>
            <w:tcW w:w="2564" w:type="dxa"/>
            <w:gridSpan w:val="2"/>
            <w:vMerge/>
            <w:tcBorders>
              <w:left w:val="single" w:sz="4" w:space="0" w:color="000000"/>
              <w:bottom w:val="single" w:sz="4" w:space="0" w:color="000000"/>
              <w:right w:val="single" w:sz="4" w:space="0" w:color="000000"/>
            </w:tcBorders>
            <w:shd w:val="clear" w:color="auto" w:fill="D2D2D2"/>
          </w:tcPr>
          <w:p>
            <w:pPr/>
          </w:p>
        </w:tc>
        <w:tc>
          <w:tcPr>
            <w:tcW w:w="2551" w:type="dxa"/>
            <w:gridSpan w:val="2"/>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D2D2D2"/>
          </w:tcPr>
          <w:p>
            <w:pPr/>
          </w:p>
        </w:tc>
        <w:tc>
          <w:tcPr>
            <w:tcW w:w="1903" w:type="dxa"/>
            <w:vMerge/>
            <w:tcBorders>
              <w:left w:val="single" w:sz="4" w:space="0" w:color="000000"/>
              <w:right w:val="single" w:sz="4" w:space="0" w:color="000000"/>
            </w:tcBorders>
            <w:shd w:val="clear" w:color="auto" w:fill="D2D2D2"/>
          </w:tcPr>
          <w:p>
            <w:pPr/>
          </w:p>
        </w:tc>
      </w:tr>
      <w:tr>
        <w:trPr>
          <w:trHeight w:val="200" w:hRule="exact"/>
        </w:trPr>
        <w:tc>
          <w:tcPr>
            <w:tcW w:w="1253" w:type="dxa"/>
            <w:vMerge/>
            <w:tcBorders>
              <w:left w:val="single" w:sz="4" w:space="0" w:color="000000"/>
              <w:bottom w:val="nil" w:sz="6" w:space="0" w:color="auto"/>
              <w:right w:val="single" w:sz="4" w:space="0" w:color="000000"/>
            </w:tcBorders>
            <w:shd w:val="clear" w:color="auto" w:fill="D2D2D2"/>
          </w:tcPr>
          <w:p>
            <w:pPr/>
          </w:p>
        </w:tc>
        <w:tc>
          <w:tcPr>
            <w:tcW w:w="12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92"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92"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276" w:type="dxa"/>
            <w:vMerge/>
            <w:tcBorders>
              <w:left w:val="single" w:sz="4" w:space="0" w:color="000000"/>
              <w:right w:val="single" w:sz="4" w:space="0" w:color="000000"/>
            </w:tcBorders>
            <w:shd w:val="clear" w:color="auto" w:fill="D2D2D2"/>
          </w:tcPr>
          <w:p>
            <w:pPr/>
          </w:p>
        </w:tc>
        <w:tc>
          <w:tcPr>
            <w:tcW w:w="1903" w:type="dxa"/>
            <w:vMerge/>
            <w:tcBorders>
              <w:left w:val="single" w:sz="4" w:space="0" w:color="000000"/>
              <w:right w:val="single" w:sz="4" w:space="0" w:color="000000"/>
            </w:tcBorders>
            <w:shd w:val="clear" w:color="auto" w:fill="D2D2D2"/>
          </w:tcPr>
          <w:p>
            <w:pPr/>
          </w:p>
        </w:tc>
      </w:tr>
      <w:tr>
        <w:trPr>
          <w:trHeight w:val="206" w:hRule="exact"/>
        </w:trPr>
        <w:tc>
          <w:tcPr>
            <w:tcW w:w="1253" w:type="dxa"/>
            <w:tcBorders>
              <w:top w:val="nil" w:sz="6" w:space="0" w:color="auto"/>
              <w:left w:val="single" w:sz="4" w:space="0" w:color="000000"/>
              <w:bottom w:val="single" w:sz="4" w:space="0" w:color="000000"/>
              <w:right w:val="single" w:sz="4" w:space="0" w:color="000000"/>
            </w:tcBorders>
            <w:shd w:val="clear" w:color="auto" w:fill="D2D2D2"/>
          </w:tcPr>
          <w:p>
            <w:pPr/>
          </w:p>
        </w:tc>
        <w:tc>
          <w:tcPr>
            <w:tcW w:w="1288"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90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2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411,329,772.48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47.46%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222,067,711.88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32.70%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14.76%</w:t>
            </w:r>
          </w:p>
        </w:tc>
        <w:tc>
          <w:tcPr>
            <w:tcW w:w="1903"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2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275,433,209.10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31.78%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263,488,838.42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38.79%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-7.01%</w:t>
            </w:r>
          </w:p>
        </w:tc>
        <w:tc>
          <w:tcPr>
            <w:tcW w:w="1903"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2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19,618,448.61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69,004,412.90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-7.90%</w:t>
            </w:r>
          </w:p>
        </w:tc>
        <w:tc>
          <w:tcPr>
            <w:tcW w:w="1903"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2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903"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2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2.25%</w:t>
            </w:r>
          </w:p>
        </w:tc>
        <w:tc>
          <w:tcPr>
            <w:tcW w:w="1903"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2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55,806,509.33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54,697,901.52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-1.61%</w:t>
            </w:r>
          </w:p>
        </w:tc>
        <w:tc>
          <w:tcPr>
            <w:tcW w:w="1903"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2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903"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2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146,700,000.00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21.60%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-19.29%</w:t>
            </w:r>
          </w:p>
        </w:tc>
        <w:tc>
          <w:tcPr>
            <w:tcW w:w="1903"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2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903" w:type="dxa"/>
            <w:tcBorders>
              <w:top w:val="single" w:sz="4" w:space="0" w:color="000000"/>
              <w:left w:val="single" w:sz="4" w:space="0" w:color="000000"/>
              <w:bottom w:val="single" w:sz="4" w:space="0" w:color="000000"/>
              <w:right w:val="single" w:sz="4" w:space="0" w:color="000000"/>
            </w:tcBorders>
            <w:shd w:val="clear" w:color="auto" w:fill="C6ECCC"/>
          </w:tcPr>
          <w:p>
            <w:pP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以公允价值计量的资产和负债" w:id="41"/>
      <w:bookmarkEnd w:id="41"/>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投资状况分析" w:id="42"/>
      <w:bookmarkEnd w:id="42"/>
      <w:r>
        <w:rPr>
          <w:b w:val="0"/>
          <w:bCs w:val="0"/>
        </w:rPr>
      </w:r>
      <w:r>
        <w:rPr/>
        <w:t>五、投资状况分析</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总体情况" w:id="43"/>
      <w:bookmarkEnd w:id="43"/>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7" w:top="1100" w:bottom="1380" w:left="0" w:right="0"/>
        </w:sectPr>
      </w:pPr>
    </w:p>
    <w:p>
      <w:pPr>
        <w:spacing w:line="240" w:lineRule="auto" w:before="10"/>
        <w:rPr>
          <w:rFonts w:ascii="宋体" w:hAnsi="宋体" w:cs="宋体" w:eastAsia="宋体" w:hint="default"/>
          <w:sz w:val="20"/>
          <w:szCs w:val="20"/>
        </w:rPr>
      </w:pPr>
    </w:p>
    <w:p>
      <w:pPr>
        <w:pStyle w:val="Heading4"/>
        <w:spacing w:line="240" w:lineRule="auto" w:before="35"/>
        <w:ind w:right="0"/>
        <w:jc w:val="left"/>
        <w:rPr>
          <w:b w:val="0"/>
          <w:bCs w:val="0"/>
        </w:rPr>
      </w:pPr>
      <w:bookmarkStart w:name="2、报告期内获取的重大的股权投资情况" w:id="44"/>
      <w:bookmarkEnd w:id="44"/>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686"/>
        <w:gridCol w:w="683"/>
        <w:gridCol w:w="683"/>
        <w:gridCol w:w="683"/>
        <w:gridCol w:w="684"/>
        <w:gridCol w:w="683"/>
        <w:gridCol w:w="683"/>
        <w:gridCol w:w="683"/>
        <w:gridCol w:w="683"/>
        <w:gridCol w:w="683"/>
        <w:gridCol w:w="684"/>
        <w:gridCol w:w="683"/>
        <w:gridCol w:w="683"/>
        <w:gridCol w:w="683"/>
      </w:tblGrid>
      <w:tr>
        <w:trPr>
          <w:trHeight w:val="1022" w:hRule="exact"/>
        </w:trPr>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7" w:right="66"/>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5" w:right="65"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5" w:right="65"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6" w:right="65"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5" w:right="65"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合作方</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5" w:right="65"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5" w:right="65"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6" w:right="65"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5" w:right="65"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6" w:right="65"/>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6" w:right="65"/>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4775" w:hRule="exact"/>
        </w:trPr>
        <w:tc>
          <w:tcPr>
            <w:tcW w:w="6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22" w:right="111"/>
              <w:jc w:val="both"/>
              <w:rPr>
                <w:rFonts w:ascii="宋体" w:hAnsi="宋体" w:cs="宋体" w:eastAsia="宋体" w:hint="default"/>
                <w:sz w:val="18"/>
                <w:szCs w:val="18"/>
              </w:rPr>
            </w:pPr>
            <w:r>
              <w:rPr>
                <w:rFonts w:ascii="宋体" w:hAnsi="宋体" w:cs="宋体" w:eastAsia="宋体" w:hint="default"/>
                <w:sz w:val="18"/>
                <w:szCs w:val="18"/>
              </w:rPr>
              <w:t>盈行金 融信息 技术</w:t>
            </w:r>
          </w:p>
          <w:p>
            <w:pPr>
              <w:pStyle w:val="TableParagraph"/>
              <w:spacing w:line="319" w:lineRule="auto" w:before="19"/>
              <w:ind w:left="22" w:right="111"/>
              <w:jc w:val="left"/>
              <w:rPr>
                <w:rFonts w:ascii="宋体" w:hAnsi="宋体" w:cs="宋体" w:eastAsia="宋体" w:hint="default"/>
                <w:sz w:val="18"/>
                <w:szCs w:val="18"/>
              </w:rPr>
            </w:pPr>
            <w:r>
              <w:rPr>
                <w:rFonts w:ascii="宋体" w:hAnsi="宋体" w:cs="宋体" w:eastAsia="宋体" w:hint="default"/>
                <w:sz w:val="18"/>
                <w:szCs w:val="18"/>
              </w:rPr>
              <w:t>（上 海）有 限公司</w:t>
            </w:r>
          </w:p>
        </w:tc>
        <w:tc>
          <w:tcPr>
            <w:tcW w:w="6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6"/>
              <w:ind w:left="22" w:right="108"/>
              <w:jc w:val="left"/>
              <w:rPr>
                <w:rFonts w:ascii="宋体" w:hAnsi="宋体" w:cs="宋体" w:eastAsia="宋体" w:hint="default"/>
                <w:sz w:val="18"/>
                <w:szCs w:val="18"/>
              </w:rPr>
            </w:pPr>
            <w:r>
              <w:rPr>
                <w:rFonts w:ascii="宋体" w:hAnsi="宋体" w:cs="宋体" w:eastAsia="宋体" w:hint="default"/>
                <w:sz w:val="18"/>
                <w:szCs w:val="18"/>
              </w:rPr>
              <w:t>投资管 理，资 产管 理，实 业投 资，创 业投 资，企 业管理 咨询、 投资咨 询（咨 询类项 目除经 </w:t>
            </w:r>
            <w:r>
              <w:rPr>
                <w:rFonts w:ascii="宋体" w:hAnsi="宋体" w:cs="宋体" w:eastAsia="宋体" w:hint="default"/>
                <w:spacing w:val="-30"/>
                <w:sz w:val="18"/>
                <w:szCs w:val="18"/>
              </w:rPr>
              <w:t>纪）。</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right="1"/>
              <w:jc w:val="center"/>
              <w:rPr>
                <w:rFonts w:ascii="宋体" w:hAnsi="宋体" w:cs="宋体" w:eastAsia="宋体" w:hint="default"/>
                <w:sz w:val="18"/>
                <w:szCs w:val="18"/>
              </w:rPr>
            </w:pPr>
            <w:r>
              <w:rPr>
                <w:rFonts w:ascii="宋体" w:hAnsi="宋体" w:cs="宋体" w:eastAsia="宋体" w:hint="default"/>
                <w:sz w:val="18"/>
                <w:szCs w:val="18"/>
              </w:rPr>
              <w:t>收购</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19,500,</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19"/>
              <w:jc w:val="right"/>
              <w:rPr>
                <w:rFonts w:ascii="Times New Roman" w:hAnsi="Times New Roman" w:cs="Times New Roman" w:eastAsia="Times New Roman" w:hint="default"/>
                <w:sz w:val="18"/>
                <w:szCs w:val="18"/>
              </w:rPr>
            </w:pPr>
            <w:r>
              <w:rPr>
                <w:rFonts w:ascii="Times New Roman"/>
                <w:sz w:val="18"/>
              </w:rPr>
              <w:t>15.00%</w:t>
            </w:r>
          </w:p>
        </w:tc>
        <w:tc>
          <w:tcPr>
            <w:tcW w:w="6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22" w:right="0"/>
              <w:jc w:val="left"/>
              <w:rPr>
                <w:rFonts w:ascii="宋体" w:hAnsi="宋体" w:cs="宋体" w:eastAsia="宋体" w:hint="default"/>
                <w:sz w:val="18"/>
                <w:szCs w:val="18"/>
              </w:rPr>
            </w:pPr>
            <w:r>
              <w:rPr>
                <w:rFonts w:ascii="宋体" w:hAnsi="宋体" w:cs="宋体" w:eastAsia="宋体" w:hint="default"/>
                <w:sz w:val="18"/>
                <w:szCs w:val="18"/>
              </w:rPr>
              <w:t>自有</w:t>
            </w:r>
          </w:p>
        </w:tc>
        <w:tc>
          <w:tcPr>
            <w:tcW w:w="6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right="85"/>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19"/>
              <w:jc w:val="righ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19"/>
              <w:jc w:val="right"/>
              <w:rPr>
                <w:rFonts w:ascii="Times New Roman" w:hAnsi="Times New Roman" w:cs="Times New Roman" w:eastAsia="Times New Roman" w:hint="default"/>
                <w:sz w:val="18"/>
                <w:szCs w:val="18"/>
              </w:rPr>
            </w:pPr>
            <w:r>
              <w:rPr>
                <w:rFonts w:ascii="Times New Roman"/>
                <w:sz w:val="18"/>
              </w:rPr>
              <w:t>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22" w:right="108"/>
              <w:jc w:val="both"/>
              <w:rPr>
                <w:rFonts w:ascii="宋体" w:hAnsi="宋体" w:cs="宋体" w:eastAsia="宋体" w:hint="default"/>
                <w:sz w:val="18"/>
                <w:szCs w:val="18"/>
              </w:rPr>
            </w:pPr>
            <w:r>
              <w:rPr>
                <w:rFonts w:ascii="宋体" w:hAnsi="宋体" w:cs="宋体" w:eastAsia="宋体" w:hint="default"/>
                <w:sz w:val="18"/>
                <w:szCs w:val="18"/>
              </w:rPr>
              <w:t>详见巨 潮资讯 网</w:t>
            </w:r>
          </w:p>
          <w:p>
            <w:pPr>
              <w:pStyle w:val="TableParagraph"/>
              <w:spacing w:line="328" w:lineRule="auto" w:before="19"/>
              <w:ind w:left="22" w:right="23"/>
              <w:jc w:val="both"/>
              <w:rPr>
                <w:rFonts w:ascii="宋体" w:hAnsi="宋体" w:cs="宋体" w:eastAsia="宋体" w:hint="default"/>
                <w:sz w:val="18"/>
                <w:szCs w:val="18"/>
              </w:rPr>
            </w:pPr>
            <w:r>
              <w:rPr>
                <w:rFonts w:ascii="宋体" w:hAnsi="宋体" w:cs="宋体" w:eastAsia="宋体" w:hint="default"/>
                <w:spacing w:val="-3"/>
                <w:sz w:val="18"/>
                <w:szCs w:val="18"/>
              </w:rPr>
              <w:t>（</w:t>
            </w:r>
            <w:hyperlink r:id="rId12">
              <w:r>
                <w:rPr>
                  <w:rFonts w:ascii="Times New Roman" w:hAnsi="Times New Roman" w:cs="Times New Roman" w:eastAsia="Times New Roman" w:hint="default"/>
                  <w:spacing w:val="-3"/>
                  <w:sz w:val="18"/>
                  <w:szCs w:val="18"/>
                </w:rPr>
                <w:t>www.</w:t>
              </w:r>
            </w:hyperlink>
            <w:r>
              <w:rPr>
                <w:rFonts w:ascii="Times New Roman" w:hAnsi="Times New Roman" w:cs="Times New Roman" w:eastAsia="Times New Roman" w:hint="default"/>
                <w:sz w:val="18"/>
                <w:szCs w:val="18"/>
              </w:rPr>
              <w:t> cninfo.c om.cn</w:t>
            </w:r>
            <w:r>
              <w:rPr>
                <w:rFonts w:ascii="宋体" w:hAnsi="宋体" w:cs="宋体" w:eastAsia="宋体" w:hint="default"/>
                <w:sz w:val="18"/>
                <w:szCs w:val="18"/>
              </w:rPr>
              <w:t>）</w:t>
            </w:r>
          </w:p>
        </w:tc>
      </w:tr>
      <w:tr>
        <w:trPr>
          <w:trHeight w:val="6642" w:hRule="exact"/>
        </w:trPr>
        <w:tc>
          <w:tcPr>
            <w:tcW w:w="6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6" w:lineRule="auto"/>
              <w:ind w:left="22" w:right="111"/>
              <w:jc w:val="both"/>
              <w:rPr>
                <w:rFonts w:ascii="宋体" w:hAnsi="宋体" w:cs="宋体" w:eastAsia="宋体" w:hint="default"/>
                <w:sz w:val="18"/>
                <w:szCs w:val="18"/>
              </w:rPr>
            </w:pPr>
            <w:r>
              <w:rPr>
                <w:rFonts w:ascii="宋体" w:hAnsi="宋体" w:cs="宋体" w:eastAsia="宋体" w:hint="default"/>
                <w:sz w:val="18"/>
                <w:szCs w:val="18"/>
              </w:rPr>
              <w:t>兴业数 字金融 服务</w:t>
            </w:r>
          </w:p>
          <w:p>
            <w:pPr>
              <w:pStyle w:val="TableParagraph"/>
              <w:spacing w:line="319" w:lineRule="auto" w:before="19"/>
              <w:ind w:left="22" w:right="111"/>
              <w:jc w:val="left"/>
              <w:rPr>
                <w:rFonts w:ascii="宋体" w:hAnsi="宋体" w:cs="宋体" w:eastAsia="宋体" w:hint="default"/>
                <w:sz w:val="18"/>
                <w:szCs w:val="18"/>
              </w:rPr>
            </w:pPr>
            <w:r>
              <w:rPr>
                <w:rFonts w:ascii="宋体" w:hAnsi="宋体" w:cs="宋体" w:eastAsia="宋体" w:hint="default"/>
                <w:sz w:val="18"/>
                <w:szCs w:val="18"/>
              </w:rPr>
              <w:t>（上 海）股 份有限 公司</w:t>
            </w:r>
          </w:p>
        </w:tc>
        <w:tc>
          <w:tcPr>
            <w:tcW w:w="6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特定客 户资产 管理业 务以及 中国证 监会许 可的其 他业 </w:t>
            </w:r>
            <w:r>
              <w:rPr>
                <w:rFonts w:ascii="宋体" w:hAnsi="宋体" w:cs="宋体" w:eastAsia="宋体" w:hint="default"/>
                <w:spacing w:val="-24"/>
                <w:sz w:val="18"/>
                <w:szCs w:val="18"/>
              </w:rPr>
              <w:t>务。（依</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法须经 批准的 项目， 经相关 部门批 准后方 可开展 经营活 动）</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新设</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19"/>
              <w:jc w:val="right"/>
              <w:rPr>
                <w:rFonts w:ascii="Times New Roman" w:hAnsi="Times New Roman" w:cs="Times New Roman" w:eastAsia="Times New Roman" w:hint="default"/>
                <w:sz w:val="18"/>
                <w:szCs w:val="18"/>
              </w:rPr>
            </w:pPr>
            <w:r>
              <w:rPr>
                <w:rFonts w:ascii="Times New Roman"/>
                <w:sz w:val="18"/>
              </w:rPr>
              <w:t>10.00%</w:t>
            </w:r>
          </w:p>
        </w:tc>
        <w:tc>
          <w:tcPr>
            <w:tcW w:w="6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自有</w:t>
            </w:r>
          </w:p>
        </w:tc>
        <w:tc>
          <w:tcPr>
            <w:tcW w:w="6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兴业财 富资产 管理有 限公 司、上 海倍远 投资管 理中心</w:t>
            </w:r>
          </w:p>
          <w:p>
            <w:pPr>
              <w:pStyle w:val="TableParagraph"/>
              <w:spacing w:line="319" w:lineRule="auto" w:before="19"/>
              <w:ind w:left="22" w:right="18"/>
              <w:jc w:val="left"/>
              <w:rPr>
                <w:rFonts w:ascii="宋体" w:hAnsi="宋体" w:cs="宋体" w:eastAsia="宋体" w:hint="default"/>
                <w:sz w:val="18"/>
                <w:szCs w:val="18"/>
              </w:rPr>
            </w:pPr>
            <w:r>
              <w:rPr>
                <w:rFonts w:ascii="宋体" w:hAnsi="宋体" w:cs="宋体" w:eastAsia="宋体" w:hint="default"/>
                <w:sz w:val="18"/>
                <w:szCs w:val="18"/>
              </w:rPr>
              <w:t>（有限 </w:t>
            </w:r>
            <w:r>
              <w:rPr>
                <w:rFonts w:ascii="宋体" w:hAnsi="宋体" w:cs="宋体" w:eastAsia="宋体" w:hint="default"/>
                <w:spacing w:val="-23"/>
                <w:sz w:val="18"/>
                <w:szCs w:val="18"/>
              </w:rPr>
              <w:t>合伙）、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福建新 大陆云 商股权 投资企 业（有 限合 </w:t>
            </w:r>
            <w:r>
              <w:rPr>
                <w:rFonts w:ascii="宋体" w:hAnsi="宋体" w:cs="宋体" w:eastAsia="宋体" w:hint="default"/>
                <w:spacing w:val="-24"/>
                <w:sz w:val="18"/>
                <w:szCs w:val="18"/>
              </w:rPr>
              <w:t>伙）、深</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圳市金 证科技 股份有 限公司</w:t>
            </w:r>
          </w:p>
        </w:tc>
        <w:tc>
          <w:tcPr>
            <w:tcW w:w="6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19"/>
              <w:jc w:val="righ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19"/>
              <w:jc w:val="right"/>
              <w:rPr>
                <w:rFonts w:ascii="Times New Roman" w:hAnsi="Times New Roman" w:cs="Times New Roman" w:eastAsia="Times New Roman" w:hint="default"/>
                <w:sz w:val="18"/>
                <w:szCs w:val="18"/>
              </w:rPr>
            </w:pPr>
            <w:r>
              <w:rPr>
                <w:rFonts w:ascii="Times New Roman"/>
                <w:sz w:val="18"/>
              </w:rPr>
              <w:t>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316" w:lineRule="auto"/>
              <w:ind w:left="22" w:right="108"/>
              <w:jc w:val="both"/>
              <w:rPr>
                <w:rFonts w:ascii="宋体" w:hAnsi="宋体" w:cs="宋体" w:eastAsia="宋体" w:hint="default"/>
                <w:sz w:val="18"/>
                <w:szCs w:val="18"/>
              </w:rPr>
            </w:pPr>
            <w:r>
              <w:rPr>
                <w:rFonts w:ascii="宋体" w:hAnsi="宋体" w:cs="宋体" w:eastAsia="宋体" w:hint="default"/>
                <w:sz w:val="18"/>
                <w:szCs w:val="18"/>
              </w:rPr>
              <w:t>详见巨 潮资讯 网</w:t>
            </w:r>
          </w:p>
          <w:p>
            <w:pPr>
              <w:pStyle w:val="TableParagraph"/>
              <w:spacing w:line="328" w:lineRule="auto" w:before="19"/>
              <w:ind w:left="22" w:right="23"/>
              <w:jc w:val="both"/>
              <w:rPr>
                <w:rFonts w:ascii="宋体" w:hAnsi="宋体" w:cs="宋体" w:eastAsia="宋体" w:hint="default"/>
                <w:sz w:val="18"/>
                <w:szCs w:val="18"/>
              </w:rPr>
            </w:pPr>
            <w:r>
              <w:rPr>
                <w:rFonts w:ascii="宋体" w:hAnsi="宋体" w:cs="宋体" w:eastAsia="宋体" w:hint="default"/>
                <w:spacing w:val="-3"/>
                <w:sz w:val="18"/>
                <w:szCs w:val="18"/>
              </w:rPr>
              <w:t>（</w:t>
            </w:r>
            <w:hyperlink r:id="rId12">
              <w:r>
                <w:rPr>
                  <w:rFonts w:ascii="Times New Roman" w:hAnsi="Times New Roman" w:cs="Times New Roman" w:eastAsia="Times New Roman" w:hint="default"/>
                  <w:spacing w:val="-3"/>
                  <w:sz w:val="18"/>
                  <w:szCs w:val="18"/>
                </w:rPr>
                <w:t>www.</w:t>
              </w:r>
            </w:hyperlink>
            <w:r>
              <w:rPr>
                <w:rFonts w:ascii="Times New Roman" w:hAnsi="Times New Roman" w:cs="Times New Roman" w:eastAsia="Times New Roman" w:hint="default"/>
                <w:sz w:val="18"/>
                <w:szCs w:val="18"/>
              </w:rPr>
              <w:t> cninfo.c om.cn</w:t>
            </w:r>
            <w:r>
              <w:rPr>
                <w:rFonts w:ascii="宋体" w:hAnsi="宋体" w:cs="宋体" w:eastAsia="宋体" w:hint="default"/>
                <w:sz w:val="18"/>
                <w:szCs w:val="18"/>
              </w:rPr>
              <w:t>）</w:t>
            </w:r>
          </w:p>
        </w:tc>
      </w:tr>
    </w:tbl>
    <w:p>
      <w:pPr>
        <w:spacing w:after="0" w:line="328" w:lineRule="auto"/>
        <w:jc w:val="both"/>
        <w:rPr>
          <w:rFonts w:ascii="宋体" w:hAnsi="宋体" w:cs="宋体" w:eastAsia="宋体" w:hint="default"/>
          <w:sz w:val="18"/>
          <w:szCs w:val="18"/>
        </w:rPr>
        <w:sectPr>
          <w:pgSz w:w="11910" w:h="16840"/>
          <w:pgMar w:header="877" w:footer="1187" w:top="1100" w:bottom="138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686"/>
        <w:gridCol w:w="683"/>
        <w:gridCol w:w="683"/>
        <w:gridCol w:w="683"/>
        <w:gridCol w:w="684"/>
        <w:gridCol w:w="683"/>
        <w:gridCol w:w="683"/>
        <w:gridCol w:w="683"/>
        <w:gridCol w:w="683"/>
        <w:gridCol w:w="683"/>
        <w:gridCol w:w="684"/>
        <w:gridCol w:w="683"/>
        <w:gridCol w:w="683"/>
        <w:gridCol w:w="683"/>
      </w:tblGrid>
      <w:tr>
        <w:trPr>
          <w:trHeight w:val="714" w:hRule="exact"/>
        </w:trPr>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69,500,</w:t>
            </w:r>
          </w:p>
          <w:p>
            <w:pPr>
              <w:pStyle w:val="TableParagraph"/>
              <w:spacing w:line="240" w:lineRule="auto" w:before="106"/>
              <w:ind w:left="156"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6"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7" w:right="0"/>
              <w:jc w:val="left"/>
              <w:rPr>
                <w:rFonts w:ascii="Times New Roman" w:hAnsi="Times New Roman" w:cs="Times New Roman" w:eastAsia="Times New Roman" w:hint="default"/>
                <w:sz w:val="18"/>
                <w:szCs w:val="18"/>
              </w:rPr>
            </w:pPr>
            <w:r>
              <w:rPr>
                <w:rFonts w:ascii="Times New Roman"/>
                <w:sz w:val="18"/>
              </w:rPr>
              <w:t>0.00</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3、报告期内正在进行的重大的非股权投资情况" w:id="45"/>
      <w:bookmarkEnd w:id="45"/>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4、以公允价值计量的金融资产" w:id="46"/>
      <w:bookmarkEnd w:id="46"/>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5、募集资金使用情况" w:id="47"/>
      <w:bookmarkEnd w:id="47"/>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1）募集资金总体使用情况" w:id="48"/>
      <w:bookmarkEnd w:id="48"/>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987" w:type="dxa"/>
        <w:tblLayout w:type="fixed"/>
        <w:tblCellMar>
          <w:top w:w="0" w:type="dxa"/>
          <w:left w:w="0" w:type="dxa"/>
          <w:bottom w:w="0" w:type="dxa"/>
          <w:right w:w="0" w:type="dxa"/>
        </w:tblCellMar>
        <w:tblLook w:val="01E0"/>
      </w:tblPr>
      <w:tblGrid>
        <w:gridCol w:w="851"/>
        <w:gridCol w:w="1020"/>
        <w:gridCol w:w="877"/>
        <w:gridCol w:w="870"/>
        <w:gridCol w:w="870"/>
        <w:gridCol w:w="869"/>
        <w:gridCol w:w="870"/>
        <w:gridCol w:w="870"/>
        <w:gridCol w:w="870"/>
        <w:gridCol w:w="870"/>
        <w:gridCol w:w="869"/>
      </w:tblGrid>
      <w:tr>
        <w:trPr>
          <w:trHeight w:val="1338"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1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70"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026" w:hRule="exact"/>
        </w:trPr>
        <w:tc>
          <w:tcPr>
            <w:tcW w:w="85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w:t>
            </w:r>
          </w:p>
        </w:tc>
        <w:tc>
          <w:tcPr>
            <w:tcW w:w="102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62"/>
              <w:jc w:val="center"/>
              <w:rPr>
                <w:rFonts w:ascii="宋体" w:hAnsi="宋体" w:cs="宋体" w:eastAsia="宋体" w:hint="default"/>
                <w:sz w:val="18"/>
                <w:szCs w:val="18"/>
              </w:rPr>
            </w:pPr>
            <w:r>
              <w:rPr>
                <w:rFonts w:ascii="宋体" w:hAnsi="宋体" w:cs="宋体" w:eastAsia="宋体" w:hint="default"/>
                <w:sz w:val="18"/>
                <w:szCs w:val="18"/>
              </w:rPr>
              <w:t>发行普通股</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33,644.16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15,362.34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15,362.34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9,879.82</w:t>
            </w:r>
          </w:p>
        </w:tc>
        <w:tc>
          <w:tcPr>
            <w:tcW w:w="8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2"/>
              <w:ind w:left="22" w:right="115"/>
              <w:jc w:val="both"/>
              <w:rPr>
                <w:rFonts w:ascii="宋体" w:hAnsi="宋体" w:cs="宋体" w:eastAsia="宋体" w:hint="default"/>
                <w:sz w:val="18"/>
                <w:szCs w:val="18"/>
              </w:rPr>
            </w:pPr>
            <w:r>
              <w:rPr>
                <w:rFonts w:ascii="宋体" w:hAnsi="宋体" w:cs="宋体" w:eastAsia="宋体" w:hint="default"/>
                <w:sz w:val="18"/>
                <w:szCs w:val="18"/>
              </w:rPr>
              <w:t>按照募集 资金用途 使用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88" w:right="0"/>
              <w:jc w:val="center"/>
              <w:rPr>
                <w:rFonts w:ascii="Times New Roman" w:hAnsi="Times New Roman" w:cs="Times New Roman" w:eastAsia="Times New Roman" w:hint="default"/>
                <w:sz w:val="18"/>
                <w:szCs w:val="18"/>
              </w:rPr>
            </w:pPr>
            <w:r>
              <w:rPr>
                <w:rFonts w:ascii="Times New Roman"/>
                <w:sz w:val="18"/>
              </w:rPr>
              <w:t>33,644.16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 w:right="0"/>
              <w:jc w:val="center"/>
              <w:rPr>
                <w:rFonts w:ascii="Times New Roman" w:hAnsi="Times New Roman" w:cs="Times New Roman" w:eastAsia="Times New Roman" w:hint="default"/>
                <w:sz w:val="18"/>
                <w:szCs w:val="18"/>
              </w:rPr>
            </w:pPr>
            <w:r>
              <w:rPr>
                <w:rFonts w:ascii="Times New Roman"/>
                <w:sz w:val="18"/>
              </w:rPr>
              <w:t>15,362.34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2" w:right="0"/>
              <w:jc w:val="center"/>
              <w:rPr>
                <w:rFonts w:ascii="Times New Roman" w:hAnsi="Times New Roman" w:cs="Times New Roman" w:eastAsia="Times New Roman" w:hint="default"/>
                <w:sz w:val="18"/>
                <w:szCs w:val="18"/>
              </w:rPr>
            </w:pPr>
            <w:r>
              <w:rPr>
                <w:rFonts w:ascii="Times New Roman"/>
                <w:sz w:val="18"/>
              </w:rPr>
              <w:t>15,362.34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68"/>
              <w:ind w:right="10"/>
              <w:jc w:val="right"/>
              <w:rPr>
                <w:rFonts w:ascii="Times New Roman" w:hAnsi="Times New Roman" w:cs="Times New Roman" w:eastAsia="Times New Roman" w:hint="default"/>
                <w:sz w:val="12"/>
                <w:szCs w:val="12"/>
              </w:rPr>
            </w:pPr>
            <w:r>
              <w:rPr>
                <w:rFonts w:ascii="Times New Roman"/>
                <w:spacing w:val="-1"/>
                <w:sz w:val="18"/>
              </w:rPr>
              <w:t>9,879.82</w:t>
            </w:r>
            <w:r>
              <w:rPr>
                <w:rFonts w:ascii="Times New Roman"/>
                <w:spacing w:val="-1"/>
                <w:position w:val="8"/>
                <w:sz w:val="12"/>
              </w:rPr>
              <w:t>2</w:t>
            </w:r>
            <w:r>
              <w:rPr>
                <w:rFonts w:ascii="Times New Roman"/>
                <w:spacing w:val="-1"/>
                <w:sz w:val="12"/>
              </w:rPr>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707"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338" w:hRule="exact"/>
        </w:trPr>
        <w:tc>
          <w:tcPr>
            <w:tcW w:w="9707" w:type="dxa"/>
            <w:gridSpan w:val="11"/>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0" w:lineRule="auto" w:before="52"/>
              <w:ind w:left="22" w:right="-32"/>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经中国证券监督管理委员会《关于核准高伟达软件股份有限公司首次公开发行股票的批复》（证监许可</w:t>
            </w:r>
            <w:r>
              <w:rPr>
                <w:rFonts w:ascii="Times New Roman" w:hAnsi="Times New Roman" w:cs="Times New Roman" w:eastAsia="Times New Roman" w:hint="default"/>
                <w:spacing w:val="-2"/>
                <w:sz w:val="18"/>
                <w:szCs w:val="18"/>
              </w:rPr>
              <w:t>[2015]833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号）核准，</w:t>
            </w:r>
            <w:r>
              <w:rPr>
                <w:rFonts w:ascii="宋体" w:hAnsi="宋体" w:cs="宋体" w:eastAsia="宋体" w:hint="default"/>
                <w:spacing w:val="-87"/>
                <w:sz w:val="18"/>
                <w:szCs w:val="18"/>
              </w:rPr>
              <w:t> </w:t>
            </w:r>
            <w:r>
              <w:rPr>
                <w:rFonts w:ascii="宋体" w:hAnsi="宋体" w:cs="宋体" w:eastAsia="宋体" w:hint="default"/>
                <w:spacing w:val="-3"/>
                <w:sz w:val="18"/>
                <w:szCs w:val="18"/>
              </w:rPr>
              <w:t>高伟达软件股份有限公司（以下简称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或</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高伟达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日获准向社会公众发行人民币普通股（</w:t>
            </w:r>
            <w:r>
              <w:rPr>
                <w:rFonts w:ascii="Times New Roman" w:hAnsi="Times New Roman" w:cs="Times New Roman" w:eastAsia="Times New Roman" w:hint="default"/>
                <w:spacing w:val="-3"/>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股）</w:t>
            </w:r>
            <w:r>
              <w:rPr>
                <w:rFonts w:ascii="Times New Roman" w:hAnsi="Times New Roman" w:cs="Times New Roman" w:eastAsia="Times New Roman" w:hint="default"/>
                <w:spacing w:val="-6"/>
                <w:sz w:val="18"/>
                <w:szCs w:val="18"/>
              </w:rPr>
              <w:t>3,334</w:t>
            </w:r>
          </w:p>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万股，每股面值人民币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元，每股发行价格为人民币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元，募集资金总额为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37,540.84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万元，扣除发行费用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3,896.68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元，募集资金净额为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33,644.16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bl>
    <w:p>
      <w:pPr>
        <w:spacing w:line="240" w:lineRule="auto" w:before="3"/>
        <w:rPr>
          <w:rFonts w:ascii="宋体" w:hAnsi="宋体" w:cs="宋体" w:eastAsia="宋体" w:hint="default"/>
          <w:sz w:val="19"/>
          <w:szCs w:val="19"/>
        </w:rPr>
      </w:pPr>
    </w:p>
    <w:p>
      <w:pPr>
        <w:pStyle w:val="Heading4"/>
        <w:spacing w:line="240" w:lineRule="auto" w:before="35"/>
        <w:ind w:left="1134" w:right="0"/>
        <w:jc w:val="left"/>
        <w:rPr>
          <w:b w:val="0"/>
          <w:bCs w:val="0"/>
        </w:rPr>
      </w:pPr>
      <w:bookmarkStart w:name="（2）募集资金承诺项目情况" w:id="49"/>
      <w:bookmarkEnd w:id="49"/>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19"/>
        <w:gridCol w:w="566"/>
        <w:gridCol w:w="851"/>
        <w:gridCol w:w="851"/>
        <w:gridCol w:w="850"/>
        <w:gridCol w:w="851"/>
        <w:gridCol w:w="709"/>
        <w:gridCol w:w="708"/>
        <w:gridCol w:w="710"/>
        <w:gridCol w:w="709"/>
        <w:gridCol w:w="625"/>
        <w:gridCol w:w="714"/>
      </w:tblGrid>
      <w:tr>
        <w:trPr>
          <w:trHeight w:val="1298"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6"/>
                <w:szCs w:val="26"/>
              </w:rPr>
            </w:pPr>
          </w:p>
          <w:p>
            <w:pPr>
              <w:pStyle w:val="TableParagraph"/>
              <w:spacing w:line="316" w:lineRule="auto"/>
              <w:ind w:left="163" w:right="75" w:hanging="90"/>
              <w:jc w:val="left"/>
              <w:rPr>
                <w:rFonts w:ascii="宋体" w:hAnsi="宋体" w:cs="宋体" w:eastAsia="宋体" w:hint="default"/>
                <w:sz w:val="18"/>
                <w:szCs w:val="18"/>
              </w:rPr>
            </w:pPr>
            <w:r>
              <w:rPr>
                <w:rFonts w:ascii="宋体" w:hAnsi="宋体" w:cs="宋体" w:eastAsia="宋体" w:hint="default"/>
                <w:sz w:val="18"/>
                <w:szCs w:val="18"/>
              </w:rPr>
              <w:t>承诺投资项目和 超募资金投向</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8" w:right="66" w:firstLine="30"/>
              <w:jc w:val="both"/>
              <w:rPr>
                <w:rFonts w:ascii="宋体" w:hAnsi="宋体" w:cs="宋体" w:eastAsia="宋体" w:hint="default"/>
                <w:sz w:val="18"/>
                <w:szCs w:val="18"/>
              </w:rPr>
            </w:pPr>
            <w:r>
              <w:rPr>
                <w:rFonts w:ascii="宋体" w:hAnsi="宋体" w:cs="宋体" w:eastAsia="宋体" w:hint="default"/>
                <w:sz w:val="18"/>
                <w:szCs w:val="18"/>
              </w:rPr>
              <w:t>是否 已变 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319" w:lineRule="auto"/>
              <w:ind w:left="60" w:right="59"/>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6"/>
                <w:szCs w:val="26"/>
              </w:rPr>
            </w:pPr>
          </w:p>
          <w:p>
            <w:pPr>
              <w:pStyle w:val="TableParagraph"/>
              <w:spacing w:line="316" w:lineRule="auto"/>
              <w:ind w:left="45" w:right="43" w:firstLine="14"/>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w:t>
            </w:r>
            <w:r>
              <w:rPr>
                <w:rFonts w:ascii="Times New Roman" w:hAnsi="Times New Roman" w:cs="Times New Roman" w:eastAsia="Times New Roman" w:hint="default"/>
                <w:sz w:val="18"/>
                <w:szCs w:val="18"/>
              </w:rPr>
              <w:t>(1)</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6"/>
                <w:szCs w:val="26"/>
              </w:rPr>
            </w:pPr>
          </w:p>
          <w:p>
            <w:pPr>
              <w:pStyle w:val="TableParagraph"/>
              <w:spacing w:line="316" w:lineRule="auto"/>
              <w:ind w:left="60" w:right="59"/>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319" w:lineRule="auto"/>
              <w:ind w:left="59" w:right="59"/>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3" w:right="63" w:firstLine="1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7" w:right="78"/>
              <w:jc w:val="both"/>
              <w:rPr>
                <w:rFonts w:ascii="宋体" w:hAnsi="宋体" w:cs="宋体" w:eastAsia="宋体" w:hint="default"/>
                <w:sz w:val="18"/>
                <w:szCs w:val="18"/>
              </w:rPr>
            </w:pPr>
            <w:r>
              <w:rPr>
                <w:rFonts w:ascii="宋体" w:hAnsi="宋体" w:cs="宋体" w:eastAsia="宋体" w:hint="default"/>
                <w:sz w:val="18"/>
                <w:szCs w:val="18"/>
              </w:rPr>
              <w:t>项目达 到预定 可使用 状态日</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319" w:lineRule="auto"/>
              <w:ind w:left="79" w:right="78"/>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9" w:right="78"/>
              <w:jc w:val="both"/>
              <w:rPr>
                <w:rFonts w:ascii="宋体" w:hAnsi="宋体" w:cs="宋体" w:eastAsia="宋体" w:hint="default"/>
                <w:sz w:val="18"/>
                <w:szCs w:val="18"/>
              </w:rPr>
            </w:pPr>
            <w:r>
              <w:rPr>
                <w:rFonts w:ascii="宋体" w:hAnsi="宋体" w:cs="宋体" w:eastAsia="宋体" w:hint="default"/>
                <w:sz w:val="18"/>
                <w:szCs w:val="18"/>
              </w:rPr>
              <w:t>截止报 告期末 累计实 现的效</w:t>
            </w:r>
          </w:p>
        </w:tc>
        <w:tc>
          <w:tcPr>
            <w:tcW w:w="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319" w:lineRule="auto"/>
              <w:ind w:left="37" w:right="36"/>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2" w:right="79"/>
              <w:jc w:val="both"/>
              <w:rPr>
                <w:rFonts w:ascii="宋体" w:hAnsi="宋体" w:cs="宋体" w:eastAsia="宋体" w:hint="default"/>
                <w:sz w:val="18"/>
                <w:szCs w:val="18"/>
              </w:rPr>
            </w:pPr>
            <w:r>
              <w:rPr>
                <w:rFonts w:ascii="宋体" w:hAnsi="宋体" w:cs="宋体" w:eastAsia="宋体" w:hint="default"/>
                <w:sz w:val="18"/>
                <w:szCs w:val="18"/>
              </w:rPr>
              <w:t>项目可 行性是 否发生 重大变</w:t>
            </w:r>
          </w:p>
        </w:tc>
      </w:tr>
    </w:tbl>
    <w:p>
      <w:pPr>
        <w:spacing w:line="240" w:lineRule="auto" w:before="5"/>
        <w:rPr>
          <w:rFonts w:ascii="宋体" w:hAnsi="宋体" w:cs="宋体" w:eastAsia="宋体" w:hint="default"/>
          <w:sz w:val="10"/>
          <w:szCs w:val="10"/>
        </w:rPr>
      </w:pPr>
    </w:p>
    <w:p>
      <w:pPr>
        <w:spacing w:line="20" w:lineRule="exact"/>
        <w:ind w:left="1129" w:right="0" w:firstLine="0"/>
        <w:rPr>
          <w:rFonts w:ascii="宋体" w:hAnsi="宋体" w:cs="宋体" w:eastAsia="宋体" w:hint="default"/>
          <w:sz w:val="2"/>
          <w:szCs w:val="2"/>
        </w:rPr>
      </w:pPr>
      <w:r>
        <w:rPr>
          <w:rFonts w:ascii="宋体" w:hAnsi="宋体" w:cs="宋体" w:eastAsia="宋体" w:hint="default"/>
          <w:sz w:val="2"/>
          <w:szCs w:val="2"/>
        </w:rPr>
        <w:pict>
          <v:group style="width:144.450pt;height:.45pt;mso-position-horizontal-relative:char;mso-position-vertical-relative:line" coordorigin="0,0" coordsize="2889,9">
            <v:group style="position:absolute;left:4;top:4;width:2881;height:2" coordorigin="4,4" coordsize="2881,2">
              <v:shape style="position:absolute;left:4;top:4;width:2881;height:2" coordorigin="4,4" coordsize="2881,0" path="m4,4l2885,4e" filled="false" stroked="true" strokeweight=".42pt" strokecolor="#000000">
                <v:path arrowok="t"/>
              </v:shape>
            </v:group>
          </v:group>
        </w:pict>
      </w:r>
      <w:r>
        <w:rPr>
          <w:rFonts w:ascii="宋体" w:hAnsi="宋体" w:cs="宋体" w:eastAsia="宋体" w:hint="default"/>
          <w:sz w:val="2"/>
          <w:szCs w:val="2"/>
        </w:rPr>
      </w:r>
    </w:p>
    <w:p>
      <w:pPr>
        <w:pStyle w:val="BodyText"/>
        <w:spacing w:line="240" w:lineRule="auto" w:before="41"/>
        <w:ind w:left="1134" w:right="0"/>
        <w:jc w:val="left"/>
      </w:pPr>
      <w:r>
        <w:rPr>
          <w:rFonts w:ascii="Times New Roman" w:hAnsi="Times New Roman" w:cs="Times New Roman" w:eastAsia="Times New Roman" w:hint="default"/>
          <w:position w:val="8"/>
          <w:sz w:val="12"/>
          <w:szCs w:val="12"/>
        </w:rPr>
        <w:t>2</w:t>
      </w:r>
      <w:r>
        <w:rPr/>
        <w:t>尚未使用募集资金总额为</w:t>
      </w:r>
      <w:r>
        <w:rPr>
          <w:spacing w:val="-46"/>
        </w:rPr>
        <w:t> </w:t>
      </w:r>
      <w:r>
        <w:rPr>
          <w:rFonts w:ascii="Times New Roman" w:hAnsi="Times New Roman" w:cs="Times New Roman" w:eastAsia="Times New Roman" w:hint="default"/>
        </w:rPr>
        <w:t>9,879.82</w:t>
      </w:r>
      <w:r>
        <w:rPr>
          <w:rFonts w:ascii="Times New Roman" w:hAnsi="Times New Roman" w:cs="Times New Roman" w:eastAsia="Times New Roman" w:hint="default"/>
          <w:spacing w:val="-1"/>
        </w:rPr>
        <w:t> </w:t>
      </w:r>
      <w:r>
        <w:rPr/>
        <w:t>万元，其未包含用于暂时补充流动资金的</w:t>
      </w:r>
      <w:r>
        <w:rPr>
          <w:spacing w:val="-46"/>
        </w:rPr>
        <w:t> </w:t>
      </w:r>
      <w:r>
        <w:rPr>
          <w:rFonts w:ascii="Times New Roman" w:hAnsi="Times New Roman" w:cs="Times New Roman" w:eastAsia="Times New Roman" w:hint="default"/>
        </w:rPr>
        <w:t>8,500</w:t>
      </w:r>
      <w:r>
        <w:rPr>
          <w:rFonts w:ascii="Times New Roman" w:hAnsi="Times New Roman" w:cs="Times New Roman" w:eastAsia="Times New Roman" w:hint="default"/>
          <w:spacing w:val="-1"/>
        </w:rPr>
        <w:t> </w:t>
      </w:r>
      <w:r>
        <w:rPr/>
        <w:t>万元。</w:t>
      </w:r>
    </w:p>
    <w:p>
      <w:pPr>
        <w:spacing w:after="0" w:line="240" w:lineRule="auto"/>
        <w:jc w:val="left"/>
        <w:sectPr>
          <w:pgSz w:w="11910" w:h="16840"/>
          <w:pgMar w:header="877" w:footer="1187" w:top="1100" w:bottom="138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1415"/>
        <w:gridCol w:w="571"/>
        <w:gridCol w:w="851"/>
        <w:gridCol w:w="851"/>
        <w:gridCol w:w="850"/>
        <w:gridCol w:w="851"/>
        <w:gridCol w:w="709"/>
        <w:gridCol w:w="708"/>
        <w:gridCol w:w="710"/>
        <w:gridCol w:w="709"/>
        <w:gridCol w:w="628"/>
        <w:gridCol w:w="711"/>
      </w:tblGrid>
      <w:tr>
        <w:trPr>
          <w:trHeight w:val="67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72" w:right="66" w:firstLine="30"/>
              <w:jc w:val="left"/>
              <w:rPr>
                <w:rFonts w:ascii="Times New Roman" w:hAnsi="Times New Roman" w:cs="Times New Roman" w:eastAsia="Times New Roman" w:hint="default"/>
                <w:sz w:val="18"/>
                <w:szCs w:val="18"/>
              </w:rPr>
            </w:pPr>
            <w:r>
              <w:rPr>
                <w:rFonts w:ascii="宋体" w:hAnsi="宋体" w:cs="宋体" w:eastAsia="宋体" w:hint="default"/>
                <w:sz w:val="18"/>
                <w:szCs w:val="18"/>
              </w:rPr>
              <w:t>部分 变更</w:t>
            </w:r>
            <w:r>
              <w:rPr>
                <w:rFonts w:ascii="Times New Roman" w:hAnsi="Times New Roman" w:cs="Times New Roman" w:eastAsia="Times New Roman" w:hint="default"/>
                <w:sz w:val="18"/>
                <w:szCs w:val="18"/>
              </w:rPr>
              <w:t>)</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258"/>
              <w:jc w:val="right"/>
              <w:rPr>
                <w:rFonts w:ascii="宋体" w:hAnsi="宋体" w:cs="宋体" w:eastAsia="宋体" w:hint="default"/>
                <w:sz w:val="18"/>
                <w:szCs w:val="18"/>
              </w:rPr>
            </w:pPr>
            <w:r>
              <w:rPr>
                <w:rFonts w:ascii="宋体" w:hAnsi="宋体" w:cs="宋体" w:eastAsia="宋体" w:hint="default"/>
                <w:sz w:val="18"/>
                <w:szCs w:val="18"/>
              </w:rPr>
              <w:t>期</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益</w:t>
            </w:r>
          </w:p>
        </w:tc>
        <w:tc>
          <w:tcPr>
            <w:tcW w:w="62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59" w:right="0"/>
              <w:jc w:val="left"/>
              <w:rPr>
                <w:rFonts w:ascii="宋体" w:hAnsi="宋体" w:cs="宋体" w:eastAsia="宋体" w:hint="default"/>
                <w:sz w:val="18"/>
                <w:szCs w:val="18"/>
              </w:rPr>
            </w:pPr>
            <w:r>
              <w:rPr>
                <w:rFonts w:ascii="宋体" w:hAnsi="宋体" w:cs="宋体" w:eastAsia="宋体" w:hint="default"/>
                <w:sz w:val="18"/>
                <w:szCs w:val="18"/>
              </w:rPr>
              <w:t>化</w:t>
            </w:r>
          </w:p>
        </w:tc>
      </w:tr>
      <w:tr>
        <w:trPr>
          <w:trHeight w:val="402" w:hRule="exact"/>
        </w:trPr>
        <w:tc>
          <w:tcPr>
            <w:tcW w:w="956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0" w:lineRule="auto" w:before="51"/>
              <w:ind w:left="22" w:right="39"/>
              <w:jc w:val="left"/>
              <w:rPr>
                <w:rFonts w:ascii="宋体" w:hAnsi="宋体" w:cs="宋体" w:eastAsia="宋体" w:hint="default"/>
                <w:sz w:val="18"/>
                <w:szCs w:val="18"/>
              </w:rPr>
            </w:pPr>
            <w:r>
              <w:rPr>
                <w:rFonts w:ascii="宋体" w:hAnsi="宋体" w:cs="宋体" w:eastAsia="宋体" w:hint="default"/>
                <w:sz w:val="18"/>
                <w:szCs w:val="18"/>
              </w:rPr>
              <w:t>银行业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整体解 决方案</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10,013.21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10,013.21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6,328.75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6,328.75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1" w:right="0"/>
              <w:jc w:val="center"/>
              <w:rPr>
                <w:rFonts w:ascii="宋体" w:hAnsi="宋体" w:cs="宋体" w:eastAsia="宋体" w:hint="default"/>
                <w:sz w:val="18"/>
                <w:szCs w:val="18"/>
              </w:rPr>
            </w:pPr>
            <w:r>
              <w:rPr>
                <w:rFonts w:ascii="宋体"/>
                <w:sz w:val="18"/>
              </w:rPr>
              <w:t>63.20%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4"/>
                <w:sz w:val="18"/>
                <w:szCs w:val="18"/>
              </w:rPr>
              <w:t>2016</w:t>
            </w:r>
            <w:r>
              <w:rPr>
                <w:rFonts w:ascii="宋体" w:hAnsi="宋体" w:cs="宋体" w:eastAsia="宋体" w:hint="default"/>
                <w:spacing w:val="-14"/>
                <w:sz w:val="18"/>
                <w:szCs w:val="18"/>
              </w:rPr>
              <w:t>年</w:t>
            </w:r>
            <w:r>
              <w:rPr>
                <w:rFonts w:ascii="Times New Roman" w:hAnsi="Times New Roman" w:cs="Times New Roman" w:eastAsia="Times New Roman" w:hint="default"/>
                <w:spacing w:val="-14"/>
                <w:sz w:val="18"/>
                <w:szCs w:val="18"/>
              </w:rPr>
              <w:t>05</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31</w:t>
            </w:r>
            <w:r>
              <w:rPr>
                <w:rFonts w:ascii="宋体" w:hAnsi="宋体" w:cs="宋体" w:eastAsia="宋体" w:hint="default"/>
                <w:spacing w:val="-3"/>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1,724.79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1,724.79</w:t>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0" w:lineRule="auto" w:before="51"/>
              <w:ind w:left="22" w:right="39"/>
              <w:jc w:val="left"/>
              <w:rPr>
                <w:rFonts w:ascii="宋体" w:hAnsi="宋体" w:cs="宋体" w:eastAsia="宋体" w:hint="default"/>
                <w:sz w:val="18"/>
                <w:szCs w:val="18"/>
              </w:rPr>
            </w:pPr>
            <w:r>
              <w:rPr>
                <w:rFonts w:ascii="宋体" w:hAnsi="宋体" w:cs="宋体" w:eastAsia="宋体" w:hint="default"/>
                <w:sz w:val="18"/>
                <w:szCs w:val="18"/>
              </w:rPr>
              <w:t>保险业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整体解 决方案</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7,060.52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7,060.52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2,637.13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2,637.13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1" w:right="0"/>
              <w:jc w:val="center"/>
              <w:rPr>
                <w:rFonts w:ascii="宋体" w:hAnsi="宋体" w:cs="宋体" w:eastAsia="宋体" w:hint="default"/>
                <w:sz w:val="18"/>
                <w:szCs w:val="18"/>
              </w:rPr>
            </w:pPr>
            <w:r>
              <w:rPr>
                <w:rFonts w:ascii="宋体"/>
                <w:sz w:val="18"/>
              </w:rPr>
              <w:t>37.35%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4"/>
                <w:sz w:val="18"/>
                <w:szCs w:val="18"/>
              </w:rPr>
              <w:t>2016</w:t>
            </w:r>
            <w:r>
              <w:rPr>
                <w:rFonts w:ascii="宋体" w:hAnsi="宋体" w:cs="宋体" w:eastAsia="宋体" w:hint="default"/>
                <w:spacing w:val="-14"/>
                <w:sz w:val="18"/>
                <w:szCs w:val="18"/>
              </w:rPr>
              <w:t>年</w:t>
            </w:r>
            <w:r>
              <w:rPr>
                <w:rFonts w:ascii="Times New Roman" w:hAnsi="Times New Roman" w:cs="Times New Roman" w:eastAsia="Times New Roman" w:hint="default"/>
                <w:spacing w:val="-14"/>
                <w:sz w:val="18"/>
                <w:szCs w:val="18"/>
              </w:rPr>
              <w:t>12</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2"/>
                <w:szCs w:val="12"/>
              </w:rPr>
            </w:pPr>
            <w:r>
              <w:rPr>
                <w:rFonts w:ascii="宋体" w:hAnsi="宋体" w:cs="宋体" w:eastAsia="宋体" w:hint="default"/>
                <w:spacing w:val="-6"/>
                <w:sz w:val="18"/>
                <w:szCs w:val="18"/>
              </w:rPr>
              <w:t>月</w:t>
            </w:r>
            <w:r>
              <w:rPr>
                <w:rFonts w:ascii="Times New Roman" w:hAnsi="Times New Roman" w:cs="Times New Roman" w:eastAsia="Times New Roman" w:hint="default"/>
                <w:spacing w:val="-20"/>
                <w:sz w:val="18"/>
                <w:szCs w:val="18"/>
              </w:rPr>
              <w:t>3</w:t>
            </w:r>
            <w:r>
              <w:rPr>
                <w:rFonts w:ascii="Times New Roman" w:hAnsi="Times New Roman" w:cs="Times New Roman" w:eastAsia="Times New Roman" w:hint="default"/>
                <w:spacing w:val="14"/>
                <w:sz w:val="18"/>
                <w:szCs w:val="18"/>
              </w:rPr>
              <w:t>1</w:t>
            </w:r>
            <w:r>
              <w:rPr>
                <w:rFonts w:ascii="宋体" w:hAnsi="宋体" w:cs="宋体" w:eastAsia="宋体" w:hint="default"/>
                <w:spacing w:val="-40"/>
                <w:sz w:val="18"/>
                <w:szCs w:val="18"/>
              </w:rPr>
              <w:t>日</w:t>
            </w:r>
            <w:r>
              <w:rPr>
                <w:rFonts w:ascii="Times New Roman" w:hAnsi="Times New Roman" w:cs="Times New Roman" w:eastAsia="Times New Roman" w:hint="default"/>
                <w:position w:val="8"/>
                <w:sz w:val="12"/>
                <w:szCs w:val="12"/>
              </w:rPr>
              <w:t>3</w:t>
            </w:r>
            <w:r>
              <w:rPr>
                <w:rFonts w:ascii="Times New Roman" w:hAnsi="Times New Roman" w:cs="Times New Roman" w:eastAsia="Times New Roman" w:hint="default"/>
                <w:sz w:val="12"/>
                <w:szCs w:val="12"/>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-834.49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-834.49</w:t>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120"/>
              <w:jc w:val="both"/>
              <w:rPr>
                <w:rFonts w:ascii="宋体" w:hAnsi="宋体" w:cs="宋体" w:eastAsia="宋体" w:hint="default"/>
                <w:sz w:val="18"/>
                <w:szCs w:val="18"/>
              </w:rPr>
            </w:pPr>
            <w:r>
              <w:rPr>
                <w:rFonts w:ascii="宋体" w:hAnsi="宋体" w:cs="宋体" w:eastAsia="宋体" w:hint="default"/>
                <w:sz w:val="18"/>
                <w:szCs w:val="18"/>
              </w:rPr>
              <w:t>证券业客户营销 与服务整体解决 方案</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9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2,161.56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2,161.56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696.73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696.73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1" w:right="0"/>
              <w:jc w:val="center"/>
              <w:rPr>
                <w:rFonts w:ascii="宋体" w:hAnsi="宋体" w:cs="宋体" w:eastAsia="宋体" w:hint="default"/>
                <w:sz w:val="18"/>
                <w:szCs w:val="18"/>
              </w:rPr>
            </w:pPr>
            <w:r>
              <w:rPr>
                <w:rFonts w:ascii="宋体"/>
                <w:sz w:val="18"/>
              </w:rPr>
              <w:t>32.23%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4"/>
                <w:sz w:val="18"/>
                <w:szCs w:val="18"/>
              </w:rPr>
              <w:t>2016</w:t>
            </w:r>
            <w:r>
              <w:rPr>
                <w:rFonts w:ascii="宋体" w:hAnsi="宋体" w:cs="宋体" w:eastAsia="宋体" w:hint="default"/>
                <w:spacing w:val="-14"/>
                <w:sz w:val="18"/>
                <w:szCs w:val="18"/>
              </w:rPr>
              <w:t>年</w:t>
            </w:r>
            <w:r>
              <w:rPr>
                <w:rFonts w:ascii="Times New Roman" w:hAnsi="Times New Roman" w:cs="Times New Roman" w:eastAsia="Times New Roman" w:hint="default"/>
                <w:spacing w:val="-14"/>
                <w:sz w:val="18"/>
                <w:szCs w:val="18"/>
              </w:rPr>
              <w:t>12</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31</w:t>
            </w:r>
            <w:r>
              <w:rPr>
                <w:rFonts w:ascii="宋体" w:hAnsi="宋体" w:cs="宋体" w:eastAsia="宋体" w:hint="default"/>
                <w:spacing w:val="-3"/>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98.31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98.31</w:t>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120"/>
              <w:jc w:val="both"/>
              <w:rPr>
                <w:rFonts w:ascii="宋体" w:hAnsi="宋体" w:cs="宋体" w:eastAsia="宋体" w:hint="default"/>
                <w:sz w:val="18"/>
                <w:szCs w:val="18"/>
              </w:rPr>
            </w:pPr>
            <w:r>
              <w:rPr>
                <w:rFonts w:ascii="宋体" w:hAnsi="宋体" w:cs="宋体" w:eastAsia="宋体" w:hint="default"/>
                <w:sz w:val="18"/>
                <w:szCs w:val="18"/>
              </w:rPr>
              <w:t>云计算数据中心 一体化运营管理 平台</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9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8,271.19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8,271.19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2,870.38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2,870.38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1" w:right="0"/>
              <w:jc w:val="center"/>
              <w:rPr>
                <w:rFonts w:ascii="宋体" w:hAnsi="宋体" w:cs="宋体" w:eastAsia="宋体" w:hint="default"/>
                <w:sz w:val="18"/>
                <w:szCs w:val="18"/>
              </w:rPr>
            </w:pPr>
            <w:r>
              <w:rPr>
                <w:rFonts w:ascii="宋体"/>
                <w:sz w:val="18"/>
              </w:rPr>
              <w:t>34.71%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4"/>
                <w:sz w:val="18"/>
                <w:szCs w:val="18"/>
              </w:rPr>
              <w:t>2016</w:t>
            </w:r>
            <w:r>
              <w:rPr>
                <w:rFonts w:ascii="宋体" w:hAnsi="宋体" w:cs="宋体" w:eastAsia="宋体" w:hint="default"/>
                <w:spacing w:val="-14"/>
                <w:sz w:val="18"/>
                <w:szCs w:val="18"/>
              </w:rPr>
              <w:t>年</w:t>
            </w:r>
            <w:r>
              <w:rPr>
                <w:rFonts w:ascii="Times New Roman" w:hAnsi="Times New Roman" w:cs="Times New Roman" w:eastAsia="Times New Roman" w:hint="default"/>
                <w:spacing w:val="-14"/>
                <w:sz w:val="18"/>
                <w:szCs w:val="18"/>
              </w:rPr>
              <w:t>12</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31</w:t>
            </w:r>
            <w:r>
              <w:rPr>
                <w:rFonts w:ascii="宋体" w:hAnsi="宋体" w:cs="宋体" w:eastAsia="宋体" w:hint="default"/>
                <w:spacing w:val="-3"/>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-46.83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-46.83</w:t>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120"/>
              <w:jc w:val="both"/>
              <w:rPr>
                <w:rFonts w:ascii="宋体" w:hAnsi="宋体" w:cs="宋体" w:eastAsia="宋体" w:hint="default"/>
                <w:sz w:val="18"/>
                <w:szCs w:val="18"/>
              </w:rPr>
            </w:pPr>
            <w:r>
              <w:rPr>
                <w:rFonts w:ascii="宋体" w:hAnsi="宋体" w:cs="宋体" w:eastAsia="宋体" w:hint="default"/>
                <w:sz w:val="18"/>
                <w:szCs w:val="18"/>
              </w:rPr>
              <w:t>基于大数据的金 融业客户体验与 分析管理平台</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9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2,790.04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2,790.04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1,208.46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1,208.46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1" w:right="0"/>
              <w:jc w:val="center"/>
              <w:rPr>
                <w:rFonts w:ascii="宋体" w:hAnsi="宋体" w:cs="宋体" w:eastAsia="宋体" w:hint="default"/>
                <w:sz w:val="18"/>
                <w:szCs w:val="18"/>
              </w:rPr>
            </w:pPr>
            <w:r>
              <w:rPr>
                <w:rFonts w:ascii="宋体"/>
                <w:sz w:val="18"/>
              </w:rPr>
              <w:t>43.31%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4"/>
                <w:sz w:val="18"/>
                <w:szCs w:val="18"/>
              </w:rPr>
              <w:t>2016</w:t>
            </w:r>
            <w:r>
              <w:rPr>
                <w:rFonts w:ascii="宋体" w:hAnsi="宋体" w:cs="宋体" w:eastAsia="宋体" w:hint="default"/>
                <w:spacing w:val="-14"/>
                <w:sz w:val="18"/>
                <w:szCs w:val="18"/>
              </w:rPr>
              <w:t>年</w:t>
            </w:r>
            <w:r>
              <w:rPr>
                <w:rFonts w:ascii="Times New Roman" w:hAnsi="Times New Roman" w:cs="Times New Roman" w:eastAsia="Times New Roman" w:hint="default"/>
                <w:spacing w:val="-14"/>
                <w:sz w:val="18"/>
                <w:szCs w:val="18"/>
              </w:rPr>
              <w:t>12</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31</w:t>
            </w:r>
            <w:r>
              <w:rPr>
                <w:rFonts w:ascii="宋体" w:hAnsi="宋体" w:cs="宋体" w:eastAsia="宋体" w:hint="default"/>
                <w:spacing w:val="-3"/>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-167.02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-167.02</w:t>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研发中心建设</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3,073.56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3,073.56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1,346.81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1,346.81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1" w:right="0"/>
              <w:jc w:val="center"/>
              <w:rPr>
                <w:rFonts w:ascii="宋体" w:hAnsi="宋体" w:cs="宋体" w:eastAsia="宋体" w:hint="default"/>
                <w:sz w:val="18"/>
                <w:szCs w:val="18"/>
              </w:rPr>
            </w:pPr>
            <w:r>
              <w:rPr>
                <w:rFonts w:ascii="宋体"/>
                <w:sz w:val="18"/>
              </w:rPr>
              <w:t>43.82%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4"/>
                <w:sz w:val="18"/>
                <w:szCs w:val="18"/>
              </w:rPr>
              <w:t>2016</w:t>
            </w:r>
            <w:r>
              <w:rPr>
                <w:rFonts w:ascii="宋体" w:hAnsi="宋体" w:cs="宋体" w:eastAsia="宋体" w:hint="default"/>
                <w:spacing w:val="-14"/>
                <w:sz w:val="18"/>
                <w:szCs w:val="18"/>
              </w:rPr>
              <w:t>年</w:t>
            </w:r>
            <w:r>
              <w:rPr>
                <w:rFonts w:ascii="Times New Roman" w:hAnsi="Times New Roman" w:cs="Times New Roman" w:eastAsia="Times New Roman" w:hint="default"/>
                <w:spacing w:val="-14"/>
                <w:sz w:val="18"/>
                <w:szCs w:val="18"/>
              </w:rPr>
              <w:t>12</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31</w:t>
            </w:r>
            <w:r>
              <w:rPr>
                <w:rFonts w:ascii="宋体" w:hAnsi="宋体" w:cs="宋体" w:eastAsia="宋体" w:hint="default"/>
                <w:spacing w:val="-3"/>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偿还银行贷款或 补充流动资金</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274.08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274.08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274.08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274.08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center"/>
              <w:rPr>
                <w:rFonts w:ascii="宋体" w:hAnsi="宋体" w:cs="宋体" w:eastAsia="宋体" w:hint="default"/>
                <w:sz w:val="18"/>
                <w:szCs w:val="18"/>
              </w:rPr>
            </w:pPr>
            <w:r>
              <w:rPr>
                <w:rFonts w:ascii="宋体"/>
                <w:sz w:val="18"/>
              </w:rPr>
              <w:t>100.00%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4"/>
                <w:sz w:val="18"/>
                <w:szCs w:val="18"/>
              </w:rPr>
              <w:t>2015</w:t>
            </w:r>
            <w:r>
              <w:rPr>
                <w:rFonts w:ascii="宋体" w:hAnsi="宋体" w:cs="宋体" w:eastAsia="宋体" w:hint="default"/>
                <w:spacing w:val="-14"/>
                <w:sz w:val="18"/>
                <w:szCs w:val="18"/>
              </w:rPr>
              <w:t>年</w:t>
            </w:r>
            <w:r>
              <w:rPr>
                <w:rFonts w:ascii="Times New Roman" w:hAnsi="Times New Roman" w:cs="Times New Roman" w:eastAsia="Times New Roman" w:hint="default"/>
                <w:spacing w:val="-14"/>
                <w:sz w:val="18"/>
                <w:szCs w:val="18"/>
              </w:rPr>
              <w:t>12</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31</w:t>
            </w:r>
            <w:r>
              <w:rPr>
                <w:rFonts w:ascii="宋体" w:hAnsi="宋体" w:cs="宋体" w:eastAsia="宋体" w:hint="default"/>
                <w:spacing w:val="-3"/>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41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承诺投资项目小 计</w:t>
            </w:r>
          </w:p>
        </w:tc>
        <w:tc>
          <w:tcPr>
            <w:tcW w:w="571" w:type="dxa"/>
            <w:tcBorders>
              <w:top w:val="single" w:sz="4" w:space="0" w:color="000000"/>
              <w:left w:val="single" w:sz="4" w:space="0" w:color="000000"/>
              <w:bottom w:val="nil" w:sz="6" w:space="0" w:color="auto"/>
              <w:right w:val="single" w:sz="4" w:space="0" w:color="000000"/>
            </w:tcBorders>
            <w:shd w:val="clear" w:color="auto" w:fill="D2D2D2"/>
          </w:tcPr>
          <w:p>
            <w:pPr/>
          </w:p>
        </w:tc>
        <w:tc>
          <w:tcPr>
            <w:tcW w:w="851"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33,644.16</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33,644.16</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15,362.34</w:t>
            </w:r>
          </w:p>
        </w:tc>
        <w:tc>
          <w:tcPr>
            <w:tcW w:w="851" w:type="dxa"/>
            <w:vMerge w:val="restart"/>
            <w:tcBorders>
              <w:top w:val="single" w:sz="4" w:space="0" w:color="000000"/>
              <w:left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15,362.34</w:t>
            </w:r>
          </w:p>
        </w:tc>
        <w:tc>
          <w:tcPr>
            <w:tcW w:w="709"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774.76</w:t>
            </w:r>
          </w:p>
        </w:tc>
        <w:tc>
          <w:tcPr>
            <w:tcW w:w="709" w:type="dxa"/>
            <w:vMerge w:val="restart"/>
            <w:tcBorders>
              <w:top w:val="single" w:sz="4" w:space="0" w:color="000000"/>
              <w:left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1" w:right="0"/>
              <w:jc w:val="left"/>
              <w:rPr>
                <w:rFonts w:ascii="Times New Roman" w:hAnsi="Times New Roman" w:cs="Times New Roman" w:eastAsia="Times New Roman" w:hint="default"/>
                <w:sz w:val="18"/>
                <w:szCs w:val="18"/>
              </w:rPr>
            </w:pPr>
            <w:r>
              <w:rPr>
                <w:rFonts w:ascii="Times New Roman"/>
                <w:sz w:val="18"/>
              </w:rPr>
              <w:t>774.76</w:t>
            </w:r>
          </w:p>
        </w:tc>
        <w:tc>
          <w:tcPr>
            <w:tcW w:w="62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415" w:type="dxa"/>
            <w:vMerge/>
            <w:tcBorders>
              <w:left w:val="single" w:sz="4" w:space="0" w:color="000000"/>
              <w:right w:val="single" w:sz="4" w:space="0" w:color="000000"/>
            </w:tcBorders>
            <w:shd w:val="clear" w:color="auto" w:fill="D2D2D2"/>
          </w:tcPr>
          <w:p>
            <w:pPr/>
          </w:p>
        </w:tc>
        <w:tc>
          <w:tcPr>
            <w:tcW w:w="57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22" w:right="0"/>
              <w:jc w:val="left"/>
              <w:rPr>
                <w:rFonts w:ascii="Times New Roman" w:hAnsi="Times New Roman" w:cs="Times New Roman" w:eastAsia="Times New Roman" w:hint="default"/>
                <w:sz w:val="18"/>
                <w:szCs w:val="18"/>
              </w:rPr>
            </w:pPr>
            <w:r>
              <w:rPr>
                <w:rFonts w:ascii="Times New Roman"/>
                <w:sz w:val="18"/>
              </w:rPr>
              <w:t>--</w:t>
            </w:r>
          </w:p>
        </w:tc>
        <w:tc>
          <w:tcPr>
            <w:tcW w:w="851" w:type="dxa"/>
            <w:vMerge/>
            <w:tcBorders>
              <w:left w:val="single" w:sz="9" w:space="0" w:color="D2D2D2"/>
              <w:right w:val="single" w:sz="4" w:space="0" w:color="000000"/>
            </w:tcBorders>
          </w:tcPr>
          <w:p>
            <w:pPr/>
          </w:p>
        </w:tc>
        <w:tc>
          <w:tcPr>
            <w:tcW w:w="85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9" w:space="0" w:color="D2D2D2"/>
            </w:tcBorders>
          </w:tcPr>
          <w:p>
            <w:pPr/>
          </w:p>
        </w:tc>
        <w:tc>
          <w:tcPr>
            <w:tcW w:w="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88"/>
              <w:jc w:val="right"/>
              <w:rPr>
                <w:rFonts w:ascii="Times New Roman" w:hAnsi="Times New Roman" w:cs="Times New Roman" w:eastAsia="Times New Roman" w:hint="default"/>
                <w:sz w:val="18"/>
                <w:szCs w:val="18"/>
              </w:rPr>
            </w:pPr>
            <w:r>
              <w:rPr>
                <w:rFonts w:ascii="Times New Roman"/>
                <w:sz w:val="18"/>
              </w:rPr>
              <w:t>--</w:t>
            </w:r>
          </w:p>
        </w:tc>
        <w:tc>
          <w:tcPr>
            <w:tcW w:w="710" w:type="dxa"/>
            <w:vMerge/>
            <w:tcBorders>
              <w:left w:val="single" w:sz="9" w:space="0" w:color="D2D2D2"/>
              <w:right w:val="single" w:sz="4" w:space="0" w:color="000000"/>
            </w:tcBorders>
          </w:tcPr>
          <w:p>
            <w:pPr/>
          </w:p>
        </w:tc>
        <w:tc>
          <w:tcPr>
            <w:tcW w:w="709" w:type="dxa"/>
            <w:vMerge/>
            <w:tcBorders>
              <w:left w:val="single" w:sz="4" w:space="0" w:color="000000"/>
              <w:right w:val="single" w:sz="9" w:space="0" w:color="D2D2D2"/>
            </w:tcBorders>
          </w:tcPr>
          <w:p>
            <w:pPr/>
          </w:p>
        </w:tc>
        <w:tc>
          <w:tcPr>
            <w:tcW w:w="6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c>
          <w:tcPr>
            <w:tcW w:w="7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93" w:right="0"/>
              <w:jc w:val="left"/>
              <w:rPr>
                <w:rFonts w:ascii="Times New Roman" w:hAnsi="Times New Roman" w:cs="Times New Roman" w:eastAsia="Times New Roman" w:hint="default"/>
                <w:sz w:val="18"/>
                <w:szCs w:val="18"/>
              </w:rPr>
            </w:pPr>
            <w:r>
              <w:rPr>
                <w:rFonts w:ascii="Times New Roman"/>
                <w:sz w:val="18"/>
              </w:rPr>
              <w:t>--</w:t>
            </w:r>
          </w:p>
        </w:tc>
      </w:tr>
      <w:tr>
        <w:trPr>
          <w:trHeight w:val="166"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1"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vMerge/>
            <w:tcBorders>
              <w:left w:val="single" w:sz="9" w:space="0" w:color="D2D2D2"/>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9" w:space="0" w:color="D2D2D2"/>
            </w:tcBorders>
          </w:tcPr>
          <w:p>
            <w:pPr/>
          </w:p>
        </w:tc>
        <w:tc>
          <w:tcPr>
            <w:tcW w:w="709"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vMerge/>
            <w:tcBorders>
              <w:left w:val="single" w:sz="9" w:space="0" w:color="D2D2D2"/>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9" w:space="0" w:color="D2D2D2"/>
            </w:tcBorders>
          </w:tcPr>
          <w:p>
            <w:pPr/>
          </w:p>
        </w:tc>
        <w:tc>
          <w:tcPr>
            <w:tcW w:w="62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7" w:hRule="exact"/>
        </w:trPr>
        <w:tc>
          <w:tcPr>
            <w:tcW w:w="956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71" w:type="dxa"/>
            <w:tcBorders>
              <w:top w:val="single" w:sz="4" w:space="0" w:color="000000"/>
              <w:left w:val="single" w:sz="13" w:space="0" w:color="C6ECCC"/>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2" w:right="0"/>
              <w:jc w:val="left"/>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33,644.16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33,644.16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15,362.34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15,362.34</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88"/>
              <w:jc w:val="right"/>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774.76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774.76</w:t>
            </w:r>
          </w:p>
        </w:tc>
        <w:tc>
          <w:tcPr>
            <w:tcW w:w="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89" w:right="0"/>
              <w:jc w:val="left"/>
              <w:rPr>
                <w:rFonts w:ascii="Times New Roman" w:hAnsi="Times New Roman" w:cs="Times New Roman" w:eastAsia="Times New Roman" w:hint="default"/>
                <w:sz w:val="18"/>
                <w:szCs w:val="18"/>
              </w:rPr>
            </w:pPr>
            <w:r>
              <w:rPr>
                <w:rFonts w:ascii="Times New Roman"/>
                <w:sz w:val="18"/>
              </w:rPr>
              <w:t>--</w:t>
            </w:r>
          </w:p>
        </w:tc>
      </w:tr>
      <w:tr>
        <w:trPr>
          <w:trHeight w:val="133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6"/>
              <w:ind w:left="22" w:right="18"/>
              <w:jc w:val="left"/>
              <w:rPr>
                <w:rFonts w:ascii="宋体" w:hAnsi="宋体" w:cs="宋体" w:eastAsia="宋体" w:hint="default"/>
                <w:sz w:val="18"/>
                <w:szCs w:val="18"/>
              </w:rPr>
            </w:pPr>
            <w:r>
              <w:rPr>
                <w:rFonts w:ascii="宋体" w:hAnsi="宋体" w:cs="宋体" w:eastAsia="宋体" w:hint="default"/>
                <w:sz w:val="18"/>
                <w:szCs w:val="18"/>
              </w:rPr>
              <w:t>未达到计划进度 或预计收益的情 </w:t>
            </w:r>
            <w:r>
              <w:rPr>
                <w:rFonts w:ascii="宋体" w:hAnsi="宋体" w:cs="宋体" w:eastAsia="宋体" w:hint="default"/>
                <w:spacing w:val="-10"/>
                <w:sz w:val="18"/>
                <w:szCs w:val="18"/>
              </w:rPr>
              <w:t>况和原因（分具体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项目）</w:t>
            </w:r>
          </w:p>
        </w:tc>
        <w:tc>
          <w:tcPr>
            <w:tcW w:w="8148" w:type="dxa"/>
            <w:gridSpan w:val="11"/>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20"/>
              <w:jc w:val="both"/>
              <w:rPr>
                <w:rFonts w:ascii="宋体" w:hAnsi="宋体" w:cs="宋体" w:eastAsia="宋体" w:hint="default"/>
                <w:sz w:val="18"/>
                <w:szCs w:val="18"/>
              </w:rPr>
            </w:pPr>
            <w:r>
              <w:rPr>
                <w:rFonts w:ascii="宋体" w:hAnsi="宋体" w:cs="宋体" w:eastAsia="宋体" w:hint="default"/>
                <w:sz w:val="18"/>
                <w:szCs w:val="18"/>
              </w:rPr>
              <w:t>项目可行性发生 重大变化的情况 说明</w:t>
            </w:r>
          </w:p>
        </w:tc>
        <w:tc>
          <w:tcPr>
            <w:tcW w:w="8148" w:type="dxa"/>
            <w:gridSpan w:val="11"/>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415" w:type="dxa"/>
            <w:vMerge w:val="restart"/>
            <w:tcBorders>
              <w:top w:val="single" w:sz="4" w:space="0" w:color="000000"/>
              <w:left w:val="single" w:sz="4" w:space="0" w:color="000000"/>
              <w:right w:val="single" w:sz="9" w:space="0" w:color="FFFFFF"/>
            </w:tcBorders>
            <w:shd w:val="clear" w:color="auto" w:fill="D2D2D2"/>
          </w:tcPr>
          <w:p>
            <w:pPr>
              <w:pStyle w:val="TableParagraph"/>
              <w:spacing w:line="316" w:lineRule="auto" w:before="51"/>
              <w:ind w:left="22" w:right="-44"/>
              <w:jc w:val="left"/>
              <w:rPr>
                <w:rFonts w:ascii="宋体" w:hAnsi="宋体" w:cs="宋体" w:eastAsia="宋体" w:hint="default"/>
                <w:sz w:val="18"/>
                <w:szCs w:val="18"/>
              </w:rPr>
            </w:pPr>
            <w:r>
              <w:rPr>
                <w:rFonts w:ascii="宋体" w:hAnsi="宋体" w:cs="宋体" w:eastAsia="宋体" w:hint="default"/>
                <w:spacing w:val="-3"/>
                <w:sz w:val="18"/>
                <w:szCs w:val="18"/>
              </w:rPr>
              <w:t>超募资金的金额、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用途及使用进展</w:t>
            </w:r>
            <w:r>
              <w:rPr>
                <w:rFonts w:ascii="宋体" w:hAnsi="宋体" w:cs="宋体" w:eastAsia="宋体" w:hint="default"/>
                <w:sz w:val="18"/>
                <w:szCs w:val="18"/>
              </w:rPr>
              <w:t> 情况</w:t>
            </w:r>
          </w:p>
        </w:tc>
        <w:tc>
          <w:tcPr>
            <w:tcW w:w="8148" w:type="dxa"/>
            <w:gridSpan w:val="11"/>
            <w:tcBorders>
              <w:top w:val="single" w:sz="4" w:space="0" w:color="000000"/>
              <w:left w:val="single" w:sz="23" w:space="0" w:color="FFFFFF"/>
              <w:bottom w:val="single" w:sz="4" w:space="0" w:color="000000"/>
              <w:right w:val="single" w:sz="4" w:space="0" w:color="000000"/>
            </w:tcBorders>
          </w:tcPr>
          <w:p>
            <w:pPr>
              <w:pStyle w:val="TableParagraph"/>
              <w:spacing w:line="240" w:lineRule="auto" w:before="51"/>
              <w:ind w:left="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415" w:type="dxa"/>
            <w:vMerge/>
            <w:tcBorders>
              <w:left w:val="single" w:sz="4" w:space="0" w:color="000000"/>
              <w:bottom w:val="single" w:sz="4" w:space="0" w:color="000000"/>
              <w:right w:val="single" w:sz="9" w:space="0" w:color="FFFFFF"/>
            </w:tcBorders>
            <w:shd w:val="clear" w:color="auto" w:fill="D2D2D2"/>
          </w:tcPr>
          <w:p>
            <w:pPr/>
          </w:p>
        </w:tc>
        <w:tc>
          <w:tcPr>
            <w:tcW w:w="8148" w:type="dxa"/>
            <w:gridSpan w:val="11"/>
            <w:tcBorders>
              <w:top w:val="single" w:sz="4" w:space="0" w:color="000000"/>
              <w:left w:val="single" w:sz="13" w:space="0" w:color="D2D2D2"/>
              <w:bottom w:val="single" w:sz="4" w:space="0" w:color="000000"/>
              <w:right w:val="single" w:sz="4" w:space="0" w:color="000000"/>
            </w:tcBorders>
          </w:tcPr>
          <w:p>
            <w:pPr/>
          </w:p>
        </w:tc>
      </w:tr>
    </w:tbl>
    <w:p>
      <w:pPr>
        <w:spacing w:line="240" w:lineRule="auto" w:before="3"/>
        <w:rPr>
          <w:rFonts w:ascii="宋体" w:hAnsi="宋体" w:cs="宋体" w:eastAsia="宋体" w:hint="default"/>
          <w:sz w:val="25"/>
          <w:szCs w:val="25"/>
        </w:rPr>
      </w:pPr>
    </w:p>
    <w:p>
      <w:pPr>
        <w:spacing w:line="20" w:lineRule="exact"/>
        <w:ind w:left="1129" w:right="0" w:firstLine="0"/>
        <w:rPr>
          <w:rFonts w:ascii="宋体" w:hAnsi="宋体" w:cs="宋体" w:eastAsia="宋体" w:hint="default"/>
          <w:sz w:val="2"/>
          <w:szCs w:val="2"/>
        </w:rPr>
      </w:pPr>
      <w:r>
        <w:rPr>
          <w:rFonts w:ascii="宋体" w:hAnsi="宋体" w:cs="宋体" w:eastAsia="宋体" w:hint="default"/>
          <w:sz w:val="2"/>
          <w:szCs w:val="2"/>
        </w:rPr>
        <w:pict>
          <v:group style="width:144.450pt;height:.45pt;mso-position-horizontal-relative:char;mso-position-vertical-relative:line" coordorigin="0,0" coordsize="2889,9">
            <v:group style="position:absolute;left:4;top:4;width:2881;height:2" coordorigin="4,4" coordsize="2881,2">
              <v:shape style="position:absolute;left:4;top:4;width:2881;height:2" coordorigin="4,4" coordsize="2881,0" path="m4,4l2885,4e" filled="false" stroked="true" strokeweight=".42pt" strokecolor="#000000">
                <v:path arrowok="t"/>
              </v:shape>
            </v:group>
          </v:group>
        </w:pict>
      </w:r>
      <w:r>
        <w:rPr>
          <w:rFonts w:ascii="宋体" w:hAnsi="宋体" w:cs="宋体" w:eastAsia="宋体" w:hint="default"/>
          <w:sz w:val="2"/>
          <w:szCs w:val="2"/>
        </w:rPr>
      </w:r>
    </w:p>
    <w:p>
      <w:pPr>
        <w:pStyle w:val="BodyText"/>
        <w:spacing w:line="228" w:lineRule="auto" w:before="51"/>
        <w:ind w:right="1130"/>
        <w:jc w:val="both"/>
        <w:rPr>
          <w:rFonts w:ascii="Times New Roman" w:hAnsi="Times New Roman" w:cs="Times New Roman" w:eastAsia="Times New Roman" w:hint="default"/>
        </w:rPr>
      </w:pPr>
      <w:r>
        <w:rPr/>
        <w:pict>
          <v:group style="position:absolute;margin-left:129.020004pt;margin-top:-68.843864pt;width:404.45pt;height:19.650pt;mso-position-horizontal-relative:page;mso-position-vertical-relative:paragraph;z-index:-843016" coordorigin="2580,-1377" coordsize="8089,393">
            <v:shape style="position:absolute;left:2580;top:-1377;width:8089;height:393" coordorigin="2580,-1377" coordsize="8089,393" path="m2580,-984l10669,-984,10669,-1377,2580,-1377,2580,-984xe" filled="true" fillcolor="#ffffff" stroked="false">
              <v:path arrowok="t"/>
              <v:fill type="solid"/>
            </v:shape>
            <w10:wrap type="none"/>
          </v:group>
        </w:pict>
      </w:r>
      <w:r>
        <w:rPr>
          <w:rFonts w:ascii="Times New Roman" w:hAnsi="Times New Roman" w:cs="Times New Roman" w:eastAsia="Times New Roman" w:hint="default"/>
          <w:position w:val="8"/>
          <w:sz w:val="12"/>
          <w:szCs w:val="12"/>
        </w:rPr>
        <w:t>3</w:t>
      </w:r>
      <w:r>
        <w:rPr/>
        <w:t>截止目前，募集资金投资项目正在持续正常推进，也未出现导致募投计划调整的重大内外部因素。同时金融</w:t>
      </w:r>
      <w:r>
        <w:rPr>
          <w:spacing w:val="-65"/>
        </w:rPr>
        <w:t> </w:t>
      </w:r>
      <w:r>
        <w:rPr>
          <w:rFonts w:ascii="Times New Roman" w:hAnsi="Times New Roman" w:cs="Times New Roman" w:eastAsia="Times New Roman" w:hint="default"/>
        </w:rPr>
        <w:t>IT</w:t>
      </w:r>
      <w:r>
        <w:rPr>
          <w:rFonts w:ascii="Times New Roman" w:hAnsi="Times New Roman" w:cs="Times New Roman" w:eastAsia="Times New Roman" w:hint="default"/>
          <w:spacing w:val="-20"/>
        </w:rPr>
        <w:t> </w:t>
      </w:r>
      <w:r>
        <w:rPr/>
        <w:t>行业的竞争 </w:t>
      </w:r>
      <w:r>
        <w:rPr>
          <w:spacing w:val="-2"/>
        </w:rPr>
        <w:t>日益加剧，人力成本上升很快。本着节约成本考虑，公司希望严控业务和研发人员的增长，这也由此一定程度的限制了募投</w:t>
      </w:r>
      <w:r>
        <w:rPr>
          <w:spacing w:val="-66"/>
        </w:rPr>
        <w:t> </w:t>
      </w:r>
      <w:r>
        <w:rPr>
          <w:spacing w:val="-66"/>
        </w:rPr>
      </w:r>
      <w:r>
        <w:rPr/>
        <w:t>项目的快速推进。公司出于对行业未来发展的预判，本着谨慎性的原则，将保险业</w:t>
      </w:r>
      <w:r>
        <w:rPr>
          <w:spacing w:val="-46"/>
        </w:rPr>
        <w:t> </w:t>
      </w:r>
      <w:r>
        <w:rPr>
          <w:rFonts w:ascii="Times New Roman" w:hAnsi="Times New Roman" w:cs="Times New Roman" w:eastAsia="Times New Roman" w:hint="default"/>
        </w:rPr>
        <w:t>IT</w:t>
      </w:r>
      <w:r>
        <w:rPr>
          <w:rFonts w:ascii="Times New Roman" w:hAnsi="Times New Roman" w:cs="Times New Roman" w:eastAsia="Times New Roman" w:hint="default"/>
          <w:spacing w:val="-1"/>
        </w:rPr>
        <w:t> </w:t>
      </w:r>
      <w:r>
        <w:rPr/>
        <w:t>整体解决方案、证券业客户营销与服 </w:t>
      </w:r>
      <w:r>
        <w:rPr>
          <w:spacing w:val="-1"/>
        </w:rPr>
        <w:t>务整体解决方案、云计算数据中心一体化运营管理平台、基于大数据的金融业客户体验与分析管理平台和研发中心建设这</w:t>
      </w:r>
      <w:r>
        <w:rPr>
          <w:spacing w:val="-28"/>
        </w:rPr>
        <w:t> </w:t>
      </w:r>
      <w:r>
        <w:rPr>
          <w:rFonts w:ascii="Times New Roman" w:hAnsi="Times New Roman" w:cs="Times New Roman" w:eastAsia="Times New Roman" w:hint="default"/>
        </w:rPr>
        <w:t>5</w:t>
      </w:r>
    </w:p>
    <w:p>
      <w:pPr>
        <w:pStyle w:val="BodyText"/>
        <w:spacing w:line="236" w:lineRule="exact"/>
        <w:ind w:left="1134" w:right="0"/>
        <w:jc w:val="both"/>
      </w:pPr>
      <w:r>
        <w:rPr/>
        <w:t>个募投项目的实施期限截止日期由原来的</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5 </w:t>
      </w:r>
      <w:r>
        <w:rPr/>
        <w:t>月</w:t>
      </w:r>
      <w:r>
        <w:rPr>
          <w:spacing w:val="-46"/>
        </w:rPr>
        <w:t> </w:t>
      </w:r>
      <w:r>
        <w:rPr>
          <w:rFonts w:ascii="Times New Roman" w:hAnsi="Times New Roman" w:cs="Times New Roman" w:eastAsia="Times New Roman" w:hint="default"/>
        </w:rPr>
        <w:t>31 </w:t>
      </w:r>
      <w:r>
        <w:rPr/>
        <w:t>日调整到</w:t>
      </w:r>
      <w:r>
        <w:rPr>
          <w:spacing w:val="-46"/>
        </w:rPr>
        <w:t> </w:t>
      </w:r>
      <w:r>
        <w:rPr>
          <w:rFonts w:ascii="Times New Roman" w:hAnsi="Times New Roman" w:cs="Times New Roman" w:eastAsia="Times New Roman" w:hint="default"/>
        </w:rPr>
        <w:t>2016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after="0" w:line="236" w:lineRule="exact"/>
        <w:jc w:val="both"/>
        <w:sectPr>
          <w:pgSz w:w="11910" w:h="16840"/>
          <w:pgMar w:header="877" w:footer="1187" w:top="1100" w:bottom="1380" w:left="0" w:right="0"/>
        </w:sectPr>
      </w:pPr>
    </w:p>
    <w:p>
      <w:pPr>
        <w:spacing w:line="240" w:lineRule="auto" w:before="0"/>
        <w:rPr>
          <w:rFonts w:ascii="宋体" w:hAnsi="宋体" w:cs="宋体" w:eastAsia="宋体" w:hint="default"/>
          <w:sz w:val="20"/>
          <w:szCs w:val="20"/>
        </w:rPr>
      </w:pPr>
      <w:r>
        <w:rPr/>
        <w:pict>
          <v:shape style="position:absolute;margin-left:56.459999pt;margin-top:71.999985pt;width:478.9pt;height:681.1pt;mso-position-horizontal-relative:page;mso-position-vertical-relative:page;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18"/>
                    <w:gridCol w:w="8145"/>
                  </w:tblGrid>
                  <w:tr>
                    <w:trPr>
                      <w:trHeight w:val="402" w:hRule="exact"/>
                    </w:trPr>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319" w:lineRule="auto"/>
                          <w:ind w:left="22" w:right="123"/>
                          <w:jc w:val="both"/>
                          <w:rPr>
                            <w:rFonts w:ascii="宋体" w:hAnsi="宋体" w:cs="宋体" w:eastAsia="宋体" w:hint="default"/>
                            <w:sz w:val="18"/>
                            <w:szCs w:val="18"/>
                          </w:rPr>
                        </w:pPr>
                        <w:r>
                          <w:rPr>
                            <w:rFonts w:ascii="宋体" w:hAnsi="宋体" w:cs="宋体" w:eastAsia="宋体" w:hint="default"/>
                            <w:sz w:val="18"/>
                            <w:szCs w:val="18"/>
                          </w:rPr>
                          <w:t>募集资金投资项 目实施地点变更 情况</w:t>
                        </w:r>
                      </w:p>
                    </w:tc>
                    <w:tc>
                      <w:tcPr>
                        <w:tcW w:w="8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418" w:type="dxa"/>
                        <w:vMerge/>
                        <w:tcBorders>
                          <w:left w:val="single" w:sz="4" w:space="0" w:color="000000"/>
                          <w:right w:val="single" w:sz="4" w:space="0" w:color="000000"/>
                        </w:tcBorders>
                        <w:shd w:val="clear" w:color="auto" w:fill="D2D2D2"/>
                      </w:tcPr>
                      <w:p>
                        <w:pPr/>
                      </w:p>
                    </w:tc>
                    <w:tc>
                      <w:tcPr>
                        <w:tcW w:w="8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1650"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81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both"/>
                          <w:rPr>
                            <w:rFonts w:ascii="Times New Roman" w:hAnsi="Times New Roman" w:cs="Times New Roman" w:eastAsia="Times New Roman" w:hint="default"/>
                            <w:sz w:val="18"/>
                            <w:szCs w:val="18"/>
                          </w:rPr>
                        </w:pPr>
                        <w:r>
                          <w:rPr>
                            <w:rFonts w:ascii="宋体" w:hAnsi="宋体" w:cs="宋体" w:eastAsia="宋体" w:hint="default"/>
                            <w:spacing w:val="-1"/>
                            <w:sz w:val="18"/>
                            <w:szCs w:val="18"/>
                          </w:rPr>
                          <w:t>根据公司《招股说明书》披露，本次募集资金投资项目中部分项目的实施地点在江苏省南京市，由公司</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1"/>
                            <w:sz w:val="18"/>
                            <w:szCs w:val="18"/>
                          </w:rPr>
                          <w:t>全资子公司江苏高伟达信息技术有限公司负责实施。为加快项目的实施进度，把握市场机遇，充分发挥</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pacing w:val="-2"/>
                            <w:sz w:val="18"/>
                            <w:szCs w:val="18"/>
                          </w:rPr>
                          <w:t>募投项目的最大效用，公司拟将项目实施主体变更为高伟达，实施地点变更至北京市朝阳区亮马桥路</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32</w:t>
                        </w:r>
                      </w:p>
                      <w:p>
                        <w:pPr>
                          <w:pStyle w:val="TableParagraph"/>
                          <w:spacing w:line="302" w:lineRule="auto"/>
                          <w:ind w:left="23" w:right="54"/>
                          <w:jc w:val="both"/>
                          <w:rPr>
                            <w:rFonts w:ascii="宋体" w:hAnsi="宋体" w:cs="宋体" w:eastAsia="宋体" w:hint="default"/>
                            <w:sz w:val="18"/>
                            <w:szCs w:val="18"/>
                          </w:rPr>
                        </w:pPr>
                        <w:r>
                          <w:rPr>
                            <w:rFonts w:ascii="宋体" w:hAnsi="宋体" w:cs="宋体" w:eastAsia="宋体" w:hint="default"/>
                            <w:sz w:val="18"/>
                            <w:szCs w:val="18"/>
                          </w:rPr>
                          <w:t>号高斓大厦。</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年第一次临时股东大会审议通过《关于变更募集资金投资 </w:t>
                        </w:r>
                        <w:r>
                          <w:rPr>
                            <w:rFonts w:ascii="宋体" w:hAnsi="宋体" w:cs="宋体" w:eastAsia="宋体" w:hint="default"/>
                            <w:spacing w:val="-3"/>
                            <w:sz w:val="18"/>
                            <w:szCs w:val="18"/>
                          </w:rPr>
                          <w:t>项目的议案》，同意公司变更公司部分募投项目实施地点和实施主体。</w:t>
                        </w:r>
                      </w:p>
                    </w:tc>
                  </w:tr>
                  <w:tr>
                    <w:trPr>
                      <w:trHeight w:val="402" w:hRule="exact"/>
                    </w:trPr>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319" w:lineRule="auto"/>
                          <w:ind w:left="22" w:right="123"/>
                          <w:jc w:val="both"/>
                          <w:rPr>
                            <w:rFonts w:ascii="宋体" w:hAnsi="宋体" w:cs="宋体" w:eastAsia="宋体" w:hint="default"/>
                            <w:sz w:val="18"/>
                            <w:szCs w:val="18"/>
                          </w:rPr>
                        </w:pPr>
                        <w:r>
                          <w:rPr>
                            <w:rFonts w:ascii="宋体" w:hAnsi="宋体" w:cs="宋体" w:eastAsia="宋体" w:hint="default"/>
                            <w:sz w:val="18"/>
                            <w:szCs w:val="18"/>
                          </w:rPr>
                          <w:t>募集资金投资项 目实施方式调整 情况</w:t>
                        </w:r>
                      </w:p>
                    </w:tc>
                    <w:tc>
                      <w:tcPr>
                        <w:tcW w:w="8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418" w:type="dxa"/>
                        <w:vMerge/>
                        <w:tcBorders>
                          <w:left w:val="single" w:sz="4" w:space="0" w:color="000000"/>
                          <w:right w:val="single" w:sz="4" w:space="0" w:color="000000"/>
                        </w:tcBorders>
                        <w:shd w:val="clear" w:color="auto" w:fill="D2D2D2"/>
                      </w:tcPr>
                      <w:p>
                        <w:pPr/>
                      </w:p>
                    </w:tc>
                    <w:tc>
                      <w:tcPr>
                        <w:tcW w:w="8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2586"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814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1"/>
                          <w:jc w:val="both"/>
                          <w:rPr>
                            <w:rFonts w:ascii="宋体" w:hAnsi="宋体" w:cs="宋体" w:eastAsia="宋体" w:hint="default"/>
                            <w:sz w:val="18"/>
                            <w:szCs w:val="18"/>
                          </w:rPr>
                        </w:pPr>
                        <w:r>
                          <w:rPr>
                            <w:rFonts w:ascii="宋体" w:hAnsi="宋体" w:cs="宋体" w:eastAsia="宋体" w:hint="default"/>
                            <w:spacing w:val="-1"/>
                            <w:sz w:val="18"/>
                            <w:szCs w:val="18"/>
                          </w:rPr>
                          <w:t>根据公司《招股说明书》披露，公司计划通过购买物业并装修的方式，实施本次募集资金投资项目，近</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1"/>
                            <w:sz w:val="18"/>
                            <w:szCs w:val="18"/>
                          </w:rPr>
                          <w:t>年来，随着商业地产价格的变化，公司已无法继续实施原有购买物业实施募投项目的方案。同时，公司</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自有物业中位于北京市朝阳区亮马桥路 </w:t>
                        </w:r>
                        <w:r>
                          <w:rPr>
                            <w:rFonts w:ascii="Times New Roman" w:hAnsi="Times New Roman" w:cs="Times New Roman" w:eastAsia="Times New Roman" w:hint="default"/>
                            <w:sz w:val="18"/>
                            <w:szCs w:val="18"/>
                          </w:rPr>
                          <w:t>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号高斓大厦的房产可通过工位置换和缩减闲置使用面积的方 </w:t>
                        </w:r>
                        <w:r>
                          <w:rPr>
                            <w:rFonts w:ascii="宋体" w:hAnsi="宋体" w:cs="宋体" w:eastAsia="宋体" w:hint="default"/>
                            <w:spacing w:val="-1"/>
                            <w:sz w:val="18"/>
                            <w:szCs w:val="18"/>
                          </w:rPr>
                          <w:t>式腾挪出来，作为募投项目实施所需场地。本着节省实施成本、管理和办公便利的考虑，公司拟将此处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1"/>
                            <w:sz w:val="18"/>
                            <w:szCs w:val="18"/>
                          </w:rPr>
                          <w:t>物业资产作为上述募集资金投资项目实施场所。为保障募投项目顺畅实施，公司拟将项目中原计划用于</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pacing w:val="-4"/>
                            <w:sz w:val="18"/>
                            <w:szCs w:val="18"/>
                          </w:rPr>
                          <w:t>购置房产和装修的项目支出转为各个项目实施的备用金，用于项目的具体实际支出。</w:t>
                        </w:r>
                        <w:r>
                          <w:rPr>
                            <w:rFonts w:ascii="Times New Roman" w:hAnsi="Times New Roman" w:cs="Times New Roman" w:eastAsia="Times New Roman" w:hint="default"/>
                            <w:spacing w:val="-4"/>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p>
                        <w:pPr>
                          <w:pStyle w:val="TableParagraph"/>
                          <w:spacing w:line="302" w:lineRule="auto" w:before="1"/>
                          <w:ind w:left="23" w:right="21"/>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年第一次临时股东大会审议通过《关于变更募集资金投资项目的议案》，同意公司变更公司部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分募投项目的实施方式。</w:t>
                        </w:r>
                      </w:p>
                    </w:tc>
                  </w:tr>
                  <w:tr>
                    <w:trPr>
                      <w:trHeight w:val="402" w:hRule="exact"/>
                    </w:trPr>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316" w:lineRule="auto"/>
                          <w:ind w:left="22" w:right="123"/>
                          <w:jc w:val="both"/>
                          <w:rPr>
                            <w:rFonts w:ascii="宋体" w:hAnsi="宋体" w:cs="宋体" w:eastAsia="宋体" w:hint="default"/>
                            <w:sz w:val="18"/>
                            <w:szCs w:val="18"/>
                          </w:rPr>
                        </w:pPr>
                        <w:r>
                          <w:rPr>
                            <w:rFonts w:ascii="宋体" w:hAnsi="宋体" w:cs="宋体" w:eastAsia="宋体" w:hint="default"/>
                            <w:sz w:val="18"/>
                            <w:szCs w:val="18"/>
                          </w:rPr>
                          <w:t>募集资金投资项 目先期投入及置 换情况</w:t>
                        </w:r>
                      </w:p>
                    </w:tc>
                    <w:tc>
                      <w:tcPr>
                        <w:tcW w:w="8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898"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814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9"/>
                          <w:jc w:val="both"/>
                          <w:rPr>
                            <w:rFonts w:ascii="宋体" w:hAnsi="宋体" w:cs="宋体" w:eastAsia="宋体" w:hint="default"/>
                            <w:sz w:val="18"/>
                            <w:szCs w:val="18"/>
                          </w:rPr>
                        </w:pPr>
                        <w:r>
                          <w:rPr>
                            <w:rFonts w:ascii="宋体" w:hAnsi="宋体" w:cs="宋体" w:eastAsia="宋体" w:hint="default"/>
                            <w:sz w:val="18"/>
                            <w:szCs w:val="18"/>
                          </w:rPr>
                          <w:t>为加快募集资金投资项目的实施，提高募集资金的使用效率，截至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日，公司募集资金投 资项目中</w:t>
                        </w:r>
                        <w:r>
                          <w:rPr>
                            <w:rFonts w:ascii="Times New Roman" w:hAnsi="Times New Roman" w:cs="Times New Roman" w:eastAsia="Times New Roman" w:hint="default"/>
                            <w:sz w:val="18"/>
                            <w:szCs w:val="18"/>
                          </w:rPr>
                          <w:t>“</w:t>
                        </w:r>
                        <w:r>
                          <w:rPr>
                            <w:rFonts w:ascii="宋体" w:hAnsi="宋体" w:cs="宋体" w:eastAsia="宋体" w:hint="default"/>
                            <w:sz w:val="18"/>
                            <w:szCs w:val="18"/>
                          </w:rPr>
                          <w:t>银行业</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整体解决方案</w:t>
                        </w:r>
                        <w:r>
                          <w:rPr>
                            <w:rFonts w:ascii="Times New Roman" w:hAnsi="Times New Roman" w:cs="Times New Roman" w:eastAsia="Times New Roman" w:hint="default"/>
                            <w:sz w:val="18"/>
                            <w:szCs w:val="18"/>
                          </w:rPr>
                          <w:t>”</w:t>
                        </w:r>
                        <w:r>
                          <w:rPr>
                            <w:rFonts w:ascii="宋体" w:hAnsi="宋体" w:cs="宋体" w:eastAsia="宋体" w:hint="default"/>
                            <w:sz w:val="18"/>
                            <w:szCs w:val="18"/>
                          </w:rPr>
                          <w:t>已由公司利用自筹资金</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37,689,565.52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元先行投入；</w:t>
                        </w:r>
                        <w:r>
                          <w:rPr>
                            <w:rFonts w:ascii="Times New Roman" w:hAnsi="Times New Roman" w:cs="Times New Roman" w:eastAsia="Times New Roman" w:hint="default"/>
                            <w:sz w:val="18"/>
                            <w:szCs w:val="18"/>
                          </w:rPr>
                          <w:t>“</w:t>
                        </w:r>
                        <w:r>
                          <w:rPr>
                            <w:rFonts w:ascii="宋体" w:hAnsi="宋体" w:cs="宋体" w:eastAsia="宋体" w:hint="default"/>
                            <w:sz w:val="18"/>
                            <w:szCs w:val="18"/>
                          </w:rPr>
                          <w:t>证券业客户营销 与服务整体解决方案</w:t>
                        </w:r>
                        <w:r>
                          <w:rPr>
                            <w:rFonts w:ascii="Times New Roman" w:hAnsi="Times New Roman" w:cs="Times New Roman" w:eastAsia="Times New Roman" w:hint="default"/>
                            <w:sz w:val="18"/>
                            <w:szCs w:val="18"/>
                          </w:rPr>
                          <w:t>”</w:t>
                        </w:r>
                        <w:r>
                          <w:rPr>
                            <w:rFonts w:ascii="宋体" w:hAnsi="宋体" w:cs="宋体" w:eastAsia="宋体" w:hint="default"/>
                            <w:sz w:val="18"/>
                            <w:szCs w:val="18"/>
                          </w:rPr>
                          <w:t>项目已由公司利用自筹资金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5,552,581.93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元先行投入；</w:t>
                        </w:r>
                        <w:r>
                          <w:rPr>
                            <w:rFonts w:ascii="Times New Roman" w:hAnsi="Times New Roman" w:cs="Times New Roman" w:eastAsia="Times New Roman" w:hint="default"/>
                            <w:sz w:val="18"/>
                            <w:szCs w:val="18"/>
                          </w:rPr>
                          <w:t>“</w:t>
                        </w:r>
                        <w:r>
                          <w:rPr>
                            <w:rFonts w:ascii="宋体" w:hAnsi="宋体" w:cs="宋体" w:eastAsia="宋体" w:hint="default"/>
                            <w:sz w:val="18"/>
                            <w:szCs w:val="18"/>
                          </w:rPr>
                          <w:t>云计算数据中心一体化运</w:t>
                        </w:r>
                      </w:p>
                      <w:p>
                        <w:pPr>
                          <w:pStyle w:val="TableParagraph"/>
                          <w:spacing w:line="240" w:lineRule="auto" w:before="13"/>
                          <w:ind w:left="23" w:right="0"/>
                          <w:jc w:val="both"/>
                          <w:rPr>
                            <w:rFonts w:ascii="宋体" w:hAnsi="宋体" w:cs="宋体" w:eastAsia="宋体" w:hint="default"/>
                            <w:sz w:val="18"/>
                            <w:szCs w:val="18"/>
                          </w:rPr>
                        </w:pPr>
                        <w:r>
                          <w:rPr>
                            <w:rFonts w:ascii="宋体" w:hAnsi="宋体" w:cs="宋体" w:eastAsia="宋体" w:hint="default"/>
                            <w:sz w:val="18"/>
                            <w:szCs w:val="18"/>
                          </w:rPr>
                          <w:t>营管理平台</w:t>
                        </w:r>
                        <w:r>
                          <w:rPr>
                            <w:rFonts w:ascii="Times New Roman" w:hAnsi="Times New Roman" w:cs="Times New Roman" w:eastAsia="Times New Roman" w:hint="default"/>
                            <w:w w:val="100"/>
                            <w:sz w:val="18"/>
                            <w:szCs w:val="18"/>
                          </w:rPr>
                          <w:t>”</w:t>
                        </w:r>
                        <w:r>
                          <w:rPr>
                            <w:rFonts w:ascii="宋体" w:hAnsi="宋体" w:cs="宋体" w:eastAsia="宋体" w:hint="default"/>
                            <w:sz w:val="18"/>
                            <w:szCs w:val="18"/>
                          </w:rPr>
                          <w:t>项目已由公司利用自筹资金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487,124.62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宋体" w:hAnsi="宋体" w:cs="宋体" w:eastAsia="宋体" w:hint="default"/>
                            <w:spacing w:val="-2"/>
                            <w:sz w:val="18"/>
                            <w:szCs w:val="18"/>
                          </w:rPr>
                          <w:t>先</w:t>
                        </w:r>
                        <w:r>
                          <w:rPr>
                            <w:rFonts w:ascii="宋体" w:hAnsi="宋体" w:cs="宋体" w:eastAsia="宋体" w:hint="default"/>
                            <w:sz w:val="18"/>
                            <w:szCs w:val="18"/>
                          </w:rPr>
                          <w:t>行投入</w:t>
                        </w:r>
                        <w:r>
                          <w:rPr>
                            <w:rFonts w:ascii="宋体" w:hAnsi="宋体" w:cs="宋体" w:eastAsia="宋体" w:hint="default"/>
                            <w:spacing w:val="-82"/>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基于大数据的金融业客户体验与分</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析管理平台</w:t>
                        </w:r>
                        <w:r>
                          <w:rPr>
                            <w:rFonts w:ascii="Times New Roman" w:hAnsi="Times New Roman" w:cs="Times New Roman" w:eastAsia="Times New Roman" w:hint="default"/>
                            <w:sz w:val="18"/>
                            <w:szCs w:val="18"/>
                          </w:rPr>
                          <w:t>”</w:t>
                        </w:r>
                        <w:r>
                          <w:rPr>
                            <w:rFonts w:ascii="宋体" w:hAnsi="宋体" w:cs="宋体" w:eastAsia="宋体" w:hint="default"/>
                            <w:sz w:val="18"/>
                            <w:szCs w:val="18"/>
                          </w:rPr>
                          <w:t>项目已由公司利用自筹资金</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6,910,665.39</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元先行投入；</w:t>
                        </w:r>
                        <w:r>
                          <w:rPr>
                            <w:rFonts w:ascii="Times New Roman" w:hAnsi="Times New Roman" w:cs="Times New Roman" w:eastAsia="Times New Roman" w:hint="default"/>
                            <w:sz w:val="18"/>
                            <w:szCs w:val="18"/>
                          </w:rPr>
                          <w:t>“</w:t>
                        </w:r>
                        <w:r>
                          <w:rPr>
                            <w:rFonts w:ascii="宋体" w:hAnsi="宋体" w:cs="宋体" w:eastAsia="宋体" w:hint="default"/>
                            <w:sz w:val="18"/>
                            <w:szCs w:val="18"/>
                          </w:rPr>
                          <w:t>产品研发中心建设</w:t>
                        </w:r>
                        <w:r>
                          <w:rPr>
                            <w:rFonts w:ascii="Times New Roman" w:hAnsi="Times New Roman" w:cs="Times New Roman" w:eastAsia="Times New Roman" w:hint="default"/>
                            <w:sz w:val="18"/>
                            <w:szCs w:val="18"/>
                          </w:rPr>
                          <w:t>”</w:t>
                        </w:r>
                        <w:r>
                          <w:rPr>
                            <w:rFonts w:ascii="宋体" w:hAnsi="宋体" w:cs="宋体" w:eastAsia="宋体" w:hint="default"/>
                            <w:sz w:val="18"/>
                            <w:szCs w:val="18"/>
                          </w:rPr>
                          <w:t>项目已由公司利</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用自筹资金 </w:t>
                        </w:r>
                        <w:r>
                          <w:rPr>
                            <w:rFonts w:ascii="Times New Roman" w:hAnsi="Times New Roman" w:cs="Times New Roman" w:eastAsia="Times New Roman" w:hint="default"/>
                            <w:sz w:val="18"/>
                            <w:szCs w:val="18"/>
                          </w:rPr>
                          <w:t>7,405,971.87</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元先行投入。信永中和会计师事务所就上述募集资金投资项目的预先投入情况</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进行了核验，并于</w:t>
                        </w:r>
                        <w:r>
                          <w:rPr>
                            <w:rFonts w:ascii="宋体" w:hAnsi="宋体" w:cs="宋体" w:eastAsia="宋体" w:hint="default"/>
                            <w:spacing w:val="-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日出具了</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XYZH/2015BJA80071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号《高伟达软件股份有限公司关于以</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募集资金置换预先已投入募投项目自筹资金的专项说明鉴证报告</w:t>
                        </w:r>
                        <w:r>
                          <w:rPr>
                            <w:rFonts w:ascii="宋体" w:hAnsi="宋体" w:cs="宋体" w:eastAsia="宋体" w:hint="default"/>
                            <w:spacing w:val="-90"/>
                            <w:sz w:val="18"/>
                            <w:szCs w:val="18"/>
                          </w:rPr>
                          <w:t>》</w:t>
                        </w:r>
                        <w:r>
                          <w:rPr>
                            <w:rFonts w:ascii="宋体" w:hAnsi="宋体" w:cs="宋体" w:eastAsia="宋体" w:hint="default"/>
                            <w:spacing w:val="-29"/>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日</w:t>
                        </w:r>
                        <w:r>
                          <w:rPr>
                            <w:rFonts w:ascii="宋体" w:hAnsi="宋体" w:cs="宋体" w:eastAsia="宋体" w:hint="default"/>
                            <w:spacing w:val="-29"/>
                            <w:sz w:val="18"/>
                            <w:szCs w:val="18"/>
                          </w:rPr>
                          <w:t>，</w:t>
                        </w:r>
                        <w:r>
                          <w:rPr>
                            <w:rFonts w:ascii="宋体" w:hAnsi="宋体" w:cs="宋体" w:eastAsia="宋体" w:hint="default"/>
                            <w:sz w:val="18"/>
                            <w:szCs w:val="18"/>
                          </w:rPr>
                          <w:t>公司以募集资金</w:t>
                        </w:r>
                      </w:p>
                      <w:p>
                        <w:pPr>
                          <w:pStyle w:val="TableParagraph"/>
                          <w:spacing w:line="240" w:lineRule="auto" w:before="64"/>
                          <w:ind w:left="23" w:right="0"/>
                          <w:jc w:val="both"/>
                          <w:rPr>
                            <w:rFonts w:ascii="宋体" w:hAnsi="宋体" w:cs="宋体" w:eastAsia="宋体" w:hint="default"/>
                            <w:sz w:val="18"/>
                            <w:szCs w:val="18"/>
                          </w:rPr>
                        </w:pPr>
                        <w:r>
                          <w:rPr>
                            <w:rFonts w:ascii="宋体" w:hAnsi="宋体" w:cs="宋体" w:eastAsia="宋体" w:hint="default"/>
                            <w:sz w:val="18"/>
                            <w:szCs w:val="18"/>
                          </w:rPr>
                          <w:t>人民币 </w:t>
                        </w:r>
                        <w:r>
                          <w:rPr>
                            <w:rFonts w:ascii="Times New Roman" w:hAnsi="Times New Roman" w:cs="Times New Roman" w:eastAsia="Times New Roman" w:hint="default"/>
                            <w:sz w:val="18"/>
                            <w:szCs w:val="18"/>
                          </w:rPr>
                          <w:t>78,045,909.33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元置换先期投入募集资金投资项目的自筹资金。</w:t>
                        </w:r>
                      </w:p>
                    </w:tc>
                  </w:tr>
                  <w:tr>
                    <w:trPr>
                      <w:trHeight w:val="402" w:hRule="exact"/>
                    </w:trPr>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22" w:right="123"/>
                          <w:jc w:val="both"/>
                          <w:rPr>
                            <w:rFonts w:ascii="宋体" w:hAnsi="宋体" w:cs="宋体" w:eastAsia="宋体" w:hint="default"/>
                            <w:sz w:val="18"/>
                            <w:szCs w:val="18"/>
                          </w:rPr>
                        </w:pPr>
                        <w:r>
                          <w:rPr>
                            <w:rFonts w:ascii="宋体" w:hAnsi="宋体" w:cs="宋体" w:eastAsia="宋体" w:hint="default"/>
                            <w:sz w:val="18"/>
                            <w:szCs w:val="18"/>
                          </w:rPr>
                          <w:t>用闲置募集资金 暂时补充流动资 金情况</w:t>
                        </w:r>
                      </w:p>
                    </w:tc>
                    <w:tc>
                      <w:tcPr>
                        <w:tcW w:w="8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650"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8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日，公司第二届董事会第十二次会议审议通过《关于使用部分闲置募集资金暂时补充流</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动资金的议案</w:t>
                        </w:r>
                        <w:r>
                          <w:rPr>
                            <w:rFonts w:ascii="宋体" w:hAnsi="宋体" w:cs="宋体" w:eastAsia="宋体" w:hint="default"/>
                            <w:spacing w:val="-90"/>
                            <w:sz w:val="18"/>
                            <w:szCs w:val="18"/>
                          </w:rPr>
                          <w:t>》</w:t>
                        </w:r>
                        <w:r>
                          <w:rPr>
                            <w:rFonts w:ascii="宋体" w:hAnsi="宋体" w:cs="宋体" w:eastAsia="宋体" w:hint="default"/>
                            <w:sz w:val="18"/>
                            <w:szCs w:val="18"/>
                          </w:rPr>
                          <w:t>，同意公司使用闲置募集资金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万元暂时补充流动资金，使用期限为十二个月，到</w:t>
                        </w:r>
                      </w:p>
                      <w:p>
                        <w:pPr>
                          <w:pStyle w:val="TableParagraph"/>
                          <w:spacing w:line="309" w:lineRule="auto" w:before="63"/>
                          <w:ind w:left="23" w:right="21"/>
                          <w:jc w:val="both"/>
                          <w:rPr>
                            <w:rFonts w:ascii="宋体" w:hAnsi="宋体" w:cs="宋体" w:eastAsia="宋体" w:hint="default"/>
                            <w:sz w:val="18"/>
                            <w:szCs w:val="18"/>
                          </w:rPr>
                        </w:pPr>
                        <w:r>
                          <w:rPr>
                            <w:rFonts w:ascii="宋体" w:hAnsi="宋体" w:cs="宋体" w:eastAsia="宋体" w:hint="default"/>
                            <w:sz w:val="18"/>
                            <w:szCs w:val="18"/>
                          </w:rPr>
                          <w:t>期前公司应及时足额将上述资金归还至募集资金专用账户。</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日，公司已将合计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 </w:t>
                        </w:r>
                        <w:r>
                          <w:rPr>
                            <w:rFonts w:ascii="宋体" w:hAnsi="宋体" w:cs="宋体" w:eastAsia="宋体" w:hint="default"/>
                            <w:spacing w:val="-1"/>
                            <w:sz w:val="18"/>
                            <w:szCs w:val="18"/>
                          </w:rPr>
                          <w:t>元人民币归还至公司募集资金专户，并将上述归还情况通知了保荐机构及保荐代表人，同时在剩余补充</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流动资金到期前将足额归还至募集资金专户。</w:t>
                        </w:r>
                      </w:p>
                    </w:tc>
                  </w:tr>
                  <w:tr>
                    <w:trPr>
                      <w:trHeight w:val="402" w:hRule="exact"/>
                    </w:trPr>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2" w:right="123"/>
                          <w:jc w:val="both"/>
                          <w:rPr>
                            <w:rFonts w:ascii="宋体" w:hAnsi="宋体" w:cs="宋体" w:eastAsia="宋体" w:hint="default"/>
                            <w:sz w:val="18"/>
                            <w:szCs w:val="18"/>
                          </w:rPr>
                        </w:pPr>
                        <w:r>
                          <w:rPr>
                            <w:rFonts w:ascii="宋体" w:hAnsi="宋体" w:cs="宋体" w:eastAsia="宋体" w:hint="default"/>
                            <w:sz w:val="18"/>
                            <w:szCs w:val="18"/>
                          </w:rPr>
                          <w:t>项目实施出现募 集资金结余的金 额及原因</w:t>
                        </w:r>
                      </w:p>
                    </w:tc>
                    <w:tc>
                      <w:tcPr>
                        <w:tcW w:w="8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814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尚未使用的募集 资金用途及去向</w:t>
                        </w:r>
                      </w:p>
                    </w:tc>
                    <w:tc>
                      <w:tcPr>
                        <w:tcW w:w="814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尚未使用的募集资金均存放在公司的募集资金专户，公司将有计划的投资于募投项目。</w:t>
                        </w:r>
                      </w:p>
                    </w:tc>
                  </w:tr>
                  <w:tr>
                    <w:trPr>
                      <w:trHeight w:val="67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募集资金使用及 披露中存在的问</w:t>
                        </w:r>
                      </w:p>
                    </w:tc>
                    <w:tc>
                      <w:tcPr>
                        <w:tcW w:w="814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BodyText"/>
        <w:spacing w:line="240" w:lineRule="auto" w:before="44"/>
        <w:ind w:left="0" w:right="1145"/>
        <w:jc w:val="right"/>
      </w:pPr>
      <w:r>
        <w:rPr/>
        <w:t>，</w:t>
      </w:r>
    </w:p>
    <w:p>
      <w:pPr>
        <w:spacing w:after="0" w:line="240" w:lineRule="auto"/>
        <w:jc w:val="right"/>
        <w:sectPr>
          <w:pgSz w:w="11910" w:h="16840"/>
          <w:pgMar w:header="877" w:footer="1187" w:top="1100" w:bottom="1380" w:left="0" w:right="0"/>
        </w:sectPr>
      </w:pPr>
    </w:p>
    <w:p>
      <w:pPr>
        <w:spacing w:line="240" w:lineRule="auto" w:before="2"/>
        <w:rPr>
          <w:rFonts w:ascii="宋体" w:hAnsi="宋体" w:cs="宋体" w:eastAsia="宋体" w:hint="default"/>
          <w:sz w:val="24"/>
          <w:szCs w:val="24"/>
        </w:rPr>
      </w:pPr>
    </w:p>
    <w:p>
      <w:pPr>
        <w:spacing w:line="381" w:lineRule="exact"/>
        <w:ind w:left="112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65pt;height:19.1pt;mso-position-horizontal-relative:char;mso-position-vertical-relative:line" coordorigin="0,0" coordsize="9573,382">
            <v:group style="position:absolute;left:21;top:14;width:2;height:353" coordorigin="21,14" coordsize="2,353">
              <v:shape style="position:absolute;left:21;top:14;width:2;height:353" coordorigin="21,14" coordsize="0,353" path="m21,14l21,367e" filled="false" stroked="true" strokeweight="1.140pt" strokecolor="#d2d2d2">
                <v:path arrowok="t"/>
              </v:shape>
            </v:group>
            <v:group style="position:absolute;left:1406;top:14;width:2;height:353" coordorigin="1406,14" coordsize="2,353">
              <v:shape style="position:absolute;left:1406;top:14;width:2;height:353" coordorigin="1406,14" coordsize="0,353" path="m1406,14l1406,367e" filled="false" stroked="true" strokeweight="1.140pt" strokecolor="#d2d2d2">
                <v:path arrowok="t"/>
              </v:shape>
            </v:group>
            <v:group style="position:absolute;left:32;top:14;width:1363;height:353" coordorigin="32,14" coordsize="1363,353">
              <v:shape style="position:absolute;left:32;top:14;width:1363;height:353" coordorigin="32,14" coordsize="1363,353" path="m32,367l1395,367,1395,14,32,14,32,367xe" filled="true" fillcolor="#d2d2d2" stroked="false">
                <v:path arrowok="t"/>
                <v:fill type="solid"/>
              </v:shape>
            </v:group>
            <v:group style="position:absolute;left:1428;top:14;width:8135;height:353" coordorigin="1428,14" coordsize="8135,353">
              <v:shape style="position:absolute;left:1428;top:14;width:8135;height:353" coordorigin="1428,14" coordsize="8135,353" path="m1428,367l9563,367,9563,14,1428,14,1428,367xe" filled="true" fillcolor="#c6eccc" stroked="false">
                <v:path arrowok="t"/>
                <v:fill type="solid"/>
              </v:shape>
            </v:group>
            <v:group style="position:absolute;left:10;top:10;width:1410;height:2" coordorigin="10,10" coordsize="1410,2">
              <v:shape style="position:absolute;left:10;top:10;width:1410;height:2" coordorigin="10,10" coordsize="1410,0" path="m10,10l1419,10e" filled="false" stroked="true" strokeweight=".48pt" strokecolor="#000000">
                <v:path arrowok="t"/>
              </v:shape>
            </v:group>
            <v:group style="position:absolute;left:1428;top:10;width:8135;height:2" coordorigin="1428,10" coordsize="8135,2">
              <v:shape style="position:absolute;left:1428;top:10;width:8135;height:2" coordorigin="1428,10" coordsize="8135,0" path="m1428,10l9563,10e" filled="false" stroked="true" strokeweight=".48pt" strokecolor="#000000">
                <v:path arrowok="t"/>
              </v:shape>
            </v:group>
            <v:group style="position:absolute;left:5;top:5;width:2;height:372" coordorigin="5,5" coordsize="2,372">
              <v:shape style="position:absolute;left:5;top:5;width:2;height:372" coordorigin="5,5" coordsize="0,372" path="m5,5l5,377e" filled="false" stroked="true" strokeweight=".48pt" strokecolor="#000000">
                <v:path arrowok="t"/>
              </v:shape>
            </v:group>
            <v:group style="position:absolute;left:10;top:372;width:1410;height:2" coordorigin="10,372" coordsize="1410,2">
              <v:shape style="position:absolute;left:10;top:372;width:1410;height:2" coordorigin="10,372" coordsize="1410,0" path="m10,372l1419,372e" filled="false" stroked="true" strokeweight=".48pt" strokecolor="#000000">
                <v:path arrowok="t"/>
              </v:shape>
            </v:group>
            <v:group style="position:absolute;left:1424;top:5;width:2;height:372" coordorigin="1424,5" coordsize="2,372">
              <v:shape style="position:absolute;left:1424;top:5;width:2;height:372" coordorigin="1424,5" coordsize="0,372" path="m1424,5l1424,377e" filled="false" stroked="true" strokeweight=".48pt" strokecolor="#000000">
                <v:path arrowok="t"/>
              </v:shape>
            </v:group>
            <v:group style="position:absolute;left:1428;top:372;width:8135;height:2" coordorigin="1428,372" coordsize="8135,2">
              <v:shape style="position:absolute;left:1428;top:372;width:8135;height:2" coordorigin="1428,372" coordsize="8135,0" path="m1428,372l9563,372e" filled="false" stroked="true" strokeweight=".48pt" strokecolor="#000000">
                <v:path arrowok="t"/>
              </v:shape>
            </v:group>
            <v:group style="position:absolute;left:9568;top:5;width:2;height:372" coordorigin="9568,5" coordsize="2,372">
              <v:shape style="position:absolute;left:9568;top:5;width:2;height:372" coordorigin="9568,5" coordsize="0,372" path="m9568,5l9568,377e" filled="false" stroked="true" strokeweight=".48pt" strokecolor="#000000">
                <v:path arrowok="t"/>
              </v:shape>
              <v:shape style="position:absolute;left:5;top:10;width:1407;height:363" type="#_x0000_t202" filled="false" stroked="false">
                <v:textbox inset="0,0,0,0">
                  <w:txbxContent>
                    <w:p>
                      <w:pPr>
                        <w:spacing w:before="16"/>
                        <w:ind w:left="27" w:right="0" w:firstLine="0"/>
                        <w:jc w:val="left"/>
                        <w:rPr>
                          <w:rFonts w:ascii="宋体" w:hAnsi="宋体" w:cs="宋体" w:eastAsia="宋体" w:hint="default"/>
                          <w:sz w:val="18"/>
                          <w:szCs w:val="18"/>
                        </w:rPr>
                      </w:pPr>
                      <w:r>
                        <w:rPr>
                          <w:rFonts w:ascii="宋体" w:hAnsi="宋体" w:cs="宋体" w:eastAsia="宋体" w:hint="default"/>
                          <w:sz w:val="18"/>
                          <w:szCs w:val="18"/>
                        </w:rPr>
                        <w:t>题或其他情况</w:t>
                      </w:r>
                    </w:p>
                  </w:txbxContent>
                </v:textbox>
                <w10:wrap type="none"/>
              </v:shape>
            </v:group>
          </v:group>
        </w:pict>
      </w:r>
      <w:r>
        <w:rPr>
          <w:rFonts w:ascii="宋体" w:hAnsi="宋体" w:cs="宋体" w:eastAsia="宋体" w:hint="default"/>
          <w:position w:val="-7"/>
          <w:sz w:val="20"/>
          <w:szCs w:val="20"/>
        </w:rPr>
      </w:r>
    </w:p>
    <w:p>
      <w:pPr>
        <w:spacing w:line="240" w:lineRule="auto" w:before="11"/>
        <w:rPr>
          <w:rFonts w:ascii="宋体" w:hAnsi="宋体" w:cs="宋体" w:eastAsia="宋体" w:hint="default"/>
          <w:sz w:val="18"/>
          <w:szCs w:val="18"/>
        </w:rPr>
      </w:pPr>
    </w:p>
    <w:p>
      <w:pPr>
        <w:pStyle w:val="Heading4"/>
        <w:spacing w:line="240" w:lineRule="auto" w:before="35"/>
        <w:ind w:left="1134" w:right="0"/>
        <w:jc w:val="left"/>
        <w:rPr>
          <w:b w:val="0"/>
          <w:bCs w:val="0"/>
        </w:rPr>
      </w:pPr>
      <w:bookmarkStart w:name="（3）募集资金变更项目情况" w:id="50"/>
      <w:bookmarkEnd w:id="50"/>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7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公司报告期不存在募集资金变更项目情况。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六、重大资产和股权出售" w:id="51"/>
      <w:bookmarkEnd w:id="51"/>
      <w:r>
        <w:rPr>
          <w:b w:val="0"/>
          <w:bCs w:val="0"/>
        </w:rPr>
      </w: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出售重大资产情况" w:id="52"/>
      <w:bookmarkEnd w:id="52"/>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1"/>
        <w:rPr>
          <w:rFonts w:ascii="宋体" w:hAnsi="宋体" w:cs="宋体" w:eastAsia="宋体" w:hint="default"/>
          <w:sz w:val="21"/>
          <w:szCs w:val="21"/>
        </w:rPr>
      </w:pPr>
    </w:p>
    <w:p>
      <w:pPr>
        <w:pStyle w:val="Heading4"/>
        <w:spacing w:line="240" w:lineRule="auto"/>
        <w:ind w:left="1134" w:right="0"/>
        <w:jc w:val="left"/>
        <w:rPr>
          <w:b w:val="0"/>
          <w:bCs w:val="0"/>
        </w:rPr>
      </w:pPr>
      <w:bookmarkStart w:name="2、出售重大股权情况" w:id="53"/>
      <w:bookmarkEnd w:id="53"/>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七、主要控股参股公司分析" w:id="54"/>
      <w:bookmarkEnd w:id="54"/>
      <w:r>
        <w:rPr>
          <w:b w:val="0"/>
          <w:bCs w:val="0"/>
        </w:rPr>
      </w: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1187" w:top="1100" w:bottom="1380" w:left="0" w:right="0"/>
        </w:sectPr>
      </w:pPr>
    </w:p>
    <w:p>
      <w:pPr>
        <w:pStyle w:val="BodyText"/>
        <w:spacing w:line="240"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9"/>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单位：元</w:t>
      </w:r>
    </w:p>
    <w:p>
      <w:pPr>
        <w:spacing w:after="0" w:line="240" w:lineRule="auto"/>
        <w:jc w:val="center"/>
        <w:sectPr>
          <w:type w:val="continuous"/>
          <w:pgSz w:w="11910" w:h="16840"/>
          <w:pgMar w:top="1580" w:bottom="840" w:left="0" w:right="0"/>
          <w:cols w:num="2" w:equalWidth="0">
            <w:col w:w="5829" w:space="3090"/>
            <w:col w:w="2991"/>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054"/>
        <w:gridCol w:w="1074"/>
        <w:gridCol w:w="1168"/>
        <w:gridCol w:w="958"/>
        <w:gridCol w:w="1133"/>
        <w:gridCol w:w="1135"/>
        <w:gridCol w:w="1134"/>
        <w:gridCol w:w="1134"/>
        <w:gridCol w:w="1134"/>
      </w:tblGrid>
      <w:tr>
        <w:trPr>
          <w:trHeight w:val="397"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公司类型</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2591" w:hRule="exact"/>
        </w:trPr>
        <w:tc>
          <w:tcPr>
            <w:tcW w:w="105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9"/>
              <w:ind w:left="22" w:right="119"/>
              <w:jc w:val="both"/>
              <w:rPr>
                <w:rFonts w:ascii="宋体" w:hAnsi="宋体" w:cs="宋体" w:eastAsia="宋体" w:hint="default"/>
                <w:sz w:val="18"/>
                <w:szCs w:val="18"/>
              </w:rPr>
            </w:pPr>
            <w:r>
              <w:rPr>
                <w:rFonts w:ascii="宋体" w:hAnsi="宋体" w:cs="宋体" w:eastAsia="宋体" w:hint="default"/>
                <w:sz w:val="18"/>
                <w:szCs w:val="18"/>
              </w:rPr>
              <w:t>江苏高伟达 信息技术有 限公司</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1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6"/>
              <w:ind w:left="22" w:right="53"/>
              <w:jc w:val="both"/>
              <w:rPr>
                <w:rFonts w:ascii="宋体" w:hAnsi="宋体" w:cs="宋体" w:eastAsia="宋体" w:hint="default"/>
                <w:sz w:val="18"/>
                <w:szCs w:val="18"/>
              </w:rPr>
            </w:pPr>
            <w:r>
              <w:rPr>
                <w:rFonts w:ascii="宋体" w:hAnsi="宋体" w:cs="宋体" w:eastAsia="宋体" w:hint="default"/>
                <w:sz w:val="18"/>
                <w:szCs w:val="18"/>
              </w:rPr>
              <w:t>计算机软件、 硬件及相关技 术研发、技术 咨询、技术服 务；生产、销 售计算机软、 硬件；计算机 系统集成</w:t>
            </w:r>
          </w:p>
        </w:tc>
        <w:tc>
          <w:tcPr>
            <w:tcW w:w="9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0"/>
              <w:jc w:val="center"/>
              <w:rPr>
                <w:rFonts w:ascii="Times New Roman" w:hAnsi="Times New Roman" w:cs="Times New Roman" w:eastAsia="Times New Roman" w:hint="default"/>
                <w:sz w:val="18"/>
                <w:szCs w:val="18"/>
              </w:rPr>
            </w:pPr>
            <w:r>
              <w:rPr>
                <w:rFonts w:ascii="Times New Roman"/>
                <w:sz w:val="18"/>
              </w:rPr>
              <w:t>10,000,000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24,656,265.38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20,067,689.61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57,152,486.62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6,413,118.52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32" w:right="0"/>
              <w:jc w:val="center"/>
              <w:rPr>
                <w:rFonts w:ascii="Times New Roman" w:hAnsi="Times New Roman" w:cs="Times New Roman" w:eastAsia="Times New Roman" w:hint="default"/>
                <w:sz w:val="18"/>
                <w:szCs w:val="18"/>
              </w:rPr>
            </w:pPr>
            <w:r>
              <w:rPr>
                <w:rFonts w:ascii="Times New Roman"/>
                <w:sz w:val="18"/>
              </w:rPr>
              <w:t>5,449,875.19</w:t>
            </w:r>
          </w:p>
        </w:tc>
      </w:tr>
    </w:tbl>
    <w:p>
      <w:pPr>
        <w:pStyle w:val="BodyText"/>
        <w:spacing w:line="240" w:lineRule="auto" w:before="51"/>
        <w:ind w:left="1134" w:right="0"/>
        <w:jc w:val="left"/>
      </w:pPr>
      <w:r>
        <w:rPr/>
        <w:t>报告期内取得和处置子公司的情况</w:t>
      </w:r>
    </w:p>
    <w:p>
      <w:pPr>
        <w:pStyle w:val="BodyText"/>
        <w:spacing w:line="338" w:lineRule="auto" w:before="117"/>
        <w:ind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主要控股参股公司情况说明</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八、公司控制的结构化主体情况" w:id="55"/>
      <w:bookmarkEnd w:id="55"/>
      <w:r>
        <w:rPr>
          <w:b w:val="0"/>
          <w:bCs w:val="0"/>
        </w:rPr>
      </w:r>
      <w:r>
        <w:rPr/>
        <w:t>八、公司控制的结构化主体情况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九、公司未来发展的展望" w:id="56"/>
      <w:bookmarkEnd w:id="56"/>
      <w:r>
        <w:rPr>
          <w:b w:val="0"/>
          <w:bCs w:val="0"/>
        </w:rPr>
      </w:r>
      <w:r>
        <w:rPr/>
        <w:t>九、公司未来发展的展望</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left="1493" w:right="0"/>
        <w:jc w:val="left"/>
      </w:pPr>
      <w:r>
        <w:rPr/>
        <w:t>面对近年来金融科技的蓬勃发展，以及所带来的</w:t>
      </w:r>
      <w:r>
        <w:rPr>
          <w:rFonts w:ascii="Times New Roman" w:hAnsi="Times New Roman" w:cs="Times New Roman" w:eastAsia="Times New Roman" w:hint="default"/>
        </w:rPr>
        <w:t>2016</w:t>
      </w:r>
      <w:r>
        <w:rPr/>
        <w:t>年金融业态的多样化和金融市场环境的不确定性，公司将秉承既定</w:t>
      </w:r>
    </w:p>
    <w:p>
      <w:pPr>
        <w:spacing w:after="0" w:line="240" w:lineRule="auto"/>
        <w:jc w:val="left"/>
        <w:sectPr>
          <w:type w:val="continuous"/>
          <w:pgSz w:w="11910" w:h="16840"/>
          <w:pgMar w:top="1580" w:bottom="840" w:left="0" w:right="0"/>
        </w:sectPr>
      </w:pPr>
    </w:p>
    <w:p>
      <w:pPr>
        <w:spacing w:line="240" w:lineRule="auto" w:before="10"/>
        <w:rPr>
          <w:rFonts w:ascii="宋体" w:hAnsi="宋体" w:cs="宋体" w:eastAsia="宋体" w:hint="default"/>
          <w:sz w:val="18"/>
          <w:szCs w:val="18"/>
        </w:rPr>
      </w:pPr>
    </w:p>
    <w:p>
      <w:pPr>
        <w:pStyle w:val="BodyText"/>
        <w:spacing w:line="297" w:lineRule="auto" w:before="44"/>
        <w:ind w:right="0"/>
        <w:jc w:val="left"/>
      </w:pPr>
      <w:r>
        <w:rPr>
          <w:spacing w:val="-2"/>
        </w:rPr>
        <w:t>的发展策略和战略规划，强化经营工作中的变革、效率和协同，通过产品化（或解决方案）经营，提升盈利水平；通过创新</w:t>
      </w:r>
      <w:r>
        <w:rPr>
          <w:spacing w:val="-72"/>
        </w:rPr>
        <w:t> </w:t>
      </w:r>
      <w:r>
        <w:rPr>
          <w:spacing w:val="-72"/>
        </w:rPr>
      </w:r>
      <w:r>
        <w:rPr/>
        <w:t>业务的落地，实现公司业务的转型。</w:t>
      </w:r>
    </w:p>
    <w:p>
      <w:pPr>
        <w:pStyle w:val="BodyText"/>
        <w:spacing w:line="240" w:lineRule="auto" w:before="53"/>
        <w:ind w:left="1493" w:right="0"/>
        <w:jc w:val="left"/>
      </w:pPr>
      <w:r>
        <w:rPr/>
        <w:t>在</w:t>
      </w:r>
      <w:r>
        <w:rPr>
          <w:rFonts w:ascii="Times New Roman" w:hAnsi="Times New Roman" w:cs="Times New Roman" w:eastAsia="Times New Roman" w:hint="default"/>
        </w:rPr>
        <w:t>2016</w:t>
      </w:r>
      <w:r>
        <w:rPr/>
        <w:t>年，我们将着力从以下几个方面开展工作：</w:t>
      </w:r>
    </w:p>
    <w:p>
      <w:pPr>
        <w:pStyle w:val="BodyText"/>
        <w:spacing w:line="292" w:lineRule="auto" w:before="82"/>
        <w:ind w:left="1134" w:right="1032" w:firstLine="360"/>
        <w:jc w:val="left"/>
      </w:pPr>
      <w:r>
        <w:rPr>
          <w:rFonts w:ascii="Times New Roman" w:hAnsi="Times New Roman" w:cs="Times New Roman" w:eastAsia="Times New Roman" w:hint="default"/>
          <w:spacing w:val="-2"/>
        </w:rPr>
        <w:t>1</w:t>
      </w:r>
      <w:r>
        <w:rPr>
          <w:spacing w:val="-2"/>
        </w:rPr>
        <w:t>、市场营销方面：积极关注城市商业银行和农业商业银行市场，有效利用现有和未来的解决方案或产品广泛拓展市场，</w:t>
      </w:r>
      <w:r>
        <w:rPr/>
        <w:t> </w:t>
      </w:r>
      <w:r>
        <w:rPr>
          <w:spacing w:val="-2"/>
        </w:rPr>
        <w:t>抢占市场先机。建立解决方案或产品的标杆案例；重点突破股份制银行市场，结合该市场客户群体不同的特性，集公司各部</w:t>
      </w:r>
      <w:r>
        <w:rPr>
          <w:spacing w:val="-66"/>
        </w:rPr>
        <w:t> </w:t>
      </w:r>
      <w:r>
        <w:rPr>
          <w:spacing w:val="-66"/>
        </w:rPr>
      </w:r>
      <w:r>
        <w:rPr>
          <w:spacing w:val="-2"/>
        </w:rPr>
        <w:t>门资源，形成优势力量进入特选客户，扩大自身在该市场中重点客户的业务合作份额。加大与现有的收入贡献排名前三的客</w:t>
      </w:r>
      <w:r>
        <w:rPr>
          <w:spacing w:val="-66"/>
        </w:rPr>
        <w:t> </w:t>
      </w:r>
      <w:r>
        <w:rPr>
          <w:spacing w:val="-66"/>
        </w:rPr>
      </w:r>
      <w:r>
        <w:rPr>
          <w:spacing w:val="-2"/>
        </w:rPr>
        <w:t>户的合作，着重增量项目的合作，横向拓展已有业务领域之外的项目合作。稳固建行软件项目收入与利润的实现，积极赢取</w:t>
      </w:r>
      <w:r>
        <w:rPr>
          <w:spacing w:val="-66"/>
        </w:rPr>
        <w:t> </w:t>
      </w:r>
      <w:r>
        <w:rPr>
          <w:spacing w:val="-66"/>
        </w:rPr>
      </w:r>
      <w:r>
        <w:rPr/>
        <w:t>建行后新一代时期的项目机会。在保险和证劵市场，利用现有项目建立典型案例，积累自主知识产权，形成市场推广之势。</w:t>
      </w:r>
    </w:p>
    <w:p>
      <w:pPr>
        <w:pStyle w:val="BodyText"/>
        <w:spacing w:line="290" w:lineRule="auto" w:before="56"/>
        <w:ind w:right="1131" w:firstLine="360"/>
        <w:jc w:val="both"/>
      </w:pPr>
      <w:r>
        <w:rPr>
          <w:rFonts w:ascii="Times New Roman" w:hAnsi="Times New Roman" w:cs="Times New Roman" w:eastAsia="Times New Roman" w:hint="default"/>
          <w:spacing w:val="-2"/>
        </w:rPr>
        <w:t>2</w:t>
      </w:r>
      <w:r>
        <w:rPr>
          <w:spacing w:val="-2"/>
        </w:rPr>
        <w:t>、解决方案拓展方面：继续推行解决方案专业化的道路，目标选取</w:t>
      </w:r>
      <w:r>
        <w:rPr>
          <w:rFonts w:ascii="Times New Roman" w:hAnsi="Times New Roman" w:cs="Times New Roman" w:eastAsia="Times New Roman" w:hint="default"/>
          <w:spacing w:val="-2"/>
        </w:rPr>
        <w:t>2-3</w:t>
      </w:r>
      <w:r>
        <w:rPr>
          <w:spacing w:val="-2"/>
        </w:rPr>
        <w:t>个解决方案实行专业化营销的模式，以专业化解</w:t>
      </w:r>
      <w:r>
        <w:rPr/>
        <w:t> </w:t>
      </w:r>
      <w:r>
        <w:rPr>
          <w:spacing w:val="-2"/>
        </w:rPr>
        <w:t>决方案营销结合售前资源、技术实施资源和现有销售力量，整合成新的组织形态，共同面对客户市场，形成重点市场攻击力</w:t>
      </w:r>
      <w:r>
        <w:rPr>
          <w:spacing w:val="-66"/>
        </w:rPr>
        <w:t> </w:t>
      </w:r>
      <w:r>
        <w:rPr>
          <w:spacing w:val="-66"/>
        </w:rPr>
      </w:r>
      <w:r>
        <w:rPr/>
        <w:t>量。同时，配合各种形态的市场宣传行为。</w:t>
      </w:r>
    </w:p>
    <w:p>
      <w:pPr>
        <w:pStyle w:val="BodyText"/>
        <w:spacing w:line="288" w:lineRule="auto" w:before="58"/>
        <w:ind w:right="1132" w:firstLine="360"/>
        <w:jc w:val="both"/>
      </w:pPr>
      <w:r>
        <w:rPr>
          <w:rFonts w:ascii="Times New Roman" w:hAnsi="Times New Roman" w:cs="Times New Roman" w:eastAsia="Times New Roman" w:hint="default"/>
        </w:rPr>
        <w:t>3</w:t>
      </w:r>
      <w:r>
        <w:rPr/>
        <w:t>、技术研发方面：继续加大研发投入，建立行之有效的研发体系管理。</w:t>
      </w:r>
      <w:r>
        <w:rPr>
          <w:rFonts w:ascii="Times New Roman" w:hAnsi="Times New Roman" w:cs="Times New Roman" w:eastAsia="Times New Roman" w:hint="default"/>
        </w:rPr>
        <w:t>2016</w:t>
      </w:r>
      <w:r>
        <w:rPr/>
        <w:t>年研发工作将注重走入</w:t>
      </w:r>
      <w:r>
        <w:rPr>
          <w:rFonts w:ascii="Times New Roman" w:hAnsi="Times New Roman" w:cs="Times New Roman" w:eastAsia="Times New Roman" w:hint="default"/>
        </w:rPr>
        <w:t>“</w:t>
      </w:r>
      <w:r>
        <w:rPr/>
        <w:t>一线</w:t>
      </w:r>
      <w:r>
        <w:rPr>
          <w:rFonts w:ascii="Times New Roman" w:hAnsi="Times New Roman" w:cs="Times New Roman" w:eastAsia="Times New Roman" w:hint="default"/>
        </w:rPr>
        <w:t>”</w:t>
      </w:r>
      <w:r>
        <w:rPr/>
        <w:t>，从项目中 </w:t>
      </w:r>
      <w:r>
        <w:rPr>
          <w:spacing w:val="-2"/>
        </w:rPr>
        <w:t>提炼成果，以及重视研发成果的市场转化。同时加强对新技术的研究，并加快新技术研究的时效性。完善研发体系建设，成</w:t>
      </w:r>
      <w:r>
        <w:rPr>
          <w:spacing w:val="-66"/>
        </w:rPr>
        <w:t> </w:t>
      </w:r>
      <w:r>
        <w:rPr>
          <w:spacing w:val="-66"/>
        </w:rPr>
      </w:r>
      <w:r>
        <w:rPr/>
        <w:t>立公司级研发管理组织，对研发的重大事项予以相对客观决策。实行研发与成果验收分离，加强对研发成果的管理。</w:t>
      </w:r>
    </w:p>
    <w:p>
      <w:pPr>
        <w:pStyle w:val="BodyText"/>
        <w:spacing w:line="292" w:lineRule="auto" w:before="61"/>
        <w:ind w:right="1130" w:firstLine="360"/>
        <w:jc w:val="both"/>
      </w:pPr>
      <w:r>
        <w:rPr>
          <w:rFonts w:ascii="Times New Roman" w:hAnsi="Times New Roman" w:cs="Times New Roman" w:eastAsia="Times New Roman" w:hint="default"/>
        </w:rPr>
        <w:t>4</w:t>
      </w:r>
      <w:r>
        <w:rPr/>
        <w:t>、业务创新方面：以主营业务为基础，透过研发和多种经营模式，将围绕云计算、</w:t>
      </w:r>
      <w:r>
        <w:rPr>
          <w:rFonts w:ascii="Times New Roman" w:hAnsi="Times New Roman" w:cs="Times New Roman" w:eastAsia="Times New Roman" w:hint="default"/>
        </w:rPr>
        <w:t>SaaS</w:t>
      </w:r>
      <w:r>
        <w:rPr/>
        <w:t>、业务平台运营、银行资金和 </w:t>
      </w:r>
      <w:r>
        <w:rPr>
          <w:spacing w:val="-2"/>
        </w:rPr>
        <w:t>证劵固收等新业务领域、寿险核心系统互联网化等方面展开创新工作，并具体落实到具体的项目实施合作中，以达到公司业</w:t>
      </w:r>
      <w:r>
        <w:rPr>
          <w:spacing w:val="-66"/>
        </w:rPr>
        <w:t> </w:t>
      </w:r>
      <w:r>
        <w:rPr>
          <w:spacing w:val="-66"/>
        </w:rPr>
      </w:r>
      <w:r>
        <w:rPr>
          <w:spacing w:val="-2"/>
        </w:rPr>
        <w:t>务转型的目标，并进一步优化公司业务结构。借此分别发展和构建金融云服务平台、互联网保险平台、财富管理服务平台的</w:t>
      </w:r>
      <w:r>
        <w:rPr>
          <w:spacing w:val="-66"/>
        </w:rPr>
        <w:t> </w:t>
      </w:r>
      <w:r>
        <w:rPr>
          <w:spacing w:val="-66"/>
        </w:rPr>
      </w:r>
      <w:r>
        <w:rPr/>
        <w:t>战略构想。</w:t>
      </w:r>
    </w:p>
    <w:p>
      <w:pPr>
        <w:pStyle w:val="BodyText"/>
        <w:spacing w:line="290" w:lineRule="auto" w:before="57"/>
        <w:ind w:right="1128" w:firstLine="360"/>
        <w:jc w:val="both"/>
      </w:pPr>
      <w:r>
        <w:rPr>
          <w:rFonts w:ascii="Times New Roman" w:hAnsi="Times New Roman" w:cs="Times New Roman" w:eastAsia="Times New Roman" w:hint="default"/>
          <w:spacing w:val="-2"/>
        </w:rPr>
        <w:t>5</w:t>
      </w:r>
      <w:r>
        <w:rPr>
          <w:spacing w:val="-2"/>
        </w:rPr>
        <w:t>、公司治理方面：修订和完善部分管理制度，进一步规范经营行为。持续优化和推行公司级业务流程系统（</w:t>
      </w:r>
      <w:r>
        <w:rPr>
          <w:rFonts w:ascii="Times New Roman" w:hAnsi="Times New Roman" w:cs="Times New Roman" w:eastAsia="Times New Roman" w:hint="default"/>
          <w:spacing w:val="-2"/>
        </w:rPr>
        <w:t>8M</w:t>
      </w:r>
      <w:r>
        <w:rPr>
          <w:spacing w:val="-2"/>
        </w:rPr>
        <w:t>），强</w:t>
      </w:r>
      <w:r>
        <w:rPr/>
        <w:t> </w:t>
      </w:r>
      <w:r>
        <w:rPr>
          <w:spacing w:val="-2"/>
        </w:rPr>
        <w:t>化系统使用的效率。扩大公司工时系统的使用部门，增强横向部门之间相互提供服务的费用结算。通过上述工作的改进，达</w:t>
      </w:r>
      <w:r>
        <w:rPr>
          <w:spacing w:val="-66"/>
        </w:rPr>
        <w:t> </w:t>
      </w:r>
      <w:r>
        <w:rPr>
          <w:spacing w:val="-66"/>
        </w:rPr>
      </w:r>
      <w:r>
        <w:rPr>
          <w:spacing w:val="-2"/>
        </w:rPr>
        <w:t>到公司在工作效率和组织效率的提升。为了进一步提升公司经营效率，即达到人的效率的优化，</w:t>
      </w:r>
      <w:r>
        <w:rPr>
          <w:rFonts w:ascii="Times New Roman" w:hAnsi="Times New Roman" w:cs="Times New Roman" w:eastAsia="Times New Roman" w:hint="default"/>
          <w:spacing w:val="-2"/>
        </w:rPr>
        <w:t>2016</w:t>
      </w:r>
      <w:r>
        <w:rPr>
          <w:spacing w:val="-2"/>
        </w:rPr>
        <w:t>年将继续推进股权激励</w:t>
      </w:r>
      <w:r>
        <w:rPr>
          <w:spacing w:val="-61"/>
        </w:rPr>
        <w:t> </w:t>
      </w:r>
      <w:r>
        <w:rPr>
          <w:spacing w:val="-2"/>
        </w:rPr>
        <w:t>计划的实施，以及股权激励绩效考核，增强公司的凝聚力，使经营效率的提升达到一个新的层次。为进一步增强公司持续发</w:t>
      </w:r>
      <w:r>
        <w:rPr>
          <w:spacing w:val="-66"/>
        </w:rPr>
        <w:t> </w:t>
      </w:r>
      <w:r>
        <w:rPr>
          <w:spacing w:val="-66"/>
        </w:rPr>
      </w:r>
      <w:r>
        <w:rPr/>
        <w:t>展的能力，</w:t>
      </w:r>
      <w:r>
        <w:rPr>
          <w:rFonts w:ascii="Times New Roman" w:hAnsi="Times New Roman" w:cs="Times New Roman" w:eastAsia="Times New Roman" w:hint="default"/>
        </w:rPr>
        <w:t>2016</w:t>
      </w:r>
      <w:r>
        <w:rPr/>
        <w:t>年将继续与国际咨询公司的合作，借助咨询机构的专业能力，帮助我们改进和提高公司治理水平。</w:t>
      </w:r>
    </w:p>
    <w:p>
      <w:pPr>
        <w:pStyle w:val="BodyText"/>
        <w:spacing w:line="280" w:lineRule="auto" w:before="40"/>
        <w:ind w:right="1129" w:firstLine="360"/>
        <w:jc w:val="both"/>
      </w:pPr>
      <w:r>
        <w:rPr>
          <w:rFonts w:ascii="Times New Roman" w:hAnsi="Times New Roman" w:cs="Times New Roman" w:eastAsia="Times New Roman" w:hint="default"/>
        </w:rPr>
        <w:t>6</w:t>
      </w:r>
      <w:r>
        <w:rPr/>
        <w:t>、资本并购方面：积极开展资本市场的并购工作，做到资本与业务协同发展。由资本为业务注入活力，添上翅膀。在 </w:t>
      </w:r>
      <w:r>
        <w:rPr>
          <w:spacing w:val="-2"/>
        </w:rPr>
        <w:t>利用外延式扩展增强公司主营业务的市场份额同时，也要积极加快公司在互联网金融、银行</w:t>
      </w:r>
      <w:r>
        <w:rPr>
          <w:rFonts w:ascii="Times New Roman" w:hAnsi="Times New Roman" w:cs="Times New Roman" w:eastAsia="Times New Roman" w:hint="default"/>
          <w:spacing w:val="-2"/>
        </w:rPr>
        <w:t>SaaS</w:t>
      </w:r>
      <w:r>
        <w:rPr>
          <w:spacing w:val="-2"/>
        </w:rPr>
        <w:t>云服务等重点领域的外延式</w:t>
      </w:r>
      <w:r>
        <w:rPr>
          <w:spacing w:val="-60"/>
        </w:rPr>
        <w:t> </w:t>
      </w:r>
      <w:r>
        <w:rPr/>
        <w:t>发展。通过外延式扩展进一步加快公司业务的转型与升级。</w:t>
      </w:r>
    </w:p>
    <w:p>
      <w:pPr>
        <w:spacing w:line="240" w:lineRule="auto" w:before="5"/>
        <w:rPr>
          <w:rFonts w:ascii="宋体" w:hAnsi="宋体" w:cs="宋体" w:eastAsia="宋体" w:hint="default"/>
          <w:sz w:val="24"/>
          <w:szCs w:val="24"/>
        </w:rPr>
      </w:pPr>
    </w:p>
    <w:p>
      <w:pPr>
        <w:pStyle w:val="Heading2"/>
        <w:spacing w:line="240" w:lineRule="auto"/>
        <w:ind w:left="1134" w:right="0"/>
        <w:jc w:val="left"/>
        <w:rPr>
          <w:b w:val="0"/>
          <w:bCs w:val="0"/>
        </w:rPr>
      </w:pPr>
      <w:bookmarkStart w:name="十、接待调研、沟通、采访等活动情况" w:id="57"/>
      <w:bookmarkEnd w:id="57"/>
      <w:r>
        <w:rPr>
          <w:b w:val="0"/>
          <w:bCs w:val="0"/>
        </w:rPr>
      </w:r>
      <w:r>
        <w:rPr/>
        <w:t>十、接待调研、沟通、采访等活动情况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134" w:right="0"/>
        <w:jc w:val="left"/>
        <w:rPr>
          <w:b w:val="0"/>
          <w:bCs w:val="0"/>
        </w:rPr>
      </w:pPr>
      <w:bookmarkStart w:name="1、报告期内接待调研、沟通、采访等活动登记表" w:id="58"/>
      <w:bookmarkEnd w:id="58"/>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公司报告期内未发生接待调研、沟通、采访等活动。</w:t>
      </w:r>
    </w:p>
    <w:p>
      <w:pPr>
        <w:spacing w:after="0" w:line="338" w:lineRule="auto"/>
        <w:jc w:val="left"/>
        <w:sectPr>
          <w:pgSz w:w="11910" w:h="16840"/>
          <w:pgMar w:header="877" w:footer="1187" w:top="1100" w:bottom="138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1114"/>
        <w:jc w:val="center"/>
        <w:rPr>
          <w:b w:val="0"/>
          <w:bCs w:val="0"/>
        </w:rPr>
      </w:pPr>
      <w:bookmarkStart w:name="第五节 重要事项" w:id="59"/>
      <w:bookmarkEnd w:id="59"/>
      <w:r>
        <w:rPr>
          <w:b w:val="0"/>
          <w:bCs w:val="0"/>
        </w:rPr>
      </w:r>
      <w:bookmarkStart w:name="_bookmark3" w:id="60"/>
      <w:bookmarkEnd w:id="60"/>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1"/>
      <w:bookmarkEnd w:id="61"/>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报告期内普通股利润分配政策，特别是现金分红政策的制定、执行或调整情况</w:t>
      </w:r>
    </w:p>
    <w:p>
      <w:pPr>
        <w:pStyle w:val="BodyText"/>
        <w:spacing w:line="297" w:lineRule="auto" w:before="117"/>
        <w:ind w:left="1493" w:right="769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公司上市后的利润分配政策如下：</w:t>
      </w:r>
    </w:p>
    <w:p>
      <w:pPr>
        <w:pStyle w:val="BodyText"/>
        <w:spacing w:line="297" w:lineRule="auto" w:before="52"/>
        <w:ind w:right="1132" w:firstLine="360"/>
        <w:jc w:val="both"/>
        <w:rPr>
          <w:rFonts w:ascii="Times New Roman" w:hAnsi="Times New Roman" w:cs="Times New Roman" w:eastAsia="Times New Roman" w:hint="default"/>
        </w:rPr>
      </w:pPr>
      <w:r>
        <w:rPr>
          <w:spacing w:val="-2"/>
        </w:rPr>
        <w:t>公司可以采取现金或者股票方式分配利润。公司的利润分配政策应保持连续性和稳定性。公司实施股利分配应当遵守以</w:t>
      </w:r>
      <w:r>
        <w:rPr/>
        <w:t> 下规定</w:t>
      </w:r>
      <w:r>
        <w:rPr>
          <w:rFonts w:ascii="Times New Roman" w:hAnsi="Times New Roman" w:cs="Times New Roman" w:eastAsia="Times New Roman" w:hint="default"/>
        </w:rPr>
        <w:t>:</w:t>
      </w:r>
    </w:p>
    <w:p>
      <w:pPr>
        <w:pStyle w:val="BodyText"/>
        <w:spacing w:line="292" w:lineRule="auto" w:before="34"/>
        <w:ind w:right="1130" w:firstLine="360"/>
        <w:jc w:val="both"/>
      </w:pPr>
      <w:r>
        <w:rPr>
          <w:rFonts w:ascii="宋体" w:hAnsi="宋体" w:cs="宋体" w:eastAsia="宋体" w:hint="default"/>
          <w:spacing w:val="-2"/>
        </w:rPr>
        <w:t>1.</w:t>
      </w:r>
      <w:r>
        <w:rPr>
          <w:spacing w:val="-2"/>
        </w:rPr>
        <w:t>公司的利润分配应重视对投资者的合理投资回报，同时兼顾公司的实际经营情况及公司的远期战略发展目标；公司一</w:t>
      </w:r>
      <w:r>
        <w:rPr/>
        <w:t> </w:t>
      </w:r>
      <w:r>
        <w:rPr>
          <w:spacing w:val="-2"/>
        </w:rPr>
        <w:t>般进行年度分红，在有条件的情况下，公司可以进行中期利润分配。在公司当年盈利且无重大投资计划或重大现金支出事项</w:t>
      </w:r>
      <w:r>
        <w:rPr>
          <w:spacing w:val="-66"/>
        </w:rPr>
        <w:t> </w:t>
      </w:r>
      <w:r>
        <w:rPr>
          <w:spacing w:val="-66"/>
        </w:rPr>
      </w:r>
      <w:r>
        <w:rPr>
          <w:spacing w:val="-1"/>
        </w:rPr>
        <w:t>发生的情况下，公司必须进行现金分红，以现金形式分配的利润不少于当年实现的可供分配利润的</w:t>
      </w:r>
      <w:r>
        <w:rPr>
          <w:rFonts w:ascii="Times New Roman" w:hAnsi="Times New Roman" w:cs="Times New Roman" w:eastAsia="Times New Roman" w:hint="default"/>
          <w:spacing w:val="-1"/>
        </w:rPr>
        <w:t>15%</w:t>
      </w:r>
      <w:r>
        <w:rPr>
          <w:spacing w:val="-1"/>
        </w:rPr>
        <w:t>；公司最近三年以现</w:t>
      </w:r>
      <w:r>
        <w:rPr>
          <w:spacing w:val="-88"/>
        </w:rPr>
        <w:t> </w:t>
      </w:r>
      <w:r>
        <w:rPr>
          <w:spacing w:val="-88"/>
        </w:rPr>
      </w:r>
      <w:r>
        <w:rPr/>
        <w:t>金方式累计分配的利润不少于最近三年实现的年均可分配利润的</w:t>
      </w:r>
      <w:r>
        <w:rPr>
          <w:rFonts w:ascii="Times New Roman" w:hAnsi="Times New Roman" w:cs="Times New Roman" w:eastAsia="Times New Roman" w:hint="default"/>
        </w:rPr>
        <w:t>45%</w:t>
      </w:r>
      <w:r>
        <w:rPr/>
        <w:t>。</w:t>
      </w:r>
    </w:p>
    <w:p>
      <w:pPr>
        <w:pStyle w:val="BodyText"/>
        <w:spacing w:line="297" w:lineRule="auto" w:before="38"/>
        <w:ind w:right="1131" w:firstLine="360"/>
        <w:jc w:val="both"/>
      </w:pPr>
      <w:r>
        <w:rPr>
          <w:spacing w:val="-2"/>
        </w:rPr>
        <w:t>公司董事会应综合考虑所处行业特点、发展阶段、自身经营模式、盈利水平以及是否有重大资金支出安排等因素，区分</w:t>
      </w:r>
      <w:r>
        <w:rPr/>
        <w:t> 下列情形，并按照章程规定的程序，提出差异化的现金分红政策：</w:t>
      </w:r>
    </w:p>
    <w:p>
      <w:pPr>
        <w:pStyle w:val="BodyText"/>
        <w:spacing w:line="240" w:lineRule="auto" w:before="53"/>
        <w:ind w:left="1494" w:right="0"/>
        <w:jc w:val="left"/>
      </w:pPr>
      <w:r>
        <w:rPr>
          <w:rFonts w:ascii="Times New Roman" w:hAnsi="Times New Roman" w:cs="Times New Roman" w:eastAsia="Times New Roman" w:hint="default"/>
        </w:rPr>
        <w:t>2.</w:t>
      </w:r>
      <w:r>
        <w:rPr/>
        <w:t>公司发展阶段属成熟期且无重大资金支出安排的，进行利润分配时，现金分红在本次利润分配中所占比例最低应达到</w:t>
      </w:r>
    </w:p>
    <w:p>
      <w:pPr>
        <w:pStyle w:val="BodyText"/>
        <w:spacing w:line="240" w:lineRule="auto" w:before="42"/>
        <w:ind w:left="1134" w:right="0"/>
        <w:jc w:val="left"/>
      </w:pPr>
      <w:r>
        <w:rPr>
          <w:rFonts w:ascii="Times New Roman" w:hAnsi="Times New Roman" w:cs="Times New Roman" w:eastAsia="Times New Roman" w:hint="default"/>
        </w:rPr>
        <w:t>80%</w:t>
      </w:r>
      <w:r>
        <w:rPr/>
        <w:t>；</w:t>
      </w:r>
    </w:p>
    <w:p>
      <w:pPr>
        <w:pStyle w:val="BodyText"/>
        <w:spacing w:line="240" w:lineRule="auto" w:before="82"/>
        <w:ind w:left="1494" w:right="0"/>
        <w:jc w:val="left"/>
      </w:pPr>
      <w:r>
        <w:rPr>
          <w:rFonts w:ascii="Times New Roman" w:hAnsi="Times New Roman" w:cs="Times New Roman" w:eastAsia="Times New Roman" w:hint="default"/>
        </w:rPr>
        <w:t>3.</w:t>
      </w:r>
      <w:r>
        <w:rPr/>
        <w:t>公司发展阶段属成熟期且有重大资金支出安排的，进行利润分配时，现金分红在本次利润分配中所占比例最低应达到</w:t>
      </w:r>
    </w:p>
    <w:p>
      <w:pPr>
        <w:pStyle w:val="BodyText"/>
        <w:spacing w:line="240" w:lineRule="auto" w:before="43"/>
        <w:ind w:right="0"/>
        <w:jc w:val="left"/>
      </w:pPr>
      <w:r>
        <w:rPr>
          <w:rFonts w:ascii="Times New Roman" w:hAnsi="Times New Roman" w:cs="Times New Roman" w:eastAsia="Times New Roman" w:hint="default"/>
        </w:rPr>
        <w:t>40%</w:t>
      </w:r>
      <w:r>
        <w:rPr/>
        <w:t>；</w:t>
      </w:r>
    </w:p>
    <w:p>
      <w:pPr>
        <w:pStyle w:val="BodyText"/>
        <w:spacing w:line="240" w:lineRule="auto" w:before="82"/>
        <w:ind w:left="1493" w:right="0"/>
        <w:jc w:val="left"/>
      </w:pPr>
      <w:r>
        <w:rPr>
          <w:rFonts w:ascii="Times New Roman" w:hAnsi="Times New Roman" w:cs="Times New Roman" w:eastAsia="Times New Roman" w:hint="default"/>
        </w:rPr>
        <w:t>4.</w:t>
      </w:r>
      <w:r>
        <w:rPr/>
        <w:t>公司发展阶段属成长期且有重大资金支出安排的，进行利润分配时，现金分红在本次利润分配中所占比例最低应达到</w:t>
      </w:r>
    </w:p>
    <w:p>
      <w:pPr>
        <w:pStyle w:val="BodyText"/>
        <w:spacing w:line="240" w:lineRule="auto" w:before="43"/>
        <w:ind w:right="0"/>
        <w:jc w:val="left"/>
      </w:pPr>
      <w:r>
        <w:rPr>
          <w:rFonts w:ascii="Times New Roman" w:hAnsi="Times New Roman" w:cs="Times New Roman" w:eastAsia="Times New Roman" w:hint="default"/>
        </w:rPr>
        <w:t>20%</w:t>
      </w:r>
      <w:r>
        <w:rPr/>
        <w:t>。</w:t>
      </w:r>
    </w:p>
    <w:p>
      <w:pPr>
        <w:pStyle w:val="BodyText"/>
        <w:spacing w:line="338" w:lineRule="auto" w:before="83"/>
        <w:ind w:left="1493" w:right="0"/>
        <w:jc w:val="left"/>
      </w:pPr>
      <w:r>
        <w:rPr/>
        <w:t>公司发展阶段不易区分但有重大资金支出安排的，可以按照前项规定处理。 </w:t>
      </w:r>
      <w:r>
        <w:rPr>
          <w:spacing w:val="-2"/>
        </w:rPr>
        <w:t>在实施上述现金分配股利的同时，可以派发股票股利，但不得单独派发股票股利。公司董事会可以根据公司的资金需求</w:t>
      </w:r>
    </w:p>
    <w:p>
      <w:pPr>
        <w:pStyle w:val="BodyText"/>
        <w:spacing w:line="218" w:lineRule="exact"/>
        <w:ind w:right="0"/>
        <w:jc w:val="left"/>
      </w:pPr>
      <w:r>
        <w:rPr/>
        <w:t>状况，提议进行中期现金分配。</w:t>
      </w:r>
    </w:p>
    <w:p>
      <w:pPr>
        <w:pStyle w:val="BodyText"/>
        <w:spacing w:line="338" w:lineRule="auto" w:before="97"/>
        <w:ind w:left="1493" w:right="1117"/>
        <w:jc w:val="left"/>
      </w:pPr>
      <w:r>
        <w:rPr/>
        <w:t>重大投资计划或重大现金支出事项指以下情形之一： </w:t>
      </w:r>
      <w:r>
        <w:rPr>
          <w:rFonts w:ascii="宋体" w:hAnsi="宋体" w:cs="宋体" w:eastAsia="宋体" w:hint="default"/>
          <w:spacing w:val="-1"/>
        </w:rPr>
        <w:t>1.</w:t>
      </w:r>
      <w:r>
        <w:rPr>
          <w:spacing w:val="-1"/>
        </w:rPr>
        <w:t>公司未来十二个月内拟对外投资、收购资产或购买设备累计支出达到或超过公司最近一期经审计净资产的</w:t>
      </w:r>
      <w:r>
        <w:rPr>
          <w:rFonts w:ascii="Times New Roman" w:hAnsi="Times New Roman" w:cs="Times New Roman" w:eastAsia="Times New Roman" w:hint="default"/>
          <w:spacing w:val="-1"/>
        </w:rPr>
        <w:t>50%</w:t>
      </w:r>
      <w:r>
        <w:rPr>
          <w:spacing w:val="-1"/>
        </w:rPr>
        <w:t>，且超</w:t>
      </w:r>
    </w:p>
    <w:p>
      <w:pPr>
        <w:pStyle w:val="BodyText"/>
        <w:spacing w:line="211" w:lineRule="exact"/>
        <w:ind w:right="0"/>
        <w:jc w:val="left"/>
      </w:pPr>
      <w:r>
        <w:rPr/>
        <w:t>过</w:t>
      </w:r>
      <w:r>
        <w:rPr>
          <w:rFonts w:ascii="Times New Roman" w:hAnsi="Times New Roman" w:cs="Times New Roman" w:eastAsia="Times New Roman" w:hint="default"/>
        </w:rPr>
        <w:t>5000</w:t>
      </w:r>
      <w:r>
        <w:rPr/>
        <w:t>万元；</w:t>
      </w:r>
    </w:p>
    <w:p>
      <w:pPr>
        <w:pStyle w:val="BodyText"/>
        <w:spacing w:line="319" w:lineRule="auto" w:before="82"/>
        <w:ind w:left="1493" w:right="0"/>
        <w:jc w:val="left"/>
      </w:pPr>
      <w:r>
        <w:rPr>
          <w:rFonts w:ascii="宋体" w:hAnsi="宋体" w:cs="宋体" w:eastAsia="宋体" w:hint="default"/>
        </w:rPr>
        <w:t>2.</w:t>
      </w:r>
      <w:r>
        <w:rPr/>
        <w:t>公司未来十二个月内拟对外投资、收购资产或购买设备累计支出达到或超过公司最近一期经审计总资产的</w:t>
      </w:r>
      <w:r>
        <w:rPr>
          <w:rFonts w:ascii="Times New Roman" w:hAnsi="Times New Roman" w:cs="Times New Roman" w:eastAsia="Times New Roman" w:hint="default"/>
        </w:rPr>
        <w:t>30%</w:t>
      </w:r>
      <w:r>
        <w:rPr/>
        <w:t>。 </w:t>
      </w:r>
      <w:r>
        <w:rPr>
          <w:spacing w:val="-2"/>
        </w:rPr>
        <w:t>公司出现以下情况，可以进行股票股利分配：公司营业收入增长迅速，并且董事会认为公司股票价格与公司股本规模不</w:t>
      </w:r>
    </w:p>
    <w:p>
      <w:pPr>
        <w:pStyle w:val="BodyText"/>
        <w:spacing w:line="338" w:lineRule="auto"/>
        <w:ind w:left="1493" w:right="1753" w:hanging="360"/>
        <w:jc w:val="left"/>
      </w:pPr>
      <w:r>
        <w:rPr/>
        <w:t>匹配时，可以在满足上述现金股利分配的同时，制定股票股利分配预案。 公司将严格执行现金分红政策，切实保护好股东特别是中小股东的利益。本报告期内，公司未进行利润分配。</w:t>
      </w:r>
    </w:p>
    <w:p>
      <w:pPr>
        <w:spacing w:line="240" w:lineRule="auto" w:before="12"/>
        <w:rPr>
          <w:rFonts w:ascii="宋体" w:hAnsi="宋体" w:cs="宋体" w:eastAsia="宋体" w:hint="default"/>
          <w:sz w:val="27"/>
          <w:szCs w:val="27"/>
        </w:rPr>
      </w:pPr>
    </w:p>
    <w:tbl>
      <w:tblPr>
        <w:tblW w:w="0" w:type="auto"/>
        <w:jc w:val="left"/>
        <w:tblInd w:w="114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center"/>
        <w:rPr>
          <w:rFonts w:ascii="宋体" w:hAnsi="宋体" w:cs="宋体" w:eastAsia="宋体" w:hint="default"/>
          <w:sz w:val="18"/>
          <w:szCs w:val="18"/>
        </w:rPr>
        <w:sectPr>
          <w:pgSz w:w="11910" w:h="16840"/>
          <w:pgMar w:header="877" w:footer="1187" w:top="1100" w:bottom="1380" w:left="0" w:right="0"/>
        </w:sectPr>
      </w:pPr>
    </w:p>
    <w:p>
      <w:pPr>
        <w:spacing w:line="240" w:lineRule="auto" w:before="6"/>
        <w:rPr>
          <w:rFonts w:ascii="宋体" w:hAnsi="宋体" w:cs="宋体" w:eastAsia="宋体" w:hint="default"/>
          <w:sz w:val="3"/>
          <w:szCs w:val="3"/>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332" w:hRule="exact"/>
        </w:trPr>
        <w:tc>
          <w:tcPr>
            <w:tcW w:w="4785" w:type="dxa"/>
            <w:tcBorders>
              <w:top w:val="nil" w:sz="6" w:space="0" w:color="auto"/>
              <w:left w:val="nil" w:sz="6" w:space="0" w:color="auto"/>
              <w:bottom w:val="single" w:sz="4" w:space="0" w:color="000000"/>
              <w:right w:val="nil" w:sz="6" w:space="0" w:color="auto"/>
            </w:tcBorders>
          </w:tcPr>
          <w:p>
            <w:pPr/>
          </w:p>
        </w:tc>
        <w:tc>
          <w:tcPr>
            <w:tcW w:w="4784" w:type="dxa"/>
            <w:tcBorders>
              <w:top w:val="nil" w:sz="6" w:space="0" w:color="auto"/>
              <w:left w:val="nil" w:sz="6" w:space="0" w:color="auto"/>
              <w:bottom w:val="single" w:sz="4" w:space="0" w:color="000000"/>
              <w:right w:val="nil" w:sz="6" w:space="0" w:color="auto"/>
            </w:tcBorders>
          </w:tcPr>
          <w:p>
            <w:pP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left="1134" w:right="0"/>
        <w:jc w:val="left"/>
      </w:pPr>
      <w:r>
        <w:rPr/>
        <w:pict>
          <v:group style="position:absolute;margin-left:55.200001pt;margin-top:-52.578308pt;width:485pt;height:.1pt;mso-position-horizontal-relative:page;mso-position-vertical-relative:paragraph;z-index:-842920" coordorigin="1104,-1052" coordsize="9700,2">
            <v:shape style="position:absolute;left:1104;top:-1052;width:9700;height:2" coordorigin="1104,-1052" coordsize="9700,0" path="m1104,-1052l10804,-1052e" filled="false" stroked="true" strokeweight=".72pt" strokecolor="#000000">
              <v:path arrowok="t"/>
            </v:shape>
            <w10:wrap type="none"/>
          </v:group>
        </w:pict>
      </w:r>
      <w:r>
        <w:rPr/>
        <w:t>公司报告期利润分配预案及资本公积金转增股本预案与公司章程和分红管理办法等的相关规定一致</w:t>
      </w:r>
    </w:p>
    <w:p>
      <w:pPr>
        <w:pStyle w:val="BodyText"/>
        <w:spacing w:line="350" w:lineRule="auto" w:before="117"/>
        <w:ind w:right="42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公司报告期利润分配预案及资本公积金转增股本预案符合公司章程等的相关规定。 本年度利润分配及资本公积金转增股本预案</w:t>
      </w:r>
    </w:p>
    <w:tbl>
      <w:tblPr>
        <w:tblW w:w="0" w:type="auto"/>
        <w:jc w:val="left"/>
        <w:tblInd w:w="1129" w:type="dxa"/>
        <w:tblLayout w:type="fixed"/>
        <w:tblCellMar>
          <w:top w:w="0" w:type="dxa"/>
          <w:left w:w="0" w:type="dxa"/>
          <w:bottom w:w="0" w:type="dxa"/>
          <w:right w:w="0" w:type="dxa"/>
        </w:tblCellMar>
        <w:tblLook w:val="01E0"/>
      </w:tblPr>
      <w:tblGrid>
        <w:gridCol w:w="3706"/>
        <w:gridCol w:w="5863"/>
      </w:tblGrid>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0.46</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134,940,000</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6,207,240.00</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233,761,699.06</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589"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80" w:lineRule="auto" w:before="9"/>
              <w:ind w:left="22" w:right="23" w:firstLine="360"/>
              <w:jc w:val="both"/>
              <w:rPr>
                <w:rFonts w:ascii="宋体" w:hAnsi="宋体" w:cs="宋体" w:eastAsia="宋体" w:hint="default"/>
                <w:sz w:val="18"/>
                <w:szCs w:val="18"/>
              </w:rPr>
            </w:pPr>
            <w:r>
              <w:rPr>
                <w:rFonts w:ascii="宋体" w:hAnsi="宋体" w:cs="宋体" w:eastAsia="宋体" w:hint="default"/>
                <w:spacing w:val="-5"/>
                <w:sz w:val="18"/>
                <w:szCs w:val="18"/>
              </w:rPr>
              <w:t>根据信永中和会计师事务所（特殊普通合伙）出具的</w:t>
            </w:r>
            <w:r>
              <w:rPr>
                <w:rFonts w:ascii="Times New Roman" w:hAnsi="Times New Roman" w:cs="Times New Roman" w:eastAsia="Times New Roman" w:hint="default"/>
                <w:spacing w:val="-5"/>
                <w:sz w:val="18"/>
                <w:szCs w:val="18"/>
              </w:rPr>
              <w:t>XYZH/2016BJA80148</w:t>
            </w:r>
            <w:r>
              <w:rPr>
                <w:rFonts w:ascii="宋体" w:hAnsi="宋体" w:cs="宋体" w:eastAsia="宋体" w:hint="default"/>
                <w:spacing w:val="-5"/>
                <w:sz w:val="18"/>
                <w:szCs w:val="18"/>
              </w:rPr>
              <w:t>《审计报告》，高伟达软件股份有限公司</w:t>
            </w:r>
            <w:r>
              <w:rPr>
                <w:rFonts w:ascii="Times New Roman" w:hAnsi="Times New Roman" w:cs="Times New Roman" w:eastAsia="Times New Roman" w:hint="default"/>
                <w:spacing w:val="-5"/>
                <w:sz w:val="18"/>
                <w:szCs w:val="18"/>
              </w:rPr>
              <w:t>2015</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年合并报表归属于母公司股东的净利润为</w:t>
            </w:r>
            <w:r>
              <w:rPr>
                <w:rFonts w:ascii="Times New Roman" w:hAnsi="Times New Roman" w:cs="Times New Roman" w:eastAsia="Times New Roman" w:hint="default"/>
                <w:sz w:val="18"/>
                <w:szCs w:val="18"/>
              </w:rPr>
              <w:t>41,228,939.46</w:t>
            </w:r>
            <w:r>
              <w:rPr>
                <w:rFonts w:ascii="宋体" w:hAnsi="宋体" w:cs="宋体" w:eastAsia="宋体" w:hint="default"/>
                <w:sz w:val="18"/>
                <w:szCs w:val="18"/>
              </w:rPr>
              <w:t>元，根据《公司法》和《公司章程》的规定，</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年度提取法定公</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积金</w:t>
            </w:r>
            <w:r>
              <w:rPr>
                <w:rFonts w:ascii="Times New Roman" w:hAnsi="Times New Roman" w:cs="Times New Roman" w:eastAsia="Times New Roman" w:hint="default"/>
                <w:sz w:val="18"/>
                <w:szCs w:val="18"/>
              </w:rPr>
              <w:t>3,386,793.21</w:t>
            </w:r>
            <w:r>
              <w:rPr>
                <w:rFonts w:ascii="宋体" w:hAnsi="宋体" w:cs="宋体" w:eastAsia="宋体" w:hint="default"/>
                <w:sz w:val="18"/>
                <w:szCs w:val="18"/>
              </w:rPr>
              <w:t>元，</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日可供投资者分配的利润为</w:t>
            </w:r>
            <w:r>
              <w:rPr>
                <w:rFonts w:ascii="Times New Roman" w:hAnsi="Times New Roman" w:cs="Times New Roman" w:eastAsia="Times New Roman" w:hint="default"/>
                <w:sz w:val="18"/>
                <w:szCs w:val="18"/>
              </w:rPr>
              <w:t>233,761,699.06</w:t>
            </w:r>
            <w:r>
              <w:rPr>
                <w:rFonts w:ascii="宋体" w:hAnsi="宋体" w:cs="宋体" w:eastAsia="宋体" w:hint="default"/>
                <w:sz w:val="18"/>
                <w:szCs w:val="18"/>
              </w:rPr>
              <w:t>元。</w:t>
            </w:r>
          </w:p>
          <w:p>
            <w:pPr>
              <w:pStyle w:val="TableParagraph"/>
              <w:spacing w:line="283" w:lineRule="auto" w:before="48"/>
              <w:ind w:left="22" w:right="21"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年度利润分配预案为：以公司总股本</w:t>
            </w:r>
            <w:r>
              <w:rPr>
                <w:rFonts w:ascii="Times New Roman" w:hAnsi="Times New Roman" w:cs="Times New Roman" w:eastAsia="Times New Roman" w:hint="default"/>
                <w:sz w:val="18"/>
                <w:szCs w:val="18"/>
              </w:rPr>
              <w:t>134,940,000</w:t>
            </w:r>
            <w:r>
              <w:rPr>
                <w:rFonts w:ascii="宋体" w:hAnsi="宋体" w:cs="宋体" w:eastAsia="宋体" w:hint="default"/>
                <w:sz w:val="18"/>
                <w:szCs w:val="18"/>
              </w:rPr>
              <w:t>股为基数，以资本公积金向全体股东每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股转增</w:t>
            </w:r>
            <w:r>
              <w:rPr>
                <w:rFonts w:ascii="Times New Roman" w:hAnsi="Times New Roman" w:cs="Times New Roman" w:eastAsia="Times New Roman" w:hint="default"/>
                <w:sz w:val="18"/>
                <w:szCs w:val="18"/>
              </w:rPr>
              <w:t>0</w:t>
            </w:r>
            <w:r>
              <w:rPr>
                <w:rFonts w:ascii="宋体" w:hAnsi="宋体" w:cs="宋体" w:eastAsia="宋体" w:hint="default"/>
                <w:sz w:val="18"/>
                <w:szCs w:val="18"/>
              </w:rPr>
              <w:t>股，向全体股 东每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股派发现金股利人民币</w:t>
            </w:r>
            <w:r>
              <w:rPr>
                <w:rFonts w:ascii="Times New Roman" w:hAnsi="Times New Roman" w:cs="Times New Roman" w:eastAsia="Times New Roman" w:hint="default"/>
                <w:sz w:val="18"/>
                <w:szCs w:val="18"/>
              </w:rPr>
              <w:t>0.46</w:t>
            </w:r>
            <w:r>
              <w:rPr>
                <w:rFonts w:ascii="宋体" w:hAnsi="宋体" w:cs="宋体" w:eastAsia="宋体" w:hint="default"/>
                <w:sz w:val="18"/>
                <w:szCs w:val="18"/>
              </w:rPr>
              <w:t>元（含税），合计派发现金</w:t>
            </w:r>
            <w:r>
              <w:rPr>
                <w:rFonts w:ascii="Times New Roman" w:hAnsi="Times New Roman" w:cs="Times New Roman" w:eastAsia="Times New Roman" w:hint="default"/>
                <w:sz w:val="18"/>
                <w:szCs w:val="18"/>
              </w:rPr>
              <w:t>6,207,240.00</w:t>
            </w:r>
            <w:r>
              <w:rPr>
                <w:rFonts w:ascii="宋体" w:hAnsi="宋体" w:cs="宋体" w:eastAsia="宋体" w:hint="default"/>
                <w:sz w:val="18"/>
                <w:szCs w:val="18"/>
              </w:rPr>
              <w:t>元，其余未分配利润结转以后年度分配。</w:t>
            </w:r>
          </w:p>
        </w:tc>
      </w:tr>
    </w:tbl>
    <w:p>
      <w:pPr>
        <w:pStyle w:val="BodyText"/>
        <w:spacing w:line="240" w:lineRule="auto" w:before="73"/>
        <w:ind w:left="1134" w:right="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1"/>
        </w:rPr>
        <w:t>（</w:t>
      </w:r>
      <w:r>
        <w:rPr/>
        <w:t>包括本报告期）的普通股股利分配方案（预案</w:t>
      </w:r>
      <w:r>
        <w:rPr>
          <w:spacing w:val="-90"/>
        </w:rPr>
        <w:t>）</w:t>
      </w:r>
      <w:r>
        <w:rPr/>
        <w:t>、资本公积金转增股本方案（预案）情况</w:t>
      </w:r>
    </w:p>
    <w:p>
      <w:pPr>
        <w:pStyle w:val="BodyText"/>
        <w:spacing w:line="288" w:lineRule="auto" w:before="61"/>
        <w:ind w:left="1134" w:right="1132" w:firstLine="360"/>
        <w:jc w:val="both"/>
      </w:pP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1</w:t>
      </w:r>
      <w:r>
        <w:rPr>
          <w:spacing w:val="-1"/>
        </w:rPr>
        <w:t>日，公司</w:t>
      </w:r>
      <w:r>
        <w:rPr>
          <w:rFonts w:ascii="Times New Roman" w:hAnsi="Times New Roman" w:cs="Times New Roman" w:eastAsia="Times New Roman" w:hint="default"/>
          <w:spacing w:val="-1"/>
        </w:rPr>
        <w:t>2012</w:t>
      </w:r>
      <w:r>
        <w:rPr>
          <w:spacing w:val="-1"/>
        </w:rPr>
        <w:t>年股东大会第二次临时会议审议通过了《关于本次公开发行人民币普通股（</w:t>
      </w:r>
      <w:r>
        <w:rPr>
          <w:rFonts w:ascii="Times New Roman" w:hAnsi="Times New Roman" w:cs="Times New Roman" w:eastAsia="Times New Roman" w:hint="default"/>
          <w:spacing w:val="-1"/>
        </w:rPr>
        <w:t>A</w:t>
      </w:r>
      <w:r>
        <w:rPr>
          <w:spacing w:val="-1"/>
        </w:rPr>
        <w:t>股）股票以前年</w:t>
      </w:r>
      <w:r>
        <w:rPr/>
        <w:t> </w:t>
      </w:r>
      <w:r>
        <w:rPr>
          <w:spacing w:val="-2"/>
        </w:rPr>
        <w:t>度滚存利润分配方式的议案》，如果公司首次公开发行股票的申请获得核准并成功发行，则公司本次公开发行前实现的未分</w:t>
      </w:r>
      <w:r>
        <w:rPr>
          <w:spacing w:val="-66"/>
        </w:rPr>
        <w:t> </w:t>
      </w:r>
      <w:r>
        <w:rPr>
          <w:spacing w:val="-66"/>
        </w:rPr>
      </w:r>
      <w:r>
        <w:rPr/>
        <w:t>配利润由公司本次发行前后的新老股东按持股比例共同享有。</w:t>
      </w:r>
    </w:p>
    <w:p>
      <w:pPr>
        <w:pStyle w:val="BodyText"/>
        <w:spacing w:line="240" w:lineRule="auto" w:before="103"/>
        <w:ind w:left="1134" w:right="0"/>
        <w:jc w:val="left"/>
      </w:pPr>
      <w:r>
        <w:rPr/>
        <w:t>公司近三年（包括本报告期）普通股现金分红情况表</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17"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32"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6,207,240.00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41,228,939.46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66,080,887.67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53,236,438.73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0"/>
        <w:jc w:val="left"/>
      </w:pPr>
      <w:r>
        <w:rPr/>
        <w:t>公司报告期内盈利且母公司可供普通股股东分配利润为正但未提出普通股现金红利分配预案</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1187" w:top="1060" w:bottom="1380" w:left="0" w:right="0"/>
        </w:sectPr>
      </w:pPr>
    </w:p>
    <w:p>
      <w:pPr>
        <w:spacing w:line="240" w:lineRule="auto" w:before="12"/>
        <w:rPr>
          <w:rFonts w:ascii="宋体" w:hAnsi="宋体" w:cs="宋体" w:eastAsia="宋体" w:hint="default"/>
          <w:sz w:val="2"/>
          <w:szCs w:val="2"/>
        </w:rPr>
      </w:pPr>
      <w:r>
        <w:rPr/>
        <w:pict>
          <v:shape style="position:absolute;margin-left:394.097015pt;margin-top:673.23999pt;width:69.2pt;height:14.6pt;mso-position-horizontal-relative:page;mso-position-vertical-relative:page;z-index:-842824" type="#_x0000_t202" filled="false" stroked="false">
            <v:textbox inset="0,0,0,0">
              <w:txbxContent>
                <w:p>
                  <w:pPr>
                    <w:pStyle w:val="BodyText"/>
                    <w:spacing w:line="240" w:lineRule="auto" w:before="51"/>
                    <w:ind w:left="0" w:right="0"/>
                    <w:jc w:val="left"/>
                  </w:pPr>
                  <w:r>
                    <w:rPr/>
                    <w:t>《公司法》</w:t>
                  </w:r>
                </w:p>
              </w:txbxContent>
            </v:textbox>
            <w10:wrap type="none"/>
          </v:shape>
        </w:pict>
      </w: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19"/>
          <w:szCs w:val="19"/>
        </w:rPr>
      </w:pPr>
    </w:p>
    <w:p>
      <w:pPr>
        <w:pStyle w:val="Heading2"/>
        <w:spacing w:line="240" w:lineRule="auto" w:before="26"/>
        <w:ind w:right="0"/>
        <w:jc w:val="left"/>
        <w:rPr>
          <w:b w:val="0"/>
          <w:bCs w:val="0"/>
        </w:rPr>
      </w:pPr>
      <w:bookmarkStart w:name="二、承诺事项履行情况" w:id="62"/>
      <w:bookmarkEnd w:id="62"/>
      <w:r>
        <w:rPr>
          <w:b w:val="0"/>
          <w:bCs w:val="0"/>
        </w:rPr>
      </w:r>
      <w:r>
        <w:rPr/>
        <w:t>二、承诺事项履行情况</w:t>
      </w:r>
      <w:r>
        <w:rPr>
          <w:b w:val="0"/>
          <w:bCs w:val="0"/>
        </w:rPr>
      </w:r>
    </w:p>
    <w:p>
      <w:pPr>
        <w:spacing w:line="240" w:lineRule="auto" w:before="9"/>
        <w:rPr>
          <w:rFonts w:ascii="宋体" w:hAnsi="宋体" w:cs="宋体" w:eastAsia="宋体" w:hint="default"/>
          <w:b/>
          <w:bCs/>
          <w:sz w:val="24"/>
          <w:szCs w:val="24"/>
        </w:rPr>
      </w:pPr>
    </w:p>
    <w:p>
      <w:pPr>
        <w:pStyle w:val="Heading4"/>
        <w:spacing w:line="259" w:lineRule="auto"/>
        <w:ind w:right="0"/>
        <w:jc w:val="left"/>
        <w:rPr>
          <w:b w:val="0"/>
          <w:bCs w:val="0"/>
        </w:rPr>
      </w:pPr>
      <w:bookmarkStart w:name="1、公司、股东、实际控制人、收购人、董事、监事、高级管理人员或其他关联方在报告期" w:id="63"/>
      <w:bookmarkEnd w:id="63"/>
      <w:r>
        <w:rPr>
          <w:b w:val="0"/>
          <w:bCs w:val="0"/>
        </w:rPr>
      </w:r>
      <w:r>
        <w:rPr>
          <w:rFonts w:ascii="Times New Roman" w:hAnsi="Times New Roman" w:cs="Times New Roman" w:eastAsia="Times New Roman" w:hint="default"/>
        </w:rPr>
        <w:t>1</w:t>
      </w:r>
      <w:r>
        <w:rPr/>
        <w:t>、公司、股东、实际控制人、收购人、董事、监事、高级管理人员或其他关联方在报告期内履行完毕及</w:t>
      </w:r>
      <w:r>
        <w:rPr>
          <w:spacing w:val="-73"/>
        </w:rPr>
        <w:t> </w:t>
      </w:r>
      <w:r>
        <w:rPr>
          <w:spacing w:val="-73"/>
        </w:rPr>
      </w:r>
      <w:r>
        <w:rPr/>
        <w:t>截至报告期末尚未履行完毕的承诺事项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154"/>
        <w:gridCol w:w="1750"/>
        <w:gridCol w:w="407"/>
        <w:gridCol w:w="4264"/>
        <w:gridCol w:w="550"/>
        <w:gridCol w:w="516"/>
        <w:gridCol w:w="1015"/>
      </w:tblGrid>
      <w:tr>
        <w:trPr>
          <w:trHeight w:val="317" w:hRule="exact"/>
        </w:trPr>
        <w:tc>
          <w:tcPr>
            <w:tcW w:w="1154" w:type="dxa"/>
            <w:vMerge w:val="restart"/>
            <w:tcBorders>
              <w:top w:val="single" w:sz="4" w:space="0" w:color="000000"/>
              <w:left w:val="single" w:sz="4" w:space="0" w:color="000000"/>
              <w:right w:val="single" w:sz="4" w:space="0" w:color="000000"/>
            </w:tcBorders>
            <w:shd w:val="clear" w:color="auto" w:fill="D2D2D2"/>
          </w:tcPr>
          <w:p>
            <w:pPr/>
          </w:p>
        </w:tc>
        <w:tc>
          <w:tcPr>
            <w:tcW w:w="1750" w:type="dxa"/>
            <w:vMerge w:val="restart"/>
            <w:tcBorders>
              <w:top w:val="single" w:sz="4" w:space="0" w:color="000000"/>
              <w:left w:val="single" w:sz="4" w:space="0" w:color="000000"/>
              <w:right w:val="single" w:sz="4" w:space="0" w:color="000000"/>
            </w:tcBorders>
            <w:shd w:val="clear" w:color="auto" w:fill="D2D2D2"/>
          </w:tcPr>
          <w:p>
            <w:pPr/>
          </w:p>
        </w:tc>
        <w:tc>
          <w:tcPr>
            <w:tcW w:w="40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08" w:right="107"/>
              <w:jc w:val="both"/>
              <w:rPr>
                <w:rFonts w:ascii="宋体" w:hAnsi="宋体" w:cs="宋体" w:eastAsia="宋体" w:hint="default"/>
                <w:sz w:val="18"/>
                <w:szCs w:val="18"/>
              </w:rPr>
            </w:pPr>
            <w:r>
              <w:rPr>
                <w:rFonts w:ascii="宋体" w:hAnsi="宋体" w:cs="宋体" w:eastAsia="宋体" w:hint="default"/>
                <w:sz w:val="18"/>
                <w:szCs w:val="18"/>
              </w:rPr>
              <w:t>承 诺 类 型</w:t>
            </w:r>
          </w:p>
        </w:tc>
        <w:tc>
          <w:tcPr>
            <w:tcW w:w="4264" w:type="dxa"/>
            <w:vMerge w:val="restart"/>
            <w:tcBorders>
              <w:top w:val="single" w:sz="4" w:space="0" w:color="000000"/>
              <w:left w:val="single" w:sz="4" w:space="0" w:color="000000"/>
              <w:right w:val="single" w:sz="4" w:space="0" w:color="000000"/>
            </w:tcBorders>
            <w:shd w:val="clear" w:color="auto" w:fill="D2D2D2"/>
          </w:tcPr>
          <w:p>
            <w:pPr/>
          </w:p>
        </w:tc>
        <w:tc>
          <w:tcPr>
            <w:tcW w:w="550" w:type="dxa"/>
            <w:tcBorders>
              <w:top w:val="single" w:sz="4" w:space="0" w:color="000000"/>
              <w:left w:val="single" w:sz="4" w:space="0" w:color="000000"/>
              <w:bottom w:val="nil" w:sz="6" w:space="0" w:color="auto"/>
              <w:right w:val="single" w:sz="4" w:space="0" w:color="000000"/>
            </w:tcBorders>
            <w:shd w:val="clear" w:color="auto" w:fill="D2D2D2"/>
          </w:tcPr>
          <w:p>
            <w:pPr/>
          </w:p>
        </w:tc>
        <w:tc>
          <w:tcPr>
            <w:tcW w:w="5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15"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154" w:type="dxa"/>
            <w:vMerge/>
            <w:tcBorders>
              <w:left w:val="single" w:sz="4" w:space="0" w:color="000000"/>
              <w:bottom w:val="nil" w:sz="6" w:space="0" w:color="auto"/>
              <w:right w:val="single" w:sz="4" w:space="0" w:color="000000"/>
            </w:tcBorders>
            <w:shd w:val="clear" w:color="auto" w:fill="D2D2D2"/>
          </w:tcPr>
          <w:p>
            <w:pPr/>
          </w:p>
        </w:tc>
        <w:tc>
          <w:tcPr>
            <w:tcW w:w="1750" w:type="dxa"/>
            <w:vMerge/>
            <w:tcBorders>
              <w:left w:val="single" w:sz="4" w:space="0" w:color="000000"/>
              <w:bottom w:val="nil" w:sz="6" w:space="0" w:color="auto"/>
              <w:right w:val="single" w:sz="4" w:space="0" w:color="000000"/>
            </w:tcBorders>
            <w:shd w:val="clear" w:color="auto" w:fill="D2D2D2"/>
          </w:tcPr>
          <w:p>
            <w:pPr/>
          </w:p>
        </w:tc>
        <w:tc>
          <w:tcPr>
            <w:tcW w:w="407" w:type="dxa"/>
            <w:vMerge/>
            <w:tcBorders>
              <w:left w:val="single" w:sz="4" w:space="0" w:color="000000"/>
              <w:right w:val="single" w:sz="4" w:space="0" w:color="000000"/>
            </w:tcBorders>
            <w:shd w:val="clear" w:color="auto" w:fill="D2D2D2"/>
          </w:tcPr>
          <w:p>
            <w:pPr/>
          </w:p>
        </w:tc>
        <w:tc>
          <w:tcPr>
            <w:tcW w:w="4264" w:type="dxa"/>
            <w:vMerge/>
            <w:tcBorders>
              <w:left w:val="single" w:sz="4" w:space="0" w:color="000000"/>
              <w:bottom w:val="nil" w:sz="6" w:space="0" w:color="auto"/>
              <w:right w:val="single" w:sz="4" w:space="0" w:color="000000"/>
            </w:tcBorders>
            <w:shd w:val="clear" w:color="auto" w:fill="D2D2D2"/>
          </w:tcPr>
          <w:p>
            <w:pPr/>
          </w:p>
        </w:tc>
        <w:tc>
          <w:tcPr>
            <w:tcW w:w="55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90" w:right="89"/>
              <w:jc w:val="left"/>
              <w:rPr>
                <w:rFonts w:ascii="宋体" w:hAnsi="宋体" w:cs="宋体" w:eastAsia="宋体" w:hint="default"/>
                <w:sz w:val="18"/>
                <w:szCs w:val="18"/>
              </w:rPr>
            </w:pPr>
            <w:r>
              <w:rPr>
                <w:rFonts w:ascii="宋体" w:hAnsi="宋体" w:cs="宋体" w:eastAsia="宋体" w:hint="default"/>
                <w:sz w:val="18"/>
                <w:szCs w:val="18"/>
              </w:rPr>
              <w:t>承诺 时间</w:t>
            </w:r>
          </w:p>
        </w:tc>
        <w:tc>
          <w:tcPr>
            <w:tcW w:w="51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71" w:right="72"/>
              <w:jc w:val="left"/>
              <w:rPr>
                <w:rFonts w:ascii="宋体" w:hAnsi="宋体" w:cs="宋体" w:eastAsia="宋体" w:hint="default"/>
                <w:sz w:val="18"/>
                <w:szCs w:val="18"/>
              </w:rPr>
            </w:pPr>
            <w:r>
              <w:rPr>
                <w:rFonts w:ascii="宋体" w:hAnsi="宋体" w:cs="宋体" w:eastAsia="宋体" w:hint="default"/>
                <w:sz w:val="18"/>
                <w:szCs w:val="18"/>
              </w:rPr>
              <w:t>承诺 期限</w:t>
            </w:r>
          </w:p>
        </w:tc>
        <w:tc>
          <w:tcPr>
            <w:tcW w:w="1015" w:type="dxa"/>
            <w:vMerge/>
            <w:tcBorders>
              <w:left w:val="single" w:sz="4" w:space="0" w:color="000000"/>
              <w:bottom w:val="nil" w:sz="6" w:space="0" w:color="auto"/>
              <w:right w:val="single" w:sz="4" w:space="0" w:color="000000"/>
            </w:tcBorders>
            <w:shd w:val="clear" w:color="auto" w:fill="D2D2D2"/>
          </w:tcPr>
          <w:p>
            <w:pPr/>
          </w:p>
        </w:tc>
      </w:tr>
      <w:tr>
        <w:trPr>
          <w:trHeight w:val="392" w:hRule="exact"/>
        </w:trPr>
        <w:tc>
          <w:tcPr>
            <w:tcW w:w="11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05"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17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407" w:type="dxa"/>
            <w:vMerge/>
            <w:tcBorders>
              <w:left w:val="single" w:sz="4" w:space="0" w:color="000000"/>
              <w:right w:val="single" w:sz="4" w:space="0" w:color="000000"/>
            </w:tcBorders>
            <w:shd w:val="clear" w:color="auto" w:fill="D2D2D2"/>
          </w:tcPr>
          <w:p>
            <w:pPr/>
          </w:p>
        </w:tc>
        <w:tc>
          <w:tcPr>
            <w:tcW w:w="42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550" w:type="dxa"/>
            <w:vMerge/>
            <w:tcBorders>
              <w:left w:val="single" w:sz="4" w:space="0" w:color="000000"/>
              <w:right w:val="single" w:sz="4" w:space="0" w:color="000000"/>
            </w:tcBorders>
            <w:shd w:val="clear" w:color="auto" w:fill="D2D2D2"/>
          </w:tcPr>
          <w:p>
            <w:pPr/>
          </w:p>
        </w:tc>
        <w:tc>
          <w:tcPr>
            <w:tcW w:w="516" w:type="dxa"/>
            <w:vMerge/>
            <w:tcBorders>
              <w:left w:val="single" w:sz="4" w:space="0" w:color="000000"/>
              <w:right w:val="single" w:sz="4" w:space="0" w:color="000000"/>
            </w:tcBorders>
            <w:shd w:val="clear" w:color="auto" w:fill="D2D2D2"/>
          </w:tcPr>
          <w:p>
            <w:pPr/>
          </w:p>
        </w:tc>
        <w:tc>
          <w:tcPr>
            <w:tcW w:w="10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156" w:hRule="exact"/>
        </w:trPr>
        <w:tc>
          <w:tcPr>
            <w:tcW w:w="1154" w:type="dxa"/>
            <w:vMerge w:val="restart"/>
            <w:tcBorders>
              <w:top w:val="nil" w:sz="6" w:space="0" w:color="auto"/>
              <w:left w:val="single" w:sz="4" w:space="0" w:color="000000"/>
              <w:right w:val="single" w:sz="4" w:space="0" w:color="000000"/>
            </w:tcBorders>
            <w:shd w:val="clear" w:color="auto" w:fill="D2D2D2"/>
          </w:tcPr>
          <w:p>
            <w:pPr/>
          </w:p>
        </w:tc>
        <w:tc>
          <w:tcPr>
            <w:tcW w:w="1750" w:type="dxa"/>
            <w:vMerge w:val="restart"/>
            <w:tcBorders>
              <w:top w:val="nil" w:sz="6" w:space="0" w:color="auto"/>
              <w:left w:val="single" w:sz="4" w:space="0" w:color="000000"/>
              <w:right w:val="single" w:sz="4" w:space="0" w:color="000000"/>
            </w:tcBorders>
            <w:shd w:val="clear" w:color="auto" w:fill="D2D2D2"/>
          </w:tcPr>
          <w:p>
            <w:pPr/>
          </w:p>
        </w:tc>
        <w:tc>
          <w:tcPr>
            <w:tcW w:w="407" w:type="dxa"/>
            <w:vMerge/>
            <w:tcBorders>
              <w:left w:val="single" w:sz="4" w:space="0" w:color="000000"/>
              <w:right w:val="single" w:sz="4" w:space="0" w:color="000000"/>
            </w:tcBorders>
            <w:shd w:val="clear" w:color="auto" w:fill="D2D2D2"/>
          </w:tcPr>
          <w:p>
            <w:pPr/>
          </w:p>
        </w:tc>
        <w:tc>
          <w:tcPr>
            <w:tcW w:w="4264" w:type="dxa"/>
            <w:vMerge w:val="restart"/>
            <w:tcBorders>
              <w:top w:val="nil" w:sz="6" w:space="0" w:color="auto"/>
              <w:left w:val="single" w:sz="4" w:space="0" w:color="000000"/>
              <w:right w:val="single" w:sz="4" w:space="0" w:color="000000"/>
            </w:tcBorders>
            <w:shd w:val="clear" w:color="auto" w:fill="D2D2D2"/>
          </w:tcPr>
          <w:p>
            <w:pPr/>
          </w:p>
        </w:tc>
        <w:tc>
          <w:tcPr>
            <w:tcW w:w="550" w:type="dxa"/>
            <w:vMerge/>
            <w:tcBorders>
              <w:left w:val="single" w:sz="4" w:space="0" w:color="000000"/>
              <w:bottom w:val="nil" w:sz="6" w:space="0" w:color="auto"/>
              <w:right w:val="single" w:sz="4" w:space="0" w:color="000000"/>
            </w:tcBorders>
            <w:shd w:val="clear" w:color="auto" w:fill="D2D2D2"/>
          </w:tcPr>
          <w:p>
            <w:pPr/>
          </w:p>
        </w:tc>
        <w:tc>
          <w:tcPr>
            <w:tcW w:w="516" w:type="dxa"/>
            <w:vMerge/>
            <w:tcBorders>
              <w:left w:val="single" w:sz="4" w:space="0" w:color="000000"/>
              <w:bottom w:val="nil" w:sz="6" w:space="0" w:color="auto"/>
              <w:right w:val="single" w:sz="4" w:space="0" w:color="000000"/>
            </w:tcBorders>
            <w:shd w:val="clear" w:color="auto" w:fill="D2D2D2"/>
          </w:tcPr>
          <w:p>
            <w:pPr/>
          </w:p>
        </w:tc>
        <w:tc>
          <w:tcPr>
            <w:tcW w:w="1015" w:type="dxa"/>
            <w:vMerge w:val="restart"/>
            <w:tcBorders>
              <w:top w:val="nil" w:sz="6" w:space="0" w:color="auto"/>
              <w:left w:val="single" w:sz="4" w:space="0" w:color="000000"/>
              <w:right w:val="single" w:sz="4" w:space="0" w:color="000000"/>
            </w:tcBorders>
            <w:shd w:val="clear" w:color="auto" w:fill="D2D2D2"/>
          </w:tcPr>
          <w:p>
            <w:pPr/>
          </w:p>
        </w:tc>
      </w:tr>
      <w:tr>
        <w:trPr>
          <w:trHeight w:val="322" w:hRule="exact"/>
        </w:trPr>
        <w:tc>
          <w:tcPr>
            <w:tcW w:w="1154" w:type="dxa"/>
            <w:vMerge/>
            <w:tcBorders>
              <w:left w:val="single" w:sz="4" w:space="0" w:color="000000"/>
              <w:bottom w:val="single" w:sz="4" w:space="0" w:color="000000"/>
              <w:right w:val="single" w:sz="4" w:space="0" w:color="000000"/>
            </w:tcBorders>
            <w:shd w:val="clear" w:color="auto" w:fill="D2D2D2"/>
          </w:tcPr>
          <w:p>
            <w:pPr/>
          </w:p>
        </w:tc>
        <w:tc>
          <w:tcPr>
            <w:tcW w:w="1750" w:type="dxa"/>
            <w:vMerge/>
            <w:tcBorders>
              <w:left w:val="single" w:sz="4" w:space="0" w:color="000000"/>
              <w:bottom w:val="single" w:sz="4" w:space="0" w:color="000000"/>
              <w:right w:val="single" w:sz="4" w:space="0" w:color="000000"/>
            </w:tcBorders>
            <w:shd w:val="clear" w:color="auto" w:fill="D2D2D2"/>
          </w:tcPr>
          <w:p>
            <w:pPr/>
          </w:p>
        </w:tc>
        <w:tc>
          <w:tcPr>
            <w:tcW w:w="407" w:type="dxa"/>
            <w:vMerge/>
            <w:tcBorders>
              <w:left w:val="single" w:sz="4" w:space="0" w:color="000000"/>
              <w:bottom w:val="single" w:sz="4" w:space="0" w:color="000000"/>
              <w:right w:val="single" w:sz="4" w:space="0" w:color="000000"/>
            </w:tcBorders>
            <w:shd w:val="clear" w:color="auto" w:fill="D2D2D2"/>
          </w:tcPr>
          <w:p>
            <w:pPr/>
          </w:p>
        </w:tc>
        <w:tc>
          <w:tcPr>
            <w:tcW w:w="4264" w:type="dxa"/>
            <w:vMerge/>
            <w:tcBorders>
              <w:left w:val="single" w:sz="4" w:space="0" w:color="000000"/>
              <w:bottom w:val="single" w:sz="4" w:space="0" w:color="000000"/>
              <w:right w:val="single" w:sz="4" w:space="0" w:color="000000"/>
            </w:tcBorders>
            <w:shd w:val="clear" w:color="auto" w:fill="D2D2D2"/>
          </w:tcPr>
          <w:p>
            <w:pPr/>
          </w:p>
        </w:tc>
        <w:tc>
          <w:tcPr>
            <w:tcW w:w="550" w:type="dxa"/>
            <w:tcBorders>
              <w:top w:val="nil" w:sz="6" w:space="0" w:color="auto"/>
              <w:left w:val="single" w:sz="4" w:space="0" w:color="000000"/>
              <w:bottom w:val="single" w:sz="4" w:space="0" w:color="000000"/>
              <w:right w:val="single" w:sz="4" w:space="0" w:color="000000"/>
            </w:tcBorders>
            <w:shd w:val="clear" w:color="auto" w:fill="D2D2D2"/>
          </w:tcPr>
          <w:p>
            <w:pPr/>
          </w:p>
        </w:tc>
        <w:tc>
          <w:tcPr>
            <w:tcW w:w="5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15" w:type="dxa"/>
            <w:vMerge/>
            <w:tcBorders>
              <w:left w:val="single" w:sz="4" w:space="0" w:color="000000"/>
              <w:bottom w:val="single" w:sz="4" w:space="0" w:color="000000"/>
              <w:right w:val="single" w:sz="4" w:space="0" w:color="000000"/>
            </w:tcBorders>
            <w:shd w:val="clear" w:color="auto" w:fill="D2D2D2"/>
          </w:tcPr>
          <w:p>
            <w:pPr/>
          </w:p>
        </w:tc>
      </w:tr>
      <w:tr>
        <w:trPr>
          <w:trHeight w:val="1021" w:hRule="exact"/>
        </w:trPr>
        <w:tc>
          <w:tcPr>
            <w:tcW w:w="1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6"/>
              <w:ind w:left="11" w:right="51"/>
              <w:jc w:val="both"/>
              <w:rPr>
                <w:rFonts w:ascii="宋体" w:hAnsi="宋体" w:cs="宋体" w:eastAsia="宋体" w:hint="default"/>
                <w:sz w:val="18"/>
                <w:szCs w:val="18"/>
              </w:rPr>
            </w:pPr>
            <w:r>
              <w:rPr>
                <w:rFonts w:ascii="宋体" w:hAnsi="宋体" w:cs="宋体" w:eastAsia="宋体" w:hint="default"/>
                <w:sz w:val="18"/>
                <w:szCs w:val="18"/>
              </w:rPr>
              <w:t>收购报告书或 权益变动报告 书中所作承诺</w:t>
            </w:r>
          </w:p>
        </w:tc>
        <w:tc>
          <w:tcPr>
            <w:tcW w:w="1750" w:type="dxa"/>
            <w:tcBorders>
              <w:top w:val="single" w:sz="4" w:space="0" w:color="000000"/>
              <w:left w:val="single" w:sz="10" w:space="0" w:color="D2D2D2"/>
              <w:bottom w:val="single" w:sz="4" w:space="0" w:color="000000"/>
              <w:right w:val="single" w:sz="4" w:space="0" w:color="000000"/>
            </w:tcBorders>
            <w:shd w:val="clear" w:color="auto" w:fill="C6ECCC"/>
          </w:tcPr>
          <w:p>
            <w:pPr/>
          </w:p>
        </w:tc>
        <w:tc>
          <w:tcPr>
            <w:tcW w:w="407"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4264"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015"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714" w:hRule="exact"/>
        </w:trPr>
        <w:tc>
          <w:tcPr>
            <w:tcW w:w="1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1"/>
              <w:jc w:val="left"/>
              <w:rPr>
                <w:rFonts w:ascii="宋体" w:hAnsi="宋体" w:cs="宋体" w:eastAsia="宋体" w:hint="default"/>
                <w:sz w:val="18"/>
                <w:szCs w:val="18"/>
              </w:rPr>
            </w:pPr>
            <w:r>
              <w:rPr>
                <w:rFonts w:ascii="宋体" w:hAnsi="宋体" w:cs="宋体" w:eastAsia="宋体" w:hint="default"/>
                <w:sz w:val="18"/>
                <w:szCs w:val="18"/>
              </w:rPr>
              <w:t>资产重组时所 作承诺</w:t>
            </w:r>
          </w:p>
        </w:tc>
        <w:tc>
          <w:tcPr>
            <w:tcW w:w="1750" w:type="dxa"/>
            <w:tcBorders>
              <w:top w:val="single" w:sz="4" w:space="0" w:color="000000"/>
              <w:left w:val="single" w:sz="10" w:space="0" w:color="D2D2D2"/>
              <w:bottom w:val="single" w:sz="4" w:space="0" w:color="000000"/>
              <w:right w:val="single" w:sz="4" w:space="0" w:color="000000"/>
            </w:tcBorders>
            <w:shd w:val="clear" w:color="auto" w:fill="C6ECCC"/>
          </w:tcPr>
          <w:p>
            <w:pPr/>
          </w:p>
        </w:tc>
        <w:tc>
          <w:tcPr>
            <w:tcW w:w="407" w:type="dxa"/>
            <w:tcBorders>
              <w:top w:val="single" w:sz="4" w:space="0" w:color="000000"/>
              <w:left w:val="single" w:sz="4" w:space="0" w:color="000000"/>
              <w:bottom w:val="single" w:sz="4" w:space="0" w:color="000000"/>
              <w:right w:val="single" w:sz="4" w:space="0" w:color="000000"/>
            </w:tcBorders>
          </w:tcPr>
          <w:p>
            <w:pPr>
              <w:pStyle w:val="TableParagraph"/>
              <w:spacing w:line="705" w:lineRule="exact"/>
              <w:ind w:right="-41"/>
              <w:jc w:val="left"/>
              <w:rPr>
                <w:rFonts w:ascii="宋体" w:hAnsi="宋体" w:cs="宋体" w:eastAsia="宋体" w:hint="default"/>
                <w:sz w:val="20"/>
                <w:szCs w:val="20"/>
              </w:rPr>
            </w:pPr>
            <w:r>
              <w:rPr>
                <w:rFonts w:ascii="宋体" w:hAnsi="宋体" w:cs="宋体" w:eastAsia="宋体" w:hint="default"/>
                <w:position w:val="-13"/>
                <w:sz w:val="20"/>
                <w:szCs w:val="20"/>
              </w:rPr>
              <w:drawing>
                <wp:inline distT="0" distB="0" distL="0" distR="0">
                  <wp:extent cx="252436" cy="447675"/>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3" cstate="print"/>
                          <a:stretch>
                            <a:fillRect/>
                          </a:stretch>
                        </pic:blipFill>
                        <pic:spPr>
                          <a:xfrm>
                            <a:off x="0" y="0"/>
                            <a:ext cx="252436" cy="447675"/>
                          </a:xfrm>
                          <a:prstGeom prst="rect">
                            <a:avLst/>
                          </a:prstGeom>
                        </pic:spPr>
                      </pic:pic>
                    </a:graphicData>
                  </a:graphic>
                </wp:inline>
              </w:drawing>
            </w:r>
            <w:r>
              <w:rPr>
                <w:rFonts w:ascii="宋体" w:hAnsi="宋体" w:cs="宋体" w:eastAsia="宋体" w:hint="default"/>
                <w:position w:val="-13"/>
                <w:sz w:val="20"/>
                <w:szCs w:val="20"/>
              </w:rPr>
            </w:r>
          </w:p>
        </w:tc>
        <w:tc>
          <w:tcPr>
            <w:tcW w:w="4264"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015"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1962" w:hRule="exact"/>
        </w:trPr>
        <w:tc>
          <w:tcPr>
            <w:tcW w:w="1154" w:type="dxa"/>
            <w:vMerge w:val="restart"/>
            <w:tcBorders>
              <w:top w:val="single" w:sz="4" w:space="0" w:color="000000"/>
              <w:left w:val="single" w:sz="4" w:space="0" w:color="000000"/>
              <w:right w:val="single" w:sz="4" w:space="0" w:color="000000"/>
            </w:tcBorders>
            <w:shd w:val="clear" w:color="auto" w:fill="D2D2D2"/>
          </w:tcPr>
          <w:p>
            <w:pPr/>
          </w:p>
        </w:tc>
        <w:tc>
          <w:tcPr>
            <w:tcW w:w="175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95"/>
              <w:jc w:val="left"/>
              <w:rPr>
                <w:rFonts w:ascii="宋体" w:hAnsi="宋体" w:cs="宋体" w:eastAsia="宋体" w:hint="default"/>
                <w:sz w:val="18"/>
                <w:szCs w:val="18"/>
              </w:rPr>
            </w:pPr>
            <w:r>
              <w:rPr>
                <w:rFonts w:ascii="宋体" w:hAnsi="宋体" w:cs="宋体" w:eastAsia="宋体" w:hint="default"/>
                <w:sz w:val="18"/>
                <w:szCs w:val="18"/>
              </w:rPr>
              <w:t>公司实际控制人及董 事长于伟</w:t>
            </w:r>
          </w:p>
        </w:tc>
        <w:tc>
          <w:tcPr>
            <w:tcW w:w="40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192"/>
              <w:jc w:val="both"/>
              <w:rPr>
                <w:rFonts w:ascii="宋体" w:hAnsi="宋体" w:cs="宋体" w:eastAsia="宋体" w:hint="default"/>
                <w:sz w:val="18"/>
                <w:szCs w:val="18"/>
              </w:rPr>
            </w:pPr>
            <w:r>
              <w:rPr>
                <w:rFonts w:ascii="宋体" w:hAnsi="宋体" w:cs="宋体" w:eastAsia="宋体" w:hint="default"/>
                <w:sz w:val="18"/>
                <w:szCs w:val="18"/>
              </w:rPr>
              <w:t>股 份 限 售 承 诺</w:t>
            </w:r>
          </w:p>
        </w:tc>
        <w:tc>
          <w:tcPr>
            <w:tcW w:w="4264" w:type="dxa"/>
            <w:tcBorders>
              <w:top w:val="single" w:sz="4" w:space="0" w:color="000000"/>
              <w:left w:val="single" w:sz="4" w:space="0" w:color="000000"/>
              <w:bottom w:val="single" w:sz="4" w:space="0" w:color="000000"/>
              <w:right w:val="single" w:sz="13" w:space="0" w:color="FFFFFF"/>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77"/>
              <w:jc w:val="both"/>
              <w:rPr>
                <w:rFonts w:ascii="宋体" w:hAnsi="宋体" w:cs="宋体" w:eastAsia="宋体" w:hint="default"/>
                <w:sz w:val="18"/>
                <w:szCs w:val="18"/>
              </w:rPr>
            </w:pPr>
            <w:r>
              <w:rPr>
                <w:rFonts w:ascii="宋体" w:hAnsi="宋体" w:cs="宋体" w:eastAsia="宋体" w:hint="default"/>
                <w:sz w:val="18"/>
                <w:szCs w:val="18"/>
              </w:rPr>
              <w:t>自本公司股票上市之日起三十六个月内，不转让或委 托他人管理其已间接持有的本公司股份，也不由本公 司回购该等股份，并将依法办理所持股份的锁定手续 因公司进行权益分配等导致其间接持有本公司股份发 生变化的，仍遵守上述承诺。</w:t>
            </w:r>
          </w:p>
        </w:tc>
        <w:tc>
          <w:tcPr>
            <w:tcW w:w="55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03" w:lineRule="exact" w:before="64"/>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149" w:lineRule="exact"/>
              <w:ind w:left="-13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9" w:lineRule="exact"/>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624" w:lineRule="exact"/>
              <w:ind w:left="11" w:right="-28"/>
              <w:jc w:val="left"/>
              <w:rPr>
                <w:rFonts w:ascii="宋体" w:hAnsi="宋体" w:cs="宋体" w:eastAsia="宋体" w:hint="default"/>
                <w:sz w:val="20"/>
                <w:szCs w:val="20"/>
              </w:rPr>
            </w:pPr>
            <w:r>
              <w:rPr>
                <w:rFonts w:ascii="宋体" w:hAnsi="宋体" w:cs="宋体" w:eastAsia="宋体" w:hint="default"/>
                <w:position w:val="-11"/>
                <w:sz w:val="20"/>
                <w:szCs w:val="20"/>
              </w:rPr>
              <w:pict>
                <v:group style="width:24.75pt;height:31.2pt;mso-position-horizontal-relative:char;mso-position-vertical-relative:line" coordorigin="0,0" coordsize="495,624">
                  <v:group style="position:absolute;left:0;top:0;width:495;height:312" coordorigin="0,0" coordsize="495,312">
                    <v:shape style="position:absolute;left:0;top:0;width:495;height:312" coordorigin="0,0" coordsize="495,312" path="m0,312l494,312,494,0,0,0,0,312xe" filled="true" fillcolor="#ffffff" stroked="false">
                      <v:path arrowok="t"/>
                      <v:fill type="solid"/>
                    </v:shape>
                  </v:group>
                  <v:group style="position:absolute;left:0;top:312;width:495;height:312" coordorigin="0,312" coordsize="495,312">
                    <v:shape style="position:absolute;left:0;top:312;width:495;height:312" coordorigin="0,312" coordsize="495,312" path="m0,624l494,624,494,312,0,312,0,624xe" filled="true" fillcolor="#ffffff" stroked="false">
                      <v:path arrowok="t"/>
                      <v:fill type="solid"/>
                    </v:shape>
                  </v:group>
                </v:group>
              </w:pict>
            </w:r>
            <w:r>
              <w:rPr>
                <w:rFonts w:ascii="宋体" w:hAnsi="宋体" w:cs="宋体" w:eastAsia="宋体" w:hint="default"/>
                <w:position w:val="-11"/>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tc>
        <w:tc>
          <w:tcPr>
            <w:tcW w:w="51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121"/>
              <w:jc w:val="both"/>
              <w:rPr>
                <w:rFonts w:ascii="宋体" w:hAnsi="宋体" w:cs="宋体" w:eastAsia="宋体" w:hint="default"/>
                <w:sz w:val="18"/>
                <w:szCs w:val="18"/>
              </w:rPr>
            </w:pPr>
            <w:r>
              <w:rPr>
                <w:rFonts w:ascii="宋体" w:hAnsi="宋体" w:cs="宋体" w:eastAsia="宋体" w:hint="default"/>
                <w:sz w:val="18"/>
                <w:szCs w:val="18"/>
              </w:rPr>
              <w:t>自上 市之 日起 三十 六个 月</w:t>
            </w:r>
          </w:p>
        </w:tc>
        <w:tc>
          <w:tcPr>
            <w:tcW w:w="101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80"/>
              <w:jc w:val="both"/>
              <w:rPr>
                <w:rFonts w:ascii="宋体" w:hAnsi="宋体" w:cs="宋体" w:eastAsia="宋体" w:hint="default"/>
                <w:sz w:val="18"/>
                <w:szCs w:val="18"/>
              </w:rPr>
            </w:pPr>
            <w:r>
              <w:rPr>
                <w:rFonts w:ascii="宋体" w:hAnsi="宋体" w:cs="宋体" w:eastAsia="宋体" w:hint="default"/>
                <w:sz w:val="18"/>
                <w:szCs w:val="18"/>
              </w:rPr>
              <w:t>截止本报告 期末，承诺 人严格信守 承诺，未出 现违反承诺 的情况</w:t>
            </w:r>
          </w:p>
        </w:tc>
      </w:tr>
      <w:tr>
        <w:trPr>
          <w:trHeight w:val="2013" w:hRule="exact"/>
        </w:trPr>
        <w:tc>
          <w:tcPr>
            <w:tcW w:w="1154" w:type="dxa"/>
            <w:vMerge/>
            <w:tcBorders>
              <w:left w:val="single" w:sz="4" w:space="0" w:color="000000"/>
              <w:bottom w:val="nil" w:sz="6" w:space="0" w:color="auto"/>
              <w:right w:val="single" w:sz="4" w:space="0" w:color="000000"/>
            </w:tcBorders>
            <w:shd w:val="clear" w:color="auto" w:fill="D2D2D2"/>
          </w:tcPr>
          <w:p>
            <w:pPr/>
          </w:p>
        </w:tc>
        <w:tc>
          <w:tcPr>
            <w:tcW w:w="1750" w:type="dxa"/>
            <w:vMerge w:val="restart"/>
            <w:tcBorders>
              <w:top w:val="single" w:sz="4" w:space="0" w:color="000000"/>
              <w:left w:val="single" w:sz="10" w:space="0" w:color="D2D2D2"/>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6" w:lineRule="auto"/>
              <w:ind w:left="15" w:right="95"/>
              <w:jc w:val="left"/>
              <w:rPr>
                <w:rFonts w:ascii="宋体" w:hAnsi="宋体" w:cs="宋体" w:eastAsia="宋体" w:hint="default"/>
                <w:sz w:val="18"/>
                <w:szCs w:val="18"/>
              </w:rPr>
            </w:pPr>
            <w:r>
              <w:rPr>
                <w:rFonts w:ascii="宋体" w:hAnsi="宋体" w:cs="宋体" w:eastAsia="宋体" w:hint="default"/>
                <w:sz w:val="18"/>
                <w:szCs w:val="18"/>
              </w:rPr>
              <w:t>公司实际控制人及董 事长于伟</w:t>
            </w:r>
          </w:p>
        </w:tc>
        <w:tc>
          <w:tcPr>
            <w:tcW w:w="407" w:type="dxa"/>
            <w:vMerge w:val="restart"/>
            <w:tcBorders>
              <w:top w:val="single" w:sz="4" w:space="0" w:color="000000"/>
              <w:left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2" w:right="192"/>
              <w:jc w:val="both"/>
              <w:rPr>
                <w:rFonts w:ascii="宋体" w:hAnsi="宋体" w:cs="宋体" w:eastAsia="宋体" w:hint="default"/>
                <w:sz w:val="18"/>
                <w:szCs w:val="18"/>
              </w:rPr>
            </w:pPr>
            <w:r>
              <w:rPr>
                <w:rFonts w:ascii="宋体" w:hAnsi="宋体" w:cs="宋体" w:eastAsia="宋体" w:hint="default"/>
                <w:sz w:val="18"/>
                <w:szCs w:val="18"/>
              </w:rPr>
              <w:t>股 份 减 持 承 诺</w:t>
            </w:r>
          </w:p>
        </w:tc>
        <w:tc>
          <w:tcPr>
            <w:tcW w:w="4264" w:type="dxa"/>
            <w:vMerge w:val="restart"/>
            <w:tcBorders>
              <w:top w:val="single" w:sz="4" w:space="0" w:color="000000"/>
              <w:left w:val="single" w:sz="4" w:space="0" w:color="000000"/>
              <w:right w:val="single" w:sz="4" w:space="0" w:color="000000"/>
            </w:tcBorders>
            <w:shd w:val="clear" w:color="auto" w:fill="C6ECCC"/>
          </w:tcPr>
          <w:p>
            <w:pPr>
              <w:pStyle w:val="TableParagraph"/>
              <w:spacing w:line="316" w:lineRule="auto" w:before="51"/>
              <w:ind w:left="23" w:right="75"/>
              <w:jc w:val="both"/>
              <w:rPr>
                <w:rFonts w:ascii="宋体" w:hAnsi="宋体" w:cs="宋体" w:eastAsia="宋体" w:hint="default"/>
                <w:sz w:val="18"/>
                <w:szCs w:val="18"/>
              </w:rPr>
            </w:pPr>
            <w:r>
              <w:rPr>
                <w:rFonts w:ascii="宋体" w:hAnsi="宋体" w:cs="宋体" w:eastAsia="宋体" w:hint="default"/>
                <w:sz w:val="18"/>
                <w:szCs w:val="18"/>
              </w:rPr>
              <w:t>前述锁定期限届满后，在任职期间每年转让的股份不 超过其间接所持股份总数的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，离职后半年内不转 让其间接所持有的公司股份。如果其在本公司首次公 开发行股票上市之日起六个月内申报离职的，自申报 离职之日起十八个月内不转让其间接持有的本公司股 份；在首次公开发行股票上市之日起第七个月至第十 二个月之间申报离职的，自申报离职之日起十二个月 内不转让其间接持有的公司股份。因本公司进行权益 分派等导致其间接持有的本公司股份发生变化的，仍 遵守上述承诺。本人所持公司股票在锁定期满后两年 内减持的，减持价格不低于发行价。公司上市后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p>
            <w:pPr>
              <w:pStyle w:val="TableParagraph"/>
              <w:spacing w:line="248" w:lineRule="exact"/>
              <w:ind w:left="23" w:right="0"/>
              <w:jc w:val="both"/>
              <w:rPr>
                <w:rFonts w:ascii="宋体" w:hAnsi="宋体" w:cs="宋体" w:eastAsia="宋体" w:hint="default"/>
                <w:sz w:val="18"/>
                <w:szCs w:val="18"/>
              </w:rPr>
            </w:pPr>
            <w:r>
              <w:rPr>
                <w:rFonts w:ascii="宋体" w:hAnsi="宋体" w:cs="宋体" w:eastAsia="宋体" w:hint="default"/>
                <w:sz w:val="18"/>
                <w:szCs w:val="18"/>
              </w:rPr>
              <w:t>月内如公司股票连续</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个交易日的收盘价均低于发行</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价，或者上市后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个月期末收盘价低于发行价，本人</w:t>
            </w:r>
          </w:p>
          <w:p>
            <w:pPr>
              <w:pStyle w:val="TableParagraph"/>
              <w:spacing w:line="309" w:lineRule="auto" w:before="63"/>
              <w:ind w:left="23" w:right="88"/>
              <w:jc w:val="both"/>
              <w:rPr>
                <w:rFonts w:ascii="宋体" w:hAnsi="宋体" w:cs="宋体" w:eastAsia="宋体" w:hint="default"/>
                <w:sz w:val="18"/>
                <w:szCs w:val="18"/>
              </w:rPr>
            </w:pPr>
            <w:r>
              <w:rPr>
                <w:rFonts w:ascii="宋体" w:hAnsi="宋体" w:cs="宋体" w:eastAsia="宋体" w:hint="default"/>
                <w:sz w:val="18"/>
                <w:szCs w:val="18"/>
              </w:rPr>
              <w:t>持有公司股票的锁定期限自动延长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个月。上述减持 价格和股份锁定承诺不因本人职务变更、离职等原因 放弃履行承诺。</w:t>
            </w:r>
          </w:p>
        </w:tc>
        <w:tc>
          <w:tcPr>
            <w:tcW w:w="5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16" w:type="dxa"/>
            <w:vMerge w:val="restart"/>
            <w:tcBorders>
              <w:top w:val="single" w:sz="4" w:space="0" w:color="000000"/>
              <w:left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15" w:type="dxa"/>
            <w:vMerge w:val="restart"/>
            <w:tcBorders>
              <w:top w:val="single" w:sz="4" w:space="0" w:color="000000"/>
              <w:left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2" w:right="80"/>
              <w:jc w:val="both"/>
              <w:rPr>
                <w:rFonts w:ascii="宋体" w:hAnsi="宋体" w:cs="宋体" w:eastAsia="宋体" w:hint="default"/>
                <w:sz w:val="18"/>
                <w:szCs w:val="18"/>
              </w:rPr>
            </w:pPr>
            <w:r>
              <w:rPr>
                <w:rFonts w:ascii="宋体" w:hAnsi="宋体" w:cs="宋体" w:eastAsia="宋体" w:hint="default"/>
                <w:sz w:val="18"/>
                <w:szCs w:val="18"/>
              </w:rPr>
              <w:t>截止本报告 期末，承诺 人严格信守 承诺，未出 现违反承诺 的情况</w:t>
            </w:r>
          </w:p>
        </w:tc>
      </w:tr>
      <w:tr>
        <w:trPr>
          <w:trHeight w:val="1016" w:hRule="exact"/>
        </w:trPr>
        <w:tc>
          <w:tcPr>
            <w:tcW w:w="11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51"/>
              <w:jc w:val="both"/>
              <w:rPr>
                <w:rFonts w:ascii="宋体" w:hAnsi="宋体" w:cs="宋体" w:eastAsia="宋体" w:hint="default"/>
                <w:sz w:val="18"/>
                <w:szCs w:val="18"/>
              </w:rPr>
            </w:pPr>
            <w:r>
              <w:rPr>
                <w:rFonts w:ascii="宋体" w:hAnsi="宋体" w:cs="宋体" w:eastAsia="宋体" w:hint="default"/>
                <w:sz w:val="18"/>
                <w:szCs w:val="18"/>
              </w:rPr>
              <w:t>首次公开发行 或再融资时所 作承诺</w:t>
            </w:r>
          </w:p>
        </w:tc>
        <w:tc>
          <w:tcPr>
            <w:tcW w:w="1750" w:type="dxa"/>
            <w:vMerge/>
            <w:tcBorders>
              <w:left w:val="single" w:sz="10" w:space="0" w:color="D2D2D2"/>
              <w:right w:val="single" w:sz="4" w:space="0" w:color="000000"/>
            </w:tcBorders>
            <w:shd w:val="clear" w:color="auto" w:fill="C6ECCC"/>
          </w:tcPr>
          <w:p>
            <w:pPr/>
          </w:p>
        </w:tc>
        <w:tc>
          <w:tcPr>
            <w:tcW w:w="407" w:type="dxa"/>
            <w:vMerge/>
            <w:tcBorders>
              <w:left w:val="single" w:sz="4" w:space="0" w:color="000000"/>
              <w:right w:val="single" w:sz="4" w:space="0" w:color="000000"/>
            </w:tcBorders>
            <w:shd w:val="clear" w:color="auto" w:fill="C6ECCC"/>
          </w:tcPr>
          <w:p>
            <w:pPr/>
          </w:p>
        </w:tc>
        <w:tc>
          <w:tcPr>
            <w:tcW w:w="4264" w:type="dxa"/>
            <w:vMerge/>
            <w:tcBorders>
              <w:left w:val="single" w:sz="4" w:space="0" w:color="000000"/>
              <w:right w:val="single" w:sz="4" w:space="0" w:color="000000"/>
            </w:tcBorders>
            <w:shd w:val="clear" w:color="auto" w:fill="C6ECCC"/>
          </w:tcPr>
          <w:p>
            <w:pPr/>
          </w:p>
        </w:tc>
        <w:tc>
          <w:tcPr>
            <w:tcW w:w="550" w:type="dxa"/>
            <w:vMerge/>
            <w:tcBorders>
              <w:left w:val="single" w:sz="4" w:space="0" w:color="000000"/>
              <w:right w:val="single" w:sz="4" w:space="0" w:color="000000"/>
            </w:tcBorders>
          </w:tcPr>
          <w:p>
            <w:pPr/>
          </w:p>
        </w:tc>
        <w:tc>
          <w:tcPr>
            <w:tcW w:w="516" w:type="dxa"/>
            <w:vMerge/>
            <w:tcBorders>
              <w:left w:val="single" w:sz="4" w:space="0" w:color="000000"/>
              <w:right w:val="single" w:sz="4" w:space="0" w:color="000000"/>
            </w:tcBorders>
            <w:shd w:val="clear" w:color="auto" w:fill="C6ECCC"/>
          </w:tcPr>
          <w:p>
            <w:pPr/>
          </w:p>
        </w:tc>
        <w:tc>
          <w:tcPr>
            <w:tcW w:w="1015" w:type="dxa"/>
            <w:vMerge/>
            <w:tcBorders>
              <w:left w:val="single" w:sz="4" w:space="0" w:color="000000"/>
              <w:right w:val="single" w:sz="4" w:space="0" w:color="000000"/>
            </w:tcBorders>
            <w:shd w:val="clear" w:color="auto" w:fill="C6ECCC"/>
          </w:tcPr>
          <w:p>
            <w:pPr/>
          </w:p>
        </w:tc>
      </w:tr>
      <w:tr>
        <w:trPr>
          <w:trHeight w:val="2053" w:hRule="exact"/>
        </w:trPr>
        <w:tc>
          <w:tcPr>
            <w:tcW w:w="1154" w:type="dxa"/>
            <w:vMerge w:val="restart"/>
            <w:tcBorders>
              <w:top w:val="nil" w:sz="6" w:space="0" w:color="auto"/>
              <w:left w:val="single" w:sz="4" w:space="0" w:color="000000"/>
              <w:right w:val="single" w:sz="4" w:space="0" w:color="000000"/>
            </w:tcBorders>
            <w:shd w:val="clear" w:color="auto" w:fill="D2D2D2"/>
          </w:tcPr>
          <w:p>
            <w:pPr/>
          </w:p>
        </w:tc>
        <w:tc>
          <w:tcPr>
            <w:tcW w:w="1750" w:type="dxa"/>
            <w:vMerge/>
            <w:tcBorders>
              <w:left w:val="single" w:sz="10" w:space="0" w:color="D2D2D2"/>
              <w:bottom w:val="single" w:sz="4" w:space="0" w:color="000000"/>
              <w:right w:val="single" w:sz="4" w:space="0" w:color="000000"/>
            </w:tcBorders>
            <w:shd w:val="clear" w:color="auto" w:fill="C6ECCC"/>
          </w:tcPr>
          <w:p>
            <w:pPr/>
          </w:p>
        </w:tc>
        <w:tc>
          <w:tcPr>
            <w:tcW w:w="407" w:type="dxa"/>
            <w:vMerge/>
            <w:tcBorders>
              <w:left w:val="single" w:sz="4" w:space="0" w:color="000000"/>
              <w:bottom w:val="single" w:sz="4" w:space="0" w:color="000000"/>
              <w:right w:val="single" w:sz="4" w:space="0" w:color="000000"/>
            </w:tcBorders>
            <w:shd w:val="clear" w:color="auto" w:fill="C6ECCC"/>
          </w:tcPr>
          <w:p>
            <w:pPr/>
          </w:p>
        </w:tc>
        <w:tc>
          <w:tcPr>
            <w:tcW w:w="4264" w:type="dxa"/>
            <w:vMerge/>
            <w:tcBorders>
              <w:left w:val="single" w:sz="4" w:space="0" w:color="000000"/>
              <w:bottom w:val="single" w:sz="4" w:space="0" w:color="000000"/>
              <w:right w:val="single" w:sz="4" w:space="0" w:color="000000"/>
            </w:tcBorders>
            <w:shd w:val="clear" w:color="auto" w:fill="C6ECCC"/>
          </w:tcPr>
          <w:p>
            <w:pPr/>
          </w:p>
        </w:tc>
        <w:tc>
          <w:tcPr>
            <w:tcW w:w="550" w:type="dxa"/>
            <w:vMerge/>
            <w:tcBorders>
              <w:left w:val="single" w:sz="4" w:space="0" w:color="000000"/>
              <w:bottom w:val="single" w:sz="4" w:space="0" w:color="000000"/>
              <w:right w:val="single" w:sz="4" w:space="0" w:color="000000"/>
            </w:tcBorders>
          </w:tcPr>
          <w:p>
            <w:pPr/>
          </w:p>
        </w:tc>
        <w:tc>
          <w:tcPr>
            <w:tcW w:w="516" w:type="dxa"/>
            <w:vMerge/>
            <w:tcBorders>
              <w:left w:val="single" w:sz="4" w:space="0" w:color="000000"/>
              <w:bottom w:val="single" w:sz="4" w:space="0" w:color="000000"/>
              <w:right w:val="single" w:sz="4" w:space="0" w:color="000000"/>
            </w:tcBorders>
            <w:shd w:val="clear" w:color="auto" w:fill="C6ECCC"/>
          </w:tcPr>
          <w:p>
            <w:pPr/>
          </w:p>
        </w:tc>
        <w:tc>
          <w:tcPr>
            <w:tcW w:w="1015" w:type="dxa"/>
            <w:vMerge/>
            <w:tcBorders>
              <w:left w:val="single" w:sz="4" w:space="0" w:color="000000"/>
              <w:bottom w:val="single" w:sz="4" w:space="0" w:color="000000"/>
              <w:right w:val="single" w:sz="4" w:space="0" w:color="000000"/>
            </w:tcBorders>
            <w:shd w:val="clear" w:color="auto" w:fill="C6ECCC"/>
          </w:tcPr>
          <w:p>
            <w:pPr/>
          </w:p>
        </w:tc>
      </w:tr>
      <w:tr>
        <w:trPr>
          <w:trHeight w:val="1922" w:hRule="exact"/>
        </w:trPr>
        <w:tc>
          <w:tcPr>
            <w:tcW w:w="1154" w:type="dxa"/>
            <w:vMerge/>
            <w:tcBorders>
              <w:left w:val="single" w:sz="4" w:space="0" w:color="000000"/>
              <w:bottom w:val="single" w:sz="4" w:space="0" w:color="000000"/>
              <w:right w:val="single" w:sz="4" w:space="0" w:color="000000"/>
            </w:tcBorders>
            <w:shd w:val="clear" w:color="auto" w:fill="D2D2D2"/>
          </w:tcPr>
          <w:p>
            <w:pPr/>
          </w:p>
        </w:tc>
        <w:tc>
          <w:tcPr>
            <w:tcW w:w="175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316" w:lineRule="auto"/>
              <w:ind w:left="22" w:right="95"/>
              <w:jc w:val="left"/>
              <w:rPr>
                <w:rFonts w:ascii="宋体" w:hAnsi="宋体" w:cs="宋体" w:eastAsia="宋体" w:hint="default"/>
                <w:sz w:val="18"/>
                <w:szCs w:val="18"/>
              </w:rPr>
            </w:pPr>
            <w:r>
              <w:rPr>
                <w:rFonts w:ascii="宋体" w:hAnsi="宋体" w:cs="宋体" w:eastAsia="宋体" w:hint="default"/>
                <w:sz w:val="18"/>
                <w:szCs w:val="18"/>
              </w:rPr>
              <w:t>公司实际控制人及董 事长于伟</w:t>
            </w:r>
          </w:p>
        </w:tc>
        <w:tc>
          <w:tcPr>
            <w:tcW w:w="40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2"/>
              <w:ind w:left="22" w:right="192"/>
              <w:jc w:val="both"/>
              <w:rPr>
                <w:rFonts w:ascii="宋体" w:hAnsi="宋体" w:cs="宋体" w:eastAsia="宋体" w:hint="default"/>
                <w:sz w:val="18"/>
                <w:szCs w:val="18"/>
              </w:rPr>
            </w:pPr>
            <w:r>
              <w:rPr>
                <w:rFonts w:ascii="宋体" w:hAnsi="宋体" w:cs="宋体" w:eastAsia="宋体" w:hint="default"/>
                <w:sz w:val="18"/>
                <w:szCs w:val="18"/>
              </w:rPr>
              <w:t>避 免 关 联 交 易</w:t>
            </w:r>
          </w:p>
        </w:tc>
        <w:tc>
          <w:tcPr>
            <w:tcW w:w="42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2"/>
              <w:ind w:left="23" w:right="88"/>
              <w:jc w:val="left"/>
              <w:rPr>
                <w:rFonts w:ascii="宋体" w:hAnsi="宋体" w:cs="宋体" w:eastAsia="宋体" w:hint="default"/>
                <w:sz w:val="18"/>
                <w:szCs w:val="18"/>
              </w:rPr>
            </w:pPr>
            <w:r>
              <w:rPr>
                <w:rFonts w:ascii="宋体" w:hAnsi="宋体" w:cs="宋体" w:eastAsia="宋体" w:hint="default"/>
                <w:sz w:val="18"/>
                <w:szCs w:val="18"/>
              </w:rPr>
              <w:t>本人及本人实际控制的企业将继续严格按照 等法律法规以及高伟达软件股份有限公司章程的有关 规定行使股东权利；在股东大会对有关涉及本人或本 人实际控制的企业的关联交易事项进行表决时，履行 回避表决的义务；本人承诺杜绝一切非法占用上市公 司的资金、资产的行为；在任何情况下，不要求上市</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50"/>
              <w:jc w:val="left"/>
              <w:rPr>
                <w:rFonts w:ascii="宋体" w:hAnsi="宋体" w:cs="宋体" w:eastAsia="宋体" w:hint="default"/>
                <w:sz w:val="20"/>
                <w:szCs w:val="20"/>
              </w:rPr>
            </w:pPr>
            <w:r>
              <w:rPr>
                <w:rFonts w:ascii="宋体" w:hAnsi="宋体" w:cs="宋体" w:eastAsia="宋体" w:hint="default"/>
                <w:position w:val="-5"/>
                <w:sz w:val="20"/>
                <w:szCs w:val="20"/>
              </w:rPr>
              <w:pict>
                <v:group style="width:27pt;height:14.6pt;mso-position-horizontal-relative:char;mso-position-vertical-relative:line" coordorigin="0,0" coordsize="540,292">
                  <v:group style="position:absolute;left:0;top:0;width:540;height:292" coordorigin="0,0" coordsize="540,292">
                    <v:shape style="position:absolute;left:0;top:0;width:540;height:292" coordorigin="0,0" coordsize="540,292" path="m0,292l540,292,540,0,0,0,0,29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6"/>
                <w:szCs w:val="26"/>
              </w:rPr>
            </w:pPr>
          </w:p>
        </w:tc>
        <w:tc>
          <w:tcPr>
            <w:tcW w:w="51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1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80"/>
              <w:jc w:val="both"/>
              <w:rPr>
                <w:rFonts w:ascii="宋体" w:hAnsi="宋体" w:cs="宋体" w:eastAsia="宋体" w:hint="default"/>
                <w:sz w:val="18"/>
                <w:szCs w:val="18"/>
              </w:rPr>
            </w:pPr>
            <w:r>
              <w:rPr>
                <w:rFonts w:ascii="宋体" w:hAnsi="宋体" w:cs="宋体" w:eastAsia="宋体" w:hint="default"/>
                <w:sz w:val="18"/>
                <w:szCs w:val="18"/>
              </w:rPr>
              <w:t>截止本报告 期末，承诺 人严格信守 承诺，未出 现违反承诺</w:t>
            </w:r>
          </w:p>
        </w:tc>
      </w:tr>
    </w:tbl>
    <w:p>
      <w:pPr>
        <w:spacing w:after="0" w:line="316" w:lineRule="auto"/>
        <w:jc w:val="both"/>
        <w:rPr>
          <w:rFonts w:ascii="宋体" w:hAnsi="宋体" w:cs="宋体" w:eastAsia="宋体" w:hint="default"/>
          <w:sz w:val="18"/>
          <w:szCs w:val="18"/>
        </w:rPr>
        <w:sectPr>
          <w:pgSz w:w="11910" w:h="16840"/>
          <w:pgMar w:header="877" w:footer="1187" w:top="1060" w:bottom="144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58.033997pt;margin-top:72.47998pt;width:105.25pt;height:95.7pt;mso-position-horizontal-relative:page;mso-position-vertical-relative:page;z-index:-84277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15"/>
                    <w:ind w:left="0" w:right="0"/>
                    <w:jc w:val="left"/>
                  </w:pPr>
                  <w:r>
                    <w:rPr/>
                    <w:t>严格遵循市场原则，</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166"/>
        <w:gridCol w:w="1750"/>
        <w:gridCol w:w="407"/>
        <w:gridCol w:w="4264"/>
        <w:gridCol w:w="550"/>
        <w:gridCol w:w="516"/>
        <w:gridCol w:w="1018"/>
      </w:tblGrid>
      <w:tr>
        <w:trPr>
          <w:trHeight w:val="1923" w:hRule="exact"/>
        </w:trPr>
        <w:tc>
          <w:tcPr>
            <w:tcW w:w="1166" w:type="dxa"/>
            <w:vMerge w:val="restart"/>
            <w:tcBorders>
              <w:top w:val="single" w:sz="4" w:space="0" w:color="000000"/>
              <w:left w:val="single" w:sz="4" w:space="0" w:color="000000"/>
              <w:right w:val="single" w:sz="4" w:space="0" w:color="000000"/>
            </w:tcBorders>
            <w:shd w:val="clear" w:color="auto" w:fill="D2D2D2"/>
          </w:tcPr>
          <w:p>
            <w:pPr/>
          </w:p>
        </w:tc>
        <w:tc>
          <w:tcPr>
            <w:tcW w:w="1750"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40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14"/>
              <w:ind w:left="22" w:right="192"/>
              <w:jc w:val="both"/>
              <w:rPr>
                <w:rFonts w:ascii="宋体" w:hAnsi="宋体" w:cs="宋体" w:eastAsia="宋体" w:hint="default"/>
                <w:sz w:val="18"/>
                <w:szCs w:val="18"/>
              </w:rPr>
            </w:pPr>
            <w:r>
              <w:rPr>
                <w:rFonts w:ascii="宋体" w:hAnsi="宋体" w:cs="宋体" w:eastAsia="宋体" w:hint="default"/>
                <w:sz w:val="18"/>
                <w:szCs w:val="18"/>
              </w:rPr>
              <w:t>的 承 诺</w:t>
            </w:r>
          </w:p>
        </w:tc>
        <w:tc>
          <w:tcPr>
            <w:tcW w:w="42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14"/>
              <w:ind w:left="23" w:right="88"/>
              <w:jc w:val="left"/>
              <w:rPr>
                <w:rFonts w:ascii="宋体" w:hAnsi="宋体" w:cs="宋体" w:eastAsia="宋体" w:hint="default"/>
                <w:sz w:val="18"/>
                <w:szCs w:val="18"/>
              </w:rPr>
            </w:pPr>
            <w:r>
              <w:rPr>
                <w:rFonts w:ascii="宋体" w:hAnsi="宋体" w:cs="宋体" w:eastAsia="宋体" w:hint="default"/>
                <w:sz w:val="18"/>
                <w:szCs w:val="18"/>
              </w:rPr>
              <w:t>公司向本人或本人直接或间接持股的企业提供任何形 式的担保；在双方的关联交易上， 尽量避免不必要的关联交易发生，对持续经营所发生 的必要的关联交易，应以双方协议规定的方式进行处 理，遵循市场化的定价原则，避免损害高伟达软件股 份有限公司及广大中小股东权益的情况发生。</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1913"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7"/>
                <w:sz w:val="20"/>
                <w:szCs w:val="20"/>
              </w:rPr>
              <w:pict>
                <v:group style="width:27pt;height:95.7pt;mso-position-horizontal-relative:char;mso-position-vertical-relative:line" coordorigin="0,0" coordsize="540,1914">
                  <v:group style="position:absolute;left:0;top:0;width:540;height:1914" coordorigin="0,0" coordsize="540,1914">
                    <v:shape style="position:absolute;left:0;top:0;width:540;height:1914" coordorigin="0,0" coordsize="540,1914" path="m0,1913l540,1913,540,0,0,0,0,1913xe" filled="true" fillcolor="#ffffff" stroked="false">
                      <v:path arrowok="t"/>
                      <v:fill type="solid"/>
                    </v:shape>
                  </v:group>
                </v:group>
              </w:pict>
            </w:r>
            <w:r>
              <w:rPr>
                <w:rFonts w:ascii="Times New Roman" w:hAnsi="Times New Roman" w:cs="Times New Roman" w:eastAsia="Times New Roman" w:hint="default"/>
                <w:position w:val="-37"/>
                <w:sz w:val="20"/>
                <w:szCs w:val="20"/>
              </w:rPr>
            </w:r>
          </w:p>
        </w:tc>
        <w:tc>
          <w:tcPr>
            <w:tcW w:w="516"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01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6"/>
              <w:ind w:left="22" w:right="0"/>
              <w:jc w:val="left"/>
              <w:rPr>
                <w:rFonts w:ascii="宋体" w:hAnsi="宋体" w:cs="宋体" w:eastAsia="宋体" w:hint="default"/>
                <w:sz w:val="18"/>
                <w:szCs w:val="18"/>
              </w:rPr>
            </w:pPr>
            <w:r>
              <w:rPr>
                <w:rFonts w:ascii="宋体" w:hAnsi="宋体" w:cs="宋体" w:eastAsia="宋体" w:hint="default"/>
                <w:sz w:val="18"/>
                <w:szCs w:val="18"/>
              </w:rPr>
              <w:t>的情况</w:t>
            </w:r>
          </w:p>
        </w:tc>
      </w:tr>
      <w:tr>
        <w:trPr>
          <w:trHeight w:val="5394" w:hRule="exact"/>
        </w:trPr>
        <w:tc>
          <w:tcPr>
            <w:tcW w:w="1166" w:type="dxa"/>
            <w:vMerge/>
            <w:tcBorders>
              <w:left w:val="single" w:sz="4" w:space="0" w:color="000000"/>
              <w:right w:val="single" w:sz="4" w:space="0" w:color="000000"/>
            </w:tcBorders>
            <w:shd w:val="clear" w:color="auto" w:fill="D2D2D2"/>
          </w:tcPr>
          <w:p>
            <w:pPr/>
          </w:p>
        </w:tc>
        <w:tc>
          <w:tcPr>
            <w:tcW w:w="175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22" w:right="95"/>
              <w:jc w:val="left"/>
              <w:rPr>
                <w:rFonts w:ascii="宋体" w:hAnsi="宋体" w:cs="宋体" w:eastAsia="宋体" w:hint="default"/>
                <w:sz w:val="18"/>
                <w:szCs w:val="18"/>
              </w:rPr>
            </w:pPr>
            <w:r>
              <w:rPr>
                <w:rFonts w:ascii="宋体" w:hAnsi="宋体" w:cs="宋体" w:eastAsia="宋体" w:hint="default"/>
                <w:sz w:val="18"/>
                <w:szCs w:val="18"/>
              </w:rPr>
              <w:t>公司实际控制人及董 事长于伟</w:t>
            </w:r>
          </w:p>
        </w:tc>
        <w:tc>
          <w:tcPr>
            <w:tcW w:w="40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6" w:lineRule="auto"/>
              <w:ind w:left="22" w:right="192"/>
              <w:jc w:val="both"/>
              <w:rPr>
                <w:rFonts w:ascii="宋体" w:hAnsi="宋体" w:cs="宋体" w:eastAsia="宋体" w:hint="default"/>
                <w:sz w:val="18"/>
                <w:szCs w:val="18"/>
              </w:rPr>
            </w:pPr>
            <w:r>
              <w:rPr>
                <w:rFonts w:ascii="宋体" w:hAnsi="宋体" w:cs="宋体" w:eastAsia="宋体" w:hint="default"/>
                <w:sz w:val="18"/>
                <w:szCs w:val="18"/>
              </w:rPr>
              <w:t>避 免 同 业 竞 争 的 承 诺</w:t>
            </w:r>
          </w:p>
        </w:tc>
        <w:tc>
          <w:tcPr>
            <w:tcW w:w="42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2" w:lineRule="auto" w:before="55"/>
              <w:ind w:left="23"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、如拟出售本人与公司生产、经营相关的任何其它资</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产、业务或权益，公司均有优先购买的权利；本人将 尽最大努力使有关交易的价格公平合理，且该等交易 价格按与独立第三方进行正常商业交易的交易价格为 </w:t>
            </w:r>
            <w:r>
              <w:rPr>
                <w:rFonts w:ascii="宋体" w:hAnsi="宋体" w:cs="宋体" w:eastAsia="宋体" w:hint="default"/>
                <w:spacing w:val="-1"/>
                <w:sz w:val="18"/>
                <w:szCs w:val="18"/>
              </w:rPr>
              <w:t>基础确定。</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、本人目前没有在中国境内任何地方或中</w:t>
            </w:r>
            <w:r>
              <w:rPr>
                <w:rFonts w:ascii="宋体" w:hAnsi="宋体" w:cs="宋体" w:eastAsia="宋体" w:hint="default"/>
                <w:sz w:val="18"/>
                <w:szCs w:val="18"/>
              </w:rPr>
              <w:t> 国境外，直接或间接发展、经营或协助经营或参与与 公司业务存在竞争的任何活动，亦没有在任何与公司 业务有直接或间接竞争的公司或企业拥有任何权益</w:t>
            </w:r>
          </w:p>
          <w:p>
            <w:pPr>
              <w:pStyle w:val="TableParagraph"/>
              <w:spacing w:line="309" w:lineRule="auto" w:before="22"/>
              <w:ind w:left="23" w:right="21"/>
              <w:jc w:val="left"/>
              <w:rPr>
                <w:rFonts w:ascii="宋体" w:hAnsi="宋体" w:cs="宋体" w:eastAsia="宋体" w:hint="default"/>
                <w:sz w:val="18"/>
                <w:szCs w:val="18"/>
              </w:rPr>
            </w:pPr>
            <w:r>
              <w:rPr>
                <w:rFonts w:ascii="宋体" w:hAnsi="宋体" w:cs="宋体" w:eastAsia="宋体" w:hint="default"/>
                <w:spacing w:val="-4"/>
                <w:sz w:val="18"/>
                <w:szCs w:val="18"/>
              </w:rPr>
              <w:t>（不论直接或间接）。</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、本人保证及承诺除非经公司</w:t>
            </w:r>
            <w:r>
              <w:rPr>
                <w:rFonts w:ascii="宋体" w:hAnsi="宋体" w:cs="宋体" w:eastAsia="宋体" w:hint="default"/>
                <w:spacing w:val="-84"/>
                <w:sz w:val="18"/>
                <w:szCs w:val="18"/>
              </w:rPr>
              <w:t> </w:t>
            </w:r>
            <w:r>
              <w:rPr>
                <w:rFonts w:ascii="宋体" w:hAnsi="宋体" w:cs="宋体" w:eastAsia="宋体" w:hint="default"/>
                <w:sz w:val="18"/>
                <w:szCs w:val="18"/>
              </w:rPr>
              <w:t>书面同意，不会直接或间接发展、经营或协助经营或 </w:t>
            </w:r>
            <w:r>
              <w:rPr>
                <w:rFonts w:ascii="宋体" w:hAnsi="宋体" w:cs="宋体" w:eastAsia="宋体" w:hint="default"/>
                <w:spacing w:val="-2"/>
                <w:sz w:val="18"/>
                <w:szCs w:val="18"/>
              </w:rPr>
              <w:t>参与或从事与公司业务相竞争的任何活动。</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、本人将</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依法律、法规及公司的规定向公司及有关机构或部门 及时披露与公司业务构成竞争或可能构成竞争的任何 业务或权益的详情，直至本人不再作为公司实际控制 </w:t>
            </w:r>
            <w:r>
              <w:rPr>
                <w:rFonts w:ascii="宋体" w:hAnsi="宋体" w:cs="宋体" w:eastAsia="宋体" w:hint="default"/>
                <w:spacing w:val="-1"/>
                <w:sz w:val="18"/>
                <w:szCs w:val="18"/>
              </w:rPr>
              <w:t>人为止。</w:t>
            </w: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、本人将不会利用公司实际控制人的身份进</w:t>
            </w:r>
            <w:r>
              <w:rPr>
                <w:rFonts w:ascii="宋体" w:hAnsi="宋体" w:cs="宋体" w:eastAsia="宋体" w:hint="default"/>
                <w:sz w:val="18"/>
                <w:szCs w:val="18"/>
              </w:rPr>
              <w:t> </w:t>
            </w:r>
            <w:r>
              <w:rPr>
                <w:rFonts w:ascii="宋体" w:hAnsi="宋体" w:cs="宋体" w:eastAsia="宋体" w:hint="default"/>
                <w:spacing w:val="-2"/>
                <w:sz w:val="18"/>
                <w:szCs w:val="18"/>
              </w:rPr>
              <w:t>行损害公司及其它股东利益的经营活动。</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、本人愿意</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承担因违反上述承诺而给公司造成的全部经济损失。</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1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1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2" w:right="83"/>
              <w:jc w:val="both"/>
              <w:rPr>
                <w:rFonts w:ascii="宋体" w:hAnsi="宋体" w:cs="宋体" w:eastAsia="宋体" w:hint="default"/>
                <w:sz w:val="18"/>
                <w:szCs w:val="18"/>
              </w:rPr>
            </w:pPr>
            <w:r>
              <w:rPr>
                <w:rFonts w:ascii="宋体" w:hAnsi="宋体" w:cs="宋体" w:eastAsia="宋体" w:hint="default"/>
                <w:sz w:val="18"/>
                <w:szCs w:val="18"/>
              </w:rPr>
              <w:t>截止本报告 期末，承诺 人严格信守 承诺，未出 现违反承诺 的情况</w:t>
            </w:r>
          </w:p>
        </w:tc>
      </w:tr>
      <w:tr>
        <w:trPr>
          <w:trHeight w:val="6602" w:hRule="exact"/>
        </w:trPr>
        <w:tc>
          <w:tcPr>
            <w:tcW w:w="1166" w:type="dxa"/>
            <w:vMerge/>
            <w:tcBorders>
              <w:left w:val="single" w:sz="4" w:space="0" w:color="000000"/>
              <w:bottom w:val="single" w:sz="4" w:space="0" w:color="000000"/>
              <w:right w:val="single" w:sz="4" w:space="0" w:color="000000"/>
            </w:tcBorders>
            <w:shd w:val="clear" w:color="auto" w:fill="D2D2D2"/>
          </w:tcPr>
          <w:p>
            <w:pPr/>
          </w:p>
        </w:tc>
        <w:tc>
          <w:tcPr>
            <w:tcW w:w="175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319" w:lineRule="auto"/>
              <w:ind w:left="22" w:right="95"/>
              <w:jc w:val="left"/>
              <w:rPr>
                <w:rFonts w:ascii="宋体" w:hAnsi="宋体" w:cs="宋体" w:eastAsia="宋体" w:hint="default"/>
                <w:sz w:val="18"/>
                <w:szCs w:val="18"/>
              </w:rPr>
            </w:pPr>
            <w:r>
              <w:rPr>
                <w:rFonts w:ascii="宋体" w:hAnsi="宋体" w:cs="宋体" w:eastAsia="宋体" w:hint="default"/>
                <w:sz w:val="18"/>
                <w:szCs w:val="18"/>
              </w:rPr>
              <w:t>公司实际控制人及董 事长于伟</w:t>
            </w:r>
          </w:p>
        </w:tc>
        <w:tc>
          <w:tcPr>
            <w:tcW w:w="40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9"/>
              <w:ind w:left="22" w:right="192"/>
              <w:jc w:val="both"/>
              <w:rPr>
                <w:rFonts w:ascii="宋体" w:hAnsi="宋体" w:cs="宋体" w:eastAsia="宋体" w:hint="default"/>
                <w:sz w:val="18"/>
                <w:szCs w:val="18"/>
              </w:rPr>
            </w:pPr>
            <w:r>
              <w:rPr>
                <w:rFonts w:ascii="宋体" w:hAnsi="宋体" w:cs="宋体" w:eastAsia="宋体" w:hint="default"/>
                <w:sz w:val="18"/>
                <w:szCs w:val="18"/>
              </w:rPr>
              <w:t>稳 定 股 价 的 承 诺</w:t>
            </w:r>
          </w:p>
        </w:tc>
        <w:tc>
          <w:tcPr>
            <w:tcW w:w="42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55"/>
              <w:ind w:left="23" w:right="21"/>
              <w:jc w:val="left"/>
              <w:rPr>
                <w:rFonts w:ascii="宋体" w:hAnsi="宋体" w:cs="宋体" w:eastAsia="宋体" w:hint="default"/>
                <w:sz w:val="18"/>
                <w:szCs w:val="18"/>
              </w:rPr>
            </w:pPr>
            <w:r>
              <w:rPr>
                <w:rFonts w:ascii="宋体" w:hAnsi="宋体" w:cs="宋体" w:eastAsia="宋体" w:hint="default"/>
                <w:sz w:val="18"/>
                <w:szCs w:val="18"/>
              </w:rPr>
              <w:t>如果公司首次公开发行股票并上市后三年内，股票收 盘价格连续</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个交易日出现低于每股净资产（指公司 最近一期经审计的每股净资产，如果公司因派发现金 红利、送股、转增股本、增发新股等原因进行除权、 除息的，则相关的计算对比方法按照深圳证券交易所 的有关规定作除权除息处理，下同）的情况时，本人 将启动稳定股价预案。本人应在不迟于股东大会审议 通过稳定股价具体方案后的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个交易日内，根据股东 大会审议通过的稳定股价具体方案，积极采取下述措 施以稳定高伟达股价，并保证股价稳定措施实施后， </w:t>
            </w:r>
            <w:r>
              <w:rPr>
                <w:rFonts w:ascii="宋体" w:hAnsi="宋体" w:cs="宋体" w:eastAsia="宋体" w:hint="default"/>
                <w:spacing w:val="-4"/>
                <w:sz w:val="18"/>
                <w:szCs w:val="18"/>
              </w:rPr>
              <w:t>高伟达的股权分布仍符合上市条件：（</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）在符合股票</w:t>
            </w:r>
            <w:r>
              <w:rPr>
                <w:rFonts w:ascii="宋体" w:hAnsi="宋体" w:cs="宋体" w:eastAsia="宋体" w:hint="default"/>
                <w:spacing w:val="-84"/>
                <w:sz w:val="18"/>
                <w:szCs w:val="18"/>
              </w:rPr>
              <w:t> </w:t>
            </w:r>
            <w:r>
              <w:rPr>
                <w:rFonts w:ascii="宋体" w:hAnsi="宋体" w:cs="宋体" w:eastAsia="宋体" w:hint="default"/>
                <w:sz w:val="18"/>
                <w:szCs w:val="18"/>
              </w:rPr>
              <w:t>交易相关规定的前提下，按照高伟达关于稳定股价具 体方案中确定的增持金额和期间，通过交易所集中竞 价交易方式增持高伟达股票。购买所增持股票的总金 额不低于其上年度初至董事会审议通过稳定股价具体 方案日期间，从高伟达直接获取的税后薪酬及税后现 金分红总额的</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15%</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）除因继承、被强制执行或上</w:t>
            </w:r>
            <w:r>
              <w:rPr>
                <w:rFonts w:ascii="宋体" w:hAnsi="宋体" w:cs="宋体" w:eastAsia="宋体" w:hint="default"/>
                <w:spacing w:val="-87"/>
                <w:sz w:val="18"/>
                <w:szCs w:val="18"/>
              </w:rPr>
              <w:t> </w:t>
            </w:r>
            <w:r>
              <w:rPr>
                <w:rFonts w:ascii="宋体" w:hAnsi="宋体" w:cs="宋体" w:eastAsia="宋体" w:hint="default"/>
                <w:sz w:val="18"/>
                <w:szCs w:val="18"/>
              </w:rPr>
              <w:t>市公司重组等情形必须转股或触发前述股价稳定措施 的停止条件外，在股东大会审议稳定股价具体方案及 方案实施期间，不转让其持有的高伟达股份。除经股 东大会非关联股东同意外，不由高伟达回购其持有的</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1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319" w:lineRule="auto"/>
              <w:ind w:left="22" w:right="121"/>
              <w:jc w:val="both"/>
              <w:rPr>
                <w:rFonts w:ascii="宋体" w:hAnsi="宋体" w:cs="宋体" w:eastAsia="宋体" w:hint="default"/>
                <w:sz w:val="18"/>
                <w:szCs w:val="18"/>
              </w:rPr>
            </w:pPr>
            <w:r>
              <w:rPr>
                <w:rFonts w:ascii="宋体" w:hAnsi="宋体" w:cs="宋体" w:eastAsia="宋体" w:hint="default"/>
                <w:sz w:val="18"/>
                <w:szCs w:val="18"/>
              </w:rPr>
              <w:t>自上 市之 日起 三十 六个 月</w:t>
            </w:r>
          </w:p>
        </w:tc>
        <w:tc>
          <w:tcPr>
            <w:tcW w:w="101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319" w:lineRule="auto"/>
              <w:ind w:left="22" w:right="83"/>
              <w:jc w:val="both"/>
              <w:rPr>
                <w:rFonts w:ascii="宋体" w:hAnsi="宋体" w:cs="宋体" w:eastAsia="宋体" w:hint="default"/>
                <w:sz w:val="18"/>
                <w:szCs w:val="18"/>
              </w:rPr>
            </w:pPr>
            <w:r>
              <w:rPr>
                <w:rFonts w:ascii="宋体" w:hAnsi="宋体" w:cs="宋体" w:eastAsia="宋体" w:hint="default"/>
                <w:sz w:val="18"/>
                <w:szCs w:val="18"/>
              </w:rPr>
              <w:t>截止本报告 期末，承诺 人严格信守 承诺，未出 现违反承诺 的情况</w:t>
            </w:r>
          </w:p>
        </w:tc>
      </w:tr>
    </w:tbl>
    <w:p>
      <w:pPr>
        <w:spacing w:after="0" w:line="319" w:lineRule="auto"/>
        <w:jc w:val="both"/>
        <w:rPr>
          <w:rFonts w:ascii="宋体" w:hAnsi="宋体" w:cs="宋体" w:eastAsia="宋体" w:hint="default"/>
          <w:sz w:val="18"/>
          <w:szCs w:val="18"/>
        </w:rPr>
        <w:sectPr>
          <w:pgSz w:w="11910" w:h="16840"/>
          <w:pgMar w:header="877" w:footer="1187" w:top="1060" w:bottom="14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166"/>
        <w:gridCol w:w="1750"/>
        <w:gridCol w:w="407"/>
        <w:gridCol w:w="4264"/>
        <w:gridCol w:w="550"/>
        <w:gridCol w:w="516"/>
        <w:gridCol w:w="1015"/>
      </w:tblGrid>
      <w:tr>
        <w:trPr>
          <w:trHeight w:val="1611" w:hRule="exact"/>
        </w:trPr>
        <w:tc>
          <w:tcPr>
            <w:tcW w:w="1166" w:type="dxa"/>
            <w:vMerge w:val="restart"/>
            <w:tcBorders>
              <w:top w:val="single" w:sz="4" w:space="0" w:color="000000"/>
              <w:left w:val="single" w:sz="4" w:space="0" w:color="000000"/>
              <w:right w:val="single" w:sz="4" w:space="0" w:color="000000"/>
            </w:tcBorders>
            <w:shd w:val="clear" w:color="auto" w:fill="D2D2D2"/>
          </w:tcPr>
          <w:p>
            <w:pPr/>
          </w:p>
        </w:tc>
        <w:tc>
          <w:tcPr>
            <w:tcW w:w="1750"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407"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42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10"/>
              <w:ind w:left="23" w:right="88"/>
              <w:jc w:val="both"/>
              <w:rPr>
                <w:rFonts w:ascii="宋体" w:hAnsi="宋体" w:cs="宋体" w:eastAsia="宋体" w:hint="default"/>
                <w:sz w:val="18"/>
                <w:szCs w:val="18"/>
              </w:rPr>
            </w:pPr>
            <w:r>
              <w:rPr>
                <w:rFonts w:ascii="宋体" w:hAnsi="宋体" w:cs="宋体" w:eastAsia="宋体" w:hint="default"/>
                <w:spacing w:val="-4"/>
                <w:sz w:val="18"/>
                <w:szCs w:val="18"/>
              </w:rPr>
              <w:t>股份。（</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）法律、行政法规、规范性文件规定以及中</w:t>
            </w:r>
            <w:r>
              <w:rPr>
                <w:rFonts w:ascii="宋体" w:hAnsi="宋体" w:cs="宋体" w:eastAsia="宋体" w:hint="default"/>
                <w:spacing w:val="-84"/>
                <w:sz w:val="18"/>
                <w:szCs w:val="18"/>
              </w:rPr>
              <w:t> </w:t>
            </w:r>
            <w:r>
              <w:rPr>
                <w:rFonts w:ascii="宋体" w:hAnsi="宋体" w:cs="宋体" w:eastAsia="宋体" w:hint="default"/>
                <w:sz w:val="18"/>
                <w:szCs w:val="18"/>
              </w:rPr>
              <w:t>国证监会认可的其他方式。触发前述股价稳定措施的 启动条件时本人不因在股东大会审议稳定股价具体方 案及方案实施期间内由于职务变更、离职等情形而拒 绝实施上述稳定股价的措施。</w:t>
            </w:r>
          </w:p>
        </w:tc>
        <w:tc>
          <w:tcPr>
            <w:tcW w:w="550"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015"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2274" w:hRule="exact"/>
        </w:trPr>
        <w:tc>
          <w:tcPr>
            <w:tcW w:w="1166" w:type="dxa"/>
            <w:vMerge/>
            <w:tcBorders>
              <w:left w:val="single" w:sz="4" w:space="0" w:color="000000"/>
              <w:right w:val="single" w:sz="4" w:space="0" w:color="000000"/>
            </w:tcBorders>
            <w:shd w:val="clear" w:color="auto" w:fill="D2D2D2"/>
          </w:tcPr>
          <w:p>
            <w:pPr/>
          </w:p>
        </w:tc>
        <w:tc>
          <w:tcPr>
            <w:tcW w:w="175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95"/>
              <w:jc w:val="left"/>
              <w:rPr>
                <w:rFonts w:ascii="宋体" w:hAnsi="宋体" w:cs="宋体" w:eastAsia="宋体" w:hint="default"/>
                <w:sz w:val="18"/>
                <w:szCs w:val="18"/>
              </w:rPr>
            </w:pPr>
            <w:r>
              <w:rPr>
                <w:rFonts w:ascii="宋体" w:hAnsi="宋体" w:cs="宋体" w:eastAsia="宋体" w:hint="default"/>
                <w:sz w:val="18"/>
                <w:szCs w:val="18"/>
              </w:rPr>
              <w:t>公司实际控制人及董 事长于伟</w:t>
            </w:r>
          </w:p>
        </w:tc>
        <w:tc>
          <w:tcPr>
            <w:tcW w:w="40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92"/>
              <w:jc w:val="both"/>
              <w:rPr>
                <w:rFonts w:ascii="宋体" w:hAnsi="宋体" w:cs="宋体" w:eastAsia="宋体" w:hint="default"/>
                <w:sz w:val="18"/>
                <w:szCs w:val="18"/>
              </w:rPr>
            </w:pPr>
            <w:r>
              <w:rPr>
                <w:rFonts w:ascii="宋体" w:hAnsi="宋体" w:cs="宋体" w:eastAsia="宋体" w:hint="default"/>
                <w:sz w:val="18"/>
                <w:szCs w:val="18"/>
              </w:rPr>
              <w:t>其 他 承 诺</w:t>
            </w:r>
          </w:p>
        </w:tc>
        <w:tc>
          <w:tcPr>
            <w:tcW w:w="42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实际控制人于伟针对</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月无形资产出资一事出</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pacing w:val="-3"/>
                <w:sz w:val="18"/>
                <w:szCs w:val="18"/>
              </w:rPr>
              <w:t>具如下承诺：公司已于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月对此次无形资产增</w:t>
            </w:r>
          </w:p>
          <w:p>
            <w:pPr>
              <w:pStyle w:val="TableParagraph"/>
              <w:spacing w:line="314" w:lineRule="auto" w:before="63"/>
              <w:ind w:left="23" w:right="22"/>
              <w:jc w:val="left"/>
              <w:rPr>
                <w:rFonts w:ascii="宋体" w:hAnsi="宋体" w:cs="宋体" w:eastAsia="宋体" w:hint="default"/>
                <w:sz w:val="18"/>
                <w:szCs w:val="18"/>
              </w:rPr>
            </w:pPr>
            <w:r>
              <w:rPr>
                <w:rFonts w:ascii="宋体" w:hAnsi="宋体" w:cs="宋体" w:eastAsia="宋体" w:hint="default"/>
                <w:sz w:val="18"/>
                <w:szCs w:val="18"/>
              </w:rPr>
              <w:t>资行为进行了纠正，以截至</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月的未分配利润 补足了该次出资。如因此次出资相关事宜导致高伟达 软件股份有限公司及股东利益遭受损害，相应责任及 损失将全部由本人承担，且在承担相应损失后不向高 伟达软件股份有限公司寻求补偿。</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1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1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80"/>
              <w:jc w:val="both"/>
              <w:rPr>
                <w:rFonts w:ascii="宋体" w:hAnsi="宋体" w:cs="宋体" w:eastAsia="宋体" w:hint="default"/>
                <w:sz w:val="18"/>
                <w:szCs w:val="18"/>
              </w:rPr>
            </w:pPr>
            <w:r>
              <w:rPr>
                <w:rFonts w:ascii="宋体" w:hAnsi="宋体" w:cs="宋体" w:eastAsia="宋体" w:hint="default"/>
                <w:sz w:val="18"/>
                <w:szCs w:val="18"/>
              </w:rPr>
              <w:t>截止本报告 期末，承诺 人严格信守 承诺，未出 现违反承诺 的情况</w:t>
            </w:r>
          </w:p>
        </w:tc>
      </w:tr>
      <w:tr>
        <w:trPr>
          <w:trHeight w:val="3210" w:hRule="exact"/>
        </w:trPr>
        <w:tc>
          <w:tcPr>
            <w:tcW w:w="1166" w:type="dxa"/>
            <w:vMerge/>
            <w:tcBorders>
              <w:left w:val="single" w:sz="4" w:space="0" w:color="000000"/>
              <w:right w:val="single" w:sz="4" w:space="0" w:color="000000"/>
            </w:tcBorders>
            <w:shd w:val="clear" w:color="auto" w:fill="D2D2D2"/>
          </w:tcPr>
          <w:p>
            <w:pPr/>
          </w:p>
        </w:tc>
        <w:tc>
          <w:tcPr>
            <w:tcW w:w="175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2" w:right="95"/>
              <w:jc w:val="left"/>
              <w:rPr>
                <w:rFonts w:ascii="宋体" w:hAnsi="宋体" w:cs="宋体" w:eastAsia="宋体" w:hint="default"/>
                <w:sz w:val="18"/>
                <w:szCs w:val="18"/>
              </w:rPr>
            </w:pPr>
            <w:r>
              <w:rPr>
                <w:rFonts w:ascii="宋体" w:hAnsi="宋体" w:cs="宋体" w:eastAsia="宋体" w:hint="default"/>
                <w:sz w:val="18"/>
                <w:szCs w:val="18"/>
              </w:rPr>
              <w:t>公司实际控制人及董 事长于伟</w:t>
            </w:r>
          </w:p>
        </w:tc>
        <w:tc>
          <w:tcPr>
            <w:tcW w:w="40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92"/>
              <w:jc w:val="both"/>
              <w:rPr>
                <w:rFonts w:ascii="宋体" w:hAnsi="宋体" w:cs="宋体" w:eastAsia="宋体" w:hint="default"/>
                <w:sz w:val="18"/>
                <w:szCs w:val="18"/>
              </w:rPr>
            </w:pPr>
            <w:r>
              <w:rPr>
                <w:rFonts w:ascii="宋体" w:hAnsi="宋体" w:cs="宋体" w:eastAsia="宋体" w:hint="default"/>
                <w:sz w:val="18"/>
                <w:szCs w:val="18"/>
              </w:rPr>
              <w:t>其 他 承 诺</w:t>
            </w:r>
          </w:p>
        </w:tc>
        <w:tc>
          <w:tcPr>
            <w:tcW w:w="42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3" w:right="88"/>
              <w:jc w:val="left"/>
              <w:rPr>
                <w:rFonts w:ascii="宋体" w:hAnsi="宋体" w:cs="宋体" w:eastAsia="宋体" w:hint="default"/>
                <w:sz w:val="18"/>
                <w:szCs w:val="18"/>
              </w:rPr>
            </w:pPr>
            <w:r>
              <w:rPr>
                <w:rFonts w:ascii="宋体" w:hAnsi="宋体" w:cs="宋体" w:eastAsia="宋体" w:hint="default"/>
                <w:sz w:val="18"/>
                <w:szCs w:val="18"/>
              </w:rPr>
              <w:t>实际控制人于伟针对拟境外上市架构事宜出具了《针 </w:t>
            </w:r>
            <w:r>
              <w:rPr>
                <w:rFonts w:ascii="宋体" w:hAnsi="宋体" w:cs="宋体" w:eastAsia="宋体" w:hint="default"/>
                <w:spacing w:val="-4"/>
                <w:sz w:val="18"/>
                <w:szCs w:val="18"/>
              </w:rPr>
              <w:t>对高伟达控股存续期间有关事项的承诺函》，承诺如</w:t>
            </w:r>
            <w:r>
              <w:rPr>
                <w:rFonts w:ascii="宋体" w:hAnsi="宋体" w:cs="宋体" w:eastAsia="宋体" w:hint="default"/>
                <w:sz w:val="18"/>
                <w:szCs w:val="18"/>
              </w:rPr>
              <w:t> 下：在拟境外上市架构建立及解除的整个过程中，全 部事项（包括但不限于高伟达控股设立、历次股权转 让、优先股发行、股份回购、对境内控制公司增资及 注销等）均符合英属维尔京群岛当地及中国国内相关 法律规定，不存在纠纷或潜在的纠纷。如因上述事项 产生纠纷导致发行人及其股东利益遭受损害，所有损 失及开支均由本人承担，且不以任何形式向发行人寻 求补偿。</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1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1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80"/>
              <w:jc w:val="both"/>
              <w:rPr>
                <w:rFonts w:ascii="宋体" w:hAnsi="宋体" w:cs="宋体" w:eastAsia="宋体" w:hint="default"/>
                <w:sz w:val="18"/>
                <w:szCs w:val="18"/>
              </w:rPr>
            </w:pPr>
            <w:r>
              <w:rPr>
                <w:rFonts w:ascii="宋体" w:hAnsi="宋体" w:cs="宋体" w:eastAsia="宋体" w:hint="default"/>
                <w:sz w:val="18"/>
                <w:szCs w:val="18"/>
              </w:rPr>
              <w:t>截止本报告 期末，承诺 人严格信守 承诺，未出 现违反承诺 的情况</w:t>
            </w:r>
          </w:p>
        </w:tc>
      </w:tr>
      <w:tr>
        <w:trPr>
          <w:trHeight w:val="1962" w:hRule="exact"/>
        </w:trPr>
        <w:tc>
          <w:tcPr>
            <w:tcW w:w="1166" w:type="dxa"/>
            <w:vMerge/>
            <w:tcBorders>
              <w:left w:val="single" w:sz="4" w:space="0" w:color="000000"/>
              <w:right w:val="single" w:sz="4" w:space="0" w:color="000000"/>
            </w:tcBorders>
            <w:shd w:val="clear" w:color="auto" w:fill="D2D2D2"/>
          </w:tcPr>
          <w:p>
            <w:pPr/>
          </w:p>
        </w:tc>
        <w:tc>
          <w:tcPr>
            <w:tcW w:w="175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95"/>
              <w:jc w:val="left"/>
              <w:rPr>
                <w:rFonts w:ascii="宋体" w:hAnsi="宋体" w:cs="宋体" w:eastAsia="宋体" w:hint="default"/>
                <w:sz w:val="18"/>
                <w:szCs w:val="18"/>
              </w:rPr>
            </w:pPr>
            <w:r>
              <w:rPr>
                <w:rFonts w:ascii="宋体" w:hAnsi="宋体" w:cs="宋体" w:eastAsia="宋体" w:hint="default"/>
                <w:sz w:val="18"/>
                <w:szCs w:val="18"/>
              </w:rPr>
              <w:t>本公司控股股东鹰高 投资</w:t>
            </w:r>
          </w:p>
        </w:tc>
        <w:tc>
          <w:tcPr>
            <w:tcW w:w="40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192"/>
              <w:jc w:val="both"/>
              <w:rPr>
                <w:rFonts w:ascii="宋体" w:hAnsi="宋体" w:cs="宋体" w:eastAsia="宋体" w:hint="default"/>
                <w:sz w:val="18"/>
                <w:szCs w:val="18"/>
              </w:rPr>
            </w:pPr>
            <w:r>
              <w:rPr>
                <w:rFonts w:ascii="宋体" w:hAnsi="宋体" w:cs="宋体" w:eastAsia="宋体" w:hint="default"/>
                <w:sz w:val="18"/>
                <w:szCs w:val="18"/>
              </w:rPr>
              <w:t>股 份 限 售 承 诺</w:t>
            </w:r>
          </w:p>
        </w:tc>
        <w:tc>
          <w:tcPr>
            <w:tcW w:w="42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3" w:right="88"/>
              <w:jc w:val="both"/>
              <w:rPr>
                <w:rFonts w:ascii="宋体" w:hAnsi="宋体" w:cs="宋体" w:eastAsia="宋体" w:hint="default"/>
                <w:sz w:val="18"/>
                <w:szCs w:val="18"/>
              </w:rPr>
            </w:pPr>
            <w:r>
              <w:rPr>
                <w:rFonts w:ascii="宋体" w:hAnsi="宋体" w:cs="宋体" w:eastAsia="宋体" w:hint="default"/>
                <w:sz w:val="18"/>
                <w:szCs w:val="18"/>
              </w:rPr>
              <w:t>自高伟达股票上市之日起三十六个月内，不转让或委 托他人管理其已持有的本公司股份，也不由本公司回 购该部分股份。</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1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121"/>
              <w:jc w:val="both"/>
              <w:rPr>
                <w:rFonts w:ascii="宋体" w:hAnsi="宋体" w:cs="宋体" w:eastAsia="宋体" w:hint="default"/>
                <w:sz w:val="18"/>
                <w:szCs w:val="18"/>
              </w:rPr>
            </w:pPr>
            <w:r>
              <w:rPr>
                <w:rFonts w:ascii="宋体" w:hAnsi="宋体" w:cs="宋体" w:eastAsia="宋体" w:hint="default"/>
                <w:sz w:val="18"/>
                <w:szCs w:val="18"/>
              </w:rPr>
              <w:t>自上 市之 日起 三十 六个 月</w:t>
            </w:r>
          </w:p>
        </w:tc>
        <w:tc>
          <w:tcPr>
            <w:tcW w:w="101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80"/>
              <w:jc w:val="both"/>
              <w:rPr>
                <w:rFonts w:ascii="宋体" w:hAnsi="宋体" w:cs="宋体" w:eastAsia="宋体" w:hint="default"/>
                <w:sz w:val="18"/>
                <w:szCs w:val="18"/>
              </w:rPr>
            </w:pPr>
            <w:r>
              <w:rPr>
                <w:rFonts w:ascii="宋体" w:hAnsi="宋体" w:cs="宋体" w:eastAsia="宋体" w:hint="default"/>
                <w:sz w:val="18"/>
                <w:szCs w:val="18"/>
              </w:rPr>
              <w:t>截止本报告 期末，承诺 人严格信守 承诺，未出 现违反承诺 的情况</w:t>
            </w:r>
          </w:p>
        </w:tc>
      </w:tr>
      <w:tr>
        <w:trPr>
          <w:trHeight w:val="4730" w:hRule="exact"/>
        </w:trPr>
        <w:tc>
          <w:tcPr>
            <w:tcW w:w="1166" w:type="dxa"/>
            <w:vMerge/>
            <w:tcBorders>
              <w:left w:val="single" w:sz="4" w:space="0" w:color="000000"/>
              <w:bottom w:val="single" w:sz="4" w:space="0" w:color="000000"/>
              <w:right w:val="single" w:sz="4" w:space="0" w:color="000000"/>
            </w:tcBorders>
            <w:shd w:val="clear" w:color="auto" w:fill="D2D2D2"/>
          </w:tcPr>
          <w:p>
            <w:pPr/>
          </w:p>
        </w:tc>
        <w:tc>
          <w:tcPr>
            <w:tcW w:w="175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19" w:lineRule="auto"/>
              <w:ind w:left="22" w:right="95"/>
              <w:jc w:val="left"/>
              <w:rPr>
                <w:rFonts w:ascii="宋体" w:hAnsi="宋体" w:cs="宋体" w:eastAsia="宋体" w:hint="default"/>
                <w:sz w:val="18"/>
                <w:szCs w:val="18"/>
              </w:rPr>
            </w:pPr>
            <w:r>
              <w:rPr>
                <w:rFonts w:ascii="宋体" w:hAnsi="宋体" w:cs="宋体" w:eastAsia="宋体" w:hint="default"/>
                <w:sz w:val="18"/>
                <w:szCs w:val="18"/>
              </w:rPr>
              <w:t>本公司控股股东鹰高 投资</w:t>
            </w:r>
          </w:p>
        </w:tc>
        <w:tc>
          <w:tcPr>
            <w:tcW w:w="40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319" w:lineRule="auto"/>
              <w:ind w:left="22" w:right="192"/>
              <w:jc w:val="both"/>
              <w:rPr>
                <w:rFonts w:ascii="宋体" w:hAnsi="宋体" w:cs="宋体" w:eastAsia="宋体" w:hint="default"/>
                <w:sz w:val="18"/>
                <w:szCs w:val="18"/>
              </w:rPr>
            </w:pPr>
            <w:r>
              <w:rPr>
                <w:rFonts w:ascii="宋体" w:hAnsi="宋体" w:cs="宋体" w:eastAsia="宋体" w:hint="default"/>
                <w:sz w:val="18"/>
                <w:szCs w:val="18"/>
              </w:rPr>
              <w:t>股 份 减 持 承 诺</w:t>
            </w:r>
          </w:p>
        </w:tc>
        <w:tc>
          <w:tcPr>
            <w:tcW w:w="42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2" w:lineRule="auto" w:before="51"/>
              <w:ind w:left="23"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、本公司将长期持有公司股票。</w:t>
            </w:r>
            <w:r>
              <w:rPr>
                <w:rFonts w:ascii="Times New Roman" w:hAnsi="Times New Roman" w:cs="Times New Roman" w:eastAsia="Times New Roman" w:hint="default"/>
                <w:sz w:val="18"/>
                <w:szCs w:val="18"/>
              </w:rPr>
              <w:t>2</w:t>
            </w:r>
            <w:r>
              <w:rPr>
                <w:rFonts w:ascii="宋体" w:hAnsi="宋体" w:cs="宋体" w:eastAsia="宋体" w:hint="default"/>
                <w:sz w:val="18"/>
                <w:szCs w:val="18"/>
              </w:rPr>
              <w:t>、本公司将严格根 据证券监管机构、自律机构及证券交易所等有权部门 颁布的相关法律法规及规范性文件的有关规定以及本 公司就持股锁定事项出具的相关承诺执行有关股份限 售事项，在证券监管机构、自律机构及证券交易所等 有权部门颁布的相关法律法规及规范性文件的有关规 定以及本公司股份锁定承诺规定的限售期内，本公司 不会进行任何违反相关规定及股份锁定承诺的股份减 </w:t>
            </w:r>
            <w:r>
              <w:rPr>
                <w:rFonts w:ascii="宋体" w:hAnsi="宋体" w:cs="宋体" w:eastAsia="宋体" w:hint="default"/>
                <w:spacing w:val="-2"/>
                <w:sz w:val="18"/>
                <w:szCs w:val="18"/>
              </w:rPr>
              <w:t>持行为。</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、持股限售期结束后，本公司届时将综合考</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虑资金需求、投资安排等各方面因素审慎制定股票减 持计划，如本公司确定依法减持公司股份的，应提前 </w:t>
            </w:r>
            <w:r>
              <w:rPr>
                <w:rFonts w:ascii="宋体" w:hAnsi="宋体" w:cs="宋体" w:eastAsia="宋体" w:hint="default"/>
                <w:spacing w:val="-2"/>
                <w:sz w:val="18"/>
                <w:szCs w:val="18"/>
              </w:rPr>
              <w:t>三个交易日予以公告；</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、持股限售期结束后，如本公</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司确定依法减持公司股份的，将在满足以下条件后减 </w:t>
            </w:r>
            <w:r>
              <w:rPr>
                <w:rFonts w:ascii="宋体" w:hAnsi="宋体" w:cs="宋体" w:eastAsia="宋体" w:hint="default"/>
                <w:spacing w:val="-4"/>
                <w:sz w:val="18"/>
                <w:szCs w:val="18"/>
              </w:rPr>
              <w:t>持：（</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）公司股价不低于最近一期经审计的每股净资</w:t>
            </w:r>
            <w:r>
              <w:rPr>
                <w:rFonts w:ascii="宋体" w:hAnsi="宋体" w:cs="宋体" w:eastAsia="宋体" w:hint="default"/>
                <w:spacing w:val="-84"/>
                <w:sz w:val="18"/>
                <w:szCs w:val="18"/>
              </w:rPr>
              <w:t> </w:t>
            </w:r>
            <w:r>
              <w:rPr>
                <w:rFonts w:ascii="宋体" w:hAnsi="宋体" w:cs="宋体" w:eastAsia="宋体" w:hint="default"/>
                <w:spacing w:val="-3"/>
                <w:sz w:val="18"/>
                <w:szCs w:val="18"/>
              </w:rPr>
              <w:t>产</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）公司运营正常、减持对公司二级市场不构成重</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left="22"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1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1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319" w:lineRule="auto"/>
              <w:ind w:left="22" w:right="80"/>
              <w:jc w:val="both"/>
              <w:rPr>
                <w:rFonts w:ascii="宋体" w:hAnsi="宋体" w:cs="宋体" w:eastAsia="宋体" w:hint="default"/>
                <w:sz w:val="18"/>
                <w:szCs w:val="18"/>
              </w:rPr>
            </w:pPr>
            <w:r>
              <w:rPr>
                <w:rFonts w:ascii="宋体" w:hAnsi="宋体" w:cs="宋体" w:eastAsia="宋体" w:hint="default"/>
                <w:sz w:val="18"/>
                <w:szCs w:val="18"/>
              </w:rPr>
              <w:t>截止本报告 期末，承诺 人严格信守 承诺，未出 现违反承诺 的情况</w:t>
            </w:r>
          </w:p>
        </w:tc>
      </w:tr>
    </w:tbl>
    <w:p>
      <w:pPr>
        <w:spacing w:after="0" w:line="319" w:lineRule="auto"/>
        <w:jc w:val="both"/>
        <w:rPr>
          <w:rFonts w:ascii="宋体" w:hAnsi="宋体" w:cs="宋体" w:eastAsia="宋体" w:hint="default"/>
          <w:sz w:val="18"/>
          <w:szCs w:val="18"/>
        </w:rPr>
        <w:sectPr>
          <w:pgSz w:w="11910" w:h="16840"/>
          <w:pgMar w:header="877" w:footer="1187" w:top="1060" w:bottom="138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94.097015pt;margin-top:402.619995pt;width:69.2pt;height:62.45pt;mso-position-horizontal-relative:page;mso-position-vertical-relative:page;z-index:-842728" type="#_x0000_t202" filled="false" stroked="false">
            <v:textbox inset="0,0,0,0">
              <w:txbxContent>
                <w:p>
                  <w:pPr>
                    <w:pStyle w:val="BodyText"/>
                    <w:spacing w:line="240" w:lineRule="auto" w:before="51"/>
                    <w:ind w:left="0" w:right="0"/>
                    <w:jc w:val="left"/>
                  </w:pPr>
                  <w:r>
                    <w:rPr/>
                    <w:t>《公司法》</w:t>
                  </w:r>
                </w:p>
              </w:txbxContent>
            </v:textbox>
            <w10:wrap type="none"/>
          </v:shape>
        </w:pict>
      </w:r>
      <w:r>
        <w:rPr/>
        <w:pict>
          <v:group style="position:absolute;margin-left:436.26001pt;margin-top:402.619995pt;width:27pt;height:62.45pt;mso-position-horizontal-relative:page;mso-position-vertical-relative:page;z-index:-842704" coordorigin="8725,8052" coordsize="540,1249">
            <v:shape style="position:absolute;left:8725;top:8052;width:540;height:1249" coordorigin="8725,8052" coordsize="540,1249" path="m8725,9301l9265,9301,9265,8052,8725,8052,8725,9301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166"/>
        <w:gridCol w:w="1750"/>
        <w:gridCol w:w="407"/>
        <w:gridCol w:w="4264"/>
        <w:gridCol w:w="550"/>
        <w:gridCol w:w="516"/>
        <w:gridCol w:w="1015"/>
      </w:tblGrid>
      <w:tr>
        <w:trPr>
          <w:trHeight w:val="6603" w:hRule="exact"/>
        </w:trPr>
        <w:tc>
          <w:tcPr>
            <w:tcW w:w="1166" w:type="dxa"/>
            <w:vMerge w:val="restart"/>
            <w:tcBorders>
              <w:top w:val="single" w:sz="4" w:space="0" w:color="000000"/>
              <w:left w:val="single" w:sz="4" w:space="0" w:color="000000"/>
              <w:right w:val="single" w:sz="4" w:space="0" w:color="000000"/>
            </w:tcBorders>
            <w:shd w:val="clear" w:color="auto" w:fill="D2D2D2"/>
          </w:tcPr>
          <w:p>
            <w:pPr/>
          </w:p>
        </w:tc>
        <w:tc>
          <w:tcPr>
            <w:tcW w:w="1750"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407"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42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2" w:lineRule="auto" w:before="10"/>
              <w:ind w:left="23" w:right="21"/>
              <w:jc w:val="left"/>
              <w:rPr>
                <w:rFonts w:ascii="宋体" w:hAnsi="宋体" w:cs="宋体" w:eastAsia="宋体" w:hint="default"/>
                <w:sz w:val="18"/>
                <w:szCs w:val="18"/>
              </w:rPr>
            </w:pPr>
            <w:r>
              <w:rPr>
                <w:rFonts w:ascii="宋体" w:hAnsi="宋体" w:cs="宋体" w:eastAsia="宋体" w:hint="default"/>
                <w:spacing w:val="-4"/>
                <w:sz w:val="18"/>
                <w:szCs w:val="18"/>
              </w:rPr>
              <w:t>大干扰。（</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）本公司减持价格不低于公司首次公开发</w:t>
            </w:r>
            <w:r>
              <w:rPr>
                <w:rFonts w:ascii="宋体" w:hAnsi="宋体" w:cs="宋体" w:eastAsia="宋体" w:hint="default"/>
                <w:spacing w:val="-84"/>
                <w:sz w:val="18"/>
                <w:szCs w:val="18"/>
              </w:rPr>
              <w:t> </w:t>
            </w:r>
            <w:r>
              <w:rPr>
                <w:rFonts w:ascii="宋体" w:hAnsi="宋体" w:cs="宋体" w:eastAsia="宋体" w:hint="default"/>
                <w:sz w:val="18"/>
                <w:szCs w:val="18"/>
              </w:rPr>
              <w:t>行股票的发行价格，如自公司首次公开发行股票至上 述减持公告之日公司发生过除权除息等事项的，发行 </w:t>
            </w:r>
            <w:r>
              <w:rPr>
                <w:rFonts w:ascii="宋体" w:hAnsi="宋体" w:cs="宋体" w:eastAsia="宋体" w:hint="default"/>
                <w:spacing w:val="-1"/>
                <w:sz w:val="18"/>
                <w:szCs w:val="18"/>
              </w:rPr>
              <w:t>价格应相应调整。</w:t>
            </w: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、在遵守股份转让相关法律法规及</w:t>
            </w:r>
            <w:r>
              <w:rPr>
                <w:rFonts w:ascii="宋体" w:hAnsi="宋体" w:cs="宋体" w:eastAsia="宋体" w:hint="default"/>
                <w:sz w:val="18"/>
                <w:szCs w:val="18"/>
              </w:rPr>
              <w:t> 证券交易所相关规定的条件下，本公司将在公告中明 确减持的具体数量或区间、减持的执行期限等信息； 本公司将在公告的减持期限内以证券监管机构、自律 机构及证券交易所等有权部门允许的方式进行减持， 具体方式包括但不限于交易所集中竞价交易方式、大 </w:t>
            </w:r>
            <w:r>
              <w:rPr>
                <w:rFonts w:ascii="宋体" w:hAnsi="宋体" w:cs="宋体" w:eastAsia="宋体" w:hint="default"/>
                <w:spacing w:val="-2"/>
                <w:sz w:val="18"/>
                <w:szCs w:val="18"/>
              </w:rPr>
              <w:t>宗交易方式、协议转让方式等。</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、如本公司未来依法</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发生任何增持或减持公司股份情形的，本公司将严格 按照证券监管机构、自律机构及证券交易所等有权部 门颁布的相关法律法规及规范性文件的规定进行相应 增持或减持操作，并及时履行有关信息披露义务。本 公司持有公司股份低于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以下时除外。</w:t>
            </w:r>
            <w:r>
              <w:rPr>
                <w:rFonts w:ascii="Times New Roman" w:hAnsi="Times New Roman" w:cs="Times New Roman" w:eastAsia="Times New Roman" w:hint="default"/>
                <w:sz w:val="18"/>
                <w:szCs w:val="18"/>
              </w:rPr>
              <w:t>7</w:t>
            </w:r>
            <w:r>
              <w:rPr>
                <w:rFonts w:ascii="宋体" w:hAnsi="宋体" w:cs="宋体" w:eastAsia="宋体" w:hint="default"/>
                <w:sz w:val="18"/>
                <w:szCs w:val="18"/>
              </w:rPr>
              <w:t>、如果本公 司未履行上述减持意向，本公司将在股东大会及中国 证监会指定的披露媒体上公开说明未履行承诺的具体 </w:t>
            </w:r>
            <w:r>
              <w:rPr>
                <w:rFonts w:ascii="宋体" w:hAnsi="宋体" w:cs="宋体" w:eastAsia="宋体" w:hint="default"/>
                <w:spacing w:val="-2"/>
                <w:sz w:val="18"/>
                <w:szCs w:val="18"/>
              </w:rPr>
              <w:t>原因并向公司股东和社会公众投资者道歉。</w:t>
            </w:r>
            <w:r>
              <w:rPr>
                <w:rFonts w:ascii="Times New Roman" w:hAnsi="Times New Roman" w:cs="Times New Roman" w:eastAsia="Times New Roman" w:hint="default"/>
                <w:spacing w:val="-2"/>
                <w:sz w:val="18"/>
                <w:szCs w:val="18"/>
              </w:rPr>
              <w:t>8</w:t>
            </w:r>
            <w:r>
              <w:rPr>
                <w:rFonts w:ascii="宋体" w:hAnsi="宋体" w:cs="宋体" w:eastAsia="宋体" w:hint="default"/>
                <w:spacing w:val="-2"/>
                <w:sz w:val="18"/>
                <w:szCs w:val="18"/>
              </w:rPr>
              <w:t>、如果本</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公司未履行上述减持意向，本公司持有的公司股份自 本公司未履行上述减持意向之日起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个月内不得减 持。</w:t>
            </w:r>
          </w:p>
        </w:tc>
        <w:tc>
          <w:tcPr>
            <w:tcW w:w="550"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015"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3834" w:hRule="exact"/>
        </w:trPr>
        <w:tc>
          <w:tcPr>
            <w:tcW w:w="1166" w:type="dxa"/>
            <w:vMerge/>
            <w:tcBorders>
              <w:left w:val="single" w:sz="4" w:space="0" w:color="000000"/>
              <w:right w:val="single" w:sz="4" w:space="0" w:color="000000"/>
            </w:tcBorders>
            <w:shd w:val="clear" w:color="auto" w:fill="D2D2D2"/>
          </w:tcPr>
          <w:p>
            <w:pPr/>
          </w:p>
        </w:tc>
        <w:tc>
          <w:tcPr>
            <w:tcW w:w="175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2" w:right="95"/>
              <w:jc w:val="left"/>
              <w:rPr>
                <w:rFonts w:ascii="宋体" w:hAnsi="宋体" w:cs="宋体" w:eastAsia="宋体" w:hint="default"/>
                <w:sz w:val="18"/>
                <w:szCs w:val="18"/>
              </w:rPr>
            </w:pPr>
            <w:r>
              <w:rPr>
                <w:rFonts w:ascii="宋体" w:hAnsi="宋体" w:cs="宋体" w:eastAsia="宋体" w:hint="default"/>
                <w:sz w:val="18"/>
                <w:szCs w:val="18"/>
              </w:rPr>
              <w:t>本公司控股股东鹰高 投资</w:t>
            </w:r>
          </w:p>
        </w:tc>
        <w:tc>
          <w:tcPr>
            <w:tcW w:w="40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192"/>
              <w:jc w:val="both"/>
              <w:rPr>
                <w:rFonts w:ascii="宋体" w:hAnsi="宋体" w:cs="宋体" w:eastAsia="宋体" w:hint="default"/>
                <w:sz w:val="18"/>
                <w:szCs w:val="18"/>
              </w:rPr>
            </w:pPr>
            <w:r>
              <w:rPr>
                <w:rFonts w:ascii="宋体" w:hAnsi="宋体" w:cs="宋体" w:eastAsia="宋体" w:hint="default"/>
                <w:sz w:val="18"/>
                <w:szCs w:val="18"/>
              </w:rPr>
              <w:t>避 免 关 联 交 易 的 承 诺</w:t>
            </w:r>
          </w:p>
        </w:tc>
        <w:tc>
          <w:tcPr>
            <w:tcW w:w="4264" w:type="dxa"/>
            <w:tcBorders>
              <w:top w:val="single" w:sz="4" w:space="0" w:color="000000"/>
              <w:left w:val="single" w:sz="4" w:space="0" w:color="000000"/>
              <w:bottom w:val="single" w:sz="4" w:space="0" w:color="000000"/>
              <w:right w:val="single" w:sz="13" w:space="0" w:color="FFFFFF"/>
            </w:tcBorders>
            <w:shd w:val="clear" w:color="auto" w:fill="C6ECCC"/>
          </w:tcPr>
          <w:p>
            <w:pPr>
              <w:pStyle w:val="TableParagraph"/>
              <w:spacing w:line="316" w:lineRule="auto" w:before="51"/>
              <w:ind w:left="23" w:right="-44"/>
              <w:jc w:val="left"/>
              <w:rPr>
                <w:rFonts w:ascii="宋体" w:hAnsi="宋体" w:cs="宋体" w:eastAsia="宋体" w:hint="default"/>
                <w:sz w:val="18"/>
                <w:szCs w:val="18"/>
              </w:rPr>
            </w:pPr>
            <w:r>
              <w:rPr>
                <w:rFonts w:ascii="宋体" w:hAnsi="宋体" w:cs="宋体" w:eastAsia="宋体" w:hint="default"/>
                <w:sz w:val="18"/>
                <w:szCs w:val="18"/>
              </w:rPr>
              <w:t>本人及本人实际控制的企业将继续严格按照 等法律法规以及高伟达软件股份有限公司章程的有关 规定行使股东权利；在股东大会对有关涉及本人或本 人实际控制的企业的关联交易事项进行表决时，履行 回避表决的义务；本人承诺杜绝一切非法占用上市公 司的资金、资产的行为；在任何情况下，不要求上市 公司向本人或本人直接或间接持股的企业提供任何形 </w:t>
            </w:r>
            <w:r>
              <w:rPr>
                <w:rFonts w:ascii="宋体" w:hAnsi="宋体" w:cs="宋体" w:eastAsia="宋体" w:hint="default"/>
                <w:spacing w:val="-3"/>
                <w:sz w:val="18"/>
                <w:szCs w:val="18"/>
              </w:rPr>
              <w:t>式的担保；在双方的关联交易上，严格遵循市场原则，</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尽量避免不必要的关联交易发生，对持续经营所发生</w:t>
            </w:r>
            <w:r>
              <w:rPr>
                <w:rFonts w:ascii="宋体" w:hAnsi="宋体" w:cs="宋体" w:eastAsia="宋体" w:hint="default"/>
                <w:sz w:val="18"/>
                <w:szCs w:val="18"/>
              </w:rPr>
              <w:t> 的必要的关联交易，应以双方协议规定的方式进行处 理，遵循市场化的定价原则，避免损害高伟达软件股 份有限公司及广大中小股东权益的情况发生。</w:t>
            </w:r>
          </w:p>
        </w:tc>
        <w:tc>
          <w:tcPr>
            <w:tcW w:w="55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4"/>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352" w:lineRule="exact"/>
              <w:ind w:left="11" w:right="-28"/>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pict>
                <v:group style="width:24.75pt;height:17.650pt;mso-position-horizontal-relative:char;mso-position-vertical-relative:line" coordorigin="0,0" coordsize="495,353">
                  <v:group style="position:absolute;left:0;top:0;width:495;height:353" coordorigin="0,0" coordsize="495,353">
                    <v:shape style="position:absolute;left:0;top:0;width:495;height:353" coordorigin="0,0" coordsize="495,353" path="m0,353l494,353,494,0,0,0,0,353xe" filled="true" fillcolor="#ffffff" stroked="false">
                      <v:path arrowok="t"/>
                      <v:fill type="solid"/>
                    </v:shape>
                  </v:group>
                </v:group>
              </w:pict>
            </w:r>
            <w:r>
              <w:rPr>
                <w:rFonts w:ascii="Times New Roman" w:hAnsi="Times New Roman" w:cs="Times New Roman" w:eastAsia="Times New Roman" w:hint="default"/>
                <w:position w:val="-6"/>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tc>
        <w:tc>
          <w:tcPr>
            <w:tcW w:w="51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1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2" w:right="80"/>
              <w:jc w:val="both"/>
              <w:rPr>
                <w:rFonts w:ascii="宋体" w:hAnsi="宋体" w:cs="宋体" w:eastAsia="宋体" w:hint="default"/>
                <w:sz w:val="18"/>
                <w:szCs w:val="18"/>
              </w:rPr>
            </w:pPr>
            <w:r>
              <w:rPr>
                <w:rFonts w:ascii="宋体" w:hAnsi="宋体" w:cs="宋体" w:eastAsia="宋体" w:hint="default"/>
                <w:sz w:val="18"/>
                <w:szCs w:val="18"/>
              </w:rPr>
              <w:t>截止本报告 期末，承诺 人严格信守 承诺，未出 现违反承诺 的情况</w:t>
            </w:r>
          </w:p>
        </w:tc>
      </w:tr>
      <w:tr>
        <w:trPr>
          <w:trHeight w:val="3482" w:hRule="exact"/>
        </w:trPr>
        <w:tc>
          <w:tcPr>
            <w:tcW w:w="1166" w:type="dxa"/>
            <w:vMerge/>
            <w:tcBorders>
              <w:left w:val="single" w:sz="4" w:space="0" w:color="000000"/>
              <w:bottom w:val="single" w:sz="4" w:space="0" w:color="000000"/>
              <w:right w:val="single" w:sz="4" w:space="0" w:color="000000"/>
            </w:tcBorders>
            <w:shd w:val="clear" w:color="auto" w:fill="D2D2D2"/>
          </w:tcPr>
          <w:p>
            <w:pPr/>
          </w:p>
        </w:tc>
        <w:tc>
          <w:tcPr>
            <w:tcW w:w="175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319" w:lineRule="auto"/>
              <w:ind w:left="22" w:right="95"/>
              <w:jc w:val="left"/>
              <w:rPr>
                <w:rFonts w:ascii="宋体" w:hAnsi="宋体" w:cs="宋体" w:eastAsia="宋体" w:hint="default"/>
                <w:sz w:val="18"/>
                <w:szCs w:val="18"/>
              </w:rPr>
            </w:pPr>
            <w:r>
              <w:rPr>
                <w:rFonts w:ascii="宋体" w:hAnsi="宋体" w:cs="宋体" w:eastAsia="宋体" w:hint="default"/>
                <w:sz w:val="18"/>
                <w:szCs w:val="18"/>
              </w:rPr>
              <w:t>本公司控股股东鹰高 投资</w:t>
            </w:r>
          </w:p>
        </w:tc>
        <w:tc>
          <w:tcPr>
            <w:tcW w:w="40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2" w:right="192"/>
              <w:jc w:val="both"/>
              <w:rPr>
                <w:rFonts w:ascii="宋体" w:hAnsi="宋体" w:cs="宋体" w:eastAsia="宋体" w:hint="default"/>
                <w:sz w:val="18"/>
                <w:szCs w:val="18"/>
              </w:rPr>
            </w:pPr>
            <w:r>
              <w:rPr>
                <w:rFonts w:ascii="宋体" w:hAnsi="宋体" w:cs="宋体" w:eastAsia="宋体" w:hint="default"/>
                <w:sz w:val="18"/>
                <w:szCs w:val="18"/>
              </w:rPr>
              <w:t>避 免 同 业 竞 争 的 承 诺</w:t>
            </w:r>
          </w:p>
        </w:tc>
        <w:tc>
          <w:tcPr>
            <w:tcW w:w="42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2" w:lineRule="auto" w:before="51"/>
              <w:ind w:left="23" w:right="-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、如拟出售本企业与公司生产、经营相关的任何其它</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资产、业务或权益，公司均有优先购买的权利；本企 业将尽最大努力使有关交易的价格公平合理，且该等 交易价格按与独立第三方进行正常商业交易的交易价 格为基础确定。</w:t>
            </w:r>
            <w:r>
              <w:rPr>
                <w:rFonts w:ascii="Times New Roman" w:hAnsi="Times New Roman" w:cs="Times New Roman" w:eastAsia="Times New Roman" w:hint="default"/>
                <w:sz w:val="18"/>
                <w:szCs w:val="18"/>
              </w:rPr>
              <w:t>2</w:t>
            </w:r>
            <w:r>
              <w:rPr>
                <w:rFonts w:ascii="宋体" w:hAnsi="宋体" w:cs="宋体" w:eastAsia="宋体" w:hint="default"/>
                <w:sz w:val="18"/>
                <w:szCs w:val="18"/>
              </w:rPr>
              <w:t>、本企业目前没有在中国境内任何地 方或中国境外，直接或间接发展、经营或协助经营或 参与与公司业务存在竞争的任何活动，亦没有在任何 与公司业务有直接或间接竞争的公司或企业拥有任何 </w:t>
            </w:r>
            <w:r>
              <w:rPr>
                <w:rFonts w:ascii="宋体" w:hAnsi="宋体" w:cs="宋体" w:eastAsia="宋体" w:hint="default"/>
                <w:spacing w:val="-4"/>
                <w:sz w:val="18"/>
                <w:szCs w:val="18"/>
              </w:rPr>
              <w:t>权益（不论直接或间接）。</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、本企业保证及承诺除非</w:t>
            </w:r>
            <w:r>
              <w:rPr>
                <w:rFonts w:ascii="宋体" w:hAnsi="宋体" w:cs="宋体" w:eastAsia="宋体" w:hint="default"/>
                <w:spacing w:val="-84"/>
                <w:sz w:val="18"/>
                <w:szCs w:val="18"/>
              </w:rPr>
              <w:t> </w:t>
            </w:r>
            <w:r>
              <w:rPr>
                <w:rFonts w:ascii="宋体" w:hAnsi="宋体" w:cs="宋体" w:eastAsia="宋体" w:hint="default"/>
                <w:sz w:val="18"/>
                <w:szCs w:val="18"/>
              </w:rPr>
              <w:t>经公司书面同意，不会直接或间接发展、经营或协助 经营或参与或从事与公司业务相竞争的任何活动。</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1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1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9" w:lineRule="auto"/>
              <w:ind w:left="22" w:right="80"/>
              <w:jc w:val="both"/>
              <w:rPr>
                <w:rFonts w:ascii="宋体" w:hAnsi="宋体" w:cs="宋体" w:eastAsia="宋体" w:hint="default"/>
                <w:sz w:val="18"/>
                <w:szCs w:val="18"/>
              </w:rPr>
            </w:pPr>
            <w:r>
              <w:rPr>
                <w:rFonts w:ascii="宋体" w:hAnsi="宋体" w:cs="宋体" w:eastAsia="宋体" w:hint="default"/>
                <w:sz w:val="18"/>
                <w:szCs w:val="18"/>
              </w:rPr>
              <w:t>截止本报告 期末，承诺 人严格信守 承诺，未出 现违反承诺 的情况</w:t>
            </w:r>
          </w:p>
        </w:tc>
      </w:tr>
    </w:tbl>
    <w:p>
      <w:pPr>
        <w:spacing w:after="0" w:line="319" w:lineRule="auto"/>
        <w:jc w:val="both"/>
        <w:rPr>
          <w:rFonts w:ascii="宋体" w:hAnsi="宋体" w:cs="宋体" w:eastAsia="宋体" w:hint="default"/>
          <w:sz w:val="18"/>
          <w:szCs w:val="18"/>
        </w:rPr>
        <w:sectPr>
          <w:pgSz w:w="11910" w:h="16840"/>
          <w:pgMar w:header="877" w:footer="1187" w:top="1060" w:bottom="14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412.179993pt;margin-top:453.459991pt;width:51.1pt;height:202.8pt;mso-position-horizontal-relative:page;mso-position-vertical-relative:page;z-index:-84268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25"/>
                      <w:szCs w:val="25"/>
                    </w:rPr>
                  </w:pPr>
                </w:p>
                <w:p>
                  <w:pPr>
                    <w:pStyle w:val="BodyText"/>
                    <w:spacing w:line="240" w:lineRule="auto"/>
                    <w:ind w:left="0" w:right="0"/>
                    <w:jc w:val="left"/>
                  </w:pPr>
                  <w:r>
                    <w:rPr/>
                    <w:t>法律、</w:t>
                  </w:r>
                </w:p>
              </w:txbxContent>
            </v:textbox>
            <w10:wrap type="none"/>
          </v:shape>
        </w:pict>
      </w:r>
      <w:r>
        <w:rPr/>
        <w:pict>
          <v:group style="position:absolute;margin-left:436.26001pt;margin-top:453.459991pt;width:27pt;height:202.8pt;mso-position-horizontal-relative:page;mso-position-vertical-relative:page;z-index:-842656" coordorigin="8725,9069" coordsize="540,4056">
            <v:shape style="position:absolute;left:8725;top:9069;width:540;height:4056" coordorigin="8725,9069" coordsize="540,4056" path="m8725,13125l9265,13125,9265,9069,8725,9069,8725,13125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166"/>
        <w:gridCol w:w="1750"/>
        <w:gridCol w:w="407"/>
        <w:gridCol w:w="4264"/>
        <w:gridCol w:w="550"/>
        <w:gridCol w:w="516"/>
        <w:gridCol w:w="1015"/>
      </w:tblGrid>
      <w:tr>
        <w:trPr>
          <w:trHeight w:val="2235" w:hRule="exact"/>
        </w:trPr>
        <w:tc>
          <w:tcPr>
            <w:tcW w:w="1166" w:type="dxa"/>
            <w:vMerge w:val="restart"/>
            <w:tcBorders>
              <w:top w:val="single" w:sz="4" w:space="0" w:color="000000"/>
              <w:left w:val="single" w:sz="4" w:space="0" w:color="000000"/>
              <w:right w:val="single" w:sz="4" w:space="0" w:color="000000"/>
            </w:tcBorders>
            <w:shd w:val="clear" w:color="auto" w:fill="D2D2D2"/>
          </w:tcPr>
          <w:p>
            <w:pPr/>
          </w:p>
        </w:tc>
        <w:tc>
          <w:tcPr>
            <w:tcW w:w="1750"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407"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42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2" w:lineRule="auto" w:before="10"/>
              <w:ind w:left="23" w:right="22"/>
              <w:jc w:val="left"/>
              <w:rPr>
                <w:rFonts w:ascii="宋体" w:hAnsi="宋体" w:cs="宋体" w:eastAsia="宋体" w:hint="default"/>
                <w:sz w:val="18"/>
                <w:szCs w:val="18"/>
              </w:rPr>
            </w:pPr>
            <w:r>
              <w:rPr>
                <w:rFonts w:ascii="宋体" w:hAnsi="宋体" w:cs="宋体" w:eastAsia="宋体" w:hint="default"/>
                <w:sz w:val="18"/>
                <w:szCs w:val="18"/>
              </w:rPr>
              <w:t>本企业将依法律、法规及公司的规定向公司及有关机 构或部门及时披露与公司业务构成竞争或可能构成竞 争的任何业务或权益的详情，直至本企业不再作为公 </w:t>
            </w:r>
            <w:r>
              <w:rPr>
                <w:rFonts w:ascii="宋体" w:hAnsi="宋体" w:cs="宋体" w:eastAsia="宋体" w:hint="default"/>
                <w:spacing w:val="-2"/>
                <w:sz w:val="18"/>
                <w:szCs w:val="18"/>
              </w:rPr>
              <w:t>司股东为止。</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、本企业将不会利用公司股东的身份进</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行损害公司及其它股东利益的经营活动。</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、本企业愿</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意承担因违反上述承诺而给公司造成的全部经济损 失。</w:t>
            </w:r>
          </w:p>
        </w:tc>
        <w:tc>
          <w:tcPr>
            <w:tcW w:w="550"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015"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9450" w:hRule="exact"/>
        </w:trPr>
        <w:tc>
          <w:tcPr>
            <w:tcW w:w="1166" w:type="dxa"/>
            <w:vMerge/>
            <w:tcBorders>
              <w:left w:val="single" w:sz="4" w:space="0" w:color="000000"/>
              <w:right w:val="single" w:sz="4" w:space="0" w:color="000000"/>
            </w:tcBorders>
            <w:shd w:val="clear" w:color="auto" w:fill="D2D2D2"/>
          </w:tcPr>
          <w:p>
            <w:pPr/>
          </w:p>
        </w:tc>
        <w:tc>
          <w:tcPr>
            <w:tcW w:w="175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319" w:lineRule="auto"/>
              <w:ind w:left="22" w:right="95"/>
              <w:jc w:val="left"/>
              <w:rPr>
                <w:rFonts w:ascii="宋体" w:hAnsi="宋体" w:cs="宋体" w:eastAsia="宋体" w:hint="default"/>
                <w:sz w:val="18"/>
                <w:szCs w:val="18"/>
              </w:rPr>
            </w:pPr>
            <w:r>
              <w:rPr>
                <w:rFonts w:ascii="宋体" w:hAnsi="宋体" w:cs="宋体" w:eastAsia="宋体" w:hint="default"/>
                <w:sz w:val="18"/>
                <w:szCs w:val="18"/>
              </w:rPr>
              <w:t>本公司控股股东鹰高 投资</w:t>
            </w:r>
          </w:p>
        </w:tc>
        <w:tc>
          <w:tcPr>
            <w:tcW w:w="40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0"/>
              <w:ind w:left="22" w:right="192"/>
              <w:jc w:val="both"/>
              <w:rPr>
                <w:rFonts w:ascii="宋体" w:hAnsi="宋体" w:cs="宋体" w:eastAsia="宋体" w:hint="default"/>
                <w:sz w:val="18"/>
                <w:szCs w:val="18"/>
              </w:rPr>
            </w:pPr>
            <w:r>
              <w:rPr>
                <w:rFonts w:ascii="宋体" w:hAnsi="宋体" w:cs="宋体" w:eastAsia="宋体" w:hint="default"/>
                <w:sz w:val="18"/>
                <w:szCs w:val="18"/>
              </w:rPr>
              <w:t>稳 定 股 价 的 承 诺</w:t>
            </w:r>
          </w:p>
        </w:tc>
        <w:tc>
          <w:tcPr>
            <w:tcW w:w="42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发行人控股股东鹰高投资承诺，如果高伟达首次公开 发行股票并上市后三年内，股票收盘价格连续</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个交 易日出现低于每股净资产（指高伟达最近一期经审计 的每股净资产，如果高伟达因派发现金红利、送股、 转增股本、增发新股等原因进行除权、除息的，则相 关的计算对比方法按照深圳证券交易所的有关规定作 除权除息处理，下同）的情况时，本公司将启动稳定 股价预案：当触发前述股价稳定措施的启动条件时， 本公司应依照法律、法规、规范性文件和公司章程的 规定，积极配合并保证高伟达按照要求制定并启动稳 定股价的预案。本公司应在不迟于股东大会审议通过 稳定股价具体方案后的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个交易日内，根据股东大会 审议通过的稳定股价具体方案，积极采取下述措施以 稳定高伟达股价，并保证股价稳定措施实施后，高伟 </w:t>
            </w:r>
            <w:r>
              <w:rPr>
                <w:rFonts w:ascii="宋体" w:hAnsi="宋体" w:cs="宋体" w:eastAsia="宋体" w:hint="default"/>
                <w:spacing w:val="-4"/>
                <w:sz w:val="18"/>
                <w:szCs w:val="18"/>
              </w:rPr>
              <w:t>达的股权分布仍符合上市条件：（</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）在符合股票交易</w:t>
            </w:r>
            <w:r>
              <w:rPr>
                <w:rFonts w:ascii="宋体" w:hAnsi="宋体" w:cs="宋体" w:eastAsia="宋体" w:hint="default"/>
                <w:spacing w:val="-84"/>
                <w:sz w:val="18"/>
                <w:szCs w:val="18"/>
              </w:rPr>
              <w:t> </w:t>
            </w:r>
            <w:r>
              <w:rPr>
                <w:rFonts w:ascii="宋体" w:hAnsi="宋体" w:cs="宋体" w:eastAsia="宋体" w:hint="default"/>
                <w:sz w:val="18"/>
                <w:szCs w:val="18"/>
              </w:rPr>
              <w:t>相关规定的前提下，按照高伟达关于稳定股价具体方 案中确定的增持金额和期间，通过交易所集中竞价交 易方式增持高伟达股票。购买所增持股票的总金额不 低于其上年度初至董事会审议通过稳定股价具体方案 日期间，从高伟达直接获取的税后现金分红总额的 </w:t>
            </w:r>
            <w:r>
              <w:rPr>
                <w:rFonts w:ascii="Times New Roman" w:hAnsi="Times New Roman" w:cs="Times New Roman" w:eastAsia="Times New Roman" w:hint="default"/>
                <w:spacing w:val="-7"/>
                <w:sz w:val="18"/>
                <w:szCs w:val="18"/>
              </w:rPr>
              <w:t>15%</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）除因继承、被强制执行或上市公司重组等情</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形必须转股或触发前述股价稳定措施的停止条件外， 在股东大会审议稳定股价具体方案及方案实施期间， 不转让其持有的高伟达股份。除经股东大会非关联股 </w:t>
            </w:r>
            <w:r>
              <w:rPr>
                <w:rFonts w:ascii="宋体" w:hAnsi="宋体" w:cs="宋体" w:eastAsia="宋体" w:hint="default"/>
                <w:spacing w:val="-5"/>
                <w:sz w:val="18"/>
                <w:szCs w:val="18"/>
              </w:rPr>
              <w:t>东同意外，不由高伟达回购其持有的股份。（</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w:t>
            </w:r>
            <w:r>
              <w:rPr>
                <w:rFonts w:ascii="宋体" w:hAnsi="宋体" w:cs="宋体" w:eastAsia="宋体" w:hint="default"/>
                <w:spacing w:val="-86"/>
                <w:sz w:val="18"/>
                <w:szCs w:val="18"/>
              </w:rPr>
              <w:t> </w:t>
            </w:r>
            <w:r>
              <w:rPr>
                <w:rFonts w:ascii="宋体" w:hAnsi="宋体" w:cs="宋体" w:eastAsia="宋体" w:hint="default"/>
                <w:sz w:val="18"/>
                <w:szCs w:val="18"/>
              </w:rPr>
              <w:t>行政法规、规范性文件规定以及中国证监会认可的其 他方式。触发前述股价稳定措施的启动条件时本公司 不因在股东大会审议稳定股价具体方案及方案实施期 间内不再作为控股股东等情形而拒绝实施上述稳定股 价的措施。</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1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316" w:lineRule="auto"/>
              <w:ind w:left="22" w:right="121"/>
              <w:jc w:val="both"/>
              <w:rPr>
                <w:rFonts w:ascii="宋体" w:hAnsi="宋体" w:cs="宋体" w:eastAsia="宋体" w:hint="default"/>
                <w:sz w:val="18"/>
                <w:szCs w:val="18"/>
              </w:rPr>
            </w:pPr>
            <w:r>
              <w:rPr>
                <w:rFonts w:ascii="宋体" w:hAnsi="宋体" w:cs="宋体" w:eastAsia="宋体" w:hint="default"/>
                <w:sz w:val="18"/>
                <w:szCs w:val="18"/>
              </w:rPr>
              <w:t>自上 市之 日起 三十 六个 月</w:t>
            </w:r>
          </w:p>
        </w:tc>
        <w:tc>
          <w:tcPr>
            <w:tcW w:w="101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316" w:lineRule="auto"/>
              <w:ind w:left="22" w:right="80"/>
              <w:jc w:val="both"/>
              <w:rPr>
                <w:rFonts w:ascii="宋体" w:hAnsi="宋体" w:cs="宋体" w:eastAsia="宋体" w:hint="default"/>
                <w:sz w:val="18"/>
                <w:szCs w:val="18"/>
              </w:rPr>
            </w:pPr>
            <w:r>
              <w:rPr>
                <w:rFonts w:ascii="宋体" w:hAnsi="宋体" w:cs="宋体" w:eastAsia="宋体" w:hint="default"/>
                <w:sz w:val="18"/>
                <w:szCs w:val="18"/>
              </w:rPr>
              <w:t>截止本报告 期末，承诺 人严格信守 承诺，未出 现违反承诺 的情况</w:t>
            </w:r>
          </w:p>
        </w:tc>
      </w:tr>
      <w:tr>
        <w:trPr>
          <w:trHeight w:val="1962" w:hRule="exact"/>
        </w:trPr>
        <w:tc>
          <w:tcPr>
            <w:tcW w:w="1166" w:type="dxa"/>
            <w:vMerge/>
            <w:tcBorders>
              <w:left w:val="single" w:sz="4" w:space="0" w:color="000000"/>
              <w:bottom w:val="single" w:sz="4" w:space="0" w:color="000000"/>
              <w:right w:val="single" w:sz="4" w:space="0" w:color="000000"/>
            </w:tcBorders>
            <w:shd w:val="clear" w:color="auto" w:fill="D2D2D2"/>
          </w:tcPr>
          <w:p>
            <w:pPr/>
          </w:p>
        </w:tc>
        <w:tc>
          <w:tcPr>
            <w:tcW w:w="175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00" w:lineRule="auto"/>
              <w:ind w:left="22" w:right="95"/>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 贵昌有限、银联科技</w:t>
            </w:r>
          </w:p>
        </w:tc>
        <w:tc>
          <w:tcPr>
            <w:tcW w:w="40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71"/>
              <w:ind w:left="22" w:right="192"/>
              <w:jc w:val="both"/>
              <w:rPr>
                <w:rFonts w:ascii="宋体" w:hAnsi="宋体" w:cs="宋体" w:eastAsia="宋体" w:hint="default"/>
                <w:sz w:val="18"/>
                <w:szCs w:val="18"/>
              </w:rPr>
            </w:pPr>
            <w:r>
              <w:rPr>
                <w:rFonts w:ascii="宋体" w:hAnsi="宋体" w:cs="宋体" w:eastAsia="宋体" w:hint="default"/>
                <w:sz w:val="18"/>
                <w:szCs w:val="18"/>
              </w:rPr>
              <w:t>股 份 限 售 的 承</w:t>
            </w:r>
          </w:p>
        </w:tc>
        <w:tc>
          <w:tcPr>
            <w:tcW w:w="42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3" w:right="88"/>
              <w:jc w:val="both"/>
              <w:rPr>
                <w:rFonts w:ascii="宋体" w:hAnsi="宋体" w:cs="宋体" w:eastAsia="宋体" w:hint="default"/>
                <w:sz w:val="18"/>
                <w:szCs w:val="18"/>
              </w:rPr>
            </w:pPr>
            <w:r>
              <w:rPr>
                <w:rFonts w:ascii="宋体" w:hAnsi="宋体" w:cs="宋体" w:eastAsia="宋体" w:hint="default"/>
                <w:sz w:val="18"/>
                <w:szCs w:val="18"/>
              </w:rPr>
              <w:t>自本公司发行上市之日起十二个月内，不转让或委托 他人管理其已持有的本公司股份，也不由本公司回购 该部分股份。</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1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21"/>
              <w:jc w:val="both"/>
              <w:rPr>
                <w:rFonts w:ascii="宋体" w:hAnsi="宋体" w:cs="宋体" w:eastAsia="宋体" w:hint="default"/>
                <w:sz w:val="18"/>
                <w:szCs w:val="18"/>
              </w:rPr>
            </w:pPr>
            <w:r>
              <w:rPr>
                <w:rFonts w:ascii="宋体" w:hAnsi="宋体" w:cs="宋体" w:eastAsia="宋体" w:hint="default"/>
                <w:sz w:val="18"/>
                <w:szCs w:val="18"/>
              </w:rPr>
              <w:t>自上 市之 日起 十二 个月</w:t>
            </w:r>
          </w:p>
        </w:tc>
        <w:tc>
          <w:tcPr>
            <w:tcW w:w="101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80"/>
              <w:jc w:val="both"/>
              <w:rPr>
                <w:rFonts w:ascii="宋体" w:hAnsi="宋体" w:cs="宋体" w:eastAsia="宋体" w:hint="default"/>
                <w:sz w:val="18"/>
                <w:szCs w:val="18"/>
              </w:rPr>
            </w:pPr>
            <w:r>
              <w:rPr>
                <w:rFonts w:ascii="宋体" w:hAnsi="宋体" w:cs="宋体" w:eastAsia="宋体" w:hint="default"/>
                <w:sz w:val="18"/>
                <w:szCs w:val="18"/>
              </w:rPr>
              <w:t>截止本报告 期末，所有 承诺人严格 信守承诺， 未出现违反 承诺的情况</w:t>
            </w:r>
          </w:p>
        </w:tc>
      </w:tr>
    </w:tbl>
    <w:p>
      <w:pPr>
        <w:spacing w:after="0" w:line="316" w:lineRule="auto"/>
        <w:jc w:val="both"/>
        <w:rPr>
          <w:rFonts w:ascii="宋体" w:hAnsi="宋体" w:cs="宋体" w:eastAsia="宋体" w:hint="default"/>
          <w:sz w:val="18"/>
          <w:szCs w:val="18"/>
        </w:rPr>
        <w:sectPr>
          <w:pgSz w:w="11910" w:h="16840"/>
          <w:pgMar w:header="877" w:footer="1187" w:top="1060" w:bottom="138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166"/>
        <w:gridCol w:w="1750"/>
        <w:gridCol w:w="407"/>
        <w:gridCol w:w="4264"/>
        <w:gridCol w:w="550"/>
        <w:gridCol w:w="516"/>
        <w:gridCol w:w="1018"/>
      </w:tblGrid>
      <w:tr>
        <w:trPr>
          <w:trHeight w:val="362" w:hRule="exact"/>
        </w:trPr>
        <w:tc>
          <w:tcPr>
            <w:tcW w:w="1166" w:type="dxa"/>
            <w:vMerge w:val="restart"/>
            <w:tcBorders>
              <w:top w:val="single" w:sz="4" w:space="0" w:color="000000"/>
              <w:left w:val="single" w:sz="4" w:space="0" w:color="000000"/>
              <w:right w:val="single" w:sz="4" w:space="0" w:color="000000"/>
            </w:tcBorders>
            <w:shd w:val="clear" w:color="auto" w:fill="D2D2D2"/>
          </w:tcPr>
          <w:p>
            <w:pPr/>
          </w:p>
        </w:tc>
        <w:tc>
          <w:tcPr>
            <w:tcW w:w="1750"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40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诺</w:t>
            </w:r>
          </w:p>
        </w:tc>
        <w:tc>
          <w:tcPr>
            <w:tcW w:w="4264"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018"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6018" w:hRule="exact"/>
        </w:trPr>
        <w:tc>
          <w:tcPr>
            <w:tcW w:w="1166" w:type="dxa"/>
            <w:vMerge/>
            <w:tcBorders>
              <w:left w:val="single" w:sz="4" w:space="0" w:color="000000"/>
              <w:right w:val="single" w:sz="4" w:space="0" w:color="000000"/>
            </w:tcBorders>
            <w:shd w:val="clear" w:color="auto" w:fill="D2D2D2"/>
          </w:tcPr>
          <w:p>
            <w:pPr/>
          </w:p>
        </w:tc>
        <w:tc>
          <w:tcPr>
            <w:tcW w:w="175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00" w:lineRule="auto"/>
              <w:ind w:left="22" w:right="95"/>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 贵昌有限、银联科技</w:t>
            </w:r>
          </w:p>
        </w:tc>
        <w:tc>
          <w:tcPr>
            <w:tcW w:w="40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2" w:right="192"/>
              <w:jc w:val="both"/>
              <w:rPr>
                <w:rFonts w:ascii="宋体" w:hAnsi="宋体" w:cs="宋体" w:eastAsia="宋体" w:hint="default"/>
                <w:sz w:val="18"/>
                <w:szCs w:val="18"/>
              </w:rPr>
            </w:pPr>
            <w:r>
              <w:rPr>
                <w:rFonts w:ascii="宋体" w:hAnsi="宋体" w:cs="宋体" w:eastAsia="宋体" w:hint="default"/>
                <w:sz w:val="18"/>
                <w:szCs w:val="18"/>
              </w:rPr>
              <w:t>股 份 减 持 的 承 诺</w:t>
            </w:r>
          </w:p>
        </w:tc>
        <w:tc>
          <w:tcPr>
            <w:tcW w:w="42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7" w:lineRule="auto" w:before="51"/>
              <w:ind w:left="23" w:right="21"/>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、本机构所持有的公司股份具体减持计划为：（</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）在</w:t>
            </w:r>
            <w:r>
              <w:rPr>
                <w:rFonts w:ascii="宋体" w:hAnsi="宋体" w:cs="宋体" w:eastAsia="宋体" w:hint="default"/>
                <w:spacing w:val="-87"/>
                <w:sz w:val="18"/>
                <w:szCs w:val="18"/>
              </w:rPr>
              <w:t> </w:t>
            </w:r>
            <w:r>
              <w:rPr>
                <w:rFonts w:ascii="宋体" w:hAnsi="宋体" w:cs="宋体" w:eastAsia="宋体" w:hint="default"/>
                <w:sz w:val="18"/>
                <w:szCs w:val="18"/>
              </w:rPr>
              <w:t>所持有公司股份锁定期满后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个月内，累计减持股份</w:t>
            </w:r>
            <w:r>
              <w:rPr>
                <w:rFonts w:ascii="宋体" w:hAnsi="宋体" w:cs="宋体" w:eastAsia="宋体" w:hint="default"/>
                <w:sz w:val="18"/>
                <w:szCs w:val="18"/>
              </w:rPr>
              <w:t> 总数不超过本机构持股数量的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w:t>
            </w:r>
            <w:r>
              <w:rPr>
                <w:rFonts w:ascii="宋体" w:hAnsi="宋体" w:cs="宋体" w:eastAsia="宋体" w:hint="default"/>
                <w:sz w:val="18"/>
                <w:szCs w:val="18"/>
              </w:rPr>
              <w:t>，减持价格不低于 </w:t>
            </w:r>
            <w:r>
              <w:rPr>
                <w:rFonts w:ascii="宋体" w:hAnsi="宋体" w:cs="宋体" w:eastAsia="宋体" w:hint="default"/>
                <w:spacing w:val="-4"/>
                <w:sz w:val="18"/>
                <w:szCs w:val="18"/>
              </w:rPr>
              <w:t>最近一期经审计的每股净资产；（</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）在所持公司股份</w:t>
            </w:r>
            <w:r>
              <w:rPr>
                <w:rFonts w:ascii="宋体" w:hAnsi="宋体" w:cs="宋体" w:eastAsia="宋体" w:hint="default"/>
                <w:spacing w:val="-84"/>
                <w:sz w:val="18"/>
                <w:szCs w:val="18"/>
              </w:rPr>
              <w:t> </w:t>
            </w:r>
            <w:r>
              <w:rPr>
                <w:rFonts w:ascii="宋体" w:hAnsi="宋体" w:cs="宋体" w:eastAsia="宋体" w:hint="default"/>
                <w:sz w:val="18"/>
                <w:szCs w:val="18"/>
              </w:rPr>
              <w:t>锁定期满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13-24</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个月内，本机构减持数量不受限制，减</w:t>
            </w:r>
            <w:r>
              <w:rPr>
                <w:rFonts w:ascii="宋体" w:hAnsi="宋体" w:cs="宋体" w:eastAsia="宋体" w:hint="default"/>
                <w:sz w:val="18"/>
                <w:szCs w:val="18"/>
              </w:rPr>
              <w:t> </w:t>
            </w:r>
            <w:r>
              <w:rPr>
                <w:rFonts w:ascii="宋体" w:hAnsi="宋体" w:cs="宋体" w:eastAsia="宋体" w:hint="default"/>
                <w:spacing w:val="-4"/>
                <w:sz w:val="18"/>
                <w:szCs w:val="18"/>
              </w:rPr>
              <w:t>持价格不低于最近一期经审计的每股净资产；（</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）在</w:t>
            </w:r>
            <w:r>
              <w:rPr>
                <w:rFonts w:ascii="宋体" w:hAnsi="宋体" w:cs="宋体" w:eastAsia="宋体" w:hint="default"/>
                <w:spacing w:val="-84"/>
                <w:sz w:val="18"/>
                <w:szCs w:val="18"/>
              </w:rPr>
              <w:t> </w:t>
            </w:r>
            <w:r>
              <w:rPr>
                <w:rFonts w:ascii="宋体" w:hAnsi="宋体" w:cs="宋体" w:eastAsia="宋体" w:hint="default"/>
                <w:sz w:val="18"/>
                <w:szCs w:val="18"/>
              </w:rPr>
              <w:t>所持公司股份锁定期满</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个月后，本机构减持数量和 </w:t>
            </w:r>
            <w:r>
              <w:rPr>
                <w:rFonts w:ascii="宋体" w:hAnsi="宋体" w:cs="宋体" w:eastAsia="宋体" w:hint="default"/>
                <w:spacing w:val="-1"/>
                <w:sz w:val="18"/>
                <w:szCs w:val="18"/>
              </w:rPr>
              <w:t>价格均不受限制。</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、本机构减持公司股份应符合相关</w:t>
            </w:r>
            <w:r>
              <w:rPr>
                <w:rFonts w:ascii="宋体" w:hAnsi="宋体" w:cs="宋体" w:eastAsia="宋体" w:hint="default"/>
                <w:sz w:val="18"/>
                <w:szCs w:val="18"/>
              </w:rPr>
              <w:t> 法律、法规、规章的规定，具体方式包括但不限于交 易所集中竞价交易方式、大宗交易方式、协议转让方 </w:t>
            </w:r>
            <w:r>
              <w:rPr>
                <w:rFonts w:ascii="宋体" w:hAnsi="宋体" w:cs="宋体" w:eastAsia="宋体" w:hint="default"/>
                <w:spacing w:val="-2"/>
                <w:sz w:val="18"/>
                <w:szCs w:val="18"/>
              </w:rPr>
              <w:t>式等。</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、本机构减持公司股份前，应提前三个交易日</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予以公告，并按照证券交易所的规则及时、准确地履 </w:t>
            </w:r>
            <w:r>
              <w:rPr>
                <w:rFonts w:ascii="宋体" w:hAnsi="宋体" w:cs="宋体" w:eastAsia="宋体" w:hint="default"/>
                <w:spacing w:val="-3"/>
                <w:sz w:val="18"/>
                <w:szCs w:val="18"/>
              </w:rPr>
              <w:t>行信息披露义务；本机构持有公司股份低于</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以下时</w:t>
            </w:r>
            <w:r>
              <w:rPr>
                <w:rFonts w:ascii="宋体" w:hAnsi="宋体" w:cs="宋体" w:eastAsia="宋体" w:hint="default"/>
                <w:spacing w:val="-86"/>
                <w:sz w:val="18"/>
                <w:szCs w:val="18"/>
              </w:rPr>
              <w:t> </w:t>
            </w:r>
            <w:r>
              <w:rPr>
                <w:rFonts w:ascii="宋体" w:hAnsi="宋体" w:cs="宋体" w:eastAsia="宋体" w:hint="default"/>
                <w:spacing w:val="-2"/>
                <w:sz w:val="18"/>
                <w:szCs w:val="18"/>
              </w:rPr>
              <w:t>除外。</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、如果本机构未履行上述减持意向，本机构将</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在股东大会及中国证监会指定的披露媒体上公开说明 未履行承诺的具体原因并向公司股东和社会公众投资 </w:t>
            </w:r>
            <w:r>
              <w:rPr>
                <w:rFonts w:ascii="宋体" w:hAnsi="宋体" w:cs="宋体" w:eastAsia="宋体" w:hint="default"/>
                <w:spacing w:val="-2"/>
                <w:sz w:val="18"/>
                <w:szCs w:val="18"/>
              </w:rPr>
              <w:t>者道歉。</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、如果本机构未履行上述减持意向，本机构</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持有的公司股份自本机构未履行上述减持意向之日起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个月内不得减持。</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1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1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22" w:right="83"/>
              <w:jc w:val="both"/>
              <w:rPr>
                <w:rFonts w:ascii="宋体" w:hAnsi="宋体" w:cs="宋体" w:eastAsia="宋体" w:hint="default"/>
                <w:sz w:val="18"/>
                <w:szCs w:val="18"/>
              </w:rPr>
            </w:pPr>
            <w:r>
              <w:rPr>
                <w:rFonts w:ascii="宋体" w:hAnsi="宋体" w:cs="宋体" w:eastAsia="宋体" w:hint="default"/>
                <w:sz w:val="18"/>
                <w:szCs w:val="18"/>
              </w:rPr>
              <w:t>截止本报告 期末，所有 承诺人严格 信守承诺， 未出现违反 承诺的情况</w:t>
            </w:r>
          </w:p>
        </w:tc>
      </w:tr>
      <w:tr>
        <w:trPr>
          <w:trHeight w:val="5706" w:hRule="exact"/>
        </w:trPr>
        <w:tc>
          <w:tcPr>
            <w:tcW w:w="1166" w:type="dxa"/>
            <w:vMerge/>
            <w:tcBorders>
              <w:left w:val="single" w:sz="4" w:space="0" w:color="000000"/>
              <w:right w:val="single" w:sz="4" w:space="0" w:color="000000"/>
            </w:tcBorders>
            <w:shd w:val="clear" w:color="auto" w:fill="D2D2D2"/>
          </w:tcPr>
          <w:p>
            <w:pPr/>
          </w:p>
        </w:tc>
        <w:tc>
          <w:tcPr>
            <w:tcW w:w="175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00" w:lineRule="auto"/>
              <w:ind w:left="22" w:right="95"/>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 贵昌有限、银联科技</w:t>
            </w:r>
          </w:p>
        </w:tc>
        <w:tc>
          <w:tcPr>
            <w:tcW w:w="40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6" w:lineRule="auto"/>
              <w:ind w:left="22" w:right="192"/>
              <w:jc w:val="both"/>
              <w:rPr>
                <w:rFonts w:ascii="宋体" w:hAnsi="宋体" w:cs="宋体" w:eastAsia="宋体" w:hint="default"/>
                <w:sz w:val="18"/>
                <w:szCs w:val="18"/>
              </w:rPr>
            </w:pPr>
            <w:r>
              <w:rPr>
                <w:rFonts w:ascii="宋体" w:hAnsi="宋体" w:cs="宋体" w:eastAsia="宋体" w:hint="default"/>
                <w:sz w:val="18"/>
                <w:szCs w:val="18"/>
              </w:rPr>
              <w:t>避 免 同 业 竞 争 的 承 诺</w:t>
            </w:r>
          </w:p>
        </w:tc>
        <w:tc>
          <w:tcPr>
            <w:tcW w:w="42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2" w:lineRule="auto" w:before="51"/>
              <w:ind w:left="23" w:right="-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、如拟出售本企业与公司生产、经营相关的任何其它</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资产、业务或权益，公司均有优先购买的权利；本企 业将尽最大努力使有关交易的价格公平合理，且该等 交易价格按与独立第三方进行正常商业交易的交易价 格为基础确定。</w:t>
            </w:r>
            <w:r>
              <w:rPr>
                <w:rFonts w:ascii="Times New Roman" w:hAnsi="Times New Roman" w:cs="Times New Roman" w:eastAsia="Times New Roman" w:hint="default"/>
                <w:sz w:val="18"/>
                <w:szCs w:val="18"/>
              </w:rPr>
              <w:t>2</w:t>
            </w:r>
            <w:r>
              <w:rPr>
                <w:rFonts w:ascii="宋体" w:hAnsi="宋体" w:cs="宋体" w:eastAsia="宋体" w:hint="default"/>
                <w:sz w:val="18"/>
                <w:szCs w:val="18"/>
              </w:rPr>
              <w:t>、本企业目前没有在中国境内任何地 方或中国境外，直接或间接发展、经营或协助经营或 参与与公司业务存在竞争的任何活动，亦没有在任何 与公司业务有直接或间接竞争的公司或企业拥有任何 </w:t>
            </w:r>
            <w:r>
              <w:rPr>
                <w:rFonts w:ascii="宋体" w:hAnsi="宋体" w:cs="宋体" w:eastAsia="宋体" w:hint="default"/>
                <w:spacing w:val="-4"/>
                <w:sz w:val="18"/>
                <w:szCs w:val="18"/>
              </w:rPr>
              <w:t>权益（不论直接或间接）。</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、本企业保证及承诺除非</w:t>
            </w:r>
            <w:r>
              <w:rPr>
                <w:rFonts w:ascii="宋体" w:hAnsi="宋体" w:cs="宋体" w:eastAsia="宋体" w:hint="default"/>
                <w:spacing w:val="-84"/>
                <w:sz w:val="18"/>
                <w:szCs w:val="18"/>
              </w:rPr>
              <w:t> </w:t>
            </w:r>
            <w:r>
              <w:rPr>
                <w:rFonts w:ascii="宋体" w:hAnsi="宋体" w:cs="宋体" w:eastAsia="宋体" w:hint="default"/>
                <w:sz w:val="18"/>
                <w:szCs w:val="18"/>
              </w:rPr>
              <w:t>经公司书面同意，不会直接或间接发展、经营或协助 经营或参与或从事与公司业务相竞争的任何活动。</w:t>
            </w:r>
            <w:r>
              <w:rPr>
                <w:rFonts w:ascii="Times New Roman" w:hAnsi="Times New Roman" w:cs="Times New Roman" w:eastAsia="Times New Roman" w:hint="default"/>
                <w:sz w:val="18"/>
                <w:szCs w:val="18"/>
              </w:rPr>
              <w:t>4</w:t>
            </w:r>
            <w:r>
              <w:rPr>
                <w:rFonts w:ascii="宋体" w:hAnsi="宋体" w:cs="宋体" w:eastAsia="宋体" w:hint="default"/>
                <w:sz w:val="18"/>
                <w:szCs w:val="18"/>
              </w:rPr>
              <w:t>、 本企业将依法律、法规及公司的规定向公司及有关机 构或部门及时披露与公司业务构成竞争或可能构成竞 争的任何业务或权益的详情，直至本企业不再作为公 </w:t>
            </w:r>
            <w:r>
              <w:rPr>
                <w:rFonts w:ascii="宋体" w:hAnsi="宋体" w:cs="宋体" w:eastAsia="宋体" w:hint="default"/>
                <w:spacing w:val="-2"/>
                <w:sz w:val="18"/>
                <w:szCs w:val="18"/>
              </w:rPr>
              <w:t>司股东为止。</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、本企业将不会利用公司股东的身份进</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行损害公司及其它股东利益的经营活动。</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、本企业愿</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意承担因违反上述承诺而给公司造成的全部经济损 失。</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1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1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2" w:right="83"/>
              <w:jc w:val="both"/>
              <w:rPr>
                <w:rFonts w:ascii="宋体" w:hAnsi="宋体" w:cs="宋体" w:eastAsia="宋体" w:hint="default"/>
                <w:sz w:val="18"/>
                <w:szCs w:val="18"/>
              </w:rPr>
            </w:pPr>
            <w:r>
              <w:rPr>
                <w:rFonts w:ascii="宋体" w:hAnsi="宋体" w:cs="宋体" w:eastAsia="宋体" w:hint="default"/>
                <w:sz w:val="18"/>
                <w:szCs w:val="18"/>
              </w:rPr>
              <w:t>截止本报告 期末，所有 承诺人严格 信守承诺， 未出现违反 承诺的情况</w:t>
            </w:r>
          </w:p>
        </w:tc>
      </w:tr>
      <w:tr>
        <w:trPr>
          <w:trHeight w:val="1610" w:hRule="exact"/>
        </w:trPr>
        <w:tc>
          <w:tcPr>
            <w:tcW w:w="1166" w:type="dxa"/>
            <w:vMerge/>
            <w:tcBorders>
              <w:left w:val="single" w:sz="4" w:space="0" w:color="000000"/>
              <w:bottom w:val="single" w:sz="4" w:space="0" w:color="000000"/>
              <w:right w:val="single" w:sz="4" w:space="0" w:color="000000"/>
            </w:tcBorders>
            <w:shd w:val="clear" w:color="auto" w:fill="D2D2D2"/>
          </w:tcPr>
          <w:p>
            <w:pPr/>
          </w:p>
        </w:tc>
        <w:tc>
          <w:tcPr>
            <w:tcW w:w="175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华鹰投资、锐鹰投资</w:t>
            </w:r>
          </w:p>
        </w:tc>
        <w:tc>
          <w:tcPr>
            <w:tcW w:w="40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192"/>
              <w:jc w:val="both"/>
              <w:rPr>
                <w:rFonts w:ascii="宋体" w:hAnsi="宋体" w:cs="宋体" w:eastAsia="宋体" w:hint="default"/>
                <w:sz w:val="18"/>
                <w:szCs w:val="18"/>
              </w:rPr>
            </w:pPr>
            <w:r>
              <w:rPr>
                <w:rFonts w:ascii="宋体" w:hAnsi="宋体" w:cs="宋体" w:eastAsia="宋体" w:hint="default"/>
                <w:sz w:val="18"/>
                <w:szCs w:val="18"/>
              </w:rPr>
              <w:t>股 份 限 售 的</w:t>
            </w:r>
          </w:p>
        </w:tc>
        <w:tc>
          <w:tcPr>
            <w:tcW w:w="42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3" w:right="88"/>
              <w:jc w:val="both"/>
              <w:rPr>
                <w:rFonts w:ascii="宋体" w:hAnsi="宋体" w:cs="宋体" w:eastAsia="宋体" w:hint="default"/>
                <w:sz w:val="18"/>
                <w:szCs w:val="18"/>
              </w:rPr>
            </w:pPr>
            <w:r>
              <w:rPr>
                <w:rFonts w:ascii="宋体" w:hAnsi="宋体" w:cs="宋体" w:eastAsia="宋体" w:hint="default"/>
                <w:sz w:val="18"/>
                <w:szCs w:val="18"/>
              </w:rPr>
              <w:t>自高伟达股票上市之日起三十六个月内，不转让或委 托他人管理其已持有的本公司股份，也不由本公司回 购该部分股份。</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1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w:t>
            </w:r>
          </w:p>
        </w:tc>
        <w:tc>
          <w:tcPr>
            <w:tcW w:w="101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83"/>
              <w:jc w:val="both"/>
              <w:rPr>
                <w:rFonts w:ascii="宋体" w:hAnsi="宋体" w:cs="宋体" w:eastAsia="宋体" w:hint="default"/>
                <w:sz w:val="18"/>
                <w:szCs w:val="18"/>
              </w:rPr>
            </w:pPr>
            <w:r>
              <w:rPr>
                <w:rFonts w:ascii="宋体" w:hAnsi="宋体" w:cs="宋体" w:eastAsia="宋体" w:hint="default"/>
                <w:sz w:val="18"/>
                <w:szCs w:val="18"/>
              </w:rPr>
              <w:t>截止本报告 期末，所有 承诺人严格 信守承诺， 未出现违反</w:t>
            </w:r>
          </w:p>
        </w:tc>
      </w:tr>
    </w:tbl>
    <w:p>
      <w:pPr>
        <w:spacing w:after="0" w:line="316" w:lineRule="auto"/>
        <w:jc w:val="both"/>
        <w:rPr>
          <w:rFonts w:ascii="宋体" w:hAnsi="宋体" w:cs="宋体" w:eastAsia="宋体" w:hint="default"/>
          <w:sz w:val="18"/>
          <w:szCs w:val="18"/>
        </w:rPr>
        <w:sectPr>
          <w:pgSz w:w="11910" w:h="16840"/>
          <w:pgMar w:header="877" w:footer="1187" w:top="1060" w:bottom="138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4"/>
          <w:szCs w:val="14"/>
        </w:rPr>
      </w:pPr>
    </w:p>
    <w:p>
      <w:pPr>
        <w:pStyle w:val="BodyText"/>
        <w:tabs>
          <w:tab w:pos="9813" w:val="left" w:leader="none"/>
        </w:tabs>
        <w:spacing w:line="240" w:lineRule="auto"/>
        <w:ind w:left="4076" w:right="0"/>
        <w:jc w:val="left"/>
      </w:pPr>
      <w:r>
        <w:rPr/>
        <w:t>承</w:t>
        <w:tab/>
        <w:t>承诺的情况</w:t>
      </w:r>
    </w:p>
    <w:p>
      <w:pPr>
        <w:pStyle w:val="BodyText"/>
        <w:spacing w:line="240" w:lineRule="auto" w:before="76"/>
        <w:ind w:left="375" w:right="3945"/>
        <w:jc w:val="center"/>
      </w:pPr>
      <w:r>
        <w:rPr/>
        <w:t>诺</w:t>
      </w:r>
    </w:p>
    <w:p>
      <w:pPr>
        <w:spacing w:line="240" w:lineRule="auto" w:before="4"/>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10" w:h="16840"/>
          <w:pgMar w:header="877" w:footer="1187" w:top="1060" w:bottom="1380" w:left="0" w:right="0"/>
        </w:sectPr>
      </w:pPr>
    </w:p>
    <w:p>
      <w:pPr>
        <w:pStyle w:val="BodyText"/>
        <w:spacing w:line="316" w:lineRule="auto" w:before="44"/>
        <w:ind w:left="3916" w:right="0"/>
        <w:jc w:val="right"/>
      </w:pPr>
      <w:r>
        <w:rPr/>
        <w:t>股 份</w:t>
      </w:r>
    </w:p>
    <w:p>
      <w:pPr>
        <w:pStyle w:val="BodyText"/>
        <w:spacing w:line="160" w:lineRule="auto" w:before="88"/>
        <w:ind w:left="2327" w:right="-20" w:firstLine="1749"/>
        <w:jc w:val="left"/>
      </w:pPr>
      <w:r>
        <w:rPr/>
        <w:t>限 鹰伟投资、鹰达投资、</w:t>
      </w:r>
    </w:p>
    <w:p>
      <w:pPr>
        <w:pStyle w:val="BodyText"/>
        <w:spacing w:line="124" w:lineRule="exact"/>
        <w:ind w:left="3916" w:right="0"/>
        <w:jc w:val="right"/>
      </w:pPr>
      <w:r>
        <w:rPr/>
        <w:t>售</w:t>
      </w:r>
    </w:p>
    <w:p>
      <w:pPr>
        <w:pStyle w:val="BodyText"/>
        <w:spacing w:line="156" w:lineRule="exact"/>
        <w:ind w:left="2327" w:right="-20"/>
        <w:jc w:val="left"/>
      </w:pPr>
      <w:r>
        <w:rPr/>
        <w:t>鹰飞投资、鹰杰投资</w:t>
      </w:r>
    </w:p>
    <w:p>
      <w:pPr>
        <w:pStyle w:val="BodyText"/>
        <w:spacing w:line="195" w:lineRule="exact"/>
        <w:ind w:left="3916" w:right="0"/>
        <w:jc w:val="right"/>
      </w:pPr>
      <w:r>
        <w:rPr/>
        <w:t>的</w:t>
      </w:r>
    </w:p>
    <w:p>
      <w:pPr>
        <w:pStyle w:val="BodyText"/>
        <w:spacing w:line="319" w:lineRule="auto" w:before="76"/>
        <w:ind w:left="3916" w:right="0"/>
        <w:jc w:val="right"/>
      </w:pPr>
      <w:r>
        <w:rPr/>
        <w:t>承 诺</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BodyText"/>
        <w:spacing w:line="316" w:lineRule="auto"/>
        <w:ind w:left="187" w:right="0"/>
        <w:jc w:val="both"/>
      </w:pPr>
      <w:r>
        <w:rPr/>
        <w:t>自本公司发行上市之日起十二个月内，不转让或委托 他人管理其已持有的本公司股份，也不由本公司回购 该部分股份。</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3"/>
        <w:rPr>
          <w:rFonts w:ascii="宋体" w:hAnsi="宋体" w:cs="宋体" w:eastAsia="宋体" w:hint="default"/>
          <w:sz w:val="24"/>
          <w:szCs w:val="24"/>
        </w:rPr>
      </w:pPr>
    </w:p>
    <w:p>
      <w:pPr>
        <w:pStyle w:val="BodyText"/>
        <w:spacing w:line="240" w:lineRule="auto"/>
        <w:ind w:left="82" w:right="-20"/>
        <w:jc w:val="left"/>
        <w:rPr>
          <w:rFonts w:ascii="Times New Roman" w:hAnsi="Times New Roman" w:cs="Times New Roman" w:eastAsia="Times New Roman" w:hint="default"/>
        </w:rPr>
      </w:pPr>
      <w:r>
        <w:rPr>
          <w:rFonts w:ascii="Times New Roman"/>
        </w:rPr>
        <w:t>2015</w:t>
      </w:r>
    </w:p>
    <w:p>
      <w:pPr>
        <w:pStyle w:val="BodyText"/>
        <w:spacing w:line="240" w:lineRule="auto" w:before="64"/>
        <w:ind w:left="82" w:right="-20"/>
        <w:jc w:val="left"/>
        <w:rPr>
          <w:rFonts w:ascii="Times New Roman" w:hAnsi="Times New Roman" w:cs="Times New Roman" w:eastAsia="Times New Roman" w:hint="default"/>
        </w:rPr>
      </w:pPr>
      <w:r>
        <w:rPr/>
        <w:t>年</w:t>
      </w:r>
      <w:r>
        <w:rPr>
          <w:spacing w:val="-46"/>
        </w:rPr>
        <w:t> </w:t>
      </w:r>
      <w:r>
        <w:rPr>
          <w:rFonts w:ascii="Times New Roman" w:hAnsi="Times New Roman" w:cs="Times New Roman" w:eastAsia="Times New Roman" w:hint="default"/>
        </w:rPr>
        <w:t>05</w:t>
      </w:r>
    </w:p>
    <w:p>
      <w:pPr>
        <w:pStyle w:val="BodyText"/>
        <w:spacing w:line="240" w:lineRule="auto" w:before="63"/>
        <w:ind w:left="82" w:right="-20"/>
        <w:jc w:val="left"/>
        <w:rPr>
          <w:rFonts w:ascii="Times New Roman" w:hAnsi="Times New Roman" w:cs="Times New Roman" w:eastAsia="Times New Roman" w:hint="default"/>
        </w:rPr>
      </w:pPr>
      <w:r>
        <w:rPr/>
        <w:t>月</w:t>
      </w:r>
      <w:r>
        <w:rPr>
          <w:spacing w:val="-46"/>
        </w:rPr>
        <w:t> </w:t>
      </w:r>
      <w:r>
        <w:rPr>
          <w:rFonts w:ascii="Times New Roman" w:hAnsi="Times New Roman" w:cs="Times New Roman" w:eastAsia="Times New Roman" w:hint="default"/>
        </w:rPr>
        <w:t>28</w:t>
      </w:r>
    </w:p>
    <w:p>
      <w:pPr>
        <w:pStyle w:val="BodyText"/>
        <w:spacing w:line="240" w:lineRule="auto" w:before="64"/>
        <w:ind w:left="82" w:right="-20"/>
        <w:jc w:val="left"/>
      </w:pP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300" w:lineRule="auto" w:before="118"/>
        <w:ind w:left="105" w:right="-20"/>
        <w:jc w:val="left"/>
      </w:pP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个 月</w:t>
      </w:r>
    </w:p>
    <w:p>
      <w:pPr>
        <w:spacing w:line="240" w:lineRule="auto" w:before="4"/>
        <w:rPr>
          <w:rFonts w:ascii="宋体" w:hAnsi="宋体" w:cs="宋体" w:eastAsia="宋体" w:hint="default"/>
          <w:sz w:val="15"/>
          <w:szCs w:val="15"/>
        </w:rPr>
      </w:pPr>
      <w:r>
        <w:rPr/>
        <w:br w:type="column"/>
      </w:r>
      <w:r>
        <w:rPr>
          <w:rFonts w:ascii="宋体"/>
          <w:sz w:val="15"/>
        </w:rPr>
      </w:r>
    </w:p>
    <w:p>
      <w:pPr>
        <w:pStyle w:val="BodyText"/>
        <w:spacing w:line="316" w:lineRule="auto"/>
        <w:ind w:left="71" w:right="1190"/>
        <w:jc w:val="both"/>
      </w:pPr>
      <w:r>
        <w:rPr/>
        <w:t>截止本报告 期末，所有 承诺人严格 信守承诺， 未出现违反 承诺的情况</w:t>
      </w:r>
    </w:p>
    <w:p>
      <w:pPr>
        <w:spacing w:after="0" w:line="316" w:lineRule="auto"/>
        <w:jc w:val="both"/>
        <w:sectPr>
          <w:type w:val="continuous"/>
          <w:pgSz w:w="11910" w:h="16840"/>
          <w:pgMar w:top="1580" w:bottom="840" w:left="0" w:right="0"/>
          <w:cols w:num="5" w:equalWidth="0">
            <w:col w:w="4257" w:space="40"/>
            <w:col w:w="4329" w:space="40"/>
            <w:col w:w="487" w:space="40"/>
            <w:col w:w="510" w:space="40"/>
            <w:col w:w="2167"/>
          </w:cols>
        </w:sectPr>
      </w:pPr>
    </w:p>
    <w:p>
      <w:pPr>
        <w:pStyle w:val="BodyText"/>
        <w:spacing w:line="316" w:lineRule="auto" w:before="107"/>
        <w:ind w:left="2327" w:right="0" w:firstLine="1749"/>
        <w:jc w:val="both"/>
      </w:pPr>
      <w:r>
        <w:rPr/>
        <w:t>股 本公司董事、监事、</w:t>
      </w:r>
      <w:r>
        <w:rPr>
          <w:spacing w:val="39"/>
        </w:rPr>
        <w:t> </w:t>
      </w:r>
      <w:r>
        <w:rPr/>
        <w:t>份</w:t>
      </w:r>
      <w:r>
        <w:rPr/>
        <w:t> 高级管理人员且为鹰</w:t>
      </w:r>
      <w:r>
        <w:rPr>
          <w:spacing w:val="39"/>
        </w:rPr>
        <w:t> </w:t>
      </w:r>
      <w:r>
        <w:rPr/>
        <w:t>限</w:t>
      </w:r>
      <w:r>
        <w:rPr/>
        <w:t> 高投资、华鹰投资、</w:t>
      </w:r>
      <w:r>
        <w:rPr>
          <w:spacing w:val="39"/>
        </w:rPr>
        <w:t> </w:t>
      </w:r>
      <w:r>
        <w:rPr/>
        <w:t>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9"/>
          <w:szCs w:val="19"/>
        </w:rPr>
      </w:pPr>
    </w:p>
    <w:p>
      <w:pPr>
        <w:pStyle w:val="BodyText"/>
        <w:spacing w:line="316" w:lineRule="auto"/>
        <w:ind w:left="187" w:right="-19"/>
        <w:jc w:val="left"/>
      </w:pPr>
      <w:r>
        <w:rPr/>
        <w:t>自本公司股票上市之日起三十六个月内，不转让或委 托他人管理其通过鹰高投资、华鹰投资、锐鹰投资间</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pStyle w:val="BodyText"/>
        <w:spacing w:line="240" w:lineRule="auto" w:before="143"/>
        <w:ind w:left="83" w:right="-20"/>
        <w:jc w:val="left"/>
        <w:rPr>
          <w:rFonts w:ascii="Times New Roman" w:hAnsi="Times New Roman" w:cs="Times New Roman" w:eastAsia="Times New Roman" w:hint="default"/>
        </w:rPr>
      </w:pPr>
      <w:r>
        <w:rPr>
          <w:rFonts w:ascii="Times New Roman"/>
        </w:rPr>
        <w:t>2015</w:t>
      </w:r>
    </w:p>
    <w:p>
      <w:pPr>
        <w:pStyle w:val="BodyText"/>
        <w:spacing w:line="240" w:lineRule="auto" w:before="64"/>
        <w:ind w:left="83" w:right="-20"/>
        <w:jc w:val="left"/>
        <w:rPr>
          <w:rFonts w:ascii="Times New Roman" w:hAnsi="Times New Roman" w:cs="Times New Roman" w:eastAsia="Times New Roman" w:hint="default"/>
        </w:rPr>
      </w:pPr>
      <w:r>
        <w:rPr/>
        <w:t>年</w:t>
      </w:r>
      <w:r>
        <w:rPr>
          <w:spacing w:val="-46"/>
        </w:rPr>
        <w:t> </w:t>
      </w:r>
      <w:r>
        <w:rPr>
          <w:rFonts w:ascii="Times New Roman" w:hAnsi="Times New Roman" w:cs="Times New Roman" w:eastAsia="Times New Roman" w:hint="default"/>
        </w:rPr>
        <w:t>05</w:t>
      </w:r>
    </w:p>
    <w:p>
      <w:pPr>
        <w:pStyle w:val="BodyText"/>
        <w:spacing w:line="212" w:lineRule="exact" w:before="63"/>
        <w:ind w:left="83" w:right="-20"/>
        <w:jc w:val="left"/>
        <w:rPr>
          <w:rFonts w:ascii="Times New Roman" w:hAnsi="Times New Roman" w:cs="Times New Roman" w:eastAsia="Times New Roman" w:hint="default"/>
        </w:rPr>
      </w:pPr>
      <w:r>
        <w:rPr/>
        <w:t>月</w:t>
      </w:r>
      <w:r>
        <w:rPr>
          <w:spacing w:val="-46"/>
        </w:rPr>
        <w:t> </w:t>
      </w:r>
      <w:r>
        <w:rPr>
          <w:rFonts w:ascii="Times New Roman" w:hAnsi="Times New Roman" w:cs="Times New Roman" w:eastAsia="Times New Roman" w:hint="default"/>
        </w:rPr>
        <w:t>28</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18"/>
          <w:szCs w:val="18"/>
        </w:rPr>
      </w:pPr>
    </w:p>
    <w:p>
      <w:pPr>
        <w:pStyle w:val="BodyText"/>
        <w:spacing w:line="300" w:lineRule="atLeast"/>
        <w:ind w:left="105" w:right="-20"/>
        <w:jc w:val="left"/>
      </w:pPr>
      <w:r>
        <w:rPr>
          <w:rFonts w:ascii="Times New Roman" w:hAnsi="Times New Roman" w:cs="Times New Roman" w:eastAsia="Times New Roman" w:hint="default"/>
        </w:rPr>
        <w:t>36</w:t>
      </w:r>
      <w:r>
        <w:rPr>
          <w:rFonts w:ascii="Times New Roman" w:hAnsi="Times New Roman" w:cs="Times New Roman" w:eastAsia="Times New Roman" w:hint="default"/>
          <w:spacing w:val="-1"/>
        </w:rPr>
        <w:t> </w:t>
      </w:r>
      <w:r>
        <w:rPr/>
        <w:t>个 月</w:t>
      </w:r>
    </w:p>
    <w:p>
      <w:pPr>
        <w:spacing w:line="240" w:lineRule="auto" w:before="1"/>
        <w:rPr>
          <w:rFonts w:ascii="宋体" w:hAnsi="宋体" w:cs="宋体" w:eastAsia="宋体" w:hint="default"/>
          <w:sz w:val="20"/>
          <w:szCs w:val="20"/>
        </w:rPr>
      </w:pPr>
      <w:r>
        <w:rPr/>
        <w:br w:type="column"/>
      </w:r>
      <w:r>
        <w:rPr>
          <w:rFonts w:ascii="宋体"/>
          <w:sz w:val="20"/>
        </w:rPr>
      </w:r>
    </w:p>
    <w:p>
      <w:pPr>
        <w:pStyle w:val="BodyText"/>
        <w:spacing w:line="316" w:lineRule="auto"/>
        <w:ind w:left="71" w:right="1190"/>
        <w:jc w:val="both"/>
      </w:pPr>
      <w:r>
        <w:rPr/>
        <w:t>截止本报告 期末，所有 承诺人严格</w:t>
      </w:r>
    </w:p>
    <w:p>
      <w:pPr>
        <w:pStyle w:val="BodyText"/>
        <w:spacing w:line="212" w:lineRule="exact" w:before="19"/>
        <w:ind w:left="71" w:right="0"/>
        <w:jc w:val="both"/>
      </w:pPr>
      <w:r>
        <w:rPr/>
        <w:t>信守承诺，</w:t>
      </w:r>
    </w:p>
    <w:p>
      <w:pPr>
        <w:spacing w:after="0" w:line="212" w:lineRule="exact"/>
        <w:jc w:val="both"/>
        <w:sectPr>
          <w:type w:val="continuous"/>
          <w:pgSz w:w="11910" w:h="16840"/>
          <w:pgMar w:top="1580" w:bottom="840" w:left="0" w:right="0"/>
          <w:cols w:num="5" w:equalWidth="0">
            <w:col w:w="4257" w:space="40"/>
            <w:col w:w="4329" w:space="40"/>
            <w:col w:w="488" w:space="40"/>
            <w:col w:w="510" w:space="40"/>
            <w:col w:w="2166"/>
          </w:cols>
        </w:sectPr>
      </w:pPr>
    </w:p>
    <w:p>
      <w:pPr>
        <w:pStyle w:val="BodyText"/>
        <w:spacing w:line="155" w:lineRule="exact"/>
        <w:ind w:left="0" w:right="0"/>
        <w:jc w:val="right"/>
      </w:pPr>
      <w:r>
        <w:rPr/>
        <w:t>锐鹰投资股东的相关</w:t>
      </w:r>
      <w:r>
        <w:rPr>
          <w:spacing w:val="39"/>
        </w:rPr>
        <w:t> </w:t>
      </w:r>
      <w:r>
        <w:rPr/>
        <w:t>的</w:t>
      </w:r>
    </w:p>
    <w:p>
      <w:pPr>
        <w:pStyle w:val="BodyText"/>
        <w:tabs>
          <w:tab w:pos="1749" w:val="left" w:leader="none"/>
        </w:tabs>
        <w:spacing w:line="240" w:lineRule="auto" w:before="77"/>
        <w:ind w:left="0" w:right="0"/>
        <w:jc w:val="right"/>
      </w:pPr>
      <w:r>
        <w:rPr/>
        <w:t>人员</w:t>
        <w:tab/>
        <w:t>承</w:t>
      </w:r>
    </w:p>
    <w:p>
      <w:pPr>
        <w:pStyle w:val="BodyText"/>
        <w:spacing w:line="240" w:lineRule="auto" w:before="76"/>
        <w:ind w:left="3916" w:right="0"/>
        <w:jc w:val="right"/>
      </w:pPr>
      <w:r>
        <w:rPr/>
        <w:t>诺</w:t>
      </w:r>
    </w:p>
    <w:p>
      <w:pPr>
        <w:pStyle w:val="BodyText"/>
        <w:spacing w:line="116" w:lineRule="exact"/>
        <w:ind w:left="187" w:right="0"/>
        <w:jc w:val="left"/>
      </w:pPr>
      <w:r>
        <w:rPr/>
        <w:br w:type="column"/>
      </w:r>
      <w:r>
        <w:rPr/>
        <w:t>接持有的本公司股份，也不由本公司回购该部分股份。</w:t>
      </w:r>
    </w:p>
    <w:p>
      <w:pPr>
        <w:pStyle w:val="BodyText"/>
        <w:spacing w:line="196" w:lineRule="exact"/>
        <w:ind w:left="0" w:right="0"/>
        <w:jc w:val="right"/>
      </w:pPr>
      <w:r>
        <w:rPr/>
        <w:t>日</w:t>
      </w:r>
    </w:p>
    <w:p>
      <w:pPr>
        <w:pStyle w:val="BodyText"/>
        <w:spacing w:line="319" w:lineRule="auto" w:before="75"/>
        <w:ind w:left="845" w:right="1173"/>
        <w:jc w:val="left"/>
      </w:pPr>
      <w:r>
        <w:rPr/>
        <w:br w:type="column"/>
      </w:r>
      <w:r>
        <w:rPr/>
        <w:t>未出现违反 承诺的情况</w:t>
      </w:r>
    </w:p>
    <w:p>
      <w:pPr>
        <w:spacing w:after="0" w:line="319" w:lineRule="auto"/>
        <w:jc w:val="left"/>
        <w:sectPr>
          <w:type w:val="continuous"/>
          <w:pgSz w:w="11910" w:h="16840"/>
          <w:pgMar w:top="1580" w:bottom="840" w:left="0" w:right="0"/>
          <w:cols w:num="3" w:equalWidth="0">
            <w:col w:w="4257" w:space="40"/>
            <w:col w:w="4632" w:space="40"/>
            <w:col w:w="2941"/>
          </w:cols>
        </w:sectPr>
      </w:pPr>
    </w:p>
    <w:p>
      <w:pPr>
        <w:spacing w:line="240" w:lineRule="auto" w:before="4"/>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580" w:bottom="840" w:left="0" w:right="0"/>
        </w:sectPr>
      </w:pPr>
    </w:p>
    <w:p>
      <w:pPr>
        <w:pStyle w:val="BodyText"/>
        <w:tabs>
          <w:tab w:pos="4076" w:val="left" w:leader="none"/>
        </w:tabs>
        <w:spacing w:line="316" w:lineRule="auto" w:before="44"/>
        <w:ind w:left="2327" w:right="0" w:firstLine="1749"/>
        <w:jc w:val="right"/>
      </w:pPr>
      <w:r>
        <w:rPr/>
        <w:t>股 本公司董事、监事、</w:t>
      </w:r>
      <w:r>
        <w:rPr>
          <w:spacing w:val="39"/>
        </w:rPr>
        <w:t> </w:t>
      </w:r>
      <w:r>
        <w:rPr/>
        <w:t>份</w:t>
      </w:r>
      <w:r>
        <w:rPr/>
        <w:t> 高级管理人员且为鹰</w:t>
      </w:r>
      <w:r>
        <w:rPr>
          <w:spacing w:val="39"/>
        </w:rPr>
        <w:t> </w:t>
      </w:r>
      <w:r>
        <w:rPr/>
        <w:t>限</w:t>
      </w:r>
      <w:r>
        <w:rPr/>
        <w:t> 伟投资、鹰达投资、</w:t>
      </w:r>
      <w:r>
        <w:rPr>
          <w:spacing w:val="39"/>
        </w:rPr>
        <w:t> </w:t>
      </w:r>
      <w:r>
        <w:rPr/>
        <w:t>售</w:t>
      </w:r>
      <w:r>
        <w:rPr/>
        <w:t> 鹰飞投资、鹰杰投资</w:t>
      </w:r>
      <w:r>
        <w:rPr>
          <w:spacing w:val="39"/>
        </w:rPr>
        <w:t> </w:t>
      </w:r>
      <w:r>
        <w:rPr/>
        <w:t>的</w:t>
      </w:r>
      <w:r>
        <w:rPr/>
        <w:t> 股东的相关人员</w:t>
        <w:tab/>
        <w:t>承 诺</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21"/>
          <w:szCs w:val="21"/>
        </w:rPr>
      </w:pPr>
    </w:p>
    <w:p>
      <w:pPr>
        <w:pStyle w:val="BodyText"/>
        <w:spacing w:line="316" w:lineRule="auto"/>
        <w:ind w:left="187" w:right="0"/>
        <w:jc w:val="both"/>
      </w:pPr>
      <w:r>
        <w:rPr/>
        <w:t>自本公司股票上市之日起十二个月内，不转让或委托 他人管理其通过鹰伟投资、鹰达投资、鹰飞投资、鹰 杰投资间接持有的本公司股份，也不由本公司回购该 部分股份。</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3"/>
        <w:rPr>
          <w:rFonts w:ascii="宋体" w:hAnsi="宋体" w:cs="宋体" w:eastAsia="宋体" w:hint="default"/>
          <w:sz w:val="24"/>
          <w:szCs w:val="24"/>
        </w:rPr>
      </w:pPr>
    </w:p>
    <w:p>
      <w:pPr>
        <w:pStyle w:val="BodyText"/>
        <w:spacing w:line="240" w:lineRule="auto"/>
        <w:ind w:left="83" w:right="-20"/>
        <w:jc w:val="left"/>
        <w:rPr>
          <w:rFonts w:ascii="Times New Roman" w:hAnsi="Times New Roman" w:cs="Times New Roman" w:eastAsia="Times New Roman" w:hint="default"/>
        </w:rPr>
      </w:pPr>
      <w:r>
        <w:rPr>
          <w:rFonts w:ascii="Times New Roman"/>
        </w:rPr>
        <w:t>2015</w:t>
      </w:r>
    </w:p>
    <w:p>
      <w:pPr>
        <w:pStyle w:val="BodyText"/>
        <w:spacing w:line="240" w:lineRule="auto" w:before="64"/>
        <w:ind w:left="83" w:right="-20"/>
        <w:jc w:val="left"/>
        <w:rPr>
          <w:rFonts w:ascii="Times New Roman" w:hAnsi="Times New Roman" w:cs="Times New Roman" w:eastAsia="Times New Roman" w:hint="default"/>
        </w:rPr>
      </w:pPr>
      <w:r>
        <w:rPr/>
        <w:t>年</w:t>
      </w:r>
      <w:r>
        <w:rPr>
          <w:spacing w:val="-46"/>
        </w:rPr>
        <w:t> </w:t>
      </w:r>
      <w:r>
        <w:rPr>
          <w:rFonts w:ascii="Times New Roman" w:hAnsi="Times New Roman" w:cs="Times New Roman" w:eastAsia="Times New Roman" w:hint="default"/>
        </w:rPr>
        <w:t>05</w:t>
      </w:r>
    </w:p>
    <w:p>
      <w:pPr>
        <w:pStyle w:val="BodyText"/>
        <w:spacing w:line="240" w:lineRule="auto" w:before="63"/>
        <w:ind w:left="83" w:right="-20"/>
        <w:jc w:val="left"/>
        <w:rPr>
          <w:rFonts w:ascii="Times New Roman" w:hAnsi="Times New Roman" w:cs="Times New Roman" w:eastAsia="Times New Roman" w:hint="default"/>
        </w:rPr>
      </w:pPr>
      <w:r>
        <w:rPr/>
        <w:t>月</w:t>
      </w:r>
      <w:r>
        <w:rPr>
          <w:spacing w:val="-46"/>
        </w:rPr>
        <w:t> </w:t>
      </w:r>
      <w:r>
        <w:rPr>
          <w:rFonts w:ascii="Times New Roman" w:hAnsi="Times New Roman" w:cs="Times New Roman" w:eastAsia="Times New Roman" w:hint="default"/>
        </w:rPr>
        <w:t>28</w:t>
      </w:r>
    </w:p>
    <w:p>
      <w:pPr>
        <w:pStyle w:val="BodyText"/>
        <w:spacing w:line="240" w:lineRule="auto" w:before="64"/>
        <w:ind w:left="83" w:right="-20"/>
        <w:jc w:val="left"/>
      </w:pP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300" w:lineRule="auto" w:before="118"/>
        <w:ind w:left="105" w:right="-20"/>
        <w:jc w:val="left"/>
      </w:pP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个 月</w:t>
      </w:r>
    </w:p>
    <w:p>
      <w:pPr>
        <w:spacing w:line="240" w:lineRule="auto" w:before="4"/>
        <w:rPr>
          <w:rFonts w:ascii="宋体" w:hAnsi="宋体" w:cs="宋体" w:eastAsia="宋体" w:hint="default"/>
          <w:sz w:val="15"/>
          <w:szCs w:val="15"/>
        </w:rPr>
      </w:pPr>
      <w:r>
        <w:rPr/>
        <w:br w:type="column"/>
      </w:r>
      <w:r>
        <w:rPr>
          <w:rFonts w:ascii="宋体"/>
          <w:sz w:val="15"/>
        </w:rPr>
      </w:r>
    </w:p>
    <w:p>
      <w:pPr>
        <w:pStyle w:val="BodyText"/>
        <w:spacing w:line="316" w:lineRule="auto"/>
        <w:ind w:left="71" w:right="1190"/>
        <w:jc w:val="both"/>
      </w:pPr>
      <w:r>
        <w:rPr/>
        <w:t>截止本报告 期末，所有 承诺人严格 信守承诺， 未出现违反 承诺的情况</w:t>
      </w:r>
    </w:p>
    <w:p>
      <w:pPr>
        <w:spacing w:after="0" w:line="316" w:lineRule="auto"/>
        <w:jc w:val="both"/>
        <w:sectPr>
          <w:type w:val="continuous"/>
          <w:pgSz w:w="11910" w:h="16840"/>
          <w:pgMar w:top="1580" w:bottom="840" w:left="0" w:right="0"/>
          <w:cols w:num="5" w:equalWidth="0">
            <w:col w:w="4257" w:space="40"/>
            <w:col w:w="4329" w:space="40"/>
            <w:col w:w="488" w:space="40"/>
            <w:col w:w="510" w:space="40"/>
            <w:col w:w="2166"/>
          </w:cols>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5"/>
          <w:szCs w:val="25"/>
        </w:rPr>
      </w:pPr>
    </w:p>
    <w:p>
      <w:pPr>
        <w:pStyle w:val="BodyText"/>
        <w:spacing w:line="196" w:lineRule="exact"/>
        <w:ind w:left="3916" w:right="0"/>
        <w:jc w:val="right"/>
      </w:pPr>
      <w:r>
        <w:rPr/>
        <w:t>股</w:t>
      </w:r>
    </w:p>
    <w:p>
      <w:pPr>
        <w:pStyle w:val="BodyText"/>
        <w:spacing w:line="155" w:lineRule="exact"/>
        <w:ind w:left="2327" w:right="-20"/>
        <w:jc w:val="left"/>
      </w:pPr>
      <w:r>
        <w:rPr/>
        <w:t>本公司董事、监事、</w:t>
      </w:r>
    </w:p>
    <w:p>
      <w:pPr>
        <w:pStyle w:val="BodyText"/>
        <w:spacing w:line="155" w:lineRule="exact"/>
        <w:ind w:left="3916" w:right="0"/>
        <w:jc w:val="right"/>
      </w:pPr>
      <w:r>
        <w:rPr/>
        <w:t>份</w:t>
      </w:r>
    </w:p>
    <w:p>
      <w:pPr>
        <w:pStyle w:val="BodyText"/>
        <w:spacing w:line="156" w:lineRule="exact"/>
        <w:ind w:left="2327" w:right="-20"/>
        <w:jc w:val="left"/>
      </w:pPr>
      <w:r>
        <w:rPr/>
        <w:t>高级管理人员于伟、</w:t>
      </w:r>
    </w:p>
    <w:p>
      <w:pPr>
        <w:pStyle w:val="BodyText"/>
        <w:spacing w:line="156" w:lineRule="exact"/>
        <w:ind w:left="3916" w:right="0"/>
        <w:jc w:val="right"/>
      </w:pPr>
      <w:r>
        <w:rPr/>
        <w:t>减</w:t>
      </w:r>
    </w:p>
    <w:p>
      <w:pPr>
        <w:pStyle w:val="BodyText"/>
        <w:spacing w:line="163" w:lineRule="exact"/>
        <w:ind w:left="2327" w:right="-20"/>
        <w:jc w:val="left"/>
        <w:rPr>
          <w:rFonts w:ascii="Times New Roman" w:hAnsi="Times New Roman" w:cs="Times New Roman" w:eastAsia="Times New Roman" w:hint="default"/>
        </w:rPr>
      </w:pPr>
      <w:r>
        <w:rPr/>
        <w:t>张小玲、</w:t>
      </w:r>
      <w:r>
        <w:rPr>
          <w:rFonts w:ascii="Times New Roman" w:hAnsi="Times New Roman" w:cs="Times New Roman" w:eastAsia="Times New Roman" w:hint="default"/>
        </w:rPr>
        <w:t>Kwong</w:t>
      </w:r>
      <w:r>
        <w:rPr>
          <w:rFonts w:ascii="Times New Roman" w:hAnsi="Times New Roman" w:cs="Times New Roman" w:eastAsia="Times New Roman" w:hint="default"/>
          <w:spacing w:val="-7"/>
        </w:rPr>
        <w:t> </w:t>
      </w:r>
      <w:r>
        <w:rPr>
          <w:rFonts w:ascii="Times New Roman" w:hAnsi="Times New Roman" w:cs="Times New Roman" w:eastAsia="Times New Roman" w:hint="default"/>
          <w:spacing w:val="-5"/>
        </w:rPr>
        <w:t>Yong</w:t>
      </w:r>
    </w:p>
    <w:p>
      <w:pPr>
        <w:pStyle w:val="BodyText"/>
        <w:spacing w:line="149" w:lineRule="exact"/>
        <w:ind w:left="3916" w:right="0"/>
        <w:jc w:val="right"/>
      </w:pPr>
      <w:r>
        <w:rPr/>
        <w:t>持</w:t>
      </w:r>
    </w:p>
    <w:p>
      <w:pPr>
        <w:pStyle w:val="BodyText"/>
        <w:spacing w:line="163" w:lineRule="exact"/>
        <w:ind w:left="2327" w:right="-20"/>
        <w:jc w:val="left"/>
      </w:pPr>
      <w:r>
        <w:rPr>
          <w:rFonts w:ascii="Times New Roman" w:hAnsi="Times New Roman" w:cs="Times New Roman" w:eastAsia="Times New Roman" w:hint="default"/>
          <w:w w:val="99"/>
        </w:rPr>
        <w:t>Si</w:t>
      </w:r>
      <w:r>
        <w:rPr>
          <w:rFonts w:ascii="Times New Roman" w:hAnsi="Times New Roman" w:cs="Times New Roman" w:eastAsia="Times New Roman" w:hint="default"/>
          <w:spacing w:val="-83"/>
        </w:rPr>
        <w:t>n</w:t>
      </w:r>
      <w:r>
        <w:rPr/>
        <w:t>（关银星</w:t>
      </w:r>
      <w:r>
        <w:rPr>
          <w:spacing w:val="-90"/>
        </w:rPr>
        <w:t>）</w:t>
      </w:r>
      <w:r>
        <w:rPr>
          <w:spacing w:val="-83"/>
        </w:rPr>
        <w:t>、</w:t>
      </w:r>
      <w:r>
        <w:rPr/>
        <w:t>张文利、</w:t>
      </w:r>
    </w:p>
    <w:p>
      <w:pPr>
        <w:pStyle w:val="BodyText"/>
        <w:spacing w:line="158" w:lineRule="auto" w:before="25"/>
        <w:ind w:left="2327" w:right="-20" w:firstLine="1749"/>
        <w:jc w:val="left"/>
      </w:pPr>
      <w:r>
        <w:rPr/>
        <w:t>的 孙文、赵永莉、程军、</w:t>
      </w:r>
    </w:p>
    <w:p>
      <w:pPr>
        <w:pStyle w:val="BodyText"/>
        <w:spacing w:line="125" w:lineRule="exact"/>
        <w:ind w:left="3916" w:right="0"/>
        <w:jc w:val="right"/>
      </w:pPr>
      <w:r>
        <w:rPr/>
        <w:t>承</w:t>
      </w:r>
    </w:p>
    <w:p>
      <w:pPr>
        <w:pStyle w:val="BodyText"/>
        <w:spacing w:line="157" w:lineRule="exact"/>
        <w:ind w:left="2327" w:right="-20"/>
        <w:jc w:val="left"/>
      </w:pPr>
      <w:r>
        <w:rPr/>
        <w:t>李勇、孙颖、武京双</w:t>
      </w:r>
    </w:p>
    <w:p>
      <w:pPr>
        <w:pStyle w:val="BodyText"/>
        <w:spacing w:line="196" w:lineRule="exact"/>
        <w:ind w:left="3916" w:right="0"/>
        <w:jc w:val="right"/>
      </w:pPr>
      <w:r>
        <w:rPr/>
        <w:t>诺</w:t>
      </w:r>
    </w:p>
    <w:p>
      <w:pPr>
        <w:pStyle w:val="BodyText"/>
        <w:spacing w:line="316" w:lineRule="auto" w:before="109"/>
        <w:ind w:left="187" w:right="50"/>
        <w:jc w:val="both"/>
      </w:pPr>
      <w:r>
        <w:rPr/>
        <w:br w:type="column"/>
      </w:r>
      <w:r>
        <w:rPr/>
        <w:t>前述锁定期限届满后，在任职期间每年转让的股份不 超过其间接所持股份总数的</w:t>
      </w:r>
      <w:r>
        <w:rPr>
          <w:spacing w:val="-46"/>
        </w:rPr>
        <w:t> </w:t>
      </w:r>
      <w:r>
        <w:rPr>
          <w:rFonts w:ascii="Times New Roman" w:hAnsi="Times New Roman" w:cs="Times New Roman" w:eastAsia="Times New Roman" w:hint="default"/>
        </w:rPr>
        <w:t>25%</w:t>
      </w:r>
      <w:r>
        <w:rPr/>
        <w:t>，离职后半年内不转 让其间接所持有的公司股份。如果其在本公司首次公 开发行股票上市之日起六个月内申报离职的，自申报 离职之日起十八个月内不转让其间接持有的本公司股 份；在首次公开发行股票上市之日起第七个月至第十 二个月之间申报离职的，自申报离职之日起十二个月 内不转让其间接持有的公司股份。因本公司进行权益 分派等导致其间接持有的本公司股份发生变化的，仍 遵守上述承诺。本人所持公司股票在锁定期满后两年 内减持的，减持价格不低于发行价。公司上市后</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个</w:t>
      </w:r>
    </w:p>
    <w:p>
      <w:pPr>
        <w:pStyle w:val="BodyText"/>
        <w:spacing w:line="248" w:lineRule="exact"/>
        <w:ind w:left="187" w:right="0"/>
        <w:jc w:val="both"/>
      </w:pPr>
      <w:r>
        <w:rPr/>
        <w:t>月内如公司股票连续</w:t>
      </w:r>
      <w:r>
        <w:rPr>
          <w:spacing w:val="-56"/>
        </w:rPr>
        <w:t> </w:t>
      </w:r>
      <w:r>
        <w:rPr>
          <w:rFonts w:ascii="Times New Roman" w:hAnsi="Times New Roman" w:cs="Times New Roman" w:eastAsia="Times New Roman" w:hint="default"/>
        </w:rPr>
        <w:t>20</w:t>
      </w:r>
      <w:r>
        <w:rPr>
          <w:rFonts w:ascii="Times New Roman" w:hAnsi="Times New Roman" w:cs="Times New Roman" w:eastAsia="Times New Roman" w:hint="default"/>
          <w:spacing w:val="-12"/>
        </w:rPr>
        <w:t> </w:t>
      </w:r>
      <w:r>
        <w:rPr/>
        <w:t>个交易日的收盘价均低于发行</w:t>
      </w:r>
    </w:p>
    <w:p>
      <w:pPr>
        <w:pStyle w:val="BodyText"/>
        <w:spacing w:line="240" w:lineRule="auto" w:before="63"/>
        <w:ind w:left="187" w:right="0"/>
        <w:jc w:val="both"/>
      </w:pPr>
      <w:r>
        <w:rPr/>
        <w:t>价，或者上市后</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个月期末收盘价低于发行价，本人</w:t>
      </w:r>
    </w:p>
    <w:p>
      <w:pPr>
        <w:pStyle w:val="BodyText"/>
        <w:spacing w:line="309" w:lineRule="auto" w:before="63"/>
        <w:ind w:left="187" w:right="65"/>
        <w:jc w:val="both"/>
      </w:pPr>
      <w:r>
        <w:rPr/>
        <w:t>持有公司股票的锁定期限自动延长</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个月。上述减持 价格和股份锁定承诺不因本人职务变更、离职等原因 放弃履行承诺。</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36"/>
        <w:ind w:left="15" w:right="-20"/>
        <w:jc w:val="left"/>
        <w:rPr>
          <w:rFonts w:ascii="Times New Roman" w:hAnsi="Times New Roman" w:cs="Times New Roman" w:eastAsia="Times New Roman" w:hint="default"/>
        </w:rPr>
      </w:pPr>
      <w:r>
        <w:rPr>
          <w:rFonts w:ascii="Times New Roman"/>
        </w:rPr>
        <w:t>2015</w:t>
      </w:r>
    </w:p>
    <w:p>
      <w:pPr>
        <w:pStyle w:val="BodyText"/>
        <w:spacing w:line="203" w:lineRule="exact" w:before="64"/>
        <w:ind w:left="15" w:right="-20"/>
        <w:jc w:val="left"/>
        <w:rPr>
          <w:rFonts w:ascii="Times New Roman" w:hAnsi="Times New Roman" w:cs="Times New Roman" w:eastAsia="Times New Roman" w:hint="default"/>
        </w:rPr>
      </w:pPr>
      <w:r>
        <w:rPr/>
        <w:t>年</w:t>
      </w:r>
      <w:r>
        <w:rPr>
          <w:spacing w:val="-46"/>
        </w:rPr>
        <w:t> </w:t>
      </w:r>
      <w:r>
        <w:rPr>
          <w:rFonts w:ascii="Times New Roman" w:hAnsi="Times New Roman" w:cs="Times New Roman" w:eastAsia="Times New Roman" w:hint="default"/>
        </w:rPr>
        <w:t>05</w:t>
      </w:r>
    </w:p>
    <w:p>
      <w:pPr>
        <w:pStyle w:val="BodyText"/>
        <w:spacing w:line="149" w:lineRule="exact"/>
        <w:ind w:left="565" w:right="-20"/>
        <w:jc w:val="left"/>
      </w:pPr>
      <w:r>
        <w:rPr/>
        <w:t>长期</w:t>
      </w:r>
    </w:p>
    <w:p>
      <w:pPr>
        <w:pStyle w:val="BodyText"/>
        <w:spacing w:line="209" w:lineRule="exact"/>
        <w:ind w:left="15" w:right="-20"/>
        <w:jc w:val="left"/>
        <w:rPr>
          <w:rFonts w:ascii="Times New Roman" w:hAnsi="Times New Roman" w:cs="Times New Roman" w:eastAsia="Times New Roman" w:hint="default"/>
        </w:rPr>
      </w:pPr>
      <w:r>
        <w:rPr/>
        <w:t>月</w:t>
      </w:r>
      <w:r>
        <w:rPr>
          <w:spacing w:val="-46"/>
        </w:rPr>
        <w:t> </w:t>
      </w:r>
      <w:r>
        <w:rPr>
          <w:rFonts w:ascii="Times New Roman" w:hAnsi="Times New Roman" w:cs="Times New Roman" w:eastAsia="Times New Roman" w:hint="default"/>
        </w:rPr>
        <w:t>28</w:t>
      </w:r>
    </w:p>
    <w:p>
      <w:pPr>
        <w:pStyle w:val="BodyText"/>
        <w:spacing w:line="240" w:lineRule="auto" w:before="64"/>
        <w:ind w:left="15" w:right="-20"/>
        <w:jc w:val="left"/>
      </w:pP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9"/>
          <w:szCs w:val="19"/>
        </w:rPr>
      </w:pPr>
    </w:p>
    <w:p>
      <w:pPr>
        <w:pStyle w:val="BodyText"/>
        <w:spacing w:line="316" w:lineRule="auto"/>
        <w:ind w:left="115" w:right="1190"/>
        <w:jc w:val="both"/>
      </w:pPr>
      <w:r>
        <w:rPr/>
        <w:t>截止本报告 期末，所有 承诺人严格 信守承诺， 未出现违反 承诺的情况</w:t>
      </w:r>
    </w:p>
    <w:p>
      <w:pPr>
        <w:spacing w:after="0" w:line="316" w:lineRule="auto"/>
        <w:jc w:val="both"/>
        <w:sectPr>
          <w:type w:val="continuous"/>
          <w:pgSz w:w="11910" w:h="16840"/>
          <w:pgMar w:top="1580" w:bottom="840" w:left="0" w:right="0"/>
          <w:cols w:num="4" w:equalWidth="0">
            <w:col w:w="4257" w:space="40"/>
            <w:col w:w="4396" w:space="40"/>
            <w:col w:w="926" w:space="40"/>
            <w:col w:w="2211"/>
          </w:cols>
        </w:sectPr>
      </w:pPr>
    </w:p>
    <w:p>
      <w:pPr>
        <w:pStyle w:val="BodyText"/>
        <w:spacing w:line="240" w:lineRule="auto" w:before="114"/>
        <w:ind w:left="1161" w:right="0"/>
        <w:jc w:val="left"/>
      </w:pPr>
      <w:r>
        <w:rPr/>
        <w:pict>
          <v:group style="position:absolute;margin-left:56.459999pt;margin-top:71.759979pt;width:483.85pt;height:683.8pt;mso-position-horizontal-relative:page;mso-position-vertical-relative:page;z-index:-842632" coordorigin="1129,1435" coordsize="9677,13676">
            <v:group style="position:absolute;left:1139;top:1450;width:1156;height:665" coordorigin="1139,1450" coordsize="1156,665">
              <v:shape style="position:absolute;left:1139;top:1450;width:1156;height:665" coordorigin="1139,1450" coordsize="1156,665" path="m1139,2114l2295,2114,2295,1450,1139,1450,1139,2114xe" filled="true" fillcolor="#d2d2d2" stroked="false">
                <v:path arrowok="t"/>
                <v:fill type="solid"/>
              </v:shape>
            </v:group>
            <v:group style="position:absolute;left:2304;top:1450;width:1740;height:665" coordorigin="2304,1450" coordsize="1740,665">
              <v:shape style="position:absolute;left:2304;top:1450;width:1740;height:665" coordorigin="2304,1450" coordsize="1740,665" path="m2304,2114l4044,2114,4044,1450,2304,1450,2304,2114xe" filled="true" fillcolor="#c6eccc" stroked="false">
                <v:path arrowok="t"/>
                <v:fill type="solid"/>
              </v:shape>
            </v:group>
            <v:group style="position:absolute;left:4065;top:1450;width:2;height:665" coordorigin="4065,1450" coordsize="2,665">
              <v:shape style="position:absolute;left:4065;top:1450;width:2;height:665" coordorigin="4065,1450" coordsize="0,665" path="m4065,1450l4065,2114e" filled="false" stroked="true" strokeweight="1.140pt" strokecolor="#c6eccc">
                <v:path arrowok="t"/>
              </v:shape>
            </v:group>
            <v:group style="position:absolute;left:4440;top:1450;width:2;height:665" coordorigin="4440,1450" coordsize="2,665">
              <v:shape style="position:absolute;left:4440;top:1450;width:2;height:665" coordorigin="4440,1450" coordsize="0,665" path="m4440,1450l4440,2114e" filled="false" stroked="true" strokeweight="1.140pt" strokecolor="#c6eccc">
                <v:path arrowok="t"/>
              </v:shape>
            </v:group>
            <v:group style="position:absolute;left:4077;top:1450;width:352;height:312" coordorigin="4077,1450" coordsize="352,312">
              <v:shape style="position:absolute;left:4077;top:1450;width:352;height:312" coordorigin="4077,1450" coordsize="352,312" path="m4077,1762l4428,1762,4428,1450,4077,1450,4077,1762xe" filled="true" fillcolor="#c6eccc" stroked="false">
                <v:path arrowok="t"/>
                <v:fill type="solid"/>
              </v:shape>
            </v:group>
            <v:group style="position:absolute;left:4077;top:1762;width:352;height:353" coordorigin="4077,1762" coordsize="352,353">
              <v:shape style="position:absolute;left:4077;top:1762;width:352;height:353" coordorigin="4077,1762" coordsize="352,353" path="m4077,2114l4428,2114,4428,1762,4077,1762,4077,2114xe" filled="true" fillcolor="#c6eccc" stroked="false">
                <v:path arrowok="t"/>
                <v:fill type="solid"/>
              </v:shape>
            </v:group>
            <v:group style="position:absolute;left:4462;top:1450;width:4254;height:665" coordorigin="4462,1450" coordsize="4254,665">
              <v:shape style="position:absolute;left:4462;top:1450;width:4254;height:665" coordorigin="4462,1450" coordsize="4254,665" path="m4462,2114l8716,2114,8716,1450,4462,1450,4462,2114xe" filled="true" fillcolor="#c6eccc" stroked="false">
                <v:path arrowok="t"/>
                <v:fill type="solid"/>
              </v:shape>
            </v:group>
            <v:group style="position:absolute;left:1139;top:1445;width:1156;height:2" coordorigin="1139,1445" coordsize="1156,2">
              <v:shape style="position:absolute;left:1139;top:1445;width:1156;height:2" coordorigin="1139,1445" coordsize="1156,0" path="m1139,1445l2295,1445e" filled="false" stroked="true" strokeweight=".48pt" strokecolor="#000000">
                <v:path arrowok="t"/>
              </v:shape>
            </v:group>
            <v:group style="position:absolute;left:2304;top:1445;width:1740;height:2" coordorigin="2304,1445" coordsize="1740,2">
              <v:shape style="position:absolute;left:2304;top:1445;width:1740;height:2" coordorigin="2304,1445" coordsize="1740,0" path="m2304,1445l4044,1445e" filled="false" stroked="true" strokeweight=".48pt" strokecolor="#000000">
                <v:path arrowok="t"/>
              </v:shape>
            </v:group>
            <v:group style="position:absolute;left:4054;top:1445;width:398;height:2" coordorigin="4054,1445" coordsize="398,2">
              <v:shape style="position:absolute;left:4054;top:1445;width:398;height:2" coordorigin="4054,1445" coordsize="398,0" path="m4054,1445l4451,1445e" filled="false" stroked="true" strokeweight=".48pt" strokecolor="#000000">
                <v:path arrowok="t"/>
              </v:shape>
            </v:group>
            <v:group style="position:absolute;left:4461;top:1445;width:4255;height:2" coordorigin="4461,1445" coordsize="4255,2">
              <v:shape style="position:absolute;left:4461;top:1445;width:4255;height:2" coordorigin="4461,1445" coordsize="4255,0" path="m4461,1445l8716,1445e" filled="false" stroked="true" strokeweight=".48pt" strokecolor="#000000">
                <v:path arrowok="t"/>
              </v:shape>
            </v:group>
            <v:group style="position:absolute;left:9275;top:1450;width:507;height:665" coordorigin="9275,1450" coordsize="507,665">
              <v:shape style="position:absolute;left:9275;top:1450;width:507;height:665" coordorigin="9275,1450" coordsize="507,665" path="m9275,2114l9781,2114,9781,1450,9275,1450,9275,2114xe" filled="true" fillcolor="#c6eccc" stroked="false">
                <v:path arrowok="t"/>
                <v:fill type="solid"/>
              </v:shape>
            </v:group>
            <v:group style="position:absolute;left:9802;top:1450;width:2;height:353" coordorigin="9802,1450" coordsize="2,353">
              <v:shape style="position:absolute;left:9802;top:1450;width:2;height:353" coordorigin="9802,1450" coordsize="0,353" path="m9802,1450l9802,1802e" filled="false" stroked="true" strokeweight="1.140pt" strokecolor="#c6eccc">
                <v:path arrowok="t"/>
              </v:shape>
            </v:group>
            <v:group style="position:absolute;left:10785;top:1450;width:2;height:353" coordorigin="10785,1450" coordsize="2,353">
              <v:shape style="position:absolute;left:10785;top:1450;width:2;height:353" coordorigin="10785,1450" coordsize="0,353" path="m10785,1450l10785,1802e" filled="false" stroked="true" strokeweight="1.140pt" strokecolor="#c6eccc">
                <v:path arrowok="t"/>
              </v:shape>
            </v:group>
            <v:group style="position:absolute;left:9791;top:1802;width:1006;height:312" coordorigin="9791,1802" coordsize="1006,312">
              <v:shape style="position:absolute;left:9791;top:1802;width:1006;height:312" coordorigin="9791,1802" coordsize="1006,312" path="m9791,2114l10796,2114,10796,1802,9791,1802,9791,2114xe" filled="true" fillcolor="#c6eccc" stroked="false">
                <v:path arrowok="t"/>
                <v:fill type="solid"/>
              </v:shape>
            </v:group>
            <v:group style="position:absolute;left:9814;top:1450;width:960;height:353" coordorigin="9814,1450" coordsize="960,353">
              <v:shape style="position:absolute;left:9814;top:1450;width:960;height:353" coordorigin="9814,1450" coordsize="960,353" path="m9814,1802l10774,1802,10774,1450,9814,1450,9814,1802xe" filled="true" fillcolor="#c6eccc" stroked="false">
                <v:path arrowok="t"/>
                <v:fill type="solid"/>
              </v:shape>
            </v:group>
            <v:group style="position:absolute;left:8725;top:1445;width:540;height:2" coordorigin="8725,1445" coordsize="540,2">
              <v:shape style="position:absolute;left:8725;top:1445;width:540;height:2" coordorigin="8725,1445" coordsize="540,0" path="m8725,1445l9265,1445e" filled="false" stroked="true" strokeweight=".48pt" strokecolor="#000000">
                <v:path arrowok="t"/>
              </v:shape>
            </v:group>
            <v:group style="position:absolute;left:9275;top:1445;width:507;height:2" coordorigin="9275,1445" coordsize="507,2">
              <v:shape style="position:absolute;left:9275;top:1445;width:507;height:2" coordorigin="9275,1445" coordsize="507,0" path="m9275,1445l9781,1445e" filled="false" stroked="true" strokeweight=".48pt" strokecolor="#000000">
                <v:path arrowok="t"/>
              </v:shape>
            </v:group>
            <v:group style="position:absolute;left:9791;top:1445;width:1006;height:2" coordorigin="9791,1445" coordsize="1006,2">
              <v:shape style="position:absolute;left:9791;top:1445;width:1006;height:2" coordorigin="9791,1445" coordsize="1006,0" path="m9791,1445l10796,1445e" filled="false" stroked="true" strokeweight=".48pt" strokecolor="#000000">
                <v:path arrowok="t"/>
              </v:shape>
            </v:group>
            <v:group style="position:absolute;left:1139;top:2114;width:1156;height:2275" coordorigin="1139,2114" coordsize="1156,2275">
              <v:shape style="position:absolute;left:1139;top:2114;width:1156;height:2275" coordorigin="1139,2114" coordsize="1156,2275" path="m1139,4389l2295,4389,2295,2114,1139,2114,1139,4389xe" filled="true" fillcolor="#d2d2d2" stroked="false">
                <v:path arrowok="t"/>
                <v:fill type="solid"/>
              </v:shape>
            </v:group>
            <v:group style="position:absolute;left:2304;top:2124;width:1740;height:781" coordorigin="2304,2124" coordsize="1740,781">
              <v:shape style="position:absolute;left:2304;top:2124;width:1740;height:781" coordorigin="2304,2124" coordsize="1740,781" path="m2304,2904l4044,2904,4044,2124,2304,2124,2304,2904xe" filled="true" fillcolor="#c6eccc" stroked="false">
                <v:path arrowok="t"/>
                <v:fill type="solid"/>
              </v:shape>
            </v:group>
            <v:group style="position:absolute;left:2316;top:2904;width:2;height:705" coordorigin="2316,2904" coordsize="2,705">
              <v:shape style="position:absolute;left:2316;top:2904;width:2;height:705" coordorigin="2316,2904" coordsize="0,705" path="m2316,2904l2316,3609e" filled="false" stroked="true" strokeweight="1.140pt" strokecolor="#c6eccc">
                <v:path arrowok="t"/>
              </v:shape>
            </v:group>
            <v:group style="position:absolute;left:4033;top:2904;width:2;height:705" coordorigin="4033,2904" coordsize="2,705">
              <v:shape style="position:absolute;left:4033;top:2904;width:2;height:705" coordorigin="4033,2904" coordsize="0,705" path="m4033,2904l4033,3609e" filled="false" stroked="true" strokeweight="1.140pt" strokecolor="#c6eccc">
                <v:path arrowok="t"/>
              </v:shape>
            </v:group>
            <v:group style="position:absolute;left:2304;top:3609;width:1740;height:780" coordorigin="2304,3609" coordsize="1740,780">
              <v:shape style="position:absolute;left:2304;top:3609;width:1740;height:780" coordorigin="2304,3609" coordsize="1740,780" path="m2304,4389l4044,4389,4044,3609,2304,3609,2304,4389xe" filled="true" fillcolor="#c6eccc" stroked="false">
                <v:path arrowok="t"/>
                <v:fill type="solid"/>
              </v:shape>
            </v:group>
            <v:group style="position:absolute;left:2327;top:2904;width:1695;height:352" coordorigin="2327,2904" coordsize="1695,352">
              <v:shape style="position:absolute;left:2327;top:2904;width:1695;height:352" coordorigin="2327,2904" coordsize="1695,352" path="m2327,3256l4022,3256,4022,2904,2327,2904,2327,3256xe" filled="true" fillcolor="#c6eccc" stroked="false">
                <v:path arrowok="t"/>
                <v:fill type="solid"/>
              </v:shape>
            </v:group>
            <v:group style="position:absolute;left:2327;top:3256;width:1695;height:353" coordorigin="2327,3256" coordsize="1695,353">
              <v:shape style="position:absolute;left:2327;top:3256;width:1695;height:353" coordorigin="2327,3256" coordsize="1695,353" path="m2327,3609l4022,3609,4022,3256,2327,3256,2327,3609xe" filled="true" fillcolor="#c6eccc" stroked="false">
                <v:path arrowok="t"/>
                <v:fill type="solid"/>
              </v:shape>
            </v:group>
            <v:group style="position:absolute;left:4065;top:2124;width:2;height:2265" coordorigin="4065,2124" coordsize="2,2265">
              <v:shape style="position:absolute;left:4065;top:2124;width:2;height:2265" coordorigin="4065,2124" coordsize="0,2265" path="m4065,2124l4065,4389e" filled="false" stroked="true" strokeweight="1.140pt" strokecolor="#c6eccc">
                <v:path arrowok="t"/>
              </v:shape>
            </v:group>
            <v:group style="position:absolute;left:4440;top:2124;width:2;height:2265" coordorigin="4440,2124" coordsize="2,2265">
              <v:shape style="position:absolute;left:4440;top:2124;width:2;height:2265" coordorigin="4440,2124" coordsize="0,2265" path="m4440,2124l4440,4389e" filled="false" stroked="true" strokeweight="1.140pt" strokecolor="#c6eccc">
                <v:path arrowok="t"/>
              </v:shape>
            </v:group>
            <v:group style="position:absolute;left:4077;top:2124;width:352;height:352" coordorigin="4077,2124" coordsize="352,352">
              <v:shape style="position:absolute;left:4077;top:2124;width:352;height:352" coordorigin="4077,2124" coordsize="352,352" path="m4077,2476l4428,2476,4428,2124,4077,2124,4077,2476xe" filled="true" fillcolor="#c6eccc" stroked="false">
                <v:path arrowok="t"/>
                <v:fill type="solid"/>
              </v:shape>
            </v:group>
            <v:group style="position:absolute;left:4077;top:2476;width:352;height:312" coordorigin="4077,2476" coordsize="352,312">
              <v:shape style="position:absolute;left:4077;top:2476;width:352;height:312" coordorigin="4077,2476" coordsize="352,312" path="m4077,2788l4428,2788,4428,2476,4077,2476,4077,2788xe" filled="true" fillcolor="#c6eccc" stroked="false">
                <v:path arrowok="t"/>
                <v:fill type="solid"/>
              </v:shape>
            </v:group>
            <v:group style="position:absolute;left:4077;top:2788;width:352;height:313" coordorigin="4077,2788" coordsize="352,313">
              <v:shape style="position:absolute;left:4077;top:2788;width:352;height:313" coordorigin="4077,2788" coordsize="352,313" path="m4077,3100l4428,3100,4428,2788,4077,2788,4077,3100xe" filled="true" fillcolor="#c6eccc" stroked="false">
                <v:path arrowok="t"/>
                <v:fill type="solid"/>
              </v:shape>
            </v:group>
            <v:group style="position:absolute;left:4077;top:3100;width:352;height:312" coordorigin="4077,3100" coordsize="352,312">
              <v:shape style="position:absolute;left:4077;top:3100;width:352;height:312" coordorigin="4077,3100" coordsize="352,312" path="m4077,3412l4428,3412,4428,3100,4077,3100,4077,3412xe" filled="true" fillcolor="#c6eccc" stroked="false">
                <v:path arrowok="t"/>
                <v:fill type="solid"/>
              </v:shape>
            </v:group>
            <v:group style="position:absolute;left:4077;top:3412;width:352;height:312" coordorigin="4077,3412" coordsize="352,312">
              <v:shape style="position:absolute;left:4077;top:3412;width:352;height:312" coordorigin="4077,3412" coordsize="352,312" path="m4077,3724l4428,3724,4428,3412,4077,3412,4077,3724xe" filled="true" fillcolor="#c6eccc" stroked="false">
                <v:path arrowok="t"/>
                <v:fill type="solid"/>
              </v:shape>
            </v:group>
            <v:group style="position:absolute;left:4077;top:3724;width:352;height:312" coordorigin="4077,3724" coordsize="352,312">
              <v:shape style="position:absolute;left:4077;top:3724;width:352;height:312" coordorigin="4077,3724" coordsize="352,312" path="m4077,4036l4428,4036,4428,3724,4077,3724,4077,4036xe" filled="true" fillcolor="#c6eccc" stroked="false">
                <v:path arrowok="t"/>
                <v:fill type="solid"/>
              </v:shape>
            </v:group>
            <v:group style="position:absolute;left:4077;top:4036;width:352;height:353" coordorigin="4077,4036" coordsize="352,353">
              <v:shape style="position:absolute;left:4077;top:4036;width:352;height:353" coordorigin="4077,4036" coordsize="352,353" path="m4077,4389l4428,4389,4428,4036,4077,4036,4077,4389xe" filled="true" fillcolor="#c6eccc" stroked="false">
                <v:path arrowok="t"/>
                <v:fill type="solid"/>
              </v:shape>
            </v:group>
            <v:group style="position:absolute;left:4462;top:2124;width:4254;height:624" coordorigin="4462,2124" coordsize="4254,624">
              <v:shape style="position:absolute;left:4462;top:2124;width:4254;height:624" coordorigin="4462,2124" coordsize="4254,624" path="m4462,2748l8716,2748,8716,2124,4462,2124,4462,2748xe" filled="true" fillcolor="#c6eccc" stroked="false">
                <v:path arrowok="t"/>
                <v:fill type="solid"/>
              </v:shape>
            </v:group>
            <v:group style="position:absolute;left:4473;top:2748;width:2;height:1017" coordorigin="4473,2748" coordsize="2,1017">
              <v:shape style="position:absolute;left:4473;top:2748;width:2;height:1017" coordorigin="4473,2748" coordsize="0,1017" path="m4473,2748l4473,3765e" filled="false" stroked="true" strokeweight="1.140pt" strokecolor="#c6eccc">
                <v:path arrowok="t"/>
              </v:shape>
            </v:group>
            <v:group style="position:absolute;left:8704;top:2748;width:2;height:1017" coordorigin="8704,2748" coordsize="2,1017">
              <v:shape style="position:absolute;left:8704;top:2748;width:2;height:1017" coordorigin="8704,2748" coordsize="0,1017" path="m8704,2748l8704,3765e" filled="false" stroked="true" strokeweight="1.140pt" strokecolor="#c6eccc">
                <v:path arrowok="t"/>
              </v:shape>
            </v:group>
            <v:group style="position:absolute;left:4462;top:3765;width:4254;height:624" coordorigin="4462,3765" coordsize="4254,624">
              <v:shape style="position:absolute;left:4462;top:3765;width:4254;height:624" coordorigin="4462,3765" coordsize="4254,624" path="m4462,4389l8716,4389,8716,3765,4462,3765,4462,4389xe" filled="true" fillcolor="#c6eccc" stroked="false">
                <v:path arrowok="t"/>
                <v:fill type="solid"/>
              </v:shape>
            </v:group>
            <v:group style="position:absolute;left:4485;top:2748;width:4208;height:352" coordorigin="4485,2748" coordsize="4208,352">
              <v:shape style="position:absolute;left:4485;top:2748;width:4208;height:352" coordorigin="4485,2748" coordsize="4208,352" path="m4485,3100l8693,3100,8693,2748,4485,2748,4485,3100xe" filled="true" fillcolor="#c6eccc" stroked="false">
                <v:path arrowok="t"/>
                <v:fill type="solid"/>
              </v:shape>
            </v:group>
            <v:group style="position:absolute;left:4485;top:3100;width:4208;height:312" coordorigin="4485,3100" coordsize="4208,312">
              <v:shape style="position:absolute;left:4485;top:3100;width:4208;height:312" coordorigin="4485,3100" coordsize="4208,312" path="m4485,3412l8693,3412,8693,3100,4485,3100,4485,3412xe" filled="true" fillcolor="#c6eccc" stroked="false">
                <v:path arrowok="t"/>
                <v:fill type="solid"/>
              </v:shape>
            </v:group>
            <v:group style="position:absolute;left:4485;top:3412;width:4208;height:353" coordorigin="4485,3412" coordsize="4208,353">
              <v:shape style="position:absolute;left:4485;top:3412;width:4208;height:353" coordorigin="4485,3412" coordsize="4208,353" path="m4485,3765l8693,3765,8693,3412,4485,3412,4485,3765xe" filled="true" fillcolor="#c6eccc" stroked="false">
                <v:path arrowok="t"/>
                <v:fill type="solid"/>
              </v:shape>
            </v:group>
            <v:group style="position:absolute;left:9275;top:2124;width:507;height:781" coordorigin="9275,2124" coordsize="507,781">
              <v:shape style="position:absolute;left:9275;top:2124;width:507;height:781" coordorigin="9275,2124" coordsize="507,781" path="m9275,2904l9781,2904,9781,2124,9275,2124,9275,2904xe" filled="true" fillcolor="#c6eccc" stroked="false">
                <v:path arrowok="t"/>
                <v:fill type="solid"/>
              </v:shape>
            </v:group>
            <v:group style="position:absolute;left:9286;top:2904;width:2;height:705" coordorigin="9286,2904" coordsize="2,705">
              <v:shape style="position:absolute;left:9286;top:2904;width:2;height:705" coordorigin="9286,2904" coordsize="0,705" path="m9286,2904l9286,3609e" filled="false" stroked="true" strokeweight="1.140pt" strokecolor="#c6eccc">
                <v:path arrowok="t"/>
              </v:shape>
            </v:group>
            <v:group style="position:absolute;left:9770;top:2904;width:2;height:705" coordorigin="9770,2904" coordsize="2,705">
              <v:shape style="position:absolute;left:9770;top:2904;width:2;height:705" coordorigin="9770,2904" coordsize="0,705" path="m9770,2904l9770,3609e" filled="false" stroked="true" strokeweight="1.140pt" strokecolor="#c6eccc">
                <v:path arrowok="t"/>
              </v:shape>
            </v:group>
            <v:group style="position:absolute;left:9275;top:3609;width:507;height:780" coordorigin="9275,3609" coordsize="507,780">
              <v:shape style="position:absolute;left:9275;top:3609;width:507;height:780" coordorigin="9275,3609" coordsize="507,780" path="m9275,4389l9781,4389,9781,3609,9275,3609,9275,4389xe" filled="true" fillcolor="#c6eccc" stroked="false">
                <v:path arrowok="t"/>
                <v:fill type="solid"/>
              </v:shape>
            </v:group>
            <v:group style="position:absolute;left:9298;top:2904;width:461;height:352" coordorigin="9298,2904" coordsize="461,352">
              <v:shape style="position:absolute;left:9298;top:2904;width:461;height:352" coordorigin="9298,2904" coordsize="461,352" path="m9298,3256l9758,3256,9758,2904,9298,2904,9298,3256xe" filled="true" fillcolor="#c6eccc" stroked="false">
                <v:path arrowok="t"/>
                <v:fill type="solid"/>
              </v:shape>
            </v:group>
            <v:group style="position:absolute;left:9298;top:3256;width:461;height:353" coordorigin="9298,3256" coordsize="461,353">
              <v:shape style="position:absolute;left:9298;top:3256;width:461;height:353" coordorigin="9298,3256" coordsize="461,353" path="m9298,3609l9758,3609,9758,3256,9298,3256,9298,3609xe" filled="true" fillcolor="#c6eccc" stroked="false">
                <v:path arrowok="t"/>
                <v:fill type="solid"/>
              </v:shape>
            </v:group>
            <v:group style="position:absolute;left:9791;top:2124;width:1006;height:156" coordorigin="9791,2124" coordsize="1006,156">
              <v:shape style="position:absolute;left:9791;top:2124;width:1006;height:156" coordorigin="9791,2124" coordsize="1006,156" path="m9791,2280l10796,2280,10796,2124,9791,2124,9791,2280xe" filled="true" fillcolor="#c6eccc" stroked="false">
                <v:path arrowok="t"/>
                <v:fill type="solid"/>
              </v:shape>
            </v:group>
            <v:group style="position:absolute;left:9802;top:2280;width:2;height:1953" coordorigin="9802,2280" coordsize="2,1953">
              <v:shape style="position:absolute;left:9802;top:2280;width:2;height:1953" coordorigin="9802,2280" coordsize="0,1953" path="m9802,2280l9802,4233e" filled="false" stroked="true" strokeweight="1.140pt" strokecolor="#c6eccc">
                <v:path arrowok="t"/>
              </v:shape>
            </v:group>
            <v:group style="position:absolute;left:10785;top:2280;width:2;height:1953" coordorigin="10785,2280" coordsize="2,1953">
              <v:shape style="position:absolute;left:10785;top:2280;width:2;height:1953" coordorigin="10785,2280" coordsize="0,1953" path="m10785,2280l10785,4233e" filled="false" stroked="true" strokeweight="1.140pt" strokecolor="#c6eccc">
                <v:path arrowok="t"/>
              </v:shape>
            </v:group>
            <v:group style="position:absolute;left:9791;top:4233;width:1006;height:156" coordorigin="9791,4233" coordsize="1006,156">
              <v:shape style="position:absolute;left:9791;top:4233;width:1006;height:156" coordorigin="9791,4233" coordsize="1006,156" path="m9791,4389l10796,4389,10796,4233,9791,4233,9791,4389xe" filled="true" fillcolor="#c6eccc" stroked="false">
                <v:path arrowok="t"/>
                <v:fill type="solid"/>
              </v:shape>
            </v:group>
            <v:group style="position:absolute;left:9814;top:2280;width:960;height:352" coordorigin="9814,2280" coordsize="960,352">
              <v:shape style="position:absolute;left:9814;top:2280;width:960;height:352" coordorigin="9814,2280" coordsize="960,352" path="m9814,2632l10774,2632,10774,2280,9814,2280,9814,2632xe" filled="true" fillcolor="#c6eccc" stroked="false">
                <v:path arrowok="t"/>
                <v:fill type="solid"/>
              </v:shape>
            </v:group>
            <v:group style="position:absolute;left:9814;top:2632;width:960;height:313" coordorigin="9814,2632" coordsize="960,313">
              <v:shape style="position:absolute;left:9814;top:2632;width:960;height:313" coordorigin="9814,2632" coordsize="960,313" path="m9814,2944l10774,2944,10774,2632,9814,2632,9814,2944xe" filled="true" fillcolor="#c6eccc" stroked="false">
                <v:path arrowok="t"/>
                <v:fill type="solid"/>
              </v:shape>
            </v:group>
            <v:group style="position:absolute;left:9814;top:2944;width:960;height:312" coordorigin="9814,2944" coordsize="960,312">
              <v:shape style="position:absolute;left:9814;top:2944;width:960;height:312" coordorigin="9814,2944" coordsize="960,312" path="m9814,3256l10774,3256,10774,2944,9814,2944,9814,3256xe" filled="true" fillcolor="#c6eccc" stroked="false">
                <v:path arrowok="t"/>
                <v:fill type="solid"/>
              </v:shape>
            </v:group>
            <v:group style="position:absolute;left:9814;top:3256;width:960;height:312" coordorigin="9814,3256" coordsize="960,312">
              <v:shape style="position:absolute;left:9814;top:3256;width:960;height:312" coordorigin="9814,3256" coordsize="960,312" path="m9814,3568l10774,3568,10774,3256,9814,3256,9814,3568xe" filled="true" fillcolor="#c6eccc" stroked="false">
                <v:path arrowok="t"/>
                <v:fill type="solid"/>
              </v:shape>
            </v:group>
            <v:group style="position:absolute;left:9814;top:3568;width:960;height:312" coordorigin="9814,3568" coordsize="960,312">
              <v:shape style="position:absolute;left:9814;top:3568;width:960;height:312" coordorigin="9814,3568" coordsize="960,312" path="m9814,3880l10774,3880,10774,3568,9814,3568,9814,3880xe" filled="true" fillcolor="#c6eccc" stroked="false">
                <v:path arrowok="t"/>
                <v:fill type="solid"/>
              </v:shape>
            </v:group>
            <v:group style="position:absolute;left:9814;top:3880;width:960;height:353" coordorigin="9814,3880" coordsize="960,353">
              <v:shape style="position:absolute;left:9814;top:3880;width:960;height:353" coordorigin="9814,3880" coordsize="960,353" path="m9814,4233l10774,4233,10774,3880,9814,3880,9814,4233xe" filled="true" fillcolor="#c6eccc" stroked="false">
                <v:path arrowok="t"/>
                <v:fill type="solid"/>
              </v:shape>
            </v:group>
            <v:group style="position:absolute;left:2304;top:2119;width:1740;height:2" coordorigin="2304,2119" coordsize="1740,2">
              <v:shape style="position:absolute;left:2304;top:2119;width:1740;height:2" coordorigin="2304,2119" coordsize="1740,0" path="m2304,2119l4044,2119e" filled="false" stroked="true" strokeweight=".48pt" strokecolor="#000000">
                <v:path arrowok="t"/>
              </v:shape>
            </v:group>
            <v:group style="position:absolute;left:4054;top:2119;width:398;height:2" coordorigin="4054,2119" coordsize="398,2">
              <v:shape style="position:absolute;left:4054;top:2119;width:398;height:2" coordorigin="4054,2119" coordsize="398,0" path="m4054,2119l4451,2119e" filled="false" stroked="true" strokeweight=".48pt" strokecolor="#000000">
                <v:path arrowok="t"/>
              </v:shape>
            </v:group>
            <v:group style="position:absolute;left:4461;top:2119;width:4255;height:2" coordorigin="4461,2119" coordsize="4255,2">
              <v:shape style="position:absolute;left:4461;top:2119;width:4255;height:2" coordorigin="4461,2119" coordsize="4255,0" path="m4461,2119l8716,2119e" filled="false" stroked="true" strokeweight=".48pt" strokecolor="#000000">
                <v:path arrowok="t"/>
              </v:shape>
            </v:group>
            <v:group style="position:absolute;left:8725;top:2119;width:540;height:2" coordorigin="8725,2119" coordsize="540,2">
              <v:shape style="position:absolute;left:8725;top:2119;width:540;height:2" coordorigin="8725,2119" coordsize="540,0" path="m8725,2119l9265,2119e" filled="false" stroked="true" strokeweight=".48pt" strokecolor="#000000">
                <v:path arrowok="t"/>
              </v:shape>
            </v:group>
            <v:group style="position:absolute;left:9275;top:2119;width:507;height:2" coordorigin="9275,2119" coordsize="507,2">
              <v:shape style="position:absolute;left:9275;top:2119;width:507;height:2" coordorigin="9275,2119" coordsize="507,0" path="m9275,2119l9781,2119e" filled="false" stroked="true" strokeweight=".48pt" strokecolor="#000000">
                <v:path arrowok="t"/>
              </v:shape>
            </v:group>
            <v:group style="position:absolute;left:9791;top:2119;width:1006;height:2" coordorigin="9791,2119" coordsize="1006,2">
              <v:shape style="position:absolute;left:9791;top:2119;width:1006;height:2" coordorigin="9791,2119" coordsize="1006,0" path="m9791,2119l10796,2119e" filled="false" stroked="true" strokeweight=".48pt" strokecolor="#000000">
                <v:path arrowok="t"/>
              </v:shape>
            </v:group>
            <v:group style="position:absolute;left:1139;top:4389;width:1156;height:2274" coordorigin="1139,4389" coordsize="1156,2274">
              <v:shape style="position:absolute;left:1139;top:4389;width:1156;height:2274" coordorigin="1139,4389" coordsize="1156,2274" path="m1139,6663l2295,6663,2295,4389,1139,4389,1139,6663xe" filled="true" fillcolor="#d2d2d2" stroked="false">
                <v:path arrowok="t"/>
                <v:fill type="solid"/>
              </v:shape>
            </v:group>
            <v:group style="position:absolute;left:2304;top:4398;width:1740;height:312" coordorigin="2304,4398" coordsize="1740,312">
              <v:shape style="position:absolute;left:2304;top:4398;width:1740;height:312" coordorigin="2304,4398" coordsize="1740,312" path="m2304,4710l4044,4710,4044,4398,2304,4398,2304,4710xe" filled="true" fillcolor="#c6eccc" stroked="false">
                <v:path arrowok="t"/>
                <v:fill type="solid"/>
              </v:shape>
            </v:group>
            <v:group style="position:absolute;left:2316;top:4710;width:2;height:1641" coordorigin="2316,4710" coordsize="2,1641">
              <v:shape style="position:absolute;left:2316;top:4710;width:2;height:1641" coordorigin="2316,4710" coordsize="0,1641" path="m2316,4710l2316,6351e" filled="false" stroked="true" strokeweight="1.140pt" strokecolor="#c6eccc">
                <v:path arrowok="t"/>
              </v:shape>
            </v:group>
            <v:group style="position:absolute;left:4033;top:4710;width:2;height:1641" coordorigin="4033,4710" coordsize="2,1641">
              <v:shape style="position:absolute;left:4033;top:4710;width:2;height:1641" coordorigin="4033,4710" coordsize="0,1641" path="m4033,4710l4033,6351e" filled="false" stroked="true" strokeweight="1.140pt" strokecolor="#c6eccc">
                <v:path arrowok="t"/>
              </v:shape>
            </v:group>
            <v:group style="position:absolute;left:2304;top:6351;width:1740;height:312" coordorigin="2304,6351" coordsize="1740,312">
              <v:shape style="position:absolute;left:2304;top:6351;width:1740;height:312" coordorigin="2304,6351" coordsize="1740,312" path="m2304,6663l4044,6663,4044,6351,2304,6351,2304,6663xe" filled="true" fillcolor="#c6eccc" stroked="false">
                <v:path arrowok="t"/>
                <v:fill type="solid"/>
              </v:shape>
            </v:group>
            <v:group style="position:absolute;left:2327;top:4710;width:1695;height:352" coordorigin="2327,4710" coordsize="1695,352">
              <v:shape style="position:absolute;left:2327;top:4710;width:1695;height:352" coordorigin="2327,4710" coordsize="1695,352" path="m2327,5062l4022,5062,4022,4710,2327,4710,2327,5062xe" filled="true" fillcolor="#c6eccc" stroked="false">
                <v:path arrowok="t"/>
                <v:fill type="solid"/>
              </v:shape>
            </v:group>
            <v:group style="position:absolute;left:2327;top:5062;width:1695;height:312" coordorigin="2327,5062" coordsize="1695,312">
              <v:shape style="position:absolute;left:2327;top:5062;width:1695;height:312" coordorigin="2327,5062" coordsize="1695,312" path="m2327,5374l4022,5374,4022,5062,2327,5062,2327,5374xe" filled="true" fillcolor="#c6eccc" stroked="false">
                <v:path arrowok="t"/>
                <v:fill type="solid"/>
              </v:shape>
            </v:group>
            <v:group style="position:absolute;left:2327;top:5374;width:1695;height:312" coordorigin="2327,5374" coordsize="1695,312">
              <v:shape style="position:absolute;left:2327;top:5374;width:1695;height:312" coordorigin="2327,5374" coordsize="1695,312" path="m2327,5686l4022,5686,4022,5374,2327,5374,2327,5686xe" filled="true" fillcolor="#c6eccc" stroked="false">
                <v:path arrowok="t"/>
                <v:fill type="solid"/>
              </v:shape>
            </v:group>
            <v:group style="position:absolute;left:2327;top:5686;width:1695;height:312" coordorigin="2327,5686" coordsize="1695,312">
              <v:shape style="position:absolute;left:2327;top:5686;width:1695;height:312" coordorigin="2327,5686" coordsize="1695,312" path="m2327,5998l4022,5998,4022,5686,2327,5686,2327,5998xe" filled="true" fillcolor="#c6eccc" stroked="false">
                <v:path arrowok="t"/>
                <v:fill type="solid"/>
              </v:shape>
            </v:group>
            <v:group style="position:absolute;left:2327;top:5998;width:1695;height:353" coordorigin="2327,5998" coordsize="1695,353">
              <v:shape style="position:absolute;left:2327;top:5998;width:1695;height:353" coordorigin="2327,5998" coordsize="1695,353" path="m2327,6351l4022,6351,4022,5998,2327,5998,2327,6351xe" filled="true" fillcolor="#c6eccc" stroked="false">
                <v:path arrowok="t"/>
                <v:fill type="solid"/>
              </v:shape>
            </v:group>
            <v:group style="position:absolute;left:4065;top:4398;width:2;height:2265" coordorigin="4065,4398" coordsize="2,2265">
              <v:shape style="position:absolute;left:4065;top:4398;width:2;height:2265" coordorigin="4065,4398" coordsize="0,2265" path="m4065,4398l4065,6663e" filled="false" stroked="true" strokeweight="1.140pt" strokecolor="#c6eccc">
                <v:path arrowok="t"/>
              </v:shape>
            </v:group>
            <v:group style="position:absolute;left:4440;top:4398;width:2;height:2265" coordorigin="4440,4398" coordsize="2,2265">
              <v:shape style="position:absolute;left:4440;top:4398;width:2;height:2265" coordorigin="4440,4398" coordsize="0,2265" path="m4440,4398l4440,6663e" filled="false" stroked="true" strokeweight="1.140pt" strokecolor="#c6eccc">
                <v:path arrowok="t"/>
              </v:shape>
            </v:group>
            <v:group style="position:absolute;left:4077;top:4398;width:352;height:352" coordorigin="4077,4398" coordsize="352,352">
              <v:shape style="position:absolute;left:4077;top:4398;width:352;height:352" coordorigin="4077,4398" coordsize="352,352" path="m4077,4750l4428,4750,4428,4398,4077,4398,4077,4750xe" filled="true" fillcolor="#c6eccc" stroked="false">
                <v:path arrowok="t"/>
                <v:fill type="solid"/>
              </v:shape>
            </v:group>
            <v:group style="position:absolute;left:4077;top:4750;width:352;height:312" coordorigin="4077,4750" coordsize="352,312">
              <v:shape style="position:absolute;left:4077;top:4750;width:352;height:312" coordorigin="4077,4750" coordsize="352,312" path="m4077,5062l4428,5062,4428,4750,4077,4750,4077,5062xe" filled="true" fillcolor="#c6eccc" stroked="false">
                <v:path arrowok="t"/>
                <v:fill type="solid"/>
              </v:shape>
            </v:group>
            <v:group style="position:absolute;left:4077;top:5062;width:352;height:312" coordorigin="4077,5062" coordsize="352,312">
              <v:shape style="position:absolute;left:4077;top:5062;width:352;height:312" coordorigin="4077,5062" coordsize="352,312" path="m4077,5374l4428,5374,4428,5062,4077,5062,4077,5374xe" filled="true" fillcolor="#c6eccc" stroked="false">
                <v:path arrowok="t"/>
                <v:fill type="solid"/>
              </v:shape>
            </v:group>
            <v:group style="position:absolute;left:4077;top:5374;width:352;height:312" coordorigin="4077,5374" coordsize="352,312">
              <v:shape style="position:absolute;left:4077;top:5374;width:352;height:312" coordorigin="4077,5374" coordsize="352,312" path="m4077,5686l4428,5686,4428,5374,4077,5374,4077,5686xe" filled="true" fillcolor="#c6eccc" stroked="false">
                <v:path arrowok="t"/>
                <v:fill type="solid"/>
              </v:shape>
            </v:group>
            <v:group style="position:absolute;left:4077;top:5686;width:352;height:312" coordorigin="4077,5686" coordsize="352,312">
              <v:shape style="position:absolute;left:4077;top:5686;width:352;height:312" coordorigin="4077,5686" coordsize="352,312" path="m4077,5998l4428,5998,4428,5686,4077,5686,4077,5998xe" filled="true" fillcolor="#c6eccc" stroked="false">
                <v:path arrowok="t"/>
                <v:fill type="solid"/>
              </v:shape>
            </v:group>
            <v:group style="position:absolute;left:4077;top:5998;width:352;height:312" coordorigin="4077,5998" coordsize="352,312">
              <v:shape style="position:absolute;left:4077;top:5998;width:352;height:312" coordorigin="4077,5998" coordsize="352,312" path="m4077,6310l4428,6310,4428,5998,4077,5998,4077,6310xe" filled="true" fillcolor="#c6eccc" stroked="false">
                <v:path arrowok="t"/>
                <v:fill type="solid"/>
              </v:shape>
            </v:group>
            <v:group style="position:absolute;left:4077;top:6310;width:352;height:353" coordorigin="4077,6310" coordsize="352,353">
              <v:shape style="position:absolute;left:4077;top:6310;width:352;height:353" coordorigin="4077,6310" coordsize="352,353" path="m4077,6663l4428,6663,4428,6310,4077,6310,4077,6663xe" filled="true" fillcolor="#c6eccc" stroked="false">
                <v:path arrowok="t"/>
                <v:fill type="solid"/>
              </v:shape>
            </v:group>
            <v:group style="position:absolute;left:4462;top:4398;width:4254;height:624" coordorigin="4462,4398" coordsize="4254,624">
              <v:shape style="position:absolute;left:4462;top:4398;width:4254;height:624" coordorigin="4462,4398" coordsize="4254,624" path="m4462,5022l8716,5022,8716,4398,4462,4398,4462,5022xe" filled="true" fillcolor="#c6eccc" stroked="false">
                <v:path arrowok="t"/>
                <v:fill type="solid"/>
              </v:shape>
            </v:group>
            <v:group style="position:absolute;left:4473;top:5022;width:2;height:1017" coordorigin="4473,5022" coordsize="2,1017">
              <v:shape style="position:absolute;left:4473;top:5022;width:2;height:1017" coordorigin="4473,5022" coordsize="0,1017" path="m4473,5022l4473,6039e" filled="false" stroked="true" strokeweight="1.140pt" strokecolor="#c6eccc">
                <v:path arrowok="t"/>
              </v:shape>
            </v:group>
            <v:group style="position:absolute;left:8704;top:5022;width:2;height:1017" coordorigin="8704,5022" coordsize="2,1017">
              <v:shape style="position:absolute;left:8704;top:5022;width:2;height:1017" coordorigin="8704,5022" coordsize="0,1017" path="m8704,5022l8704,6039e" filled="false" stroked="true" strokeweight="1.140pt" strokecolor="#c6eccc">
                <v:path arrowok="t"/>
              </v:shape>
            </v:group>
            <v:group style="position:absolute;left:4462;top:6039;width:4254;height:624" coordorigin="4462,6039" coordsize="4254,624">
              <v:shape style="position:absolute;left:4462;top:6039;width:4254;height:624" coordorigin="4462,6039" coordsize="4254,624" path="m4462,6663l8716,6663,8716,6039,4462,6039,4462,6663xe" filled="true" fillcolor="#c6eccc" stroked="false">
                <v:path arrowok="t"/>
                <v:fill type="solid"/>
              </v:shape>
            </v:group>
            <v:group style="position:absolute;left:4485;top:5022;width:4208;height:352" coordorigin="4485,5022" coordsize="4208,352">
              <v:shape style="position:absolute;left:4485;top:5022;width:4208;height:352" coordorigin="4485,5022" coordsize="4208,352" path="m4485,5374l8693,5374,8693,5022,4485,5022,4485,5374xe" filled="true" fillcolor="#c6eccc" stroked="false">
                <v:path arrowok="t"/>
                <v:fill type="solid"/>
              </v:shape>
            </v:group>
            <v:group style="position:absolute;left:4485;top:5374;width:4208;height:312" coordorigin="4485,5374" coordsize="4208,312">
              <v:shape style="position:absolute;left:4485;top:5374;width:4208;height:312" coordorigin="4485,5374" coordsize="4208,312" path="m4485,5686l8693,5686,8693,5374,4485,5374,4485,5686xe" filled="true" fillcolor="#c6eccc" stroked="false">
                <v:path arrowok="t"/>
                <v:fill type="solid"/>
              </v:shape>
            </v:group>
            <v:group style="position:absolute;left:4485;top:5686;width:4208;height:353" coordorigin="4485,5686" coordsize="4208,353">
              <v:shape style="position:absolute;left:4485;top:5686;width:4208;height:353" coordorigin="4485,5686" coordsize="4208,353" path="m4485,6039l8693,6039,8693,5686,4485,5686,4485,6039xe" filled="true" fillcolor="#c6eccc" stroked="false">
                <v:path arrowok="t"/>
                <v:fill type="solid"/>
              </v:shape>
            </v:group>
            <v:group style="position:absolute;left:8737;top:4866;width:2;height:1329" coordorigin="8737,4866" coordsize="2,1329">
              <v:shape style="position:absolute;left:8737;top:4866;width:2;height:1329" coordorigin="8737,4866" coordsize="0,1329" path="m8737,4866l8737,6195e" filled="false" stroked="true" strokeweight="1.140pt" strokecolor="#ffffff">
                <v:path arrowok="t"/>
              </v:shape>
            </v:group>
            <v:group style="position:absolute;left:8748;top:5530;width:495;height:312" coordorigin="8748,5530" coordsize="495,312">
              <v:shape style="position:absolute;left:8748;top:5530;width:495;height:312" coordorigin="8748,5530" coordsize="495,312" path="m8748,5842l9242,5842,9242,5530,8748,5530,8748,5842xe" filled="true" fillcolor="#ffffff" stroked="false">
                <v:path arrowok="t"/>
                <v:fill type="solid"/>
              </v:shape>
            </v:group>
            <v:group style="position:absolute;left:8748;top:5842;width:495;height:353" coordorigin="8748,5842" coordsize="495,353">
              <v:shape style="position:absolute;left:8748;top:5842;width:495;height:353" coordorigin="8748,5842" coordsize="495,353" path="m8748,6195l9242,6195,9242,5842,8748,5842,8748,6195xe" filled="true" fillcolor="#ffffff" stroked="false">
                <v:path arrowok="t"/>
                <v:fill type="solid"/>
              </v:shape>
            </v:group>
            <v:group style="position:absolute;left:9275;top:4398;width:507;height:780" coordorigin="9275,4398" coordsize="507,780">
              <v:shape style="position:absolute;left:9275;top:4398;width:507;height:780" coordorigin="9275,4398" coordsize="507,780" path="m9275,5178l9781,5178,9781,4398,9275,4398,9275,5178xe" filled="true" fillcolor="#c6eccc" stroked="false">
                <v:path arrowok="t"/>
                <v:fill type="solid"/>
              </v:shape>
            </v:group>
            <v:group style="position:absolute;left:9286;top:5178;width:2;height:705" coordorigin="9286,5178" coordsize="2,705">
              <v:shape style="position:absolute;left:9286;top:5178;width:2;height:705" coordorigin="9286,5178" coordsize="0,705" path="m9286,5178l9286,5883e" filled="false" stroked="true" strokeweight="1.140pt" strokecolor="#c6eccc">
                <v:path arrowok="t"/>
              </v:shape>
            </v:group>
            <v:group style="position:absolute;left:9770;top:5178;width:2;height:705" coordorigin="9770,5178" coordsize="2,705">
              <v:shape style="position:absolute;left:9770;top:5178;width:2;height:705" coordorigin="9770,5178" coordsize="0,705" path="m9770,5178l9770,5883e" filled="false" stroked="true" strokeweight="1.140pt" strokecolor="#c6eccc">
                <v:path arrowok="t"/>
              </v:shape>
            </v:group>
            <v:group style="position:absolute;left:9275;top:5883;width:507;height:780" coordorigin="9275,5883" coordsize="507,780">
              <v:shape style="position:absolute;left:9275;top:5883;width:507;height:780" coordorigin="9275,5883" coordsize="507,780" path="m9275,6663l9781,6663,9781,5883,9275,5883,9275,6663xe" filled="true" fillcolor="#c6eccc" stroked="false">
                <v:path arrowok="t"/>
                <v:fill type="solid"/>
              </v:shape>
            </v:group>
            <v:group style="position:absolute;left:9298;top:5178;width:461;height:352" coordorigin="9298,5178" coordsize="461,352">
              <v:shape style="position:absolute;left:9298;top:5178;width:461;height:352" coordorigin="9298,5178" coordsize="461,352" path="m9298,5530l9758,5530,9758,5178,9298,5178,9298,5530xe" filled="true" fillcolor="#c6eccc" stroked="false">
                <v:path arrowok="t"/>
                <v:fill type="solid"/>
              </v:shape>
            </v:group>
            <v:group style="position:absolute;left:9298;top:5530;width:461;height:353" coordorigin="9298,5530" coordsize="461,353">
              <v:shape style="position:absolute;left:9298;top:5530;width:461;height:353" coordorigin="9298,5530" coordsize="461,353" path="m9298,5883l9758,5883,9758,5530,9298,5530,9298,5883xe" filled="true" fillcolor="#c6eccc" stroked="false">
                <v:path arrowok="t"/>
                <v:fill type="solid"/>
              </v:shape>
            </v:group>
            <v:group style="position:absolute;left:9791;top:4398;width:1006;height:156" coordorigin="9791,4398" coordsize="1006,156">
              <v:shape style="position:absolute;left:9791;top:4398;width:1006;height:156" coordorigin="9791,4398" coordsize="1006,156" path="m9791,4554l10796,4554,10796,4398,9791,4398,9791,4554xe" filled="true" fillcolor="#c6eccc" stroked="false">
                <v:path arrowok="t"/>
                <v:fill type="solid"/>
              </v:shape>
            </v:group>
            <v:group style="position:absolute;left:9802;top:4554;width:2;height:1953" coordorigin="9802,4554" coordsize="2,1953">
              <v:shape style="position:absolute;left:9802;top:4554;width:2;height:1953" coordorigin="9802,4554" coordsize="0,1953" path="m9802,4554l9802,6507e" filled="false" stroked="true" strokeweight="1.140pt" strokecolor="#c6eccc">
                <v:path arrowok="t"/>
              </v:shape>
            </v:group>
            <v:group style="position:absolute;left:10785;top:4554;width:2;height:1953" coordorigin="10785,4554" coordsize="2,1953">
              <v:shape style="position:absolute;left:10785;top:4554;width:2;height:1953" coordorigin="10785,4554" coordsize="0,1953" path="m10785,4554l10785,6507e" filled="false" stroked="true" strokeweight="1.140pt" strokecolor="#c6eccc">
                <v:path arrowok="t"/>
              </v:shape>
            </v:group>
            <v:group style="position:absolute;left:9791;top:6507;width:1006;height:156" coordorigin="9791,6507" coordsize="1006,156">
              <v:shape style="position:absolute;left:9791;top:6507;width:1006;height:156" coordorigin="9791,6507" coordsize="1006,156" path="m9791,6663l10796,6663,10796,6507,9791,6507,9791,6663xe" filled="true" fillcolor="#c6eccc" stroked="false">
                <v:path arrowok="t"/>
                <v:fill type="solid"/>
              </v:shape>
            </v:group>
            <v:group style="position:absolute;left:9814;top:4554;width:960;height:352" coordorigin="9814,4554" coordsize="960,352">
              <v:shape style="position:absolute;left:9814;top:4554;width:960;height:352" coordorigin="9814,4554" coordsize="960,352" path="m9814,4906l10774,4906,10774,4554,9814,4554,9814,4906xe" filled="true" fillcolor="#c6eccc" stroked="false">
                <v:path arrowok="t"/>
                <v:fill type="solid"/>
              </v:shape>
            </v:group>
            <v:group style="position:absolute;left:9814;top:4906;width:960;height:312" coordorigin="9814,4906" coordsize="960,312">
              <v:shape style="position:absolute;left:9814;top:4906;width:960;height:312" coordorigin="9814,4906" coordsize="960,312" path="m9814,5218l10774,5218,10774,4906,9814,4906,9814,5218xe" filled="true" fillcolor="#c6eccc" stroked="false">
                <v:path arrowok="t"/>
                <v:fill type="solid"/>
              </v:shape>
            </v:group>
            <v:group style="position:absolute;left:9814;top:5218;width:960;height:312" coordorigin="9814,5218" coordsize="960,312">
              <v:shape style="position:absolute;left:9814;top:5218;width:960;height:312" coordorigin="9814,5218" coordsize="960,312" path="m9814,5530l10774,5530,10774,5218,9814,5218,9814,5530xe" filled="true" fillcolor="#c6eccc" stroked="false">
                <v:path arrowok="t"/>
                <v:fill type="solid"/>
              </v:shape>
            </v:group>
            <v:group style="position:absolute;left:9814;top:5530;width:960;height:312" coordorigin="9814,5530" coordsize="960,312">
              <v:shape style="position:absolute;left:9814;top:5530;width:960;height:312" coordorigin="9814,5530" coordsize="960,312" path="m9814,5842l10774,5842,10774,5530,9814,5530,9814,5842xe" filled="true" fillcolor="#c6eccc" stroked="false">
                <v:path arrowok="t"/>
                <v:fill type="solid"/>
              </v:shape>
            </v:group>
            <v:group style="position:absolute;left:9814;top:5842;width:960;height:312" coordorigin="9814,5842" coordsize="960,312">
              <v:shape style="position:absolute;left:9814;top:5842;width:960;height:312" coordorigin="9814,5842" coordsize="960,312" path="m9814,6154l10774,6154,10774,5842,9814,5842,9814,6154xe" filled="true" fillcolor="#c6eccc" stroked="false">
                <v:path arrowok="t"/>
                <v:fill type="solid"/>
              </v:shape>
            </v:group>
            <v:group style="position:absolute;left:9814;top:6154;width:960;height:353" coordorigin="9814,6154" coordsize="960,353">
              <v:shape style="position:absolute;left:9814;top:6154;width:960;height:353" coordorigin="9814,6154" coordsize="960,353" path="m9814,6507l10774,6507,10774,6154,9814,6154,9814,6507xe" filled="true" fillcolor="#c6eccc" stroked="false">
                <v:path arrowok="t"/>
                <v:fill type="solid"/>
              </v:shape>
            </v:group>
            <v:group style="position:absolute;left:2304;top:4394;width:1740;height:2" coordorigin="2304,4394" coordsize="1740,2">
              <v:shape style="position:absolute;left:2304;top:4394;width:1740;height:2" coordorigin="2304,4394" coordsize="1740,0" path="m2304,4394l4044,4394e" filled="false" stroked="true" strokeweight=".48pt" strokecolor="#000000">
                <v:path arrowok="t"/>
              </v:shape>
            </v:group>
            <v:group style="position:absolute;left:4054;top:4394;width:398;height:2" coordorigin="4054,4394" coordsize="398,2">
              <v:shape style="position:absolute;left:4054;top:4394;width:398;height:2" coordorigin="4054,4394" coordsize="398,0" path="m4054,4394l4451,4394e" filled="false" stroked="true" strokeweight=".48pt" strokecolor="#000000">
                <v:path arrowok="t"/>
              </v:shape>
            </v:group>
            <v:group style="position:absolute;left:4461;top:4394;width:4255;height:2" coordorigin="4461,4394" coordsize="4255,2">
              <v:shape style="position:absolute;left:4461;top:4394;width:4255;height:2" coordorigin="4461,4394" coordsize="4255,0" path="m4461,4394l8716,4394e" filled="false" stroked="true" strokeweight=".48pt" strokecolor="#000000">
                <v:path arrowok="t"/>
              </v:shape>
            </v:group>
            <v:group style="position:absolute;left:8725;top:4394;width:540;height:2" coordorigin="8725,4394" coordsize="540,2">
              <v:shape style="position:absolute;left:8725;top:4394;width:540;height:2" coordorigin="8725,4394" coordsize="540,0" path="m8725,4394l9265,4394e" filled="false" stroked="true" strokeweight=".48pt" strokecolor="#000000">
                <v:path arrowok="t"/>
              </v:shape>
            </v:group>
            <v:group style="position:absolute;left:9275;top:4394;width:507;height:2" coordorigin="9275,4394" coordsize="507,2">
              <v:shape style="position:absolute;left:9275;top:4394;width:507;height:2" coordorigin="9275,4394" coordsize="507,0" path="m9275,4394l9781,4394e" filled="false" stroked="true" strokeweight=".48pt" strokecolor="#000000">
                <v:path arrowok="t"/>
              </v:shape>
            </v:group>
            <v:group style="position:absolute;left:9791;top:4394;width:1006;height:2" coordorigin="9791,4394" coordsize="1006,2">
              <v:shape style="position:absolute;left:9791;top:4394;width:1006;height:2" coordorigin="9791,4394" coordsize="1006,0" path="m9791,4394l10796,4394e" filled="false" stroked="true" strokeweight=".48pt" strokecolor="#000000">
                <v:path arrowok="t"/>
              </v:shape>
            </v:group>
            <v:group style="position:absolute;left:1139;top:6663;width:1156;height:2275" coordorigin="1139,6663" coordsize="1156,2275">
              <v:shape style="position:absolute;left:1139;top:6663;width:1156;height:2275" coordorigin="1139,6663" coordsize="1156,2275" path="m1139,8937l2295,8937,2295,6663,1139,6663,1139,8937xe" filled="true" fillcolor="#d2d2d2" stroked="false">
                <v:path arrowok="t"/>
                <v:fill type="solid"/>
              </v:shape>
            </v:group>
            <v:group style="position:absolute;left:2304;top:6672;width:1740;height:312" coordorigin="2304,6672" coordsize="1740,312">
              <v:shape style="position:absolute;left:2304;top:6672;width:1740;height:312" coordorigin="2304,6672" coordsize="1740,312" path="m2304,6984l4044,6984,4044,6672,2304,6672,2304,6984xe" filled="true" fillcolor="#c6eccc" stroked="false">
                <v:path arrowok="t"/>
                <v:fill type="solid"/>
              </v:shape>
            </v:group>
            <v:group style="position:absolute;left:2316;top:6984;width:2;height:1641" coordorigin="2316,6984" coordsize="2,1641">
              <v:shape style="position:absolute;left:2316;top:6984;width:2;height:1641" coordorigin="2316,6984" coordsize="0,1641" path="m2316,6984l2316,8625e" filled="false" stroked="true" strokeweight="1.140pt" strokecolor="#c6eccc">
                <v:path arrowok="t"/>
              </v:shape>
            </v:group>
            <v:group style="position:absolute;left:4033;top:6984;width:2;height:1641" coordorigin="4033,6984" coordsize="2,1641">
              <v:shape style="position:absolute;left:4033;top:6984;width:2;height:1641" coordorigin="4033,6984" coordsize="0,1641" path="m4033,6984l4033,8625e" filled="false" stroked="true" strokeweight="1.140pt" strokecolor="#c6eccc">
                <v:path arrowok="t"/>
              </v:shape>
            </v:group>
            <v:group style="position:absolute;left:2304;top:8625;width:1740;height:312" coordorigin="2304,8625" coordsize="1740,312">
              <v:shape style="position:absolute;left:2304;top:8625;width:1740;height:312" coordorigin="2304,8625" coordsize="1740,312" path="m2304,8937l4044,8937,4044,8625,2304,8625,2304,8937xe" filled="true" fillcolor="#c6eccc" stroked="false">
                <v:path arrowok="t"/>
                <v:fill type="solid"/>
              </v:shape>
            </v:group>
            <v:group style="position:absolute;left:2327;top:6984;width:1695;height:352" coordorigin="2327,6984" coordsize="1695,352">
              <v:shape style="position:absolute;left:2327;top:6984;width:1695;height:352" coordorigin="2327,6984" coordsize="1695,352" path="m2327,7336l4022,7336,4022,6984,2327,6984,2327,7336xe" filled="true" fillcolor="#c6eccc" stroked="false">
                <v:path arrowok="t"/>
                <v:fill type="solid"/>
              </v:shape>
            </v:group>
            <v:group style="position:absolute;left:2327;top:7336;width:1695;height:312" coordorigin="2327,7336" coordsize="1695,312">
              <v:shape style="position:absolute;left:2327;top:7336;width:1695;height:312" coordorigin="2327,7336" coordsize="1695,312" path="m2327,7648l4022,7648,4022,7336,2327,7336,2327,7648xe" filled="true" fillcolor="#c6eccc" stroked="false">
                <v:path arrowok="t"/>
                <v:fill type="solid"/>
              </v:shape>
            </v:group>
            <v:group style="position:absolute;left:2327;top:7648;width:1695;height:312" coordorigin="2327,7648" coordsize="1695,312">
              <v:shape style="position:absolute;left:2327;top:7648;width:1695;height:312" coordorigin="2327,7648" coordsize="1695,312" path="m2327,7960l4022,7960,4022,7648,2327,7648,2327,7960xe" filled="true" fillcolor="#c6eccc" stroked="false">
                <v:path arrowok="t"/>
                <v:fill type="solid"/>
              </v:shape>
            </v:group>
            <v:group style="position:absolute;left:2327;top:7960;width:1695;height:312" coordorigin="2327,7960" coordsize="1695,312">
              <v:shape style="position:absolute;left:2327;top:7960;width:1695;height:312" coordorigin="2327,7960" coordsize="1695,312" path="m2327,8272l4022,8272,4022,7960,2327,7960,2327,8272xe" filled="true" fillcolor="#c6eccc" stroked="false">
                <v:path arrowok="t"/>
                <v:fill type="solid"/>
              </v:shape>
            </v:group>
            <v:group style="position:absolute;left:2327;top:8272;width:1695;height:354" coordorigin="2327,8272" coordsize="1695,354">
              <v:shape style="position:absolute;left:2327;top:8272;width:1695;height:354" coordorigin="2327,8272" coordsize="1695,354" path="m2327,8625l4022,8625,4022,8272,2327,8272,2327,8625xe" filled="true" fillcolor="#c6eccc" stroked="false">
                <v:path arrowok="t"/>
                <v:fill type="solid"/>
              </v:shape>
            </v:group>
            <v:group style="position:absolute;left:4065;top:6672;width:2;height:2265" coordorigin="4065,6672" coordsize="2,2265">
              <v:shape style="position:absolute;left:4065;top:6672;width:2;height:2265" coordorigin="4065,6672" coordsize="0,2265" path="m4065,6672l4065,8937e" filled="false" stroked="true" strokeweight="1.140pt" strokecolor="#c6eccc">
                <v:path arrowok="t"/>
              </v:shape>
            </v:group>
            <v:group style="position:absolute;left:4440;top:6672;width:2;height:2265" coordorigin="4440,6672" coordsize="2,2265">
              <v:shape style="position:absolute;left:4440;top:6672;width:2;height:2265" coordorigin="4440,6672" coordsize="0,2265" path="m4440,6672l4440,8937e" filled="false" stroked="true" strokeweight="1.140pt" strokecolor="#c6eccc">
                <v:path arrowok="t"/>
              </v:shape>
            </v:group>
            <v:group style="position:absolute;left:4077;top:6672;width:352;height:352" coordorigin="4077,6672" coordsize="352,352">
              <v:shape style="position:absolute;left:4077;top:6672;width:352;height:352" coordorigin="4077,6672" coordsize="352,352" path="m4077,7024l4428,7024,4428,6672,4077,6672,4077,7024xe" filled="true" fillcolor="#c6eccc" stroked="false">
                <v:path arrowok="t"/>
                <v:fill type="solid"/>
              </v:shape>
            </v:group>
            <v:group style="position:absolute;left:4077;top:7024;width:352;height:312" coordorigin="4077,7024" coordsize="352,312">
              <v:shape style="position:absolute;left:4077;top:7024;width:352;height:312" coordorigin="4077,7024" coordsize="352,312" path="m4077,7336l4428,7336,4428,7024,4077,7024,4077,7336xe" filled="true" fillcolor="#c6eccc" stroked="false">
                <v:path arrowok="t"/>
                <v:fill type="solid"/>
              </v:shape>
            </v:group>
            <v:group style="position:absolute;left:4077;top:7336;width:352;height:312" coordorigin="4077,7336" coordsize="352,312">
              <v:shape style="position:absolute;left:4077;top:7336;width:352;height:312" coordorigin="4077,7336" coordsize="352,312" path="m4077,7648l4428,7648,4428,7336,4077,7336,4077,7648xe" filled="true" fillcolor="#c6eccc" stroked="false">
                <v:path arrowok="t"/>
                <v:fill type="solid"/>
              </v:shape>
            </v:group>
            <v:group style="position:absolute;left:4077;top:7648;width:352;height:312" coordorigin="4077,7648" coordsize="352,312">
              <v:shape style="position:absolute;left:4077;top:7648;width:352;height:312" coordorigin="4077,7648" coordsize="352,312" path="m4077,7960l4428,7960,4428,7648,4077,7648,4077,7960xe" filled="true" fillcolor="#c6eccc" stroked="false">
                <v:path arrowok="t"/>
                <v:fill type="solid"/>
              </v:shape>
            </v:group>
            <v:group style="position:absolute;left:4077;top:7960;width:352;height:312" coordorigin="4077,7960" coordsize="352,312">
              <v:shape style="position:absolute;left:4077;top:7960;width:352;height:312" coordorigin="4077,7960" coordsize="352,312" path="m4077,8272l4428,8272,4428,7960,4077,7960,4077,8272xe" filled="true" fillcolor="#c6eccc" stroked="false">
                <v:path arrowok="t"/>
                <v:fill type="solid"/>
              </v:shape>
            </v:group>
            <v:group style="position:absolute;left:4077;top:8272;width:352;height:313" coordorigin="4077,8272" coordsize="352,313">
              <v:shape style="position:absolute;left:4077;top:8272;width:352;height:313" coordorigin="4077,8272" coordsize="352,313" path="m4077,8584l4428,8584,4428,8272,4077,8272,4077,8584xe" filled="true" fillcolor="#c6eccc" stroked="false">
                <v:path arrowok="t"/>
                <v:fill type="solid"/>
              </v:shape>
            </v:group>
            <v:group style="position:absolute;left:4077;top:8584;width:352;height:353" coordorigin="4077,8584" coordsize="352,353">
              <v:shape style="position:absolute;left:4077;top:8584;width:352;height:353" coordorigin="4077,8584" coordsize="352,353" path="m4077,8937l4428,8937,4428,8584,4077,8584,4077,8937xe" filled="true" fillcolor="#c6eccc" stroked="false">
                <v:path arrowok="t"/>
                <v:fill type="solid"/>
              </v:shape>
            </v:group>
            <v:group style="position:absolute;left:4462;top:6672;width:4254;height:468" coordorigin="4462,6672" coordsize="4254,468">
              <v:shape style="position:absolute;left:4462;top:6672;width:4254;height:468" coordorigin="4462,6672" coordsize="4254,468" path="m4462,7140l8716,7140,8716,6672,4462,6672,4462,7140xe" filled="true" fillcolor="#c6eccc" stroked="false">
                <v:path arrowok="t"/>
                <v:fill type="solid"/>
              </v:shape>
            </v:group>
            <v:group style="position:absolute;left:4473;top:7140;width:2;height:1329" coordorigin="4473,7140" coordsize="2,1329">
              <v:shape style="position:absolute;left:4473;top:7140;width:2;height:1329" coordorigin="4473,7140" coordsize="0,1329" path="m4473,7140l4473,8469e" filled="false" stroked="true" strokeweight="1.140pt" strokecolor="#c6eccc">
                <v:path arrowok="t"/>
              </v:shape>
            </v:group>
            <v:group style="position:absolute;left:8704;top:7140;width:2;height:1329" coordorigin="8704,7140" coordsize="2,1329">
              <v:shape style="position:absolute;left:8704;top:7140;width:2;height:1329" coordorigin="8704,7140" coordsize="0,1329" path="m8704,7140l8704,8469e" filled="false" stroked="true" strokeweight="1.140pt" strokecolor="#c6eccc">
                <v:path arrowok="t"/>
              </v:shape>
            </v:group>
            <v:group style="position:absolute;left:4462;top:8469;width:4254;height:468" coordorigin="4462,8469" coordsize="4254,468">
              <v:shape style="position:absolute;left:4462;top:8469;width:4254;height:468" coordorigin="4462,8469" coordsize="4254,468" path="m4462,8937l8716,8937,8716,8469,4462,8469,4462,8937xe" filled="true" fillcolor="#c6eccc" stroked="false">
                <v:path arrowok="t"/>
                <v:fill type="solid"/>
              </v:shape>
            </v:group>
            <v:group style="position:absolute;left:4485;top:7140;width:4208;height:352" coordorigin="4485,7140" coordsize="4208,352">
              <v:shape style="position:absolute;left:4485;top:7140;width:4208;height:352" coordorigin="4485,7140" coordsize="4208,352" path="m4485,7492l8693,7492,8693,7140,4485,7140,4485,7492xe" filled="true" fillcolor="#c6eccc" stroked="false">
                <v:path arrowok="t"/>
                <v:fill type="solid"/>
              </v:shape>
            </v:group>
            <v:group style="position:absolute;left:4485;top:7492;width:4208;height:312" coordorigin="4485,7492" coordsize="4208,312">
              <v:shape style="position:absolute;left:4485;top:7492;width:4208;height:312" coordorigin="4485,7492" coordsize="4208,312" path="m4485,7804l8693,7804,8693,7492,4485,7492,4485,7804xe" filled="true" fillcolor="#c6eccc" stroked="false">
                <v:path arrowok="t"/>
                <v:fill type="solid"/>
              </v:shape>
            </v:group>
            <v:group style="position:absolute;left:4485;top:7804;width:4208;height:312" coordorigin="4485,7804" coordsize="4208,312">
              <v:shape style="position:absolute;left:4485;top:7804;width:4208;height:312" coordorigin="4485,7804" coordsize="4208,312" path="m4485,8116l8693,8116,8693,7804,4485,7804,4485,8116xe" filled="true" fillcolor="#c6eccc" stroked="false">
                <v:path arrowok="t"/>
                <v:fill type="solid"/>
              </v:shape>
            </v:group>
            <v:group style="position:absolute;left:4485;top:8116;width:4208;height:354" coordorigin="4485,8116" coordsize="4208,354">
              <v:shape style="position:absolute;left:4485;top:8116;width:4208;height:354" coordorigin="4485,8116" coordsize="4208,354" path="m4485,8469l8693,8469,8693,8116,4485,8116,4485,8469xe" filled="true" fillcolor="#c6eccc" stroked="false">
                <v:path arrowok="t"/>
                <v:fill type="solid"/>
              </v:shape>
            </v:group>
            <v:group style="position:absolute;left:9275;top:6672;width:507;height:780" coordorigin="9275,6672" coordsize="507,780">
              <v:shape style="position:absolute;left:9275;top:6672;width:507;height:780" coordorigin="9275,6672" coordsize="507,780" path="m9275,7452l9781,7452,9781,6672,9275,6672,9275,7452xe" filled="true" fillcolor="#c6eccc" stroked="false">
                <v:path arrowok="t"/>
                <v:fill type="solid"/>
              </v:shape>
            </v:group>
            <v:group style="position:absolute;left:9286;top:7452;width:2;height:705" coordorigin="9286,7452" coordsize="2,705">
              <v:shape style="position:absolute;left:9286;top:7452;width:2;height:705" coordorigin="9286,7452" coordsize="0,705" path="m9286,7452l9286,8157e" filled="false" stroked="true" strokeweight="1.140pt" strokecolor="#c6eccc">
                <v:path arrowok="t"/>
              </v:shape>
            </v:group>
            <v:group style="position:absolute;left:9770;top:7452;width:2;height:705" coordorigin="9770,7452" coordsize="2,705">
              <v:shape style="position:absolute;left:9770;top:7452;width:2;height:705" coordorigin="9770,7452" coordsize="0,705" path="m9770,7452l9770,8157e" filled="false" stroked="true" strokeweight="1.140pt" strokecolor="#c6eccc">
                <v:path arrowok="t"/>
              </v:shape>
            </v:group>
            <v:group style="position:absolute;left:9275;top:8157;width:507;height:781" coordorigin="9275,8157" coordsize="507,781">
              <v:shape style="position:absolute;left:9275;top:8157;width:507;height:781" coordorigin="9275,8157" coordsize="507,781" path="m9275,8937l9781,8937,9781,8157,9275,8157,9275,8937xe" filled="true" fillcolor="#c6eccc" stroked="false">
                <v:path arrowok="t"/>
                <v:fill type="solid"/>
              </v:shape>
            </v:group>
            <v:group style="position:absolute;left:9298;top:7452;width:461;height:352" coordorigin="9298,7452" coordsize="461,352">
              <v:shape style="position:absolute;left:9298;top:7452;width:461;height:352" coordorigin="9298,7452" coordsize="461,352" path="m9298,7804l9758,7804,9758,7452,9298,7452,9298,7804xe" filled="true" fillcolor="#c6eccc" stroked="false">
                <v:path arrowok="t"/>
                <v:fill type="solid"/>
              </v:shape>
            </v:group>
            <v:group style="position:absolute;left:9298;top:7804;width:461;height:353" coordorigin="9298,7804" coordsize="461,353">
              <v:shape style="position:absolute;left:9298;top:7804;width:461;height:353" coordorigin="9298,7804" coordsize="461,353" path="m9298,8157l9758,8157,9758,7804,9298,7804,9298,8157xe" filled="true" fillcolor="#c6eccc" stroked="false">
                <v:path arrowok="t"/>
                <v:fill type="solid"/>
              </v:shape>
            </v:group>
            <v:group style="position:absolute;left:9791;top:6672;width:1006;height:156" coordorigin="9791,6672" coordsize="1006,156">
              <v:shape style="position:absolute;left:9791;top:6672;width:1006;height:156" coordorigin="9791,6672" coordsize="1006,156" path="m9791,6828l10796,6828,10796,6672,9791,6672,9791,6828xe" filled="true" fillcolor="#c6eccc" stroked="false">
                <v:path arrowok="t"/>
                <v:fill type="solid"/>
              </v:shape>
            </v:group>
            <v:group style="position:absolute;left:9802;top:6828;width:2;height:1953" coordorigin="9802,6828" coordsize="2,1953">
              <v:shape style="position:absolute;left:9802;top:6828;width:2;height:1953" coordorigin="9802,6828" coordsize="0,1953" path="m9802,6828l9802,8781e" filled="false" stroked="true" strokeweight="1.140pt" strokecolor="#c6eccc">
                <v:path arrowok="t"/>
              </v:shape>
            </v:group>
            <v:group style="position:absolute;left:10785;top:6828;width:2;height:1953" coordorigin="10785,6828" coordsize="2,1953">
              <v:shape style="position:absolute;left:10785;top:6828;width:2;height:1953" coordorigin="10785,6828" coordsize="0,1953" path="m10785,6828l10785,8781e" filled="false" stroked="true" strokeweight="1.140pt" strokecolor="#c6eccc">
                <v:path arrowok="t"/>
              </v:shape>
            </v:group>
            <v:group style="position:absolute;left:9791;top:8781;width:1006;height:156" coordorigin="9791,8781" coordsize="1006,156">
              <v:shape style="position:absolute;left:9791;top:8781;width:1006;height:156" coordorigin="9791,8781" coordsize="1006,156" path="m9791,8937l10796,8937,10796,8781,9791,8781,9791,8937xe" filled="true" fillcolor="#c6eccc" stroked="false">
                <v:path arrowok="t"/>
                <v:fill type="solid"/>
              </v:shape>
            </v:group>
            <v:group style="position:absolute;left:9814;top:6828;width:960;height:352" coordorigin="9814,6828" coordsize="960,352">
              <v:shape style="position:absolute;left:9814;top:6828;width:960;height:352" coordorigin="9814,6828" coordsize="960,352" path="m9814,7180l10774,7180,10774,6828,9814,6828,9814,7180xe" filled="true" fillcolor="#c6eccc" stroked="false">
                <v:path arrowok="t"/>
                <v:fill type="solid"/>
              </v:shape>
            </v:group>
            <v:group style="position:absolute;left:9814;top:7180;width:960;height:312" coordorigin="9814,7180" coordsize="960,312">
              <v:shape style="position:absolute;left:9814;top:7180;width:960;height:312" coordorigin="9814,7180" coordsize="960,312" path="m9814,7492l10774,7492,10774,7180,9814,7180,9814,7492xe" filled="true" fillcolor="#c6eccc" stroked="false">
                <v:path arrowok="t"/>
                <v:fill type="solid"/>
              </v:shape>
            </v:group>
            <v:group style="position:absolute;left:9814;top:7492;width:960;height:312" coordorigin="9814,7492" coordsize="960,312">
              <v:shape style="position:absolute;left:9814;top:7492;width:960;height:312" coordorigin="9814,7492" coordsize="960,312" path="m9814,7804l10774,7804,10774,7492,9814,7492,9814,7804xe" filled="true" fillcolor="#c6eccc" stroked="false">
                <v:path arrowok="t"/>
                <v:fill type="solid"/>
              </v:shape>
            </v:group>
            <v:group style="position:absolute;left:9814;top:7804;width:960;height:312" coordorigin="9814,7804" coordsize="960,312">
              <v:shape style="position:absolute;left:9814;top:7804;width:960;height:312" coordorigin="9814,7804" coordsize="960,312" path="m9814,8116l10774,8116,10774,7804,9814,7804,9814,8116xe" filled="true" fillcolor="#c6eccc" stroked="false">
                <v:path arrowok="t"/>
                <v:fill type="solid"/>
              </v:shape>
            </v:group>
            <v:group style="position:absolute;left:9814;top:8116;width:960;height:313" coordorigin="9814,8116" coordsize="960,313">
              <v:shape style="position:absolute;left:9814;top:8116;width:960;height:313" coordorigin="9814,8116" coordsize="960,313" path="m9814,8428l10774,8428,10774,8116,9814,8116,9814,8428xe" filled="true" fillcolor="#c6eccc" stroked="false">
                <v:path arrowok="t"/>
                <v:fill type="solid"/>
              </v:shape>
            </v:group>
            <v:group style="position:absolute;left:9814;top:8428;width:960;height:353" coordorigin="9814,8428" coordsize="960,353">
              <v:shape style="position:absolute;left:9814;top:8428;width:960;height:353" coordorigin="9814,8428" coordsize="960,353" path="m9814,8781l10774,8781,10774,8428,9814,8428,9814,8781xe" filled="true" fillcolor="#c6eccc" stroked="false">
                <v:path arrowok="t"/>
                <v:fill type="solid"/>
              </v:shape>
            </v:group>
            <v:group style="position:absolute;left:2304;top:6668;width:1740;height:2" coordorigin="2304,6668" coordsize="1740,2">
              <v:shape style="position:absolute;left:2304;top:6668;width:1740;height:2" coordorigin="2304,6668" coordsize="1740,0" path="m2304,6668l4044,6668e" filled="false" stroked="true" strokeweight=".48pt" strokecolor="#000000">
                <v:path arrowok="t"/>
              </v:shape>
            </v:group>
            <v:group style="position:absolute;left:4054;top:6668;width:398;height:2" coordorigin="4054,6668" coordsize="398,2">
              <v:shape style="position:absolute;left:4054;top:6668;width:398;height:2" coordorigin="4054,6668" coordsize="398,0" path="m4054,6668l4451,6668e" filled="false" stroked="true" strokeweight=".48pt" strokecolor="#000000">
                <v:path arrowok="t"/>
              </v:shape>
            </v:group>
            <v:group style="position:absolute;left:4461;top:6668;width:4255;height:2" coordorigin="4461,6668" coordsize="4255,2">
              <v:shape style="position:absolute;left:4461;top:6668;width:4255;height:2" coordorigin="4461,6668" coordsize="4255,0" path="m4461,6668l8716,6668e" filled="false" stroked="true" strokeweight=".48pt" strokecolor="#000000">
                <v:path arrowok="t"/>
              </v:shape>
            </v:group>
            <v:group style="position:absolute;left:8725;top:6668;width:540;height:2" coordorigin="8725,6668" coordsize="540,2">
              <v:shape style="position:absolute;left:8725;top:6668;width:540;height:2" coordorigin="8725,6668" coordsize="540,0" path="m8725,6668l9265,6668e" filled="false" stroked="true" strokeweight=".48pt" strokecolor="#000000">
                <v:path arrowok="t"/>
              </v:shape>
            </v:group>
            <v:group style="position:absolute;left:9275;top:6668;width:507;height:2" coordorigin="9275,6668" coordsize="507,2">
              <v:shape style="position:absolute;left:9275;top:6668;width:507;height:2" coordorigin="9275,6668" coordsize="507,0" path="m9275,6668l9781,6668e" filled="false" stroked="true" strokeweight=".48pt" strokecolor="#000000">
                <v:path arrowok="t"/>
              </v:shape>
            </v:group>
            <v:group style="position:absolute;left:9791;top:6668;width:1006;height:2" coordorigin="9791,6668" coordsize="1006,2">
              <v:shape style="position:absolute;left:9791;top:6668;width:1006;height:2" coordorigin="9791,6668" coordsize="1006,0" path="m9791,6668l10796,6668e" filled="false" stroked="true" strokeweight=".48pt" strokecolor="#000000">
                <v:path arrowok="t"/>
              </v:shape>
            </v:group>
            <v:group style="position:absolute;left:1139;top:8937;width:1156;height:5083" coordorigin="1139,8937" coordsize="1156,5083">
              <v:shape style="position:absolute;left:1139;top:8937;width:1156;height:5083" coordorigin="1139,8937" coordsize="1156,5083" path="m1139,14020l2295,14020,2295,8937,1139,8937,1139,14020xe" filled="true" fillcolor="#d2d2d2" stroked="false">
                <v:path arrowok="t"/>
                <v:fill type="solid"/>
              </v:shape>
            </v:group>
            <v:group style="position:absolute;left:2304;top:8947;width:1740;height:1560" coordorigin="2304,8947" coordsize="1740,1560">
              <v:shape style="position:absolute;left:2304;top:8947;width:1740;height:1560" coordorigin="2304,8947" coordsize="1740,1560" path="m2304,10507l4044,10507,4044,8947,2304,8947,2304,10507xe" filled="true" fillcolor="#c6eccc" stroked="false">
                <v:path arrowok="t"/>
                <v:fill type="solid"/>
              </v:shape>
            </v:group>
            <v:group style="position:absolute;left:2316;top:10507;width:2;height:1953" coordorigin="2316,10507" coordsize="2,1953">
              <v:shape style="position:absolute;left:2316;top:10507;width:2;height:1953" coordorigin="2316,10507" coordsize="0,1953" path="m2316,10507l2316,12459e" filled="false" stroked="true" strokeweight="1.140pt" strokecolor="#c6eccc">
                <v:path arrowok="t"/>
              </v:shape>
            </v:group>
            <v:group style="position:absolute;left:4033;top:10507;width:2;height:1953" coordorigin="4033,10507" coordsize="2,1953">
              <v:shape style="position:absolute;left:4033;top:10507;width:2;height:1953" coordorigin="4033,10507" coordsize="0,1953" path="m4033,10507l4033,12459e" filled="false" stroked="true" strokeweight="1.140pt" strokecolor="#c6eccc">
                <v:path arrowok="t"/>
              </v:shape>
            </v:group>
            <v:group style="position:absolute;left:2304;top:12459;width:1740;height:1561" coordorigin="2304,12459" coordsize="1740,1561">
              <v:shape style="position:absolute;left:2304;top:12459;width:1740;height:1561" coordorigin="2304,12459" coordsize="1740,1561" path="m2304,14020l4044,14020,4044,12459,2304,12459,2304,14020xe" filled="true" fillcolor="#c6eccc" stroked="false">
                <v:path arrowok="t"/>
                <v:fill type="solid"/>
              </v:shape>
            </v:group>
            <v:group style="position:absolute;left:2327;top:10507;width:1695;height:352" coordorigin="2327,10507" coordsize="1695,352">
              <v:shape style="position:absolute;left:2327;top:10507;width:1695;height:352" coordorigin="2327,10507" coordsize="1695,352" path="m2327,10858l4022,10858,4022,10507,2327,10507,2327,10858xe" filled="true" fillcolor="#c6eccc" stroked="false">
                <v:path arrowok="t"/>
                <v:fill type="solid"/>
              </v:shape>
            </v:group>
            <v:group style="position:absolute;left:2327;top:10858;width:1695;height:312" coordorigin="2327,10858" coordsize="1695,312">
              <v:shape style="position:absolute;left:2327;top:10858;width:1695;height:312" coordorigin="2327,10858" coordsize="1695,312" path="m2327,11170l4022,11170,4022,10858,2327,10858,2327,11170xe" filled="true" fillcolor="#c6eccc" stroked="false">
                <v:path arrowok="t"/>
                <v:fill type="solid"/>
              </v:shape>
            </v:group>
            <v:group style="position:absolute;left:2327;top:11170;width:1695;height:312" coordorigin="2327,11170" coordsize="1695,312">
              <v:shape style="position:absolute;left:2327;top:11170;width:1695;height:312" coordorigin="2327,11170" coordsize="1695,312" path="m2327,11482l4022,11482,4022,11170,2327,11170,2327,11482xe" filled="true" fillcolor="#c6eccc" stroked="false">
                <v:path arrowok="t"/>
                <v:fill type="solid"/>
              </v:shape>
            </v:group>
            <v:group style="position:absolute;left:2327;top:11482;width:1695;height:312" coordorigin="2327,11482" coordsize="1695,312">
              <v:shape style="position:absolute;left:2327;top:11482;width:1695;height:312" coordorigin="2327,11482" coordsize="1695,312" path="m2327,11794l4022,11794,4022,11482,2327,11482,2327,11794xe" filled="true" fillcolor="#c6eccc" stroked="false">
                <v:path arrowok="t"/>
                <v:fill type="solid"/>
              </v:shape>
            </v:group>
            <v:group style="position:absolute;left:2327;top:11794;width:1695;height:312" coordorigin="2327,11794" coordsize="1695,312">
              <v:shape style="position:absolute;left:2327;top:11794;width:1695;height:312" coordorigin="2327,11794" coordsize="1695,312" path="m2327,12106l4022,12106,4022,11794,2327,11794,2327,12106xe" filled="true" fillcolor="#c6eccc" stroked="false">
                <v:path arrowok="t"/>
                <v:fill type="solid"/>
              </v:shape>
            </v:group>
            <v:group style="position:absolute;left:2327;top:12106;width:1695;height:353" coordorigin="2327,12106" coordsize="1695,353">
              <v:shape style="position:absolute;left:2327;top:12106;width:1695;height:353" coordorigin="2327,12106" coordsize="1695,353" path="m2327,12459l4022,12459,4022,12106,2327,12106,2327,12459xe" filled="true" fillcolor="#c6eccc" stroked="false">
                <v:path arrowok="t"/>
                <v:fill type="solid"/>
              </v:shape>
            </v:group>
            <v:group style="position:absolute;left:4054;top:8947;width:398;height:1404" coordorigin="4054,8947" coordsize="398,1404">
              <v:shape style="position:absolute;left:4054;top:8947;width:398;height:1404" coordorigin="4054,8947" coordsize="398,1404" path="m4054,10351l4451,10351,4451,8947,4054,8947,4054,10351xe" filled="true" fillcolor="#c6eccc" stroked="false">
                <v:path arrowok="t"/>
                <v:fill type="solid"/>
              </v:shape>
            </v:group>
            <v:group style="position:absolute;left:4065;top:10351;width:2;height:2265" coordorigin="4065,10351" coordsize="2,2265">
              <v:shape style="position:absolute;left:4065;top:10351;width:2;height:2265" coordorigin="4065,10351" coordsize="0,2265" path="m4065,10351l4065,12615e" filled="false" stroked="true" strokeweight="1.140pt" strokecolor="#c6eccc">
                <v:path arrowok="t"/>
              </v:shape>
            </v:group>
            <v:group style="position:absolute;left:4440;top:10351;width:2;height:2265" coordorigin="4440,10351" coordsize="2,2265">
              <v:shape style="position:absolute;left:4440;top:10351;width:2;height:2265" coordorigin="4440,10351" coordsize="0,2265" path="m4440,10351l4440,12615e" filled="false" stroked="true" strokeweight="1.140pt" strokecolor="#c6eccc">
                <v:path arrowok="t"/>
              </v:shape>
            </v:group>
            <v:group style="position:absolute;left:4054;top:12615;width:398;height:1405" coordorigin="4054,12615" coordsize="398,1405">
              <v:shape style="position:absolute;left:4054;top:12615;width:398;height:1405" coordorigin="4054,12615" coordsize="398,1405" path="m4054,14020l4451,14020,4451,12615,4054,12615,4054,14020xe" filled="true" fillcolor="#c6eccc" stroked="false">
                <v:path arrowok="t"/>
                <v:fill type="solid"/>
              </v:shape>
            </v:group>
            <v:group style="position:absolute;left:4077;top:10351;width:352;height:352" coordorigin="4077,10351" coordsize="352,352">
              <v:shape style="position:absolute;left:4077;top:10351;width:352;height:352" coordorigin="4077,10351" coordsize="352,352" path="m4077,10702l4428,10702,4428,10351,4077,10351,4077,10702xe" filled="true" fillcolor="#c6eccc" stroked="false">
                <v:path arrowok="t"/>
                <v:fill type="solid"/>
              </v:shape>
            </v:group>
            <v:group style="position:absolute;left:4077;top:10702;width:352;height:312" coordorigin="4077,10702" coordsize="352,312">
              <v:shape style="position:absolute;left:4077;top:10702;width:352;height:312" coordorigin="4077,10702" coordsize="352,312" path="m4077,11014l4428,11014,4428,10702,4077,10702,4077,11014xe" filled="true" fillcolor="#c6eccc" stroked="false">
                <v:path arrowok="t"/>
                <v:fill type="solid"/>
              </v:shape>
            </v:group>
            <v:group style="position:absolute;left:4077;top:11014;width:352;height:312" coordorigin="4077,11014" coordsize="352,312">
              <v:shape style="position:absolute;left:4077;top:11014;width:352;height:312" coordorigin="4077,11014" coordsize="352,312" path="m4077,11326l4428,11326,4428,11014,4077,11014,4077,11326xe" filled="true" fillcolor="#c6eccc" stroked="false">
                <v:path arrowok="t"/>
                <v:fill type="solid"/>
              </v:shape>
            </v:group>
            <v:group style="position:absolute;left:4077;top:11326;width:352;height:312" coordorigin="4077,11326" coordsize="352,312">
              <v:shape style="position:absolute;left:4077;top:11326;width:352;height:312" coordorigin="4077,11326" coordsize="352,312" path="m4077,11638l4428,11638,4428,11326,4077,11326,4077,11638xe" filled="true" fillcolor="#c6eccc" stroked="false">
                <v:path arrowok="t"/>
                <v:fill type="solid"/>
              </v:shape>
            </v:group>
            <v:group style="position:absolute;left:4077;top:11638;width:352;height:312" coordorigin="4077,11638" coordsize="352,312">
              <v:shape style="position:absolute;left:4077;top:11638;width:352;height:312" coordorigin="4077,11638" coordsize="352,312" path="m4077,11950l4428,11950,4428,11638,4077,11638,4077,11950xe" filled="true" fillcolor="#c6eccc" stroked="false">
                <v:path arrowok="t"/>
                <v:fill type="solid"/>
              </v:shape>
            </v:group>
            <v:group style="position:absolute;left:4077;top:11950;width:352;height:312" coordorigin="4077,11950" coordsize="352,312">
              <v:shape style="position:absolute;left:4077;top:11950;width:352;height:312" coordorigin="4077,11950" coordsize="352,312" path="m4077,12262l4428,12262,4428,11950,4077,11950,4077,12262xe" filled="true" fillcolor="#c6eccc" stroked="false">
                <v:path arrowok="t"/>
                <v:fill type="solid"/>
              </v:shape>
            </v:group>
            <v:group style="position:absolute;left:4077;top:12262;width:352;height:353" coordorigin="4077,12262" coordsize="352,353">
              <v:shape style="position:absolute;left:4077;top:12262;width:352;height:353" coordorigin="4077,12262" coordsize="352,353" path="m4077,12615l4428,12615,4428,12262,4077,12262,4077,12615xe" filled="true" fillcolor="#c6eccc" stroked="false">
                <v:path arrowok="t"/>
                <v:fill type="solid"/>
              </v:shape>
            </v:group>
            <v:group style="position:absolute;left:4473;top:8947;width:2;height:5073" coordorigin="4473,8947" coordsize="2,5073">
              <v:shape style="position:absolute;left:4473;top:8947;width:2;height:5073" coordorigin="4473,8947" coordsize="0,5073" path="m4473,8947l4473,14020e" filled="false" stroked="true" strokeweight="1.140pt" strokecolor="#c6eccc">
                <v:path arrowok="t"/>
              </v:shape>
            </v:group>
            <v:group style="position:absolute;left:8704;top:8947;width:2;height:5073" coordorigin="8704,8947" coordsize="2,5073">
              <v:shape style="position:absolute;left:8704;top:8947;width:2;height:5073" coordorigin="8704,8947" coordsize="0,5073" path="m8704,8947l8704,14020e" filled="false" stroked="true" strokeweight="1.140pt" strokecolor="#c6eccc">
                <v:path arrowok="t"/>
              </v:shape>
            </v:group>
            <v:group style="position:absolute;left:4485;top:8947;width:4208;height:352" coordorigin="4485,8947" coordsize="4208,352">
              <v:shape style="position:absolute;left:4485;top:8947;width:4208;height:352" coordorigin="4485,8947" coordsize="4208,352" path="m4485,9298l8693,9298,8693,8947,4485,8947,4485,9298xe" filled="true" fillcolor="#c6eccc" stroked="false">
                <v:path arrowok="t"/>
                <v:fill type="solid"/>
              </v:shape>
            </v:group>
            <v:group style="position:absolute;left:4485;top:9298;width:4208;height:312" coordorigin="4485,9298" coordsize="4208,312">
              <v:shape style="position:absolute;left:4485;top:9298;width:4208;height:312" coordorigin="4485,9298" coordsize="4208,312" path="m4485,9610l8693,9610,8693,9298,4485,9298,4485,9610xe" filled="true" fillcolor="#c6eccc" stroked="false">
                <v:path arrowok="t"/>
                <v:fill type="solid"/>
              </v:shape>
            </v:group>
            <v:group style="position:absolute;left:4485;top:9610;width:4208;height:312" coordorigin="4485,9610" coordsize="4208,312">
              <v:shape style="position:absolute;left:4485;top:9610;width:4208;height:312" coordorigin="4485,9610" coordsize="4208,312" path="m4485,9922l8693,9922,8693,9610,4485,9610,4485,9922xe" filled="true" fillcolor="#c6eccc" stroked="false">
                <v:path arrowok="t"/>
                <v:fill type="solid"/>
              </v:shape>
            </v:group>
            <v:group style="position:absolute;left:4485;top:9922;width:4208;height:312" coordorigin="4485,9922" coordsize="4208,312">
              <v:shape style="position:absolute;left:4485;top:9922;width:4208;height:312" coordorigin="4485,9922" coordsize="4208,312" path="m4485,10234l8693,10234,8693,9922,4485,9922,4485,10234xe" filled="true" fillcolor="#c6eccc" stroked="false">
                <v:path arrowok="t"/>
                <v:fill type="solid"/>
              </v:shape>
            </v:group>
            <v:group style="position:absolute;left:4485;top:10234;width:4208;height:312" coordorigin="4485,10234" coordsize="4208,312">
              <v:shape style="position:absolute;left:4485;top:10234;width:4208;height:312" coordorigin="4485,10234" coordsize="4208,312" path="m4485,10546l8693,10546,8693,10234,4485,10234,4485,10546xe" filled="true" fillcolor="#c6eccc" stroked="false">
                <v:path arrowok="t"/>
                <v:fill type="solid"/>
              </v:shape>
            </v:group>
            <v:group style="position:absolute;left:4485;top:10546;width:4208;height:312" coordorigin="4485,10546" coordsize="4208,312">
              <v:shape style="position:absolute;left:4485;top:10546;width:4208;height:312" coordorigin="4485,10546" coordsize="4208,312" path="m4485,10858l8693,10858,8693,10546,4485,10546,4485,10858xe" filled="true" fillcolor="#c6eccc" stroked="false">
                <v:path arrowok="t"/>
                <v:fill type="solid"/>
              </v:shape>
            </v:group>
            <v:group style="position:absolute;left:4485;top:10858;width:4208;height:312" coordorigin="4485,10858" coordsize="4208,312">
              <v:shape style="position:absolute;left:4485;top:10858;width:4208;height:312" coordorigin="4485,10858" coordsize="4208,312" path="m4485,11170l8693,11170,8693,10858,4485,10858,4485,11170xe" filled="true" fillcolor="#c6eccc" stroked="false">
                <v:path arrowok="t"/>
                <v:fill type="solid"/>
              </v:shape>
            </v:group>
            <v:group style="position:absolute;left:4485;top:11170;width:4208;height:312" coordorigin="4485,11170" coordsize="4208,312">
              <v:shape style="position:absolute;left:4485;top:11170;width:4208;height:312" coordorigin="4485,11170" coordsize="4208,312" path="m4485,11482l8693,11482,8693,11170,4485,11170,4485,11482xe" filled="true" fillcolor="#c6eccc" stroked="false">
                <v:path arrowok="t"/>
                <v:fill type="solid"/>
              </v:shape>
            </v:group>
            <v:group style="position:absolute;left:4485;top:11482;width:4208;height:312" coordorigin="4485,11482" coordsize="4208,312">
              <v:shape style="position:absolute;left:4485;top:11482;width:4208;height:312" coordorigin="4485,11482" coordsize="4208,312" path="m4485,11794l8693,11794,8693,11482,4485,11482,4485,11794xe" filled="true" fillcolor="#c6eccc" stroked="false">
                <v:path arrowok="t"/>
                <v:fill type="solid"/>
              </v:shape>
            </v:group>
            <v:group style="position:absolute;left:4485;top:11794;width:4208;height:312" coordorigin="4485,11794" coordsize="4208,312">
              <v:shape style="position:absolute;left:4485;top:11794;width:4208;height:312" coordorigin="4485,11794" coordsize="4208,312" path="m4485,12106l8693,12106,8693,11794,4485,11794,4485,12106xe" filled="true" fillcolor="#c6eccc" stroked="false">
                <v:path arrowok="t"/>
                <v:fill type="solid"/>
              </v:shape>
            </v:group>
            <v:group style="position:absolute;left:4485;top:12106;width:4208;height:312" coordorigin="4485,12106" coordsize="4208,312">
              <v:shape style="position:absolute;left:4485;top:12106;width:4208;height:312" coordorigin="4485,12106" coordsize="4208,312" path="m4485,12418l8693,12418,8693,12106,4485,12106,4485,12418xe" filled="true" fillcolor="#c6eccc" stroked="false">
                <v:path arrowok="t"/>
                <v:fill type="solid"/>
              </v:shape>
            </v:group>
            <v:group style="position:absolute;left:4485;top:12418;width:4208;height:312" coordorigin="4485,12418" coordsize="4208,312">
              <v:shape style="position:absolute;left:4485;top:12418;width:4208;height:312" coordorigin="4485,12418" coordsize="4208,312" path="m4485,12730l8693,12730,8693,12418,4485,12418,4485,12730xe" filled="true" fillcolor="#c6eccc" stroked="false">
                <v:path arrowok="t"/>
                <v:fill type="solid"/>
              </v:shape>
            </v:group>
            <v:group style="position:absolute;left:4485;top:12730;width:4208;height:312" coordorigin="4485,12730" coordsize="4208,312">
              <v:shape style="position:absolute;left:4485;top:12730;width:4208;height:312" coordorigin="4485,12730" coordsize="4208,312" path="m4485,13042l8693,13042,8693,12730,4485,12730,4485,13042xe" filled="true" fillcolor="#c6eccc" stroked="false">
                <v:path arrowok="t"/>
                <v:fill type="solid"/>
              </v:shape>
            </v:group>
            <v:group style="position:absolute;left:4485;top:13042;width:4208;height:312" coordorigin="4485,13042" coordsize="4208,312">
              <v:shape style="position:absolute;left:4485;top:13042;width:4208;height:312" coordorigin="4485,13042" coordsize="4208,312" path="m4485,13354l8693,13354,8693,13042,4485,13042,4485,13354xe" filled="true" fillcolor="#c6eccc" stroked="false">
                <v:path arrowok="t"/>
                <v:fill type="solid"/>
              </v:shape>
            </v:group>
            <v:group style="position:absolute;left:4485;top:13354;width:4208;height:312" coordorigin="4485,13354" coordsize="4208,312">
              <v:shape style="position:absolute;left:4485;top:13354;width:4208;height:312" coordorigin="4485,13354" coordsize="4208,312" path="m4485,13666l8693,13666,8693,13354,4485,13354,4485,13666xe" filled="true" fillcolor="#c6eccc" stroked="false">
                <v:path arrowok="t"/>
                <v:fill type="solid"/>
              </v:shape>
            </v:group>
            <v:group style="position:absolute;left:4485;top:13666;width:4208;height:354" coordorigin="4485,13666" coordsize="4208,354">
              <v:shape style="position:absolute;left:4485;top:13666;width:4208;height:354" coordorigin="4485,13666" coordsize="4208,354" path="m4485,14020l8693,14020,8693,13666,4485,13666,4485,14020xe" filled="true" fillcolor="#c6eccc" stroked="false">
                <v:path arrowok="t"/>
                <v:fill type="solid"/>
              </v:shape>
            </v:group>
            <v:group style="position:absolute;left:9275;top:8947;width:507;height:2340" coordorigin="9275,8947" coordsize="507,2340">
              <v:shape style="position:absolute;left:9275;top:8947;width:507;height:2340" coordorigin="9275,8947" coordsize="507,2340" path="m9275,11287l9781,11287,9781,8947,9275,8947,9275,11287xe" filled="true" fillcolor="#c6eccc" stroked="false">
                <v:path arrowok="t"/>
                <v:fill type="solid"/>
              </v:shape>
            </v:group>
            <v:group style="position:absolute;left:9286;top:11287;width:2;height:393" coordorigin="9286,11287" coordsize="2,393">
              <v:shape style="position:absolute;left:9286;top:11287;width:2;height:393" coordorigin="9286,11287" coordsize="0,393" path="m9286,11287l9286,11679e" filled="false" stroked="true" strokeweight="1.140pt" strokecolor="#c6eccc">
                <v:path arrowok="t"/>
              </v:shape>
            </v:group>
            <v:group style="position:absolute;left:9770;top:11287;width:2;height:393" coordorigin="9770,11287" coordsize="2,393">
              <v:shape style="position:absolute;left:9770;top:11287;width:2;height:393" coordorigin="9770,11287" coordsize="0,393" path="m9770,11287l9770,11679e" filled="false" stroked="true" strokeweight="1.140pt" strokecolor="#c6eccc">
                <v:path arrowok="t"/>
              </v:shape>
            </v:group>
            <v:group style="position:absolute;left:9275;top:11679;width:507;height:2341" coordorigin="9275,11679" coordsize="507,2341">
              <v:shape style="position:absolute;left:9275;top:11679;width:507;height:2341" coordorigin="9275,11679" coordsize="507,2341" path="m9275,14020l9781,14020,9781,11679,9275,11679,9275,14020xe" filled="true" fillcolor="#c6eccc" stroked="false">
                <v:path arrowok="t"/>
                <v:fill type="solid"/>
              </v:shape>
            </v:group>
            <v:group style="position:absolute;left:9298;top:11287;width:461;height:393" coordorigin="9298,11287" coordsize="461,393">
              <v:shape style="position:absolute;left:9298;top:11287;width:461;height:393" coordorigin="9298,11287" coordsize="461,393" path="m9298,11679l9758,11679,9758,11287,9298,11287,9298,11679xe" filled="true" fillcolor="#c6eccc" stroked="false">
                <v:path arrowok="t"/>
                <v:fill type="solid"/>
              </v:shape>
            </v:group>
            <v:group style="position:absolute;left:9791;top:8947;width:1006;height:1560" coordorigin="9791,8947" coordsize="1006,1560">
              <v:shape style="position:absolute;left:9791;top:8947;width:1006;height:1560" coordorigin="9791,8947" coordsize="1006,1560" path="m9791,10507l10796,10507,10796,8947,9791,8947,9791,10507xe" filled="true" fillcolor="#c6eccc" stroked="false">
                <v:path arrowok="t"/>
                <v:fill type="solid"/>
              </v:shape>
            </v:group>
            <v:group style="position:absolute;left:9802;top:10507;width:2;height:1953" coordorigin="9802,10507" coordsize="2,1953">
              <v:shape style="position:absolute;left:9802;top:10507;width:2;height:1953" coordorigin="9802,10507" coordsize="0,1953" path="m9802,10507l9802,12459e" filled="false" stroked="true" strokeweight="1.140pt" strokecolor="#c6eccc">
                <v:path arrowok="t"/>
              </v:shape>
            </v:group>
            <v:group style="position:absolute;left:10785;top:10507;width:2;height:1953" coordorigin="10785,10507" coordsize="2,1953">
              <v:shape style="position:absolute;left:10785;top:10507;width:2;height:1953" coordorigin="10785,10507" coordsize="0,1953" path="m10785,10507l10785,12459e" filled="false" stroked="true" strokeweight="1.140pt" strokecolor="#c6eccc">
                <v:path arrowok="t"/>
              </v:shape>
            </v:group>
            <v:group style="position:absolute;left:9791;top:12459;width:1006;height:1561" coordorigin="9791,12459" coordsize="1006,1561">
              <v:shape style="position:absolute;left:9791;top:12459;width:1006;height:1561" coordorigin="9791,12459" coordsize="1006,1561" path="m9791,14020l10796,14020,10796,12459,9791,12459,9791,14020xe" filled="true" fillcolor="#c6eccc" stroked="false">
                <v:path arrowok="t"/>
                <v:fill type="solid"/>
              </v:shape>
            </v:group>
            <v:group style="position:absolute;left:9814;top:10507;width:960;height:352" coordorigin="9814,10507" coordsize="960,352">
              <v:shape style="position:absolute;left:9814;top:10507;width:960;height:352" coordorigin="9814,10507" coordsize="960,352" path="m9814,10858l10774,10858,10774,10507,9814,10507,9814,10858xe" filled="true" fillcolor="#c6eccc" stroked="false">
                <v:path arrowok="t"/>
                <v:fill type="solid"/>
              </v:shape>
            </v:group>
            <v:group style="position:absolute;left:9814;top:10858;width:960;height:312" coordorigin="9814,10858" coordsize="960,312">
              <v:shape style="position:absolute;left:9814;top:10858;width:960;height:312" coordorigin="9814,10858" coordsize="960,312" path="m9814,11170l10774,11170,10774,10858,9814,10858,9814,11170xe" filled="true" fillcolor="#c6eccc" stroked="false">
                <v:path arrowok="t"/>
                <v:fill type="solid"/>
              </v:shape>
            </v:group>
            <v:group style="position:absolute;left:9814;top:11170;width:960;height:312" coordorigin="9814,11170" coordsize="960,312">
              <v:shape style="position:absolute;left:9814;top:11170;width:960;height:312" coordorigin="9814,11170" coordsize="960,312" path="m9814,11482l10774,11482,10774,11170,9814,11170,9814,11482xe" filled="true" fillcolor="#c6eccc" stroked="false">
                <v:path arrowok="t"/>
                <v:fill type="solid"/>
              </v:shape>
            </v:group>
            <v:group style="position:absolute;left:9814;top:11482;width:960;height:312" coordorigin="9814,11482" coordsize="960,312">
              <v:shape style="position:absolute;left:9814;top:11482;width:960;height:312" coordorigin="9814,11482" coordsize="960,312" path="m9814,11794l10774,11794,10774,11482,9814,11482,9814,11794xe" filled="true" fillcolor="#c6eccc" stroked="false">
                <v:path arrowok="t"/>
                <v:fill type="solid"/>
              </v:shape>
            </v:group>
            <v:group style="position:absolute;left:9814;top:11794;width:960;height:312" coordorigin="9814,11794" coordsize="960,312">
              <v:shape style="position:absolute;left:9814;top:11794;width:960;height:312" coordorigin="9814,11794" coordsize="960,312" path="m9814,12106l10774,12106,10774,11794,9814,11794,9814,12106xe" filled="true" fillcolor="#c6eccc" stroked="false">
                <v:path arrowok="t"/>
                <v:fill type="solid"/>
              </v:shape>
            </v:group>
            <v:group style="position:absolute;left:9814;top:12106;width:960;height:353" coordorigin="9814,12106" coordsize="960,353">
              <v:shape style="position:absolute;left:9814;top:12106;width:960;height:353" coordorigin="9814,12106" coordsize="960,353" path="m9814,12459l10774,12459,10774,12106,9814,12106,9814,12459xe" filled="true" fillcolor="#c6eccc" stroked="false">
                <v:path arrowok="t"/>
                <v:fill type="solid"/>
              </v:shape>
            </v:group>
            <v:group style="position:absolute;left:2304;top:8942;width:1740;height:2" coordorigin="2304,8942" coordsize="1740,2">
              <v:shape style="position:absolute;left:2304;top:8942;width:1740;height:2" coordorigin="2304,8942" coordsize="1740,0" path="m2304,8942l4044,8942e" filled="false" stroked="true" strokeweight=".48pt" strokecolor="#000000">
                <v:path arrowok="t"/>
              </v:shape>
            </v:group>
            <v:group style="position:absolute;left:4054;top:8942;width:398;height:2" coordorigin="4054,8942" coordsize="398,2">
              <v:shape style="position:absolute;left:4054;top:8942;width:398;height:2" coordorigin="4054,8942" coordsize="398,0" path="m4054,8942l4451,8942e" filled="false" stroked="true" strokeweight=".48pt" strokecolor="#000000">
                <v:path arrowok="t"/>
              </v:shape>
            </v:group>
            <v:group style="position:absolute;left:4461;top:8942;width:4255;height:2" coordorigin="4461,8942" coordsize="4255,2">
              <v:shape style="position:absolute;left:4461;top:8942;width:4255;height:2" coordorigin="4461,8942" coordsize="4255,0" path="m4461,8942l8716,8942e" filled="false" stroked="true" strokeweight=".48pt" strokecolor="#000000">
                <v:path arrowok="t"/>
              </v:shape>
            </v:group>
            <v:group style="position:absolute;left:8725;top:8942;width:540;height:2" coordorigin="8725,8942" coordsize="540,2">
              <v:shape style="position:absolute;left:8725;top:8942;width:540;height:2" coordorigin="8725,8942" coordsize="540,0" path="m8725,8942l9265,8942e" filled="false" stroked="true" strokeweight=".48pt" strokecolor="#000000">
                <v:path arrowok="t"/>
              </v:shape>
            </v:group>
            <v:group style="position:absolute;left:9275;top:8942;width:507;height:2" coordorigin="9275,8942" coordsize="507,2">
              <v:shape style="position:absolute;left:9275;top:8942;width:507;height:2" coordorigin="9275,8942" coordsize="507,0" path="m9275,8942l9781,8942e" filled="false" stroked="true" strokeweight=".48pt" strokecolor="#000000">
                <v:path arrowok="t"/>
              </v:shape>
            </v:group>
            <v:group style="position:absolute;left:9791;top:8942;width:1006;height:2" coordorigin="9791,8942" coordsize="1006,2">
              <v:shape style="position:absolute;left:9791;top:8942;width:1006;height:2" coordorigin="9791,8942" coordsize="1006,0" path="m9791,8942l10796,8942e" filled="false" stroked="true" strokeweight=".48pt" strokecolor="#000000">
                <v:path arrowok="t"/>
              </v:shape>
            </v:group>
            <v:group style="position:absolute;left:1150;top:14029;width:2;height:393" coordorigin="1150,14029" coordsize="2,393">
              <v:shape style="position:absolute;left:1150;top:14029;width:2;height:393" coordorigin="1150,14029" coordsize="0,393" path="m1150,14029l1150,14422e" filled="false" stroked="true" strokeweight="1.140pt" strokecolor="#d2d2d2">
                <v:path arrowok="t"/>
              </v:shape>
            </v:group>
            <v:group style="position:absolute;left:2283;top:14029;width:2;height:393" coordorigin="2283,14029" coordsize="2,393">
              <v:shape style="position:absolute;left:2283;top:14029;width:2;height:393" coordorigin="2283,14029" coordsize="0,393" path="m2283,14029l2283,14422e" filled="false" stroked="true" strokeweight="1.2pt" strokecolor="#d2d2d2">
                <v:path arrowok="t"/>
              </v:shape>
            </v:group>
            <v:group style="position:absolute;left:1162;top:14029;width:1110;height:393" coordorigin="1162,14029" coordsize="1110,393">
              <v:shape style="position:absolute;left:1162;top:14029;width:1110;height:393" coordorigin="1162,14029" coordsize="1110,393" path="m1162,14422l2271,14422,2271,14029,1162,14029,1162,14422xe" filled="true" fillcolor="#d2d2d2" stroked="false">
                <v:path arrowok="t"/>
                <v:fill type="solid"/>
              </v:shape>
            </v:group>
            <v:group style="position:absolute;left:2316;top:14029;width:2;height:393" coordorigin="2316,14029" coordsize="2,393">
              <v:shape style="position:absolute;left:2316;top:14029;width:2;height:393" coordorigin="2316,14029" coordsize="0,393" path="m2316,14029l2316,14422e" filled="false" stroked="true" strokeweight="1.140pt" strokecolor="#c6eccc">
                <v:path arrowok="t"/>
              </v:shape>
            </v:group>
            <v:group style="position:absolute;left:4033;top:14029;width:2;height:393" coordorigin="4033,14029" coordsize="2,393">
              <v:shape style="position:absolute;left:4033;top:14029;width:2;height:393" coordorigin="4033,14029" coordsize="0,393" path="m4033,14029l4033,14422e" filled="false" stroked="true" strokeweight="1.140pt" strokecolor="#c6eccc">
                <v:path arrowok="t"/>
              </v:shape>
            </v:group>
            <v:group style="position:absolute;left:2327;top:14029;width:1695;height:393" coordorigin="2327,14029" coordsize="1695,393">
              <v:shape style="position:absolute;left:2327;top:14029;width:1695;height:393" coordorigin="2327,14029" coordsize="1695,393" path="m2327,14422l4022,14422,4022,14029,2327,14029,2327,14422xe" filled="true" fillcolor="#c6eccc" stroked="false">
                <v:path arrowok="t"/>
                <v:fill type="solid"/>
              </v:shape>
            </v:group>
            <v:group style="position:absolute;left:4065;top:14029;width:2;height:393" coordorigin="4065,14029" coordsize="2,393">
              <v:shape style="position:absolute;left:4065;top:14029;width:2;height:393" coordorigin="4065,14029" coordsize="0,393" path="m4065,14029l4065,14422e" filled="false" stroked="true" strokeweight="1.140pt" strokecolor="#c6eccc">
                <v:path arrowok="t"/>
              </v:shape>
            </v:group>
            <v:group style="position:absolute;left:4440;top:14029;width:2;height:393" coordorigin="4440,14029" coordsize="2,393">
              <v:shape style="position:absolute;left:4440;top:14029;width:2;height:393" coordorigin="4440,14029" coordsize="0,393" path="m4440,14029l4440,14422e" filled="false" stroked="true" strokeweight="1.140pt" strokecolor="#c6eccc">
                <v:path arrowok="t"/>
              </v:shape>
            </v:group>
            <v:group style="position:absolute;left:4077;top:14029;width:352;height:393" coordorigin="4077,14029" coordsize="352,393">
              <v:shape style="position:absolute;left:4077;top:14029;width:352;height:393" coordorigin="4077,14029" coordsize="352,393" path="m4077,14422l4428,14422,4428,14029,4077,14029,4077,14422xe" filled="true" fillcolor="#c6eccc" stroked="false">
                <v:path arrowok="t"/>
                <v:fill type="solid"/>
              </v:shape>
            </v:group>
            <v:group style="position:absolute;left:4473;top:14029;width:2;height:393" coordorigin="4473,14029" coordsize="2,393">
              <v:shape style="position:absolute;left:4473;top:14029;width:2;height:393" coordorigin="4473,14029" coordsize="0,393" path="m4473,14029l4473,14422e" filled="false" stroked="true" strokeweight="1.140pt" strokecolor="#c6eccc">
                <v:path arrowok="t"/>
              </v:shape>
            </v:group>
            <v:group style="position:absolute;left:8704;top:14029;width:2;height:393" coordorigin="8704,14029" coordsize="2,393">
              <v:shape style="position:absolute;left:8704;top:14029;width:2;height:393" coordorigin="8704,14029" coordsize="0,393" path="m8704,14029l8704,14422e" filled="false" stroked="true" strokeweight="1.140pt" strokecolor="#c6eccc">
                <v:path arrowok="t"/>
              </v:shape>
            </v:group>
            <v:group style="position:absolute;left:4485;top:14029;width:4208;height:393" coordorigin="4485,14029" coordsize="4208,393">
              <v:shape style="position:absolute;left:4485;top:14029;width:4208;height:393" coordorigin="4485,14029" coordsize="4208,393" path="m4485,14422l8693,14422,8693,14029,4485,14029,4485,14422xe" filled="true" fillcolor="#c6eccc" stroked="false">
                <v:path arrowok="t"/>
                <v:fill type="solid"/>
              </v:shape>
            </v:group>
            <v:group style="position:absolute;left:9286;top:14029;width:2;height:393" coordorigin="9286,14029" coordsize="2,393">
              <v:shape style="position:absolute;left:9286;top:14029;width:2;height:393" coordorigin="9286,14029" coordsize="0,393" path="m9286,14029l9286,14422e" filled="false" stroked="true" strokeweight="1.140pt" strokecolor="#c6eccc">
                <v:path arrowok="t"/>
              </v:shape>
            </v:group>
            <v:group style="position:absolute;left:9770;top:14029;width:2;height:393" coordorigin="9770,14029" coordsize="2,393">
              <v:shape style="position:absolute;left:9770;top:14029;width:2;height:393" coordorigin="9770,14029" coordsize="0,393" path="m9770,14029l9770,14422e" filled="false" stroked="true" strokeweight="1.140pt" strokecolor="#c6eccc">
                <v:path arrowok="t"/>
              </v:shape>
            </v:group>
            <v:group style="position:absolute;left:9298;top:14029;width:461;height:393" coordorigin="9298,14029" coordsize="461,393">
              <v:shape style="position:absolute;left:9298;top:14029;width:461;height:393" coordorigin="9298,14029" coordsize="461,393" path="m9298,14422l9758,14422,9758,14029,9298,14029,9298,14422xe" filled="true" fillcolor="#c6eccc" stroked="false">
                <v:path arrowok="t"/>
                <v:fill type="solid"/>
              </v:shape>
            </v:group>
            <v:group style="position:absolute;left:9802;top:14029;width:2;height:393" coordorigin="9802,14029" coordsize="2,393">
              <v:shape style="position:absolute;left:9802;top:14029;width:2;height:393" coordorigin="9802,14029" coordsize="0,393" path="m9802,14029l9802,14422e" filled="false" stroked="true" strokeweight="1.140pt" strokecolor="#c6eccc">
                <v:path arrowok="t"/>
              </v:shape>
            </v:group>
            <v:group style="position:absolute;left:10785;top:14029;width:2;height:393" coordorigin="10785,14029" coordsize="2,393">
              <v:shape style="position:absolute;left:10785;top:14029;width:2;height:393" coordorigin="10785,14029" coordsize="0,393" path="m10785,14029l10785,14422e" filled="false" stroked="true" strokeweight="1.140pt" strokecolor="#c6eccc">
                <v:path arrowok="t"/>
              </v:shape>
            </v:group>
            <v:group style="position:absolute;left:9814;top:14029;width:960;height:393" coordorigin="9814,14029" coordsize="960,393">
              <v:shape style="position:absolute;left:9814;top:14029;width:960;height:393" coordorigin="9814,14029" coordsize="960,393" path="m9814,14422l10774,14422,10774,14029,9814,14029,9814,14422xe" filled="true" fillcolor="#c6eccc" stroked="false">
                <v:path arrowok="t"/>
                <v:fill type="solid"/>
              </v:shape>
            </v:group>
            <v:group style="position:absolute;left:1139;top:14024;width:1156;height:2" coordorigin="1139,14024" coordsize="1156,2">
              <v:shape style="position:absolute;left:1139;top:14024;width:1156;height:2" coordorigin="1139,14024" coordsize="1156,0" path="m1139,14024l2295,14024e" filled="false" stroked="true" strokeweight=".48pt" strokecolor="#000000">
                <v:path arrowok="t"/>
              </v:shape>
            </v:group>
            <v:group style="position:absolute;left:2304;top:14024;width:1740;height:2" coordorigin="2304,14024" coordsize="1740,2">
              <v:shape style="position:absolute;left:2304;top:14024;width:1740;height:2" coordorigin="2304,14024" coordsize="1740,0" path="m2304,14024l4044,14024e" filled="false" stroked="true" strokeweight=".48pt" strokecolor="#000000">
                <v:path arrowok="t"/>
              </v:shape>
            </v:group>
            <v:group style="position:absolute;left:4054;top:14024;width:398;height:2" coordorigin="4054,14024" coordsize="398,2">
              <v:shape style="position:absolute;left:4054;top:14024;width:398;height:2" coordorigin="4054,14024" coordsize="398,0" path="m4054,14024l4451,14024e" filled="false" stroked="true" strokeweight=".48pt" strokecolor="#000000">
                <v:path arrowok="t"/>
              </v:shape>
            </v:group>
            <v:group style="position:absolute;left:4461;top:14024;width:4255;height:2" coordorigin="4461,14024" coordsize="4255,2">
              <v:shape style="position:absolute;left:4461;top:14024;width:4255;height:2" coordorigin="4461,14024" coordsize="4255,0" path="m4461,14024l8716,14024e" filled="false" stroked="true" strokeweight=".48pt" strokecolor="#000000">
                <v:path arrowok="t"/>
              </v:shape>
            </v:group>
            <v:group style="position:absolute;left:8725;top:14024;width:540;height:2" coordorigin="8725,14024" coordsize="540,2">
              <v:shape style="position:absolute;left:8725;top:14024;width:540;height:2" coordorigin="8725,14024" coordsize="540,0" path="m8725,14024l9265,14024e" filled="false" stroked="true" strokeweight=".48pt" strokecolor="#000000">
                <v:path arrowok="t"/>
              </v:shape>
            </v:group>
            <v:group style="position:absolute;left:9275;top:14024;width:507;height:2" coordorigin="9275,14024" coordsize="507,2">
              <v:shape style="position:absolute;left:9275;top:14024;width:507;height:2" coordorigin="9275,14024" coordsize="507,0" path="m9275,14024l9781,14024e" filled="false" stroked="true" strokeweight=".48pt" strokecolor="#000000">
                <v:path arrowok="t"/>
              </v:shape>
            </v:group>
            <v:group style="position:absolute;left:9791;top:14024;width:1006;height:2" coordorigin="9791,14024" coordsize="1006,2">
              <v:shape style="position:absolute;left:9791;top:14024;width:1006;height:2" coordorigin="9791,14024" coordsize="1006,0" path="m9791,14024l10796,14024e" filled="false" stroked="true" strokeweight=".48pt" strokecolor="#000000">
                <v:path arrowok="t"/>
              </v:shape>
            </v:group>
            <v:group style="position:absolute;left:1150;top:14431;width:2;height:664" coordorigin="1150,14431" coordsize="2,664">
              <v:shape style="position:absolute;left:1150;top:14431;width:2;height:664" coordorigin="1150,14431" coordsize="0,664" path="m1150,14431l1150,15095e" filled="false" stroked="true" strokeweight="1.140pt" strokecolor="#d2d2d2">
                <v:path arrowok="t"/>
              </v:shape>
            </v:group>
            <v:group style="position:absolute;left:2283;top:14431;width:2;height:664" coordorigin="2283,14431" coordsize="2,664">
              <v:shape style="position:absolute;left:2283;top:14431;width:2;height:664" coordorigin="2283,14431" coordsize="0,664" path="m2283,14431l2283,15095e" filled="false" stroked="true" strokeweight="1.2pt" strokecolor="#d2d2d2">
                <v:path arrowok="t"/>
              </v:shape>
            </v:group>
            <v:group style="position:absolute;left:1162;top:14431;width:1110;height:352" coordorigin="1162,14431" coordsize="1110,352">
              <v:shape style="position:absolute;left:1162;top:14431;width:1110;height:352" coordorigin="1162,14431" coordsize="1110,352" path="m1162,14783l2271,14783,2271,14431,1162,14431,1162,14783xe" filled="true" fillcolor="#d2d2d2" stroked="false">
                <v:path arrowok="t"/>
                <v:fill type="solid"/>
              </v:shape>
            </v:group>
            <v:group style="position:absolute;left:1162;top:14783;width:1110;height:312" coordorigin="1162,14783" coordsize="1110,312">
              <v:shape style="position:absolute;left:1162;top:14783;width:1110;height:312" coordorigin="1162,14783" coordsize="1110,312" path="m1162,15095l2271,15095,2271,14783,1162,14783,1162,15095xe" filled="true" fillcolor="#d2d2d2" stroked="false">
                <v:path arrowok="t"/>
                <v:fill type="solid"/>
              </v:shape>
            </v:group>
            <v:group style="position:absolute;left:2304;top:14431;width:1740;height:136" coordorigin="2304,14431" coordsize="1740,136">
              <v:shape style="position:absolute;left:2304;top:14431;width:1740;height:136" coordorigin="2304,14431" coordsize="1740,136" path="m2304,14567l4044,14567,4044,14431,2304,14431,2304,14567xe" filled="true" fillcolor="#c6eccc" stroked="false">
                <v:path arrowok="t"/>
                <v:fill type="solid"/>
              </v:shape>
            </v:group>
            <v:group style="position:absolute;left:2316;top:14567;width:2;height:393" coordorigin="2316,14567" coordsize="2,393">
              <v:shape style="position:absolute;left:2316;top:14567;width:2;height:393" coordorigin="2316,14567" coordsize="0,393" path="m2316,14567l2316,14959e" filled="false" stroked="true" strokeweight="1.140pt" strokecolor="#c6eccc">
                <v:path arrowok="t"/>
              </v:shape>
            </v:group>
            <v:group style="position:absolute;left:4033;top:14567;width:2;height:393" coordorigin="4033,14567" coordsize="2,393">
              <v:shape style="position:absolute;left:4033;top:14567;width:2;height:393" coordorigin="4033,14567" coordsize="0,393" path="m4033,14567l4033,14959e" filled="false" stroked="true" strokeweight="1.140pt" strokecolor="#c6eccc">
                <v:path arrowok="t"/>
              </v:shape>
            </v:group>
            <v:group style="position:absolute;left:2304;top:14959;width:1740;height:136" coordorigin="2304,14959" coordsize="1740,136">
              <v:shape style="position:absolute;left:2304;top:14959;width:1740;height:136" coordorigin="2304,14959" coordsize="1740,136" path="m2304,15095l4044,15095,4044,14959,2304,14959,2304,15095xe" filled="true" fillcolor="#c6eccc" stroked="false">
                <v:path arrowok="t"/>
                <v:fill type="solid"/>
              </v:shape>
            </v:group>
            <v:group style="position:absolute;left:2327;top:14567;width:1695;height:393" coordorigin="2327,14567" coordsize="1695,393">
              <v:shape style="position:absolute;left:2327;top:14567;width:1695;height:393" coordorigin="2327,14567" coordsize="1695,393" path="m2327,14959l4022,14959,4022,14567,2327,14567,2327,14959xe" filled="true" fillcolor="#c6eccc" stroked="false">
                <v:path arrowok="t"/>
                <v:fill type="solid"/>
              </v:shape>
              <v:shape style="position:absolute;left:4054;top:14431;width:397;height:664" type="#_x0000_t75" stroked="false">
                <v:imagedata r:id="rId14" o:title=""/>
              </v:shape>
            </v:group>
            <v:group style="position:absolute;left:4462;top:14431;width:4254;height:136" coordorigin="4462,14431" coordsize="4254,136">
              <v:shape style="position:absolute;left:4462;top:14431;width:4254;height:136" coordorigin="4462,14431" coordsize="4254,136" path="m4462,14567l8716,14567,8716,14431,4462,14431,4462,14567xe" filled="true" fillcolor="#c6eccc" stroked="false">
                <v:path arrowok="t"/>
                <v:fill type="solid"/>
              </v:shape>
            </v:group>
            <v:group style="position:absolute;left:4473;top:14567;width:2;height:393" coordorigin="4473,14567" coordsize="2,393">
              <v:shape style="position:absolute;left:4473;top:14567;width:2;height:393" coordorigin="4473,14567" coordsize="0,393" path="m4473,14567l4473,14959e" filled="false" stroked="true" strokeweight="1.140pt" strokecolor="#c6eccc">
                <v:path arrowok="t"/>
              </v:shape>
            </v:group>
            <v:group style="position:absolute;left:8704;top:14567;width:2;height:393" coordorigin="8704,14567" coordsize="2,393">
              <v:shape style="position:absolute;left:8704;top:14567;width:2;height:393" coordorigin="8704,14567" coordsize="0,393" path="m8704,14567l8704,14959e" filled="false" stroked="true" strokeweight="1.140pt" strokecolor="#c6eccc">
                <v:path arrowok="t"/>
              </v:shape>
            </v:group>
            <v:group style="position:absolute;left:4462;top:14959;width:4254;height:136" coordorigin="4462,14959" coordsize="4254,136">
              <v:shape style="position:absolute;left:4462;top:14959;width:4254;height:136" coordorigin="4462,14959" coordsize="4254,136" path="m4462,15095l8716,15095,8716,14959,4462,14959,4462,15095xe" filled="true" fillcolor="#c6eccc" stroked="false">
                <v:path arrowok="t"/>
                <v:fill type="solid"/>
              </v:shape>
            </v:group>
            <v:group style="position:absolute;left:4485;top:14567;width:4208;height:393" coordorigin="4485,14567" coordsize="4208,393">
              <v:shape style="position:absolute;left:4485;top:14567;width:4208;height:393" coordorigin="4485,14567" coordsize="4208,393" path="m4485,14959l8693,14959,8693,14567,4485,14567,4485,14959xe" filled="true" fillcolor="#c6eccc" stroked="false">
                <v:path arrowok="t"/>
                <v:fill type="solid"/>
              </v:shape>
            </v:group>
            <v:group style="position:absolute;left:9275;top:14431;width:507;height:136" coordorigin="9275,14431" coordsize="507,136">
              <v:shape style="position:absolute;left:9275;top:14431;width:507;height:136" coordorigin="9275,14431" coordsize="507,136" path="m9275,14567l9781,14567,9781,14431,9275,14431,9275,14567xe" filled="true" fillcolor="#c6eccc" stroked="false">
                <v:path arrowok="t"/>
                <v:fill type="solid"/>
              </v:shape>
            </v:group>
            <v:group style="position:absolute;left:9286;top:14567;width:2;height:393" coordorigin="9286,14567" coordsize="2,393">
              <v:shape style="position:absolute;left:9286;top:14567;width:2;height:393" coordorigin="9286,14567" coordsize="0,393" path="m9286,14567l9286,14959e" filled="false" stroked="true" strokeweight="1.140pt" strokecolor="#c6eccc">
                <v:path arrowok="t"/>
              </v:shape>
            </v:group>
            <v:group style="position:absolute;left:9770;top:14567;width:2;height:393" coordorigin="9770,14567" coordsize="2,393">
              <v:shape style="position:absolute;left:9770;top:14567;width:2;height:393" coordorigin="9770,14567" coordsize="0,393" path="m9770,14567l9770,14959e" filled="false" stroked="true" strokeweight="1.140pt" strokecolor="#c6eccc">
                <v:path arrowok="t"/>
              </v:shape>
            </v:group>
            <v:group style="position:absolute;left:9275;top:14959;width:507;height:136" coordorigin="9275,14959" coordsize="507,136">
              <v:shape style="position:absolute;left:9275;top:14959;width:507;height:136" coordorigin="9275,14959" coordsize="507,136" path="m9275,15095l9781,15095,9781,14959,9275,14959,9275,15095xe" filled="true" fillcolor="#c6eccc" stroked="false">
                <v:path arrowok="t"/>
                <v:fill type="solid"/>
              </v:shape>
            </v:group>
            <v:group style="position:absolute;left:9298;top:14567;width:461;height:393" coordorigin="9298,14567" coordsize="461,393">
              <v:shape style="position:absolute;left:9298;top:14567;width:461;height:393" coordorigin="9298,14567" coordsize="461,393" path="m9298,14959l9758,14959,9758,14567,9298,14567,9298,14959xe" filled="true" fillcolor="#c6eccc" stroked="false">
                <v:path arrowok="t"/>
                <v:fill type="solid"/>
              </v:shape>
            </v:group>
            <v:group style="position:absolute;left:9791;top:14431;width:1006;height:136" coordorigin="9791,14431" coordsize="1006,136">
              <v:shape style="position:absolute;left:9791;top:14431;width:1006;height:136" coordorigin="9791,14431" coordsize="1006,136" path="m9791,14567l10796,14567,10796,14431,9791,14431,9791,14567xe" filled="true" fillcolor="#c6eccc" stroked="false">
                <v:path arrowok="t"/>
                <v:fill type="solid"/>
              </v:shape>
            </v:group>
            <v:group style="position:absolute;left:9802;top:14567;width:2;height:393" coordorigin="9802,14567" coordsize="2,393">
              <v:shape style="position:absolute;left:9802;top:14567;width:2;height:393" coordorigin="9802,14567" coordsize="0,393" path="m9802,14567l9802,14959e" filled="false" stroked="true" strokeweight="1.140pt" strokecolor="#c6eccc">
                <v:path arrowok="t"/>
              </v:shape>
            </v:group>
            <v:group style="position:absolute;left:10785;top:14567;width:2;height:393" coordorigin="10785,14567" coordsize="2,393">
              <v:shape style="position:absolute;left:10785;top:14567;width:2;height:393" coordorigin="10785,14567" coordsize="0,393" path="m10785,14567l10785,14959e" filled="false" stroked="true" strokeweight="1.140pt" strokecolor="#c6eccc">
                <v:path arrowok="t"/>
              </v:shape>
            </v:group>
            <v:group style="position:absolute;left:9791;top:14959;width:1006;height:136" coordorigin="9791,14959" coordsize="1006,136">
              <v:shape style="position:absolute;left:9791;top:14959;width:1006;height:136" coordorigin="9791,14959" coordsize="1006,136" path="m9791,15095l10796,15095,10796,14959,9791,14959,9791,15095xe" filled="true" fillcolor="#c6eccc" stroked="false">
                <v:path arrowok="t"/>
                <v:fill type="solid"/>
              </v:shape>
            </v:group>
            <v:group style="position:absolute;left:9814;top:14567;width:960;height:393" coordorigin="9814,14567" coordsize="960,393">
              <v:shape style="position:absolute;left:9814;top:14567;width:960;height:393" coordorigin="9814,14567" coordsize="960,393" path="m9814,14959l10774,14959,10774,14567,9814,14567,9814,14959xe" filled="true" fillcolor="#c6eccc" stroked="false">
                <v:path arrowok="t"/>
                <v:fill type="solid"/>
              </v:shape>
            </v:group>
            <v:group style="position:absolute;left:1139;top:14426;width:1156;height:2" coordorigin="1139,14426" coordsize="1156,2">
              <v:shape style="position:absolute;left:1139;top:14426;width:1156;height:2" coordorigin="1139,14426" coordsize="1156,0" path="m1139,14426l2295,14426e" filled="false" stroked="true" strokeweight=".48pt" strokecolor="#000000">
                <v:path arrowok="t"/>
              </v:shape>
            </v:group>
            <v:group style="position:absolute;left:2304;top:14426;width:1740;height:2" coordorigin="2304,14426" coordsize="1740,2">
              <v:shape style="position:absolute;left:2304;top:14426;width:1740;height:2" coordorigin="2304,14426" coordsize="1740,0" path="m2304,14426l4044,14426e" filled="false" stroked="true" strokeweight=".48pt" strokecolor="#000000">
                <v:path arrowok="t"/>
              </v:shape>
            </v:group>
            <v:group style="position:absolute;left:4054;top:14426;width:398;height:2" coordorigin="4054,14426" coordsize="398,2">
              <v:shape style="position:absolute;left:4054;top:14426;width:398;height:2" coordorigin="4054,14426" coordsize="398,0" path="m4054,14426l4451,14426e" filled="false" stroked="true" strokeweight=".48pt" strokecolor="#000000">
                <v:path arrowok="t"/>
              </v:shape>
            </v:group>
            <v:group style="position:absolute;left:4461;top:14426;width:4255;height:2" coordorigin="4461,14426" coordsize="4255,2">
              <v:shape style="position:absolute;left:4461;top:14426;width:4255;height:2" coordorigin="4461,14426" coordsize="4255,0" path="m4461,14426l8716,14426e" filled="false" stroked="true" strokeweight=".48pt" strokecolor="#000000">
                <v:path arrowok="t"/>
              </v:shape>
            </v:group>
            <v:group style="position:absolute;left:8725;top:14426;width:540;height:2" coordorigin="8725,14426" coordsize="540,2">
              <v:shape style="position:absolute;left:8725;top:14426;width:540;height:2" coordorigin="8725,14426" coordsize="540,0" path="m8725,14426l9265,14426e" filled="false" stroked="true" strokeweight=".48pt" strokecolor="#000000">
                <v:path arrowok="t"/>
              </v:shape>
            </v:group>
            <v:group style="position:absolute;left:9275;top:14426;width:507;height:2" coordorigin="9275,14426" coordsize="507,2">
              <v:shape style="position:absolute;left:9275;top:14426;width:507;height:2" coordorigin="9275,14426" coordsize="507,0" path="m9275,14426l9781,14426e" filled="false" stroked="true" strokeweight=".48pt" strokecolor="#000000">
                <v:path arrowok="t"/>
              </v:shape>
            </v:group>
            <v:group style="position:absolute;left:9791;top:14426;width:1006;height:2" coordorigin="9791,14426" coordsize="1006,2">
              <v:shape style="position:absolute;left:9791;top:14426;width:1006;height:2" coordorigin="9791,14426" coordsize="1006,0" path="m9791,14426l10796,14426e" filled="false" stroked="true" strokeweight=".48pt" strokecolor="#000000">
                <v:path arrowok="t"/>
              </v:shape>
            </v:group>
            <v:group style="position:absolute;left:1134;top:1440;width:2;height:13666" coordorigin="1134,1440" coordsize="2,13666">
              <v:shape style="position:absolute;left:1134;top:1440;width:2;height:13666" coordorigin="1134,1440" coordsize="0,13666" path="m1134,1440l1134,15106e" filled="false" stroked="true" strokeweight=".48pt" strokecolor="#000000">
                <v:path arrowok="t"/>
              </v:shape>
            </v:group>
            <v:group style="position:absolute;left:1139;top:15101;width:1156;height:2" coordorigin="1139,15101" coordsize="1156,2">
              <v:shape style="position:absolute;left:1139;top:15101;width:1156;height:2" coordorigin="1139,15101" coordsize="1156,0" path="m1139,15101l2295,15101e" filled="false" stroked="true" strokeweight=".48pt" strokecolor="#000000">
                <v:path arrowok="t"/>
              </v:shape>
            </v:group>
            <v:group style="position:absolute;left:2300;top:1440;width:2;height:13666" coordorigin="2300,1440" coordsize="2,13666">
              <v:shape style="position:absolute;left:2300;top:1440;width:2;height:13666" coordorigin="2300,1440" coordsize="0,13666" path="m2300,1440l2300,15106e" filled="false" stroked="true" strokeweight=".48pt" strokecolor="#000000">
                <v:path arrowok="t"/>
              </v:shape>
            </v:group>
            <v:group style="position:absolute;left:2304;top:15101;width:1740;height:2" coordorigin="2304,15101" coordsize="1740,2">
              <v:shape style="position:absolute;left:2304;top:15101;width:1740;height:2" coordorigin="2304,15101" coordsize="1740,0" path="m2304,15101l4044,15101e" filled="false" stroked="true" strokeweight=".48pt" strokecolor="#000000">
                <v:path arrowok="t"/>
              </v:shape>
            </v:group>
            <v:group style="position:absolute;left:4049;top:1440;width:2;height:13666" coordorigin="4049,1440" coordsize="2,13666">
              <v:shape style="position:absolute;left:4049;top:1440;width:2;height:13666" coordorigin="4049,1440" coordsize="0,13666" path="m4049,1440l4049,15106e" filled="false" stroked="true" strokeweight=".48pt" strokecolor="#000000">
                <v:path arrowok="t"/>
              </v:shape>
            </v:group>
            <v:group style="position:absolute;left:4054;top:15101;width:398;height:2" coordorigin="4054,15101" coordsize="398,2">
              <v:shape style="position:absolute;left:4054;top:15101;width:398;height:2" coordorigin="4054,15101" coordsize="398,0" path="m4054,15101l4451,15101e" filled="false" stroked="true" strokeweight=".48pt" strokecolor="#000000">
                <v:path arrowok="t"/>
              </v:shape>
            </v:group>
            <v:group style="position:absolute;left:4456;top:1440;width:2;height:13666" coordorigin="4456,1440" coordsize="2,13666">
              <v:shape style="position:absolute;left:4456;top:1440;width:2;height:13666" coordorigin="4456,1440" coordsize="0,13666" path="m4456,1440l4456,15106e" filled="false" stroked="true" strokeweight=".48pt" strokecolor="#000000">
                <v:path arrowok="t"/>
              </v:shape>
            </v:group>
            <v:group style="position:absolute;left:4461;top:15101;width:4255;height:2" coordorigin="4461,15101" coordsize="4255,2">
              <v:shape style="position:absolute;left:4461;top:15101;width:4255;height:2" coordorigin="4461,15101" coordsize="4255,0" path="m4461,15101l8716,15101e" filled="false" stroked="true" strokeweight=".48pt" strokecolor="#000000">
                <v:path arrowok="t"/>
              </v:shape>
            </v:group>
            <v:group style="position:absolute;left:8720;top:1440;width:2;height:13666" coordorigin="8720,1440" coordsize="2,13666">
              <v:shape style="position:absolute;left:8720;top:1440;width:2;height:13666" coordorigin="8720,1440" coordsize="0,13666" path="m8720,1440l8720,15106e" filled="false" stroked="true" strokeweight=".48pt" strokecolor="#000000">
                <v:path arrowok="t"/>
              </v:shape>
            </v:group>
            <v:group style="position:absolute;left:8725;top:15101;width:540;height:2" coordorigin="8725,15101" coordsize="540,2">
              <v:shape style="position:absolute;left:8725;top:15101;width:540;height:2" coordorigin="8725,15101" coordsize="540,0" path="m8725,15101l9265,15101e" filled="false" stroked="true" strokeweight=".48pt" strokecolor="#000000">
                <v:path arrowok="t"/>
              </v:shape>
            </v:group>
            <v:group style="position:absolute;left:9270;top:1440;width:2;height:13666" coordorigin="9270,1440" coordsize="2,13666">
              <v:shape style="position:absolute;left:9270;top:1440;width:2;height:13666" coordorigin="9270,1440" coordsize="0,13666" path="m9270,1440l9270,15106e" filled="false" stroked="true" strokeweight=".48pt" strokecolor="#000000">
                <v:path arrowok="t"/>
              </v:shape>
            </v:group>
            <v:group style="position:absolute;left:9275;top:15101;width:507;height:2" coordorigin="9275,15101" coordsize="507,2">
              <v:shape style="position:absolute;left:9275;top:15101;width:507;height:2" coordorigin="9275,15101" coordsize="507,0" path="m9275,15101l9781,15101e" filled="false" stroked="true" strokeweight=".48pt" strokecolor="#000000">
                <v:path arrowok="t"/>
              </v:shape>
            </v:group>
            <v:group style="position:absolute;left:9786;top:1440;width:2;height:13666" coordorigin="9786,1440" coordsize="2,13666">
              <v:shape style="position:absolute;left:9786;top:1440;width:2;height:13666" coordorigin="9786,1440" coordsize="0,13666" path="m9786,1440l9786,15106e" filled="false" stroked="true" strokeweight=".48pt" strokecolor="#000000">
                <v:path arrowok="t"/>
              </v:shape>
            </v:group>
            <v:group style="position:absolute;left:9791;top:15101;width:1006;height:2" coordorigin="9791,15101" coordsize="1006,2">
              <v:shape style="position:absolute;left:9791;top:15101;width:1006;height:2" coordorigin="9791,15101" coordsize="1006,0" path="m9791,15101l10796,15101e" filled="false" stroked="true" strokeweight=".48pt" strokecolor="#000000">
                <v:path arrowok="t"/>
              </v:shape>
            </v:group>
            <v:group style="position:absolute;left:10801;top:1440;width:2;height:13666" coordorigin="10801,1440" coordsize="2,13666">
              <v:shape style="position:absolute;left:10801;top:1440;width:2;height:13666" coordorigin="10801,1440" coordsize="0,13666" path="m10801,1440l10801,15106e" filled="false" stroked="true" strokeweight=".48pt" strokecolor="#000000">
                <v:path arrowok="t"/>
              </v:shape>
            </v:group>
            <w10:wrap type="none"/>
          </v:group>
        </w:pict>
      </w:r>
      <w:r>
        <w:rPr/>
        <w:t>股权激励承诺</w:t>
      </w:r>
    </w:p>
    <w:p>
      <w:pPr>
        <w:spacing w:line="240" w:lineRule="auto" w:before="4"/>
        <w:rPr>
          <w:rFonts w:ascii="宋体" w:hAnsi="宋体" w:cs="宋体" w:eastAsia="宋体" w:hint="default"/>
          <w:sz w:val="9"/>
          <w:szCs w:val="9"/>
        </w:rPr>
      </w:pPr>
    </w:p>
    <w:p>
      <w:pPr>
        <w:pStyle w:val="BodyText"/>
        <w:spacing w:line="316" w:lineRule="auto" w:before="44"/>
        <w:ind w:left="1161" w:right="9645"/>
        <w:jc w:val="left"/>
      </w:pPr>
      <w:r>
        <w:rPr/>
        <w:t>其他对公司中 小股东所作承</w:t>
      </w:r>
    </w:p>
    <w:p>
      <w:pPr>
        <w:spacing w:after="0" w:line="316" w:lineRule="auto"/>
        <w:jc w:val="left"/>
        <w:sectPr>
          <w:type w:val="continuous"/>
          <w:pgSz w:w="11910" w:h="16840"/>
          <w:pgMar w:top="1580" w:bottom="84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154"/>
        <w:gridCol w:w="1762"/>
        <w:gridCol w:w="407"/>
        <w:gridCol w:w="4264"/>
        <w:gridCol w:w="550"/>
        <w:gridCol w:w="516"/>
        <w:gridCol w:w="1015"/>
      </w:tblGrid>
      <w:tr>
        <w:trPr>
          <w:trHeight w:val="362" w:hRule="exact"/>
        </w:trPr>
        <w:tc>
          <w:tcPr>
            <w:tcW w:w="1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诺</w:t>
            </w:r>
          </w:p>
        </w:tc>
        <w:tc>
          <w:tcPr>
            <w:tcW w:w="1762" w:type="dxa"/>
            <w:tcBorders>
              <w:top w:val="single" w:sz="4" w:space="0" w:color="000000"/>
              <w:left w:val="single" w:sz="10" w:space="0" w:color="D2D2D2"/>
              <w:bottom w:val="single" w:sz="4" w:space="0" w:color="000000"/>
              <w:right w:val="single" w:sz="4" w:space="0" w:color="000000"/>
            </w:tcBorders>
            <w:shd w:val="clear" w:color="auto" w:fill="C6ECCC"/>
          </w:tcPr>
          <w:p>
            <w:pPr/>
          </w:p>
        </w:tc>
        <w:tc>
          <w:tcPr>
            <w:tcW w:w="407"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4264"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015"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714" w:hRule="exact"/>
        </w:trPr>
        <w:tc>
          <w:tcPr>
            <w:tcW w:w="1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39"/>
              <w:jc w:val="left"/>
              <w:rPr>
                <w:rFonts w:ascii="宋体" w:hAnsi="宋体" w:cs="宋体" w:eastAsia="宋体" w:hint="default"/>
                <w:sz w:val="18"/>
                <w:szCs w:val="18"/>
              </w:rPr>
            </w:pPr>
            <w:r>
              <w:rPr>
                <w:rFonts w:ascii="宋体" w:hAnsi="宋体" w:cs="宋体" w:eastAsia="宋体" w:hint="default"/>
                <w:sz w:val="18"/>
                <w:szCs w:val="18"/>
              </w:rPr>
              <w:t>承诺是否按时 履行</w:t>
            </w:r>
          </w:p>
        </w:tc>
        <w:tc>
          <w:tcPr>
            <w:tcW w:w="8514" w:type="dxa"/>
            <w:gridSpan w:val="6"/>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274" w:hRule="exact"/>
        </w:trPr>
        <w:tc>
          <w:tcPr>
            <w:tcW w:w="1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39"/>
              <w:jc w:val="both"/>
              <w:rPr>
                <w:rFonts w:ascii="宋体" w:hAnsi="宋体" w:cs="宋体" w:eastAsia="宋体" w:hint="default"/>
                <w:sz w:val="18"/>
                <w:szCs w:val="18"/>
              </w:rPr>
            </w:pPr>
            <w:r>
              <w:rPr>
                <w:rFonts w:ascii="宋体" w:hAnsi="宋体" w:cs="宋体" w:eastAsia="宋体" w:hint="default"/>
                <w:sz w:val="18"/>
                <w:szCs w:val="18"/>
              </w:rPr>
              <w:t>如承诺超期未 履行完毕的， 应当详细说明 未完成履行的 具体原因及下 一步的工作计 划</w:t>
            </w:r>
          </w:p>
        </w:tc>
        <w:tc>
          <w:tcPr>
            <w:tcW w:w="8514" w:type="dxa"/>
            <w:gridSpan w:val="6"/>
            <w:tcBorders>
              <w:top w:val="single" w:sz="4" w:space="0" w:color="000000"/>
              <w:left w:val="single" w:sz="10" w:space="0" w:color="D2D2D2"/>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截止本报告期末，所有承诺人严格信守承诺，未出现违反承诺的情况</w:t>
            </w:r>
          </w:p>
        </w:tc>
      </w:tr>
    </w:tbl>
    <w:p>
      <w:pPr>
        <w:spacing w:line="240" w:lineRule="auto" w:before="2"/>
        <w:rPr>
          <w:rFonts w:ascii="宋体" w:hAnsi="宋体" w:cs="宋体" w:eastAsia="宋体" w:hint="default"/>
          <w:sz w:val="19"/>
          <w:szCs w:val="19"/>
        </w:rPr>
      </w:pPr>
    </w:p>
    <w:p>
      <w:pPr>
        <w:pStyle w:val="Heading4"/>
        <w:spacing w:line="259" w:lineRule="auto" w:before="35"/>
        <w:ind w:right="0"/>
        <w:jc w:val="left"/>
        <w:rPr>
          <w:b w:val="0"/>
          <w:bCs w:val="0"/>
        </w:rPr>
      </w:pPr>
      <w:bookmarkStart w:name="2、公司资产或项目存在盈利预测，且报告期仍处在盈利预测期间，公司就资产或项目达到" w:id="64"/>
      <w:bookmarkEnd w:id="64"/>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8"/>
        </w:rPr>
        <w:t> </w:t>
      </w:r>
      <w:r>
        <w:rPr>
          <w:spacing w:val="-68"/>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控股股东及其关联方对上市公司的非经营性占用资金情况" w:id="65"/>
      <w:bookmarkEnd w:id="65"/>
      <w:r>
        <w:rPr>
          <w:b w:val="0"/>
          <w:bCs w:val="0"/>
        </w:rPr>
      </w:r>
      <w:r>
        <w:rPr/>
        <w:t>三、控股股东及其关联方对上市公司的非经营性占用资金情况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4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四、董事会对最近一期“非标准审计报告”相关情况的说明" w:id="66"/>
      <w:bookmarkEnd w:id="66"/>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董事会、监事会、独立董事（如有）对会计师事务所本报告期“非标准审计报告”的说" w:id="67"/>
      <w:bookmarkEnd w:id="67"/>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六、董事会关于报告期会计政策、会计估计变更或重大会计差错更正的说明" w:id="68"/>
      <w:bookmarkEnd w:id="68"/>
      <w:r>
        <w:rPr>
          <w:b w:val="0"/>
          <w:bCs w:val="0"/>
        </w:rPr>
      </w:r>
      <w:r>
        <w:rPr/>
        <w:t>六、董事会关于报告期会计政策、会计估计变更或重大会计差错更正的说明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七、与上年度财务报告相比，合并报表范围发生变化的情况说明" w:id="69"/>
      <w:bookmarkEnd w:id="69"/>
      <w:r>
        <w:rPr>
          <w:b w:val="0"/>
          <w:bCs w:val="0"/>
        </w:rPr>
      </w:r>
      <w:r>
        <w:rPr/>
        <w:t>七、与上年度财务报告相比，合并报表范围发生变化的情况说明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公司报告期无合并报表范围发生变化的情况。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八、聘任、解聘会计师事务所情况" w:id="70"/>
      <w:bookmarkEnd w:id="70"/>
      <w:r>
        <w:rPr>
          <w:b w:val="0"/>
          <w:bCs w:val="0"/>
        </w:rPr>
      </w:r>
      <w:r>
        <w:rPr/>
        <w:t>八、聘任、解聘会计师事务所情况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现聘任的会计师事务所</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70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187" w:top="1060" w:bottom="138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898"/>
        <w:gridCol w:w="5670"/>
      </w:tblGrid>
      <w:tr>
        <w:trPr>
          <w:trHeight w:val="402" w:hRule="exact"/>
        </w:trPr>
        <w:tc>
          <w:tcPr>
            <w:tcW w:w="3898"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898"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张克东、成岚</w:t>
            </w:r>
          </w:p>
        </w:tc>
      </w:tr>
      <w:tr>
        <w:trPr>
          <w:trHeight w:val="402" w:hRule="exact"/>
        </w:trPr>
        <w:tc>
          <w:tcPr>
            <w:tcW w:w="3898"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境外会计师事务所名称（如有）</w:t>
            </w:r>
          </w:p>
        </w:tc>
        <w:tc>
          <w:tcPr>
            <w:tcW w:w="56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3898"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境外会计师事务所审计服务的连续年限（如有）</w:t>
            </w:r>
          </w:p>
        </w:tc>
        <w:tc>
          <w:tcPr>
            <w:tcW w:w="56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3898"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境外会计师事务所注册会计师姓名（如有）</w:t>
            </w:r>
          </w:p>
        </w:tc>
        <w:tc>
          <w:tcPr>
            <w:tcW w:w="56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1"/>
        <w:ind w:left="1134" w:right="0"/>
        <w:jc w:val="both"/>
      </w:pPr>
      <w:r>
        <w:rPr/>
        <w:t>是否改聘会计师事务所</w:t>
      </w:r>
    </w:p>
    <w:p>
      <w:pPr>
        <w:pStyle w:val="BodyText"/>
        <w:spacing w:line="338" w:lineRule="auto" w:before="117"/>
        <w:ind w:right="62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聘请内部控制审计会计师事务所、财务顾问或保荐人情况</w:t>
      </w:r>
    </w:p>
    <w:p>
      <w:pPr>
        <w:pStyle w:val="BodyText"/>
        <w:spacing w:line="240" w:lineRule="auto" w:before="43"/>
        <w:ind w:left="1134"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九、年度报告披露后面临暂停上市和终止上市情况" w:id="71"/>
      <w:bookmarkEnd w:id="71"/>
      <w:r>
        <w:rPr>
          <w:b w:val="0"/>
          <w:bCs w:val="0"/>
        </w:rPr>
      </w:r>
      <w:r>
        <w:rPr/>
        <w:t>九、年度报告披露后面临暂停上市和终止上市情况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十、破产重整相关事项" w:id="72"/>
      <w:bookmarkEnd w:id="72"/>
      <w:r>
        <w:rPr>
          <w:b w:val="0"/>
          <w:bCs w:val="0"/>
        </w:rPr>
      </w:r>
      <w:r>
        <w:rPr/>
        <w:t>十、破产重整相关事项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4"/>
        <w:rPr>
          <w:rFonts w:ascii="宋体" w:hAnsi="宋体" w:cs="宋体" w:eastAsia="宋体" w:hint="default"/>
          <w:sz w:val="19"/>
          <w:szCs w:val="19"/>
        </w:rPr>
      </w:pPr>
    </w:p>
    <w:p>
      <w:pPr>
        <w:pStyle w:val="Heading2"/>
        <w:spacing w:line="240" w:lineRule="auto"/>
        <w:ind w:right="0"/>
        <w:jc w:val="both"/>
        <w:rPr>
          <w:b w:val="0"/>
          <w:bCs w:val="0"/>
        </w:rPr>
      </w:pPr>
      <w:bookmarkStart w:name="十一、重大诉讼、仲裁事项" w:id="73"/>
      <w:bookmarkEnd w:id="73"/>
      <w:r>
        <w:rPr>
          <w:b w:val="0"/>
          <w:bCs w:val="0"/>
        </w:rPr>
      </w:r>
      <w:r>
        <w:rPr/>
        <w:t>十一、重大诉讼、仲裁事项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本报告期公司无重大诉讼、仲裁事项。</w:t>
      </w:r>
    </w:p>
    <w:p>
      <w:pPr>
        <w:spacing w:line="240" w:lineRule="auto" w:before="3"/>
        <w:rPr>
          <w:rFonts w:ascii="宋体" w:hAnsi="宋体" w:cs="宋体" w:eastAsia="宋体" w:hint="default"/>
          <w:sz w:val="19"/>
          <w:szCs w:val="19"/>
        </w:rPr>
      </w:pPr>
    </w:p>
    <w:p>
      <w:pPr>
        <w:pStyle w:val="Heading2"/>
        <w:spacing w:line="240" w:lineRule="auto"/>
        <w:ind w:right="0"/>
        <w:jc w:val="both"/>
        <w:rPr>
          <w:b w:val="0"/>
          <w:bCs w:val="0"/>
        </w:rPr>
      </w:pPr>
      <w:bookmarkStart w:name="十二、处罚及整改情况" w:id="74"/>
      <w:bookmarkEnd w:id="74"/>
      <w:r>
        <w:rPr>
          <w:b w:val="0"/>
          <w:bCs w:val="0"/>
        </w:rPr>
      </w:r>
      <w:r>
        <w:rPr/>
        <w:t>十二、处罚及整改情况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4"/>
        <w:rPr>
          <w:rFonts w:ascii="宋体" w:hAnsi="宋体" w:cs="宋体" w:eastAsia="宋体" w:hint="default"/>
          <w:sz w:val="19"/>
          <w:szCs w:val="19"/>
        </w:rPr>
      </w:pPr>
    </w:p>
    <w:p>
      <w:pPr>
        <w:pStyle w:val="Heading2"/>
        <w:spacing w:line="240" w:lineRule="auto"/>
        <w:ind w:right="0"/>
        <w:jc w:val="both"/>
        <w:rPr>
          <w:b w:val="0"/>
          <w:bCs w:val="0"/>
        </w:rPr>
      </w:pPr>
      <w:bookmarkStart w:name="十三、公司及其控股股东、实际控制人的诚信状况" w:id="75"/>
      <w:bookmarkEnd w:id="75"/>
      <w:r>
        <w:rPr>
          <w:b w:val="0"/>
          <w:bCs w:val="0"/>
        </w:rPr>
      </w:r>
      <w:r>
        <w:rPr/>
        <w:t>十三、公司及其控股股东、实际控制人的诚信状况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十四、公司股权激励计划、员工持股计划或其他员工激励措施的实施情况" w:id="76"/>
      <w:bookmarkEnd w:id="76"/>
      <w:r>
        <w:rPr>
          <w:b w:val="0"/>
          <w:bCs w:val="0"/>
        </w:rPr>
      </w:r>
      <w:r>
        <w:rPr/>
        <w:t>十四、公司股权激励计划、员工持股计划或其他员工激励措施的实施情况</w:t>
      </w:r>
      <w:r>
        <w:rPr>
          <w:b w:val="0"/>
          <w:bCs w:val="0"/>
        </w:rPr>
      </w:r>
    </w:p>
    <w:p>
      <w:pPr>
        <w:pStyle w:val="BodyText"/>
        <w:spacing w:line="430" w:lineRule="atLeast" w:before="168"/>
        <w:ind w:left="1493" w:right="1118"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7</w:t>
      </w:r>
      <w:r>
        <w:rPr/>
        <w:t>日分别召开了第二届董事会第十一次会议和第二届监事会第十次会议审议并通过《关于</w:t>
      </w:r>
      <w:r>
        <w:rPr>
          <w:rFonts w:ascii="Times New Roman" w:hAnsi="Times New Roman" w:cs="Times New Roman" w:eastAsia="Times New Roman" w:hint="default"/>
        </w:rPr>
        <w:t>&lt;</w:t>
      </w:r>
      <w:r>
        <w:rPr/>
        <w:t>高伟达软</w:t>
      </w:r>
    </w:p>
    <w:p>
      <w:pPr>
        <w:pStyle w:val="BodyText"/>
        <w:spacing w:line="300" w:lineRule="auto" w:before="63"/>
        <w:ind w:right="1132"/>
        <w:jc w:val="both"/>
      </w:pPr>
      <w:r>
        <w:rPr>
          <w:spacing w:val="-1"/>
        </w:rPr>
        <w:t>件股份有限公司</w:t>
      </w:r>
      <w:r>
        <w:rPr>
          <w:rFonts w:ascii="Times New Roman" w:hAnsi="Times New Roman" w:cs="Times New Roman" w:eastAsia="Times New Roman" w:hint="default"/>
          <w:spacing w:val="-1"/>
        </w:rPr>
        <w:t>2015</w:t>
      </w:r>
      <w:r>
        <w:rPr>
          <w:spacing w:val="-1"/>
        </w:rPr>
        <w:t>年限制性股票激励计划（草案）</w:t>
      </w:r>
      <w:r>
        <w:rPr>
          <w:rFonts w:ascii="Times New Roman" w:hAnsi="Times New Roman" w:cs="Times New Roman" w:eastAsia="Times New Roman" w:hint="default"/>
          <w:spacing w:val="-1"/>
        </w:rPr>
        <w:t>&gt;</w:t>
      </w:r>
      <w:r>
        <w:rPr>
          <w:spacing w:val="-1"/>
        </w:rPr>
        <w:t>及摘要的议案》，</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5</w:t>
      </w:r>
      <w:r>
        <w:rPr>
          <w:spacing w:val="-1"/>
        </w:rPr>
        <w:t>日，公司</w:t>
      </w:r>
      <w:r>
        <w:rPr>
          <w:rFonts w:ascii="Times New Roman" w:hAnsi="Times New Roman" w:cs="Times New Roman" w:eastAsia="Times New Roman" w:hint="default"/>
          <w:spacing w:val="-1"/>
        </w:rPr>
        <w:t>2016</w:t>
      </w:r>
      <w:r>
        <w:rPr>
          <w:spacing w:val="-1"/>
        </w:rPr>
        <w:t>年第一次临时股东大会审</w:t>
      </w:r>
      <w:r>
        <w:rPr>
          <w:spacing w:val="-37"/>
        </w:rPr>
        <w:t> </w:t>
      </w:r>
      <w:r>
        <w:rPr>
          <w:spacing w:val="-37"/>
        </w:rPr>
      </w:r>
      <w:r>
        <w:rPr/>
        <w:t>议并通过《关于</w:t>
      </w:r>
      <w:r>
        <w:rPr>
          <w:rFonts w:ascii="Times New Roman" w:hAnsi="Times New Roman" w:cs="Times New Roman" w:eastAsia="Times New Roman" w:hint="default"/>
        </w:rPr>
        <w:t>&lt;</w:t>
      </w:r>
      <w:r>
        <w:rPr/>
        <w:t>高伟达软件股份有限公司</w:t>
      </w:r>
      <w:r>
        <w:rPr>
          <w:rFonts w:ascii="Times New Roman" w:hAnsi="Times New Roman" w:cs="Times New Roman" w:eastAsia="Times New Roman" w:hint="default"/>
        </w:rPr>
        <w:t>2015</w:t>
      </w:r>
      <w:r>
        <w:rPr/>
        <w:t>年限制性股票激励计划（草案）</w:t>
      </w:r>
      <w:r>
        <w:rPr>
          <w:rFonts w:ascii="Times New Roman" w:hAnsi="Times New Roman" w:cs="Times New Roman" w:eastAsia="Times New Roman" w:hint="default"/>
        </w:rPr>
        <w:t>&gt;</w:t>
      </w:r>
      <w:r>
        <w:rPr/>
        <w:t>及摘要的议案》、《关于提请股东大会授</w:t>
      </w:r>
      <w:r>
        <w:rPr>
          <w:spacing w:val="-26"/>
        </w:rPr>
        <w:t> </w:t>
      </w:r>
      <w:r>
        <w:rPr>
          <w:spacing w:val="-26"/>
        </w:rPr>
      </w:r>
      <w:r>
        <w:rPr/>
        <w:t>权董事会办理 </w:t>
      </w:r>
      <w:r>
        <w:rPr>
          <w:rFonts w:ascii="Times New Roman" w:hAnsi="Times New Roman" w:cs="Times New Roman" w:eastAsia="Times New Roman" w:hint="default"/>
          <w:spacing w:val="-2"/>
        </w:rPr>
        <w:t>2015</w:t>
      </w:r>
      <w:r>
        <w:rPr>
          <w:spacing w:val="-2"/>
        </w:rPr>
        <w:t>年限制性股票激励计划相关事宜的议案》、《关于</w:t>
      </w:r>
      <w:r>
        <w:rPr>
          <w:rFonts w:ascii="Times New Roman" w:hAnsi="Times New Roman" w:cs="Times New Roman" w:eastAsia="Times New Roman" w:hint="default"/>
          <w:spacing w:val="-2"/>
        </w:rPr>
        <w:t>&lt;</w:t>
      </w:r>
      <w:r>
        <w:rPr>
          <w:spacing w:val="-2"/>
        </w:rPr>
        <w:t>高伟达软件股份有限公司</w:t>
      </w:r>
      <w:r>
        <w:rPr>
          <w:rFonts w:ascii="Times New Roman" w:hAnsi="Times New Roman" w:cs="Times New Roman" w:eastAsia="Times New Roman" w:hint="default"/>
          <w:spacing w:val="-2"/>
        </w:rPr>
        <w:t>2015</w:t>
      </w:r>
      <w:r>
        <w:rPr>
          <w:spacing w:val="-2"/>
        </w:rPr>
        <w:t>年限制性股票激励计划</w:t>
      </w:r>
      <w:r>
        <w:rPr>
          <w:spacing w:val="-82"/>
        </w:rPr>
        <w:t> </w:t>
      </w:r>
      <w:r>
        <w:rPr/>
        <w:t>实施考核办法</w:t>
      </w:r>
      <w:r>
        <w:rPr>
          <w:rFonts w:ascii="Times New Roman" w:hAnsi="Times New Roman" w:cs="Times New Roman" w:eastAsia="Times New Roman" w:hint="default"/>
        </w:rPr>
        <w:t>&gt;</w:t>
      </w:r>
      <w:r>
        <w:rPr/>
        <w:t>的议案》。</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5</w:t>
      </w:r>
      <w:r>
        <w:rPr/>
        <w:t>日，公司向</w:t>
      </w:r>
      <w:r>
        <w:rPr>
          <w:rFonts w:ascii="Times New Roman" w:hAnsi="Times New Roman" w:cs="Times New Roman" w:eastAsia="Times New Roman" w:hint="default"/>
        </w:rPr>
        <w:t>100</w:t>
      </w:r>
      <w:r>
        <w:rPr/>
        <w:t>名激励对象授予限制性股票</w:t>
      </w:r>
      <w:r>
        <w:rPr>
          <w:rFonts w:ascii="Times New Roman" w:hAnsi="Times New Roman" w:cs="Times New Roman" w:eastAsia="Times New Roman" w:hint="default"/>
        </w:rPr>
        <w:t>160</w:t>
      </w:r>
      <w:r>
        <w:rPr/>
        <w:t>万股。</w:t>
      </w:r>
    </w:p>
    <w:p>
      <w:pPr>
        <w:pStyle w:val="BodyText"/>
        <w:spacing w:line="240" w:lineRule="auto" w:before="13"/>
        <w:ind w:left="1493" w:right="0"/>
        <w:jc w:val="left"/>
      </w:pPr>
      <w:r>
        <w:rPr/>
        <w:t>具体详见本公司在巨潮资讯网上刊登的公告。</w:t>
      </w:r>
    </w:p>
    <w:p>
      <w:pPr>
        <w:spacing w:after="0" w:line="240" w:lineRule="auto"/>
        <w:jc w:val="left"/>
        <w:sectPr>
          <w:pgSz w:w="11910" w:h="16840"/>
          <w:pgMar w:header="877" w:footer="1187" w:top="1060" w:bottom="1380" w:left="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十五、重大关联交易" w:id="77"/>
      <w:bookmarkEnd w:id="77"/>
      <w:r>
        <w:rPr>
          <w:b w:val="0"/>
          <w:bCs w:val="0"/>
        </w:rPr>
      </w:r>
      <w:r>
        <w:rPr/>
        <w:t>十五、重大关联交易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与日常经营相关的关联交易" w:id="78"/>
      <w:bookmarkEnd w:id="78"/>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6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公司报告期未发生与日常经营相关的关联交易。</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2、资产或股权收购、出售发生的关联交易" w:id="79"/>
      <w:bookmarkEnd w:id="79"/>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line="240" w:lineRule="auto" w:before="1"/>
        <w:rPr>
          <w:rFonts w:ascii="宋体" w:hAnsi="宋体" w:cs="宋体" w:eastAsia="宋体" w:hint="default"/>
          <w:sz w:val="21"/>
          <w:szCs w:val="21"/>
        </w:rPr>
      </w:pPr>
    </w:p>
    <w:p>
      <w:pPr>
        <w:pStyle w:val="Heading4"/>
        <w:spacing w:line="240" w:lineRule="auto"/>
        <w:ind w:left="1134" w:right="0"/>
        <w:jc w:val="left"/>
        <w:rPr>
          <w:b w:val="0"/>
          <w:bCs w:val="0"/>
        </w:rPr>
      </w:pPr>
      <w:bookmarkStart w:name="3、共同对外投资的关联交易" w:id="80"/>
      <w:bookmarkEnd w:id="80"/>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4、关联债权债务往来" w:id="81"/>
      <w:bookmarkEnd w:id="81"/>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13"/>
        <w:rPr>
          <w:rFonts w:ascii="宋体" w:hAnsi="宋体" w:cs="宋体" w:eastAsia="宋体" w:hint="default"/>
          <w:sz w:val="20"/>
          <w:szCs w:val="20"/>
        </w:rPr>
      </w:pPr>
    </w:p>
    <w:p>
      <w:pPr>
        <w:pStyle w:val="Heading4"/>
        <w:spacing w:line="240" w:lineRule="auto"/>
        <w:ind w:right="0"/>
        <w:jc w:val="left"/>
        <w:rPr>
          <w:b w:val="0"/>
          <w:bCs w:val="0"/>
        </w:rPr>
      </w:pPr>
      <w:bookmarkStart w:name="5、其他重大关联交易" w:id="82"/>
      <w:bookmarkEnd w:id="82"/>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六、重大合同及其履行情况" w:id="83"/>
      <w:bookmarkEnd w:id="83"/>
      <w:r>
        <w:rPr>
          <w:b w:val="0"/>
          <w:bCs w:val="0"/>
        </w:rPr>
      </w:r>
      <w:r>
        <w:rPr/>
        <w:t>十六、重大合同及其履行情况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托管、承包、租赁事项情况" w:id="84"/>
      <w:bookmarkEnd w:id="84"/>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托管情况" w:id="85"/>
      <w:bookmarkEnd w:id="85"/>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bookmarkStart w:name="（2）承包情况" w:id="86"/>
      <w:bookmarkEnd w:id="86"/>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3）租赁情况" w:id="87"/>
      <w:bookmarkEnd w:id="87"/>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1187" w:top="1060" w:bottom="138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公司报告期不存在租赁情况。</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重大担保" w:id="88"/>
      <w:bookmarkEnd w:id="88"/>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公司报告期不存在担保情况。</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3、委托他人进行现金资产管理情况" w:id="89"/>
      <w:bookmarkEnd w:id="89"/>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委托理财情况" w:id="90"/>
      <w:bookmarkEnd w:id="90"/>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tbl>
      <w:tblPr>
        <w:tblW w:w="0" w:type="auto"/>
        <w:jc w:val="left"/>
        <w:tblInd w:w="1129" w:type="dxa"/>
        <w:tblLayout w:type="fixed"/>
        <w:tblCellMar>
          <w:top w:w="0" w:type="dxa"/>
          <w:left w:w="0" w:type="dxa"/>
          <w:bottom w:w="0" w:type="dxa"/>
          <w:right w:w="0" w:type="dxa"/>
        </w:tblCellMar>
        <w:tblLook w:val="01E0"/>
      </w:tblPr>
      <w:tblGrid>
        <w:gridCol w:w="1123"/>
        <w:gridCol w:w="721"/>
        <w:gridCol w:w="626"/>
        <w:gridCol w:w="792"/>
        <w:gridCol w:w="888"/>
        <w:gridCol w:w="954"/>
        <w:gridCol w:w="652"/>
        <w:gridCol w:w="805"/>
        <w:gridCol w:w="804"/>
        <w:gridCol w:w="802"/>
        <w:gridCol w:w="804"/>
        <w:gridCol w:w="599"/>
      </w:tblGrid>
      <w:tr>
        <w:trPr>
          <w:trHeight w:val="1337" w:hRule="exact"/>
        </w:trPr>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受托人名称</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0" w:right="78"/>
              <w:jc w:val="left"/>
              <w:rPr>
                <w:rFonts w:ascii="宋体" w:hAnsi="宋体" w:cs="宋体" w:eastAsia="宋体" w:hint="default"/>
                <w:sz w:val="18"/>
                <w:szCs w:val="18"/>
              </w:rPr>
            </w:pPr>
            <w:r>
              <w:rPr>
                <w:rFonts w:ascii="宋体" w:hAnsi="宋体" w:cs="宋体" w:eastAsia="宋体" w:hint="default"/>
                <w:sz w:val="18"/>
                <w:szCs w:val="18"/>
              </w:rPr>
              <w:t>是否关 联交易</w:t>
            </w:r>
          </w:p>
        </w:tc>
        <w:tc>
          <w:tcPr>
            <w:tcW w:w="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18" w:right="36"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11" w:right="29" w:hanging="180"/>
              <w:jc w:val="left"/>
              <w:rPr>
                <w:rFonts w:ascii="宋体" w:hAnsi="宋体" w:cs="宋体" w:eastAsia="宋体" w:hint="default"/>
                <w:sz w:val="18"/>
                <w:szCs w:val="18"/>
              </w:rPr>
            </w:pPr>
            <w:r>
              <w:rPr>
                <w:rFonts w:ascii="宋体" w:hAnsi="宋体" w:cs="宋体" w:eastAsia="宋体" w:hint="default"/>
                <w:sz w:val="18"/>
                <w:szCs w:val="18"/>
              </w:rPr>
              <w:t>委托理财 金额</w:t>
            </w:r>
          </w:p>
        </w:tc>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起始日期</w:t>
            </w:r>
          </w:p>
        </w:tc>
        <w:tc>
          <w:tcPr>
            <w:tcW w:w="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终止日期</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1" w:right="50"/>
              <w:jc w:val="left"/>
              <w:rPr>
                <w:rFonts w:ascii="宋体" w:hAnsi="宋体" w:cs="宋体" w:eastAsia="宋体" w:hint="default"/>
                <w:sz w:val="18"/>
                <w:szCs w:val="18"/>
              </w:rPr>
            </w:pPr>
            <w:r>
              <w:rPr>
                <w:rFonts w:ascii="宋体" w:hAnsi="宋体" w:cs="宋体" w:eastAsia="宋体" w:hint="default"/>
                <w:sz w:val="18"/>
                <w:szCs w:val="18"/>
              </w:rPr>
              <w:t>报酬确 定方式</w:t>
            </w:r>
          </w:p>
        </w:tc>
        <w:tc>
          <w:tcPr>
            <w:tcW w:w="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6" w:right="36"/>
              <w:jc w:val="center"/>
              <w:rPr>
                <w:rFonts w:ascii="宋体" w:hAnsi="宋体" w:cs="宋体" w:eastAsia="宋体" w:hint="default"/>
                <w:sz w:val="18"/>
                <w:szCs w:val="18"/>
              </w:rPr>
            </w:pPr>
            <w:r>
              <w:rPr>
                <w:rFonts w:ascii="宋体" w:hAnsi="宋体" w:cs="宋体" w:eastAsia="宋体" w:hint="default"/>
                <w:sz w:val="18"/>
                <w:szCs w:val="18"/>
              </w:rPr>
              <w:t>本期实际 收回本金 金额</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6" w:right="36"/>
              <w:jc w:val="left"/>
              <w:rPr>
                <w:rFonts w:ascii="宋体" w:hAnsi="宋体" w:cs="宋体" w:eastAsia="宋体" w:hint="default"/>
                <w:sz w:val="18"/>
                <w:szCs w:val="18"/>
              </w:rPr>
            </w:pPr>
            <w:r>
              <w:rPr>
                <w:rFonts w:ascii="宋体" w:hAnsi="宋体" w:cs="宋体" w:eastAsia="宋体" w:hint="default"/>
                <w:sz w:val="18"/>
                <w:szCs w:val="18"/>
              </w:rPr>
              <w:t>计提减值 准备金额</w:t>
            </w:r>
          </w:p>
          <w:p>
            <w:pPr>
              <w:pStyle w:val="TableParagraph"/>
              <w:spacing w:line="240" w:lineRule="auto" w:before="20"/>
              <w:ind w:left="36"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预计收益</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6" w:right="36"/>
              <w:jc w:val="center"/>
              <w:rPr>
                <w:rFonts w:ascii="宋体" w:hAnsi="宋体" w:cs="宋体" w:eastAsia="宋体" w:hint="default"/>
                <w:sz w:val="18"/>
                <w:szCs w:val="18"/>
              </w:rPr>
            </w:pPr>
            <w:r>
              <w:rPr>
                <w:rFonts w:ascii="宋体" w:hAnsi="宋体" w:cs="宋体" w:eastAsia="宋体" w:hint="default"/>
                <w:sz w:val="18"/>
                <w:szCs w:val="18"/>
              </w:rPr>
              <w:t>报告期实 际损益金 额</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 w:right="23"/>
              <w:jc w:val="both"/>
              <w:rPr>
                <w:rFonts w:ascii="宋体" w:hAnsi="宋体" w:cs="宋体" w:eastAsia="宋体" w:hint="default"/>
                <w:sz w:val="18"/>
                <w:szCs w:val="18"/>
              </w:rPr>
            </w:pPr>
            <w:r>
              <w:rPr>
                <w:rFonts w:ascii="宋体" w:hAnsi="宋体" w:cs="宋体" w:eastAsia="宋体" w:hint="default"/>
                <w:sz w:val="18"/>
                <w:szCs w:val="18"/>
              </w:rPr>
              <w:t>报告期 损益实 际收回 情况</w:t>
            </w:r>
          </w:p>
        </w:tc>
      </w:tr>
      <w:tr>
        <w:trPr>
          <w:trHeight w:val="1027" w:hRule="exact"/>
        </w:trPr>
        <w:tc>
          <w:tcPr>
            <w:tcW w:w="112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2"/>
              <w:ind w:left="22" w:right="188"/>
              <w:jc w:val="both"/>
              <w:rPr>
                <w:rFonts w:ascii="宋体" w:hAnsi="宋体" w:cs="宋体" w:eastAsia="宋体" w:hint="default"/>
                <w:sz w:val="18"/>
                <w:szCs w:val="18"/>
              </w:rPr>
            </w:pPr>
            <w:r>
              <w:rPr>
                <w:rFonts w:ascii="宋体" w:hAnsi="宋体" w:cs="宋体" w:eastAsia="宋体" w:hint="default"/>
                <w:sz w:val="18"/>
                <w:szCs w:val="18"/>
              </w:rPr>
              <w:t>招商银行北 京双榆树支 行</w:t>
            </w:r>
          </w:p>
        </w:tc>
        <w:tc>
          <w:tcPr>
            <w:tcW w:w="721"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58"/>
              <w:jc w:val="right"/>
              <w:rPr>
                <w:rFonts w:ascii="宋体" w:hAnsi="宋体" w:cs="宋体" w:eastAsia="宋体" w:hint="default"/>
                <w:sz w:val="18"/>
                <w:szCs w:val="18"/>
              </w:rPr>
            </w:pPr>
            <w:r>
              <w:rPr>
                <w:rFonts w:ascii="宋体" w:hAnsi="宋体" w:cs="宋体" w:eastAsia="宋体" w:hint="default"/>
                <w:sz w:val="18"/>
                <w:szCs w:val="18"/>
              </w:rPr>
              <w:t>否</w:t>
            </w:r>
          </w:p>
        </w:tc>
        <w:tc>
          <w:tcPr>
            <w:tcW w:w="6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28" w:right="36" w:hanging="90"/>
              <w:jc w:val="left"/>
              <w:rPr>
                <w:rFonts w:ascii="宋体" w:hAnsi="宋体" w:cs="宋体" w:eastAsia="宋体" w:hint="default"/>
                <w:sz w:val="18"/>
                <w:szCs w:val="18"/>
              </w:rPr>
            </w:pPr>
            <w:r>
              <w:rPr>
                <w:rFonts w:ascii="宋体" w:hAnsi="宋体" w:cs="宋体" w:eastAsia="宋体" w:hint="default"/>
                <w:sz w:val="18"/>
                <w:szCs w:val="18"/>
              </w:rPr>
              <w:t>保本浮 动型</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5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市场利 率</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2"/>
              <w:jc w:val="right"/>
              <w:rPr>
                <w:rFonts w:ascii="Times New Roman" w:hAnsi="Times New Roman" w:cs="Times New Roman" w:eastAsia="Times New Roman" w:hint="default"/>
                <w:sz w:val="18"/>
                <w:szCs w:val="18"/>
              </w:rPr>
            </w:pPr>
            <w:r>
              <w:rPr>
                <w:rFonts w:ascii="Times New Roman"/>
                <w:sz w:val="18"/>
              </w:rPr>
              <w:t>2,000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351"/>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4.41</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4.41</w:t>
            </w:r>
          </w:p>
        </w:tc>
        <w:tc>
          <w:tcPr>
            <w:tcW w:w="5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1026" w:hRule="exact"/>
        </w:trPr>
        <w:tc>
          <w:tcPr>
            <w:tcW w:w="112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2"/>
              <w:ind w:left="22" w:right="188"/>
              <w:jc w:val="both"/>
              <w:rPr>
                <w:rFonts w:ascii="宋体" w:hAnsi="宋体" w:cs="宋体" w:eastAsia="宋体" w:hint="default"/>
                <w:sz w:val="18"/>
                <w:szCs w:val="18"/>
              </w:rPr>
            </w:pPr>
            <w:r>
              <w:rPr>
                <w:rFonts w:ascii="宋体" w:hAnsi="宋体" w:cs="宋体" w:eastAsia="宋体" w:hint="default"/>
                <w:sz w:val="18"/>
                <w:szCs w:val="18"/>
              </w:rPr>
              <w:t>招商银行北 京双榆树支 行</w:t>
            </w:r>
          </w:p>
        </w:tc>
        <w:tc>
          <w:tcPr>
            <w:tcW w:w="721"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58"/>
              <w:jc w:val="right"/>
              <w:rPr>
                <w:rFonts w:ascii="宋体" w:hAnsi="宋体" w:cs="宋体" w:eastAsia="宋体" w:hint="default"/>
                <w:sz w:val="18"/>
                <w:szCs w:val="18"/>
              </w:rPr>
            </w:pPr>
            <w:r>
              <w:rPr>
                <w:rFonts w:ascii="宋体" w:hAnsi="宋体" w:cs="宋体" w:eastAsia="宋体" w:hint="default"/>
                <w:sz w:val="18"/>
                <w:szCs w:val="18"/>
              </w:rPr>
              <w:t>否</w:t>
            </w:r>
          </w:p>
        </w:tc>
        <w:tc>
          <w:tcPr>
            <w:tcW w:w="6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128" w:right="36" w:hanging="90"/>
              <w:jc w:val="left"/>
              <w:rPr>
                <w:rFonts w:ascii="宋体" w:hAnsi="宋体" w:cs="宋体" w:eastAsia="宋体" w:hint="default"/>
                <w:sz w:val="18"/>
                <w:szCs w:val="18"/>
              </w:rPr>
            </w:pPr>
            <w:r>
              <w:rPr>
                <w:rFonts w:ascii="宋体" w:hAnsi="宋体" w:cs="宋体" w:eastAsia="宋体" w:hint="default"/>
                <w:sz w:val="18"/>
                <w:szCs w:val="18"/>
              </w:rPr>
              <w:t>保本浮 动型</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5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市场利 率</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2"/>
              <w:jc w:val="right"/>
              <w:rPr>
                <w:rFonts w:ascii="Times New Roman" w:hAnsi="Times New Roman" w:cs="Times New Roman" w:eastAsia="Times New Roman" w:hint="default"/>
                <w:sz w:val="18"/>
                <w:szCs w:val="18"/>
              </w:rPr>
            </w:pPr>
            <w:r>
              <w:rPr>
                <w:rFonts w:ascii="Times New Roman"/>
                <w:sz w:val="18"/>
              </w:rPr>
              <w:t>2,000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351"/>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3.07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3.07</w:t>
            </w:r>
          </w:p>
        </w:tc>
        <w:tc>
          <w:tcPr>
            <w:tcW w:w="5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1026" w:hRule="exact"/>
        </w:trPr>
        <w:tc>
          <w:tcPr>
            <w:tcW w:w="112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2"/>
              <w:ind w:left="22" w:right="188"/>
              <w:jc w:val="both"/>
              <w:rPr>
                <w:rFonts w:ascii="宋体" w:hAnsi="宋体" w:cs="宋体" w:eastAsia="宋体" w:hint="default"/>
                <w:sz w:val="18"/>
                <w:szCs w:val="18"/>
              </w:rPr>
            </w:pPr>
            <w:r>
              <w:rPr>
                <w:rFonts w:ascii="宋体" w:hAnsi="宋体" w:cs="宋体" w:eastAsia="宋体" w:hint="default"/>
                <w:sz w:val="18"/>
                <w:szCs w:val="18"/>
              </w:rPr>
              <w:t>招商银行北 京双榆树支 行</w:t>
            </w:r>
          </w:p>
        </w:tc>
        <w:tc>
          <w:tcPr>
            <w:tcW w:w="721"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58"/>
              <w:jc w:val="right"/>
              <w:rPr>
                <w:rFonts w:ascii="宋体" w:hAnsi="宋体" w:cs="宋体" w:eastAsia="宋体" w:hint="default"/>
                <w:sz w:val="18"/>
                <w:szCs w:val="18"/>
              </w:rPr>
            </w:pPr>
            <w:r>
              <w:rPr>
                <w:rFonts w:ascii="宋体" w:hAnsi="宋体" w:cs="宋体" w:eastAsia="宋体" w:hint="default"/>
                <w:sz w:val="18"/>
                <w:szCs w:val="18"/>
              </w:rPr>
              <w:t>否</w:t>
            </w:r>
          </w:p>
        </w:tc>
        <w:tc>
          <w:tcPr>
            <w:tcW w:w="6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28" w:right="36" w:hanging="90"/>
              <w:jc w:val="left"/>
              <w:rPr>
                <w:rFonts w:ascii="宋体" w:hAnsi="宋体" w:cs="宋体" w:eastAsia="宋体" w:hint="default"/>
                <w:sz w:val="18"/>
                <w:szCs w:val="18"/>
              </w:rPr>
            </w:pPr>
            <w:r>
              <w:rPr>
                <w:rFonts w:ascii="宋体" w:hAnsi="宋体" w:cs="宋体" w:eastAsia="宋体" w:hint="default"/>
                <w:sz w:val="18"/>
                <w:szCs w:val="18"/>
              </w:rPr>
              <w:t>保本浮 动型</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5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市场利 率</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2"/>
              <w:jc w:val="right"/>
              <w:rPr>
                <w:rFonts w:ascii="Times New Roman" w:hAnsi="Times New Roman" w:cs="Times New Roman" w:eastAsia="Times New Roman" w:hint="default"/>
                <w:sz w:val="18"/>
                <w:szCs w:val="18"/>
              </w:rPr>
            </w:pPr>
            <w:r>
              <w:rPr>
                <w:rFonts w:ascii="Times New Roman"/>
                <w:sz w:val="18"/>
              </w:rPr>
              <w:t>2,000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351"/>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13.42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13.42</w:t>
            </w:r>
          </w:p>
        </w:tc>
        <w:tc>
          <w:tcPr>
            <w:tcW w:w="5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1026" w:hRule="exact"/>
        </w:trPr>
        <w:tc>
          <w:tcPr>
            <w:tcW w:w="112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2"/>
              <w:ind w:left="22" w:right="188"/>
              <w:jc w:val="both"/>
              <w:rPr>
                <w:rFonts w:ascii="宋体" w:hAnsi="宋体" w:cs="宋体" w:eastAsia="宋体" w:hint="default"/>
                <w:sz w:val="18"/>
                <w:szCs w:val="18"/>
              </w:rPr>
            </w:pPr>
            <w:r>
              <w:rPr>
                <w:rFonts w:ascii="宋体" w:hAnsi="宋体" w:cs="宋体" w:eastAsia="宋体" w:hint="default"/>
                <w:sz w:val="18"/>
                <w:szCs w:val="18"/>
              </w:rPr>
              <w:t>招商银行北 京双榆树支 行</w:t>
            </w:r>
          </w:p>
        </w:tc>
        <w:tc>
          <w:tcPr>
            <w:tcW w:w="721"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58"/>
              <w:jc w:val="right"/>
              <w:rPr>
                <w:rFonts w:ascii="宋体" w:hAnsi="宋体" w:cs="宋体" w:eastAsia="宋体" w:hint="default"/>
                <w:sz w:val="18"/>
                <w:szCs w:val="18"/>
              </w:rPr>
            </w:pPr>
            <w:r>
              <w:rPr>
                <w:rFonts w:ascii="宋体" w:hAnsi="宋体" w:cs="宋体" w:eastAsia="宋体" w:hint="default"/>
                <w:sz w:val="18"/>
                <w:szCs w:val="18"/>
              </w:rPr>
              <w:t>否</w:t>
            </w:r>
          </w:p>
        </w:tc>
        <w:tc>
          <w:tcPr>
            <w:tcW w:w="6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28" w:right="36" w:hanging="90"/>
              <w:jc w:val="left"/>
              <w:rPr>
                <w:rFonts w:ascii="宋体" w:hAnsi="宋体" w:cs="宋体" w:eastAsia="宋体" w:hint="default"/>
                <w:sz w:val="18"/>
                <w:szCs w:val="18"/>
              </w:rPr>
            </w:pPr>
            <w:r>
              <w:rPr>
                <w:rFonts w:ascii="宋体" w:hAnsi="宋体" w:cs="宋体" w:eastAsia="宋体" w:hint="default"/>
                <w:sz w:val="18"/>
                <w:szCs w:val="18"/>
              </w:rPr>
              <w:t>保本浮 动型</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5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市场利 率</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2"/>
              <w:jc w:val="right"/>
              <w:rPr>
                <w:rFonts w:ascii="Times New Roman" w:hAnsi="Times New Roman" w:cs="Times New Roman" w:eastAsia="Times New Roman" w:hint="default"/>
                <w:sz w:val="18"/>
                <w:szCs w:val="18"/>
              </w:rPr>
            </w:pPr>
            <w:r>
              <w:rPr>
                <w:rFonts w:ascii="Times New Roman"/>
                <w:sz w:val="18"/>
              </w:rPr>
              <w:t>2,000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351"/>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8.44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8.44</w:t>
            </w:r>
          </w:p>
        </w:tc>
        <w:tc>
          <w:tcPr>
            <w:tcW w:w="5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1026" w:hRule="exact"/>
        </w:trPr>
        <w:tc>
          <w:tcPr>
            <w:tcW w:w="112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2"/>
              <w:ind w:left="22" w:right="188"/>
              <w:jc w:val="both"/>
              <w:rPr>
                <w:rFonts w:ascii="宋体" w:hAnsi="宋体" w:cs="宋体" w:eastAsia="宋体" w:hint="default"/>
                <w:sz w:val="18"/>
                <w:szCs w:val="18"/>
              </w:rPr>
            </w:pPr>
            <w:r>
              <w:rPr>
                <w:rFonts w:ascii="宋体" w:hAnsi="宋体" w:cs="宋体" w:eastAsia="宋体" w:hint="default"/>
                <w:sz w:val="18"/>
                <w:szCs w:val="18"/>
              </w:rPr>
              <w:t>招商银行北 京朝阳公园 支行</w:t>
            </w:r>
          </w:p>
        </w:tc>
        <w:tc>
          <w:tcPr>
            <w:tcW w:w="721"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58"/>
              <w:jc w:val="right"/>
              <w:rPr>
                <w:rFonts w:ascii="宋体" w:hAnsi="宋体" w:cs="宋体" w:eastAsia="宋体" w:hint="default"/>
                <w:sz w:val="18"/>
                <w:szCs w:val="18"/>
              </w:rPr>
            </w:pPr>
            <w:r>
              <w:rPr>
                <w:rFonts w:ascii="宋体" w:hAnsi="宋体" w:cs="宋体" w:eastAsia="宋体" w:hint="default"/>
                <w:sz w:val="18"/>
                <w:szCs w:val="18"/>
              </w:rPr>
              <w:t>否</w:t>
            </w:r>
          </w:p>
        </w:tc>
        <w:tc>
          <w:tcPr>
            <w:tcW w:w="6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28" w:right="36" w:hanging="90"/>
              <w:jc w:val="left"/>
              <w:rPr>
                <w:rFonts w:ascii="宋体" w:hAnsi="宋体" w:cs="宋体" w:eastAsia="宋体" w:hint="default"/>
                <w:sz w:val="18"/>
                <w:szCs w:val="18"/>
              </w:rPr>
            </w:pPr>
            <w:r>
              <w:rPr>
                <w:rFonts w:ascii="宋体" w:hAnsi="宋体" w:cs="宋体" w:eastAsia="宋体" w:hint="default"/>
                <w:sz w:val="18"/>
                <w:szCs w:val="18"/>
              </w:rPr>
              <w:t>保本浮 动型</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5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市场利 率</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2"/>
              <w:jc w:val="right"/>
              <w:rPr>
                <w:rFonts w:ascii="Times New Roman" w:hAnsi="Times New Roman" w:cs="Times New Roman" w:eastAsia="Times New Roman" w:hint="default"/>
                <w:sz w:val="18"/>
                <w:szCs w:val="18"/>
              </w:rPr>
            </w:pPr>
            <w:r>
              <w:rPr>
                <w:rFonts w:ascii="Times New Roman"/>
                <w:sz w:val="18"/>
              </w:rPr>
              <w:t>1,500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351"/>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7.77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7.77</w:t>
            </w:r>
          </w:p>
        </w:tc>
        <w:tc>
          <w:tcPr>
            <w:tcW w:w="5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1026" w:hRule="exact"/>
        </w:trPr>
        <w:tc>
          <w:tcPr>
            <w:tcW w:w="112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2"/>
              <w:ind w:left="22" w:right="188"/>
              <w:jc w:val="both"/>
              <w:rPr>
                <w:rFonts w:ascii="宋体" w:hAnsi="宋体" w:cs="宋体" w:eastAsia="宋体" w:hint="default"/>
                <w:sz w:val="18"/>
                <w:szCs w:val="18"/>
              </w:rPr>
            </w:pPr>
            <w:r>
              <w:rPr>
                <w:rFonts w:ascii="宋体" w:hAnsi="宋体" w:cs="宋体" w:eastAsia="宋体" w:hint="default"/>
                <w:sz w:val="18"/>
                <w:szCs w:val="18"/>
              </w:rPr>
              <w:t>招商银行北 京双榆树支 行</w:t>
            </w:r>
          </w:p>
        </w:tc>
        <w:tc>
          <w:tcPr>
            <w:tcW w:w="721"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58"/>
              <w:jc w:val="right"/>
              <w:rPr>
                <w:rFonts w:ascii="宋体" w:hAnsi="宋体" w:cs="宋体" w:eastAsia="宋体" w:hint="default"/>
                <w:sz w:val="18"/>
                <w:szCs w:val="18"/>
              </w:rPr>
            </w:pPr>
            <w:r>
              <w:rPr>
                <w:rFonts w:ascii="宋体" w:hAnsi="宋体" w:cs="宋体" w:eastAsia="宋体" w:hint="default"/>
                <w:sz w:val="18"/>
                <w:szCs w:val="18"/>
              </w:rPr>
              <w:t>否</w:t>
            </w:r>
          </w:p>
        </w:tc>
        <w:tc>
          <w:tcPr>
            <w:tcW w:w="6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28" w:right="36" w:hanging="90"/>
              <w:jc w:val="left"/>
              <w:rPr>
                <w:rFonts w:ascii="宋体" w:hAnsi="宋体" w:cs="宋体" w:eastAsia="宋体" w:hint="default"/>
                <w:sz w:val="18"/>
                <w:szCs w:val="18"/>
              </w:rPr>
            </w:pPr>
            <w:r>
              <w:rPr>
                <w:rFonts w:ascii="宋体" w:hAnsi="宋体" w:cs="宋体" w:eastAsia="宋体" w:hint="default"/>
                <w:sz w:val="18"/>
                <w:szCs w:val="18"/>
              </w:rPr>
              <w:t>保本浮 动型</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5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市场利 率</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2"/>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351"/>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0.52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0.52</w:t>
            </w:r>
          </w:p>
        </w:tc>
        <w:tc>
          <w:tcPr>
            <w:tcW w:w="5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1026" w:hRule="exact"/>
        </w:trPr>
        <w:tc>
          <w:tcPr>
            <w:tcW w:w="112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2"/>
              <w:ind w:left="22" w:right="188"/>
              <w:jc w:val="both"/>
              <w:rPr>
                <w:rFonts w:ascii="宋体" w:hAnsi="宋体" w:cs="宋体" w:eastAsia="宋体" w:hint="default"/>
                <w:sz w:val="18"/>
                <w:szCs w:val="18"/>
              </w:rPr>
            </w:pPr>
            <w:r>
              <w:rPr>
                <w:rFonts w:ascii="宋体" w:hAnsi="宋体" w:cs="宋体" w:eastAsia="宋体" w:hint="default"/>
                <w:sz w:val="18"/>
                <w:szCs w:val="18"/>
              </w:rPr>
              <w:t>招商银行北 京双榆树支 行</w:t>
            </w:r>
          </w:p>
        </w:tc>
        <w:tc>
          <w:tcPr>
            <w:tcW w:w="721"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58"/>
              <w:jc w:val="right"/>
              <w:rPr>
                <w:rFonts w:ascii="宋体" w:hAnsi="宋体" w:cs="宋体" w:eastAsia="宋体" w:hint="default"/>
                <w:sz w:val="18"/>
                <w:szCs w:val="18"/>
              </w:rPr>
            </w:pPr>
            <w:r>
              <w:rPr>
                <w:rFonts w:ascii="宋体" w:hAnsi="宋体" w:cs="宋体" w:eastAsia="宋体" w:hint="default"/>
                <w:sz w:val="18"/>
                <w:szCs w:val="18"/>
              </w:rPr>
              <w:t>否</w:t>
            </w:r>
          </w:p>
        </w:tc>
        <w:tc>
          <w:tcPr>
            <w:tcW w:w="6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28" w:right="36" w:hanging="90"/>
              <w:jc w:val="left"/>
              <w:rPr>
                <w:rFonts w:ascii="宋体" w:hAnsi="宋体" w:cs="宋体" w:eastAsia="宋体" w:hint="default"/>
                <w:sz w:val="18"/>
                <w:szCs w:val="18"/>
              </w:rPr>
            </w:pPr>
            <w:r>
              <w:rPr>
                <w:rFonts w:ascii="宋体" w:hAnsi="宋体" w:cs="宋体" w:eastAsia="宋体" w:hint="default"/>
                <w:sz w:val="18"/>
                <w:szCs w:val="18"/>
              </w:rPr>
              <w:t>保本浮 动型</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5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市场利 率</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2"/>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351"/>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0.52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0.52</w:t>
            </w:r>
          </w:p>
        </w:tc>
        <w:tc>
          <w:tcPr>
            <w:tcW w:w="5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1026" w:hRule="exact"/>
        </w:trPr>
        <w:tc>
          <w:tcPr>
            <w:tcW w:w="112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188"/>
              <w:jc w:val="both"/>
              <w:rPr>
                <w:rFonts w:ascii="宋体" w:hAnsi="宋体" w:cs="宋体" w:eastAsia="宋体" w:hint="default"/>
                <w:sz w:val="18"/>
                <w:szCs w:val="18"/>
              </w:rPr>
            </w:pPr>
            <w:r>
              <w:rPr>
                <w:rFonts w:ascii="宋体" w:hAnsi="宋体" w:cs="宋体" w:eastAsia="宋体" w:hint="default"/>
                <w:sz w:val="18"/>
                <w:szCs w:val="18"/>
              </w:rPr>
              <w:t>招商银行北 京双榆树支 行</w:t>
            </w:r>
          </w:p>
        </w:tc>
        <w:tc>
          <w:tcPr>
            <w:tcW w:w="721"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58"/>
              <w:jc w:val="right"/>
              <w:rPr>
                <w:rFonts w:ascii="宋体" w:hAnsi="宋体" w:cs="宋体" w:eastAsia="宋体" w:hint="default"/>
                <w:sz w:val="18"/>
                <w:szCs w:val="18"/>
              </w:rPr>
            </w:pPr>
            <w:r>
              <w:rPr>
                <w:rFonts w:ascii="宋体" w:hAnsi="宋体" w:cs="宋体" w:eastAsia="宋体" w:hint="default"/>
                <w:sz w:val="18"/>
                <w:szCs w:val="18"/>
              </w:rPr>
              <w:t>否</w:t>
            </w:r>
          </w:p>
        </w:tc>
        <w:tc>
          <w:tcPr>
            <w:tcW w:w="6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28" w:right="36" w:hanging="90"/>
              <w:jc w:val="left"/>
              <w:rPr>
                <w:rFonts w:ascii="宋体" w:hAnsi="宋体" w:cs="宋体" w:eastAsia="宋体" w:hint="default"/>
                <w:sz w:val="18"/>
                <w:szCs w:val="18"/>
              </w:rPr>
            </w:pPr>
            <w:r>
              <w:rPr>
                <w:rFonts w:ascii="宋体" w:hAnsi="宋体" w:cs="宋体" w:eastAsia="宋体" w:hint="default"/>
                <w:sz w:val="18"/>
                <w:szCs w:val="18"/>
              </w:rPr>
              <w:t>保本浮 动型</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5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市场利 率</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2"/>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351"/>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0.52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0.52</w:t>
            </w:r>
          </w:p>
        </w:tc>
        <w:tc>
          <w:tcPr>
            <w:tcW w:w="5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center"/>
        <w:rPr>
          <w:rFonts w:ascii="宋体" w:hAnsi="宋体" w:cs="宋体" w:eastAsia="宋体" w:hint="default"/>
          <w:sz w:val="18"/>
          <w:szCs w:val="18"/>
        </w:rPr>
        <w:sectPr>
          <w:pgSz w:w="11910" w:h="16840"/>
          <w:pgMar w:header="877" w:footer="1187" w:top="1060" w:bottom="138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123"/>
        <w:gridCol w:w="721"/>
        <w:gridCol w:w="626"/>
        <w:gridCol w:w="792"/>
        <w:gridCol w:w="888"/>
        <w:gridCol w:w="954"/>
        <w:gridCol w:w="652"/>
        <w:gridCol w:w="805"/>
        <w:gridCol w:w="804"/>
        <w:gridCol w:w="802"/>
        <w:gridCol w:w="804"/>
        <w:gridCol w:w="599"/>
      </w:tblGrid>
      <w:tr>
        <w:trPr>
          <w:trHeight w:val="1026" w:hRule="exact"/>
        </w:trPr>
        <w:tc>
          <w:tcPr>
            <w:tcW w:w="112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188"/>
              <w:jc w:val="both"/>
              <w:rPr>
                <w:rFonts w:ascii="宋体" w:hAnsi="宋体" w:cs="宋体" w:eastAsia="宋体" w:hint="default"/>
                <w:sz w:val="18"/>
                <w:szCs w:val="18"/>
              </w:rPr>
            </w:pPr>
            <w:r>
              <w:rPr>
                <w:rFonts w:ascii="宋体" w:hAnsi="宋体" w:cs="宋体" w:eastAsia="宋体" w:hint="default"/>
                <w:sz w:val="18"/>
                <w:szCs w:val="18"/>
              </w:rPr>
              <w:t>招商银行北 京朝阳公园 支行</w:t>
            </w:r>
          </w:p>
        </w:tc>
        <w:tc>
          <w:tcPr>
            <w:tcW w:w="721"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58"/>
              <w:jc w:val="right"/>
              <w:rPr>
                <w:rFonts w:ascii="宋体" w:hAnsi="宋体" w:cs="宋体" w:eastAsia="宋体" w:hint="default"/>
                <w:sz w:val="18"/>
                <w:szCs w:val="18"/>
              </w:rPr>
            </w:pPr>
            <w:r>
              <w:rPr>
                <w:rFonts w:ascii="宋体" w:hAnsi="宋体" w:cs="宋体" w:eastAsia="宋体" w:hint="default"/>
                <w:sz w:val="18"/>
                <w:szCs w:val="18"/>
              </w:rPr>
              <w:t>否</w:t>
            </w:r>
          </w:p>
        </w:tc>
        <w:tc>
          <w:tcPr>
            <w:tcW w:w="6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28" w:right="36" w:hanging="90"/>
              <w:jc w:val="left"/>
              <w:rPr>
                <w:rFonts w:ascii="宋体" w:hAnsi="宋体" w:cs="宋体" w:eastAsia="宋体" w:hint="default"/>
                <w:sz w:val="18"/>
                <w:szCs w:val="18"/>
              </w:rPr>
            </w:pPr>
            <w:r>
              <w:rPr>
                <w:rFonts w:ascii="宋体" w:hAnsi="宋体" w:cs="宋体" w:eastAsia="宋体" w:hint="default"/>
                <w:sz w:val="18"/>
                <w:szCs w:val="18"/>
              </w:rPr>
              <w:t>保本浮 动型</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5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市场利 率</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2"/>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351"/>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3.26</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3.26</w:t>
            </w:r>
          </w:p>
        </w:tc>
        <w:tc>
          <w:tcPr>
            <w:tcW w:w="5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1026" w:hRule="exact"/>
        </w:trPr>
        <w:tc>
          <w:tcPr>
            <w:tcW w:w="112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188"/>
              <w:jc w:val="both"/>
              <w:rPr>
                <w:rFonts w:ascii="宋体" w:hAnsi="宋体" w:cs="宋体" w:eastAsia="宋体" w:hint="default"/>
                <w:sz w:val="18"/>
                <w:szCs w:val="18"/>
              </w:rPr>
            </w:pPr>
            <w:r>
              <w:rPr>
                <w:rFonts w:ascii="宋体" w:hAnsi="宋体" w:cs="宋体" w:eastAsia="宋体" w:hint="default"/>
                <w:sz w:val="18"/>
                <w:szCs w:val="18"/>
              </w:rPr>
              <w:t>招商银行北 京朝阳公园 支行</w:t>
            </w:r>
          </w:p>
        </w:tc>
        <w:tc>
          <w:tcPr>
            <w:tcW w:w="721"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58"/>
              <w:jc w:val="right"/>
              <w:rPr>
                <w:rFonts w:ascii="宋体" w:hAnsi="宋体" w:cs="宋体" w:eastAsia="宋体" w:hint="default"/>
                <w:sz w:val="18"/>
                <w:szCs w:val="18"/>
              </w:rPr>
            </w:pPr>
            <w:r>
              <w:rPr>
                <w:rFonts w:ascii="宋体" w:hAnsi="宋体" w:cs="宋体" w:eastAsia="宋体" w:hint="default"/>
                <w:sz w:val="18"/>
                <w:szCs w:val="18"/>
              </w:rPr>
              <w:t>否</w:t>
            </w:r>
          </w:p>
        </w:tc>
        <w:tc>
          <w:tcPr>
            <w:tcW w:w="6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128" w:right="36" w:hanging="90"/>
              <w:jc w:val="left"/>
              <w:rPr>
                <w:rFonts w:ascii="宋体" w:hAnsi="宋体" w:cs="宋体" w:eastAsia="宋体" w:hint="default"/>
                <w:sz w:val="18"/>
                <w:szCs w:val="18"/>
              </w:rPr>
            </w:pPr>
            <w:r>
              <w:rPr>
                <w:rFonts w:ascii="宋体" w:hAnsi="宋体" w:cs="宋体" w:eastAsia="宋体" w:hint="default"/>
                <w:sz w:val="18"/>
                <w:szCs w:val="18"/>
              </w:rPr>
              <w:t>保本浮 动型</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5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市场利 率</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2"/>
              <w:jc w:val="right"/>
              <w:rPr>
                <w:rFonts w:ascii="Times New Roman" w:hAnsi="Times New Roman" w:cs="Times New Roman" w:eastAsia="Times New Roman" w:hint="default"/>
                <w:sz w:val="18"/>
                <w:szCs w:val="18"/>
              </w:rPr>
            </w:pPr>
            <w:r>
              <w:rPr>
                <w:rFonts w:ascii="Times New Roman"/>
                <w:sz w:val="18"/>
              </w:rPr>
              <w:t>2,000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351"/>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3.74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3.74</w:t>
            </w:r>
          </w:p>
        </w:tc>
        <w:tc>
          <w:tcPr>
            <w:tcW w:w="5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12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188"/>
              <w:jc w:val="left"/>
              <w:rPr>
                <w:rFonts w:ascii="宋体" w:hAnsi="宋体" w:cs="宋体" w:eastAsia="宋体" w:hint="default"/>
                <w:sz w:val="18"/>
                <w:szCs w:val="18"/>
              </w:rPr>
            </w:pPr>
            <w:r>
              <w:rPr>
                <w:rFonts w:ascii="宋体" w:hAnsi="宋体" w:cs="宋体" w:eastAsia="宋体" w:hint="default"/>
                <w:sz w:val="18"/>
                <w:szCs w:val="18"/>
              </w:rPr>
              <w:t>广发银行北 京分行</w:t>
            </w:r>
          </w:p>
        </w:tc>
        <w:tc>
          <w:tcPr>
            <w:tcW w:w="721"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58"/>
              <w:jc w:val="right"/>
              <w:rPr>
                <w:rFonts w:ascii="宋体" w:hAnsi="宋体" w:cs="宋体" w:eastAsia="宋体" w:hint="default"/>
                <w:sz w:val="18"/>
                <w:szCs w:val="18"/>
              </w:rPr>
            </w:pPr>
            <w:r>
              <w:rPr>
                <w:rFonts w:ascii="宋体" w:hAnsi="宋体" w:cs="宋体" w:eastAsia="宋体" w:hint="default"/>
                <w:sz w:val="18"/>
                <w:szCs w:val="18"/>
              </w:rPr>
              <w:t>否</w:t>
            </w:r>
          </w:p>
        </w:tc>
        <w:tc>
          <w:tcPr>
            <w:tcW w:w="6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128" w:right="36" w:hanging="90"/>
              <w:jc w:val="left"/>
              <w:rPr>
                <w:rFonts w:ascii="宋体" w:hAnsi="宋体" w:cs="宋体" w:eastAsia="宋体" w:hint="default"/>
                <w:sz w:val="18"/>
                <w:szCs w:val="18"/>
              </w:rPr>
            </w:pPr>
            <w:r>
              <w:rPr>
                <w:rFonts w:ascii="宋体" w:hAnsi="宋体" w:cs="宋体" w:eastAsia="宋体" w:hint="default"/>
                <w:sz w:val="18"/>
                <w:szCs w:val="18"/>
              </w:rPr>
              <w:t>保本浮 动型</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5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市场利 率</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2"/>
              <w:jc w:val="right"/>
              <w:rPr>
                <w:rFonts w:ascii="Times New Roman" w:hAnsi="Times New Roman" w:cs="Times New Roman" w:eastAsia="Times New Roman" w:hint="default"/>
                <w:sz w:val="18"/>
                <w:szCs w:val="18"/>
              </w:rPr>
            </w:pPr>
            <w:r>
              <w:rPr>
                <w:rFonts w:ascii="Times New Roman"/>
                <w:sz w:val="18"/>
              </w:rPr>
              <w:t>3,000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51"/>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4.14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4.14</w:t>
            </w:r>
          </w:p>
        </w:tc>
        <w:tc>
          <w:tcPr>
            <w:tcW w:w="5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1026" w:hRule="exact"/>
        </w:trPr>
        <w:tc>
          <w:tcPr>
            <w:tcW w:w="112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188"/>
              <w:jc w:val="both"/>
              <w:rPr>
                <w:rFonts w:ascii="宋体" w:hAnsi="宋体" w:cs="宋体" w:eastAsia="宋体" w:hint="default"/>
                <w:sz w:val="18"/>
                <w:szCs w:val="18"/>
              </w:rPr>
            </w:pPr>
            <w:r>
              <w:rPr>
                <w:rFonts w:ascii="宋体" w:hAnsi="宋体" w:cs="宋体" w:eastAsia="宋体" w:hint="default"/>
                <w:sz w:val="18"/>
                <w:szCs w:val="18"/>
              </w:rPr>
              <w:t>建设银行北 京中关村建 行</w:t>
            </w:r>
          </w:p>
        </w:tc>
        <w:tc>
          <w:tcPr>
            <w:tcW w:w="721"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58"/>
              <w:jc w:val="right"/>
              <w:rPr>
                <w:rFonts w:ascii="宋体" w:hAnsi="宋体" w:cs="宋体" w:eastAsia="宋体" w:hint="default"/>
                <w:sz w:val="18"/>
                <w:szCs w:val="18"/>
              </w:rPr>
            </w:pPr>
            <w:r>
              <w:rPr>
                <w:rFonts w:ascii="宋体" w:hAnsi="宋体" w:cs="宋体" w:eastAsia="宋体" w:hint="default"/>
                <w:sz w:val="18"/>
                <w:szCs w:val="18"/>
              </w:rPr>
              <w:t>否</w:t>
            </w:r>
          </w:p>
        </w:tc>
        <w:tc>
          <w:tcPr>
            <w:tcW w:w="6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28" w:right="36" w:hanging="90"/>
              <w:jc w:val="left"/>
              <w:rPr>
                <w:rFonts w:ascii="宋体" w:hAnsi="宋体" w:cs="宋体" w:eastAsia="宋体" w:hint="default"/>
                <w:sz w:val="18"/>
                <w:szCs w:val="18"/>
              </w:rPr>
            </w:pPr>
            <w:r>
              <w:rPr>
                <w:rFonts w:ascii="宋体" w:hAnsi="宋体" w:cs="宋体" w:eastAsia="宋体" w:hint="default"/>
                <w:sz w:val="18"/>
                <w:szCs w:val="18"/>
              </w:rPr>
              <w:t>保本浮 动型</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5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市场利 率</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2"/>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351"/>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5.06</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5.06</w:t>
            </w:r>
          </w:p>
        </w:tc>
        <w:tc>
          <w:tcPr>
            <w:tcW w:w="5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1026" w:hRule="exact"/>
        </w:trPr>
        <w:tc>
          <w:tcPr>
            <w:tcW w:w="112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188"/>
              <w:jc w:val="both"/>
              <w:rPr>
                <w:rFonts w:ascii="宋体" w:hAnsi="宋体" w:cs="宋体" w:eastAsia="宋体" w:hint="default"/>
                <w:sz w:val="18"/>
                <w:szCs w:val="18"/>
              </w:rPr>
            </w:pPr>
            <w:r>
              <w:rPr>
                <w:rFonts w:ascii="宋体" w:hAnsi="宋体" w:cs="宋体" w:eastAsia="宋体" w:hint="default"/>
                <w:sz w:val="18"/>
                <w:szCs w:val="18"/>
              </w:rPr>
              <w:t>招商银行北 京朝阳公园 支行</w:t>
            </w:r>
          </w:p>
        </w:tc>
        <w:tc>
          <w:tcPr>
            <w:tcW w:w="721"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58"/>
              <w:jc w:val="right"/>
              <w:rPr>
                <w:rFonts w:ascii="宋体" w:hAnsi="宋体" w:cs="宋体" w:eastAsia="宋体" w:hint="default"/>
                <w:sz w:val="18"/>
                <w:szCs w:val="18"/>
              </w:rPr>
            </w:pPr>
            <w:r>
              <w:rPr>
                <w:rFonts w:ascii="宋体" w:hAnsi="宋体" w:cs="宋体" w:eastAsia="宋体" w:hint="default"/>
                <w:sz w:val="18"/>
                <w:szCs w:val="18"/>
              </w:rPr>
              <w:t>否</w:t>
            </w:r>
          </w:p>
        </w:tc>
        <w:tc>
          <w:tcPr>
            <w:tcW w:w="6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28" w:right="36" w:hanging="90"/>
              <w:jc w:val="left"/>
              <w:rPr>
                <w:rFonts w:ascii="宋体" w:hAnsi="宋体" w:cs="宋体" w:eastAsia="宋体" w:hint="default"/>
                <w:sz w:val="18"/>
                <w:szCs w:val="18"/>
              </w:rPr>
            </w:pPr>
            <w:r>
              <w:rPr>
                <w:rFonts w:ascii="宋体" w:hAnsi="宋体" w:cs="宋体" w:eastAsia="宋体" w:hint="default"/>
                <w:sz w:val="18"/>
                <w:szCs w:val="18"/>
              </w:rPr>
              <w:t>保本浮 动型</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5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市场利 率</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2"/>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351"/>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1.85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1.85</w:t>
            </w:r>
          </w:p>
        </w:tc>
        <w:tc>
          <w:tcPr>
            <w:tcW w:w="5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1026" w:hRule="exact"/>
        </w:trPr>
        <w:tc>
          <w:tcPr>
            <w:tcW w:w="112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188"/>
              <w:jc w:val="both"/>
              <w:rPr>
                <w:rFonts w:ascii="宋体" w:hAnsi="宋体" w:cs="宋体" w:eastAsia="宋体" w:hint="default"/>
                <w:sz w:val="18"/>
                <w:szCs w:val="18"/>
              </w:rPr>
            </w:pPr>
            <w:r>
              <w:rPr>
                <w:rFonts w:ascii="宋体" w:hAnsi="宋体" w:cs="宋体" w:eastAsia="宋体" w:hint="default"/>
                <w:sz w:val="18"/>
                <w:szCs w:val="18"/>
              </w:rPr>
              <w:t>招商银行北 京双榆树支 行</w:t>
            </w:r>
          </w:p>
        </w:tc>
        <w:tc>
          <w:tcPr>
            <w:tcW w:w="721"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58"/>
              <w:jc w:val="right"/>
              <w:rPr>
                <w:rFonts w:ascii="宋体" w:hAnsi="宋体" w:cs="宋体" w:eastAsia="宋体" w:hint="default"/>
                <w:sz w:val="18"/>
                <w:szCs w:val="18"/>
              </w:rPr>
            </w:pPr>
            <w:r>
              <w:rPr>
                <w:rFonts w:ascii="宋体" w:hAnsi="宋体" w:cs="宋体" w:eastAsia="宋体" w:hint="default"/>
                <w:sz w:val="18"/>
                <w:szCs w:val="18"/>
              </w:rPr>
              <w:t>否</w:t>
            </w:r>
          </w:p>
        </w:tc>
        <w:tc>
          <w:tcPr>
            <w:tcW w:w="6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28" w:right="36" w:hanging="90"/>
              <w:jc w:val="left"/>
              <w:rPr>
                <w:rFonts w:ascii="宋体" w:hAnsi="宋体" w:cs="宋体" w:eastAsia="宋体" w:hint="default"/>
                <w:sz w:val="18"/>
                <w:szCs w:val="18"/>
              </w:rPr>
            </w:pPr>
            <w:r>
              <w:rPr>
                <w:rFonts w:ascii="宋体" w:hAnsi="宋体" w:cs="宋体" w:eastAsia="宋体" w:hint="default"/>
                <w:sz w:val="18"/>
                <w:szCs w:val="18"/>
              </w:rPr>
              <w:t>保本浮 动型</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5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市场利 率</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2"/>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351"/>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1.85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1.85</w:t>
            </w:r>
          </w:p>
        </w:tc>
        <w:tc>
          <w:tcPr>
            <w:tcW w:w="5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1026" w:hRule="exact"/>
        </w:trPr>
        <w:tc>
          <w:tcPr>
            <w:tcW w:w="112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188"/>
              <w:jc w:val="both"/>
              <w:rPr>
                <w:rFonts w:ascii="宋体" w:hAnsi="宋体" w:cs="宋体" w:eastAsia="宋体" w:hint="default"/>
                <w:sz w:val="18"/>
                <w:szCs w:val="18"/>
              </w:rPr>
            </w:pPr>
            <w:r>
              <w:rPr>
                <w:rFonts w:ascii="宋体" w:hAnsi="宋体" w:cs="宋体" w:eastAsia="宋体" w:hint="default"/>
                <w:sz w:val="18"/>
                <w:szCs w:val="18"/>
              </w:rPr>
              <w:t>招商银行北 京朝阳公园 支行</w:t>
            </w:r>
          </w:p>
        </w:tc>
        <w:tc>
          <w:tcPr>
            <w:tcW w:w="721"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58"/>
              <w:jc w:val="right"/>
              <w:rPr>
                <w:rFonts w:ascii="宋体" w:hAnsi="宋体" w:cs="宋体" w:eastAsia="宋体" w:hint="default"/>
                <w:sz w:val="18"/>
                <w:szCs w:val="18"/>
              </w:rPr>
            </w:pPr>
            <w:r>
              <w:rPr>
                <w:rFonts w:ascii="宋体" w:hAnsi="宋体" w:cs="宋体" w:eastAsia="宋体" w:hint="default"/>
                <w:sz w:val="18"/>
                <w:szCs w:val="18"/>
              </w:rPr>
              <w:t>否</w:t>
            </w:r>
          </w:p>
        </w:tc>
        <w:tc>
          <w:tcPr>
            <w:tcW w:w="6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28" w:right="36" w:hanging="90"/>
              <w:jc w:val="left"/>
              <w:rPr>
                <w:rFonts w:ascii="宋体" w:hAnsi="宋体" w:cs="宋体" w:eastAsia="宋体" w:hint="default"/>
                <w:sz w:val="18"/>
                <w:szCs w:val="18"/>
              </w:rPr>
            </w:pPr>
            <w:r>
              <w:rPr>
                <w:rFonts w:ascii="宋体" w:hAnsi="宋体" w:cs="宋体" w:eastAsia="宋体" w:hint="default"/>
                <w:sz w:val="18"/>
                <w:szCs w:val="18"/>
              </w:rPr>
              <w:t>保本浮 动型</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5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市场利 率</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2"/>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351"/>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1.23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1.23</w:t>
            </w:r>
          </w:p>
        </w:tc>
        <w:tc>
          <w:tcPr>
            <w:tcW w:w="5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1026" w:hRule="exact"/>
        </w:trPr>
        <w:tc>
          <w:tcPr>
            <w:tcW w:w="112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188"/>
              <w:jc w:val="both"/>
              <w:rPr>
                <w:rFonts w:ascii="宋体" w:hAnsi="宋体" w:cs="宋体" w:eastAsia="宋体" w:hint="default"/>
                <w:sz w:val="18"/>
                <w:szCs w:val="18"/>
              </w:rPr>
            </w:pPr>
            <w:r>
              <w:rPr>
                <w:rFonts w:ascii="宋体" w:hAnsi="宋体" w:cs="宋体" w:eastAsia="宋体" w:hint="default"/>
                <w:sz w:val="18"/>
                <w:szCs w:val="18"/>
              </w:rPr>
              <w:t>招商银行北 京双榆树支 行</w:t>
            </w:r>
          </w:p>
        </w:tc>
        <w:tc>
          <w:tcPr>
            <w:tcW w:w="721"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58"/>
              <w:jc w:val="right"/>
              <w:rPr>
                <w:rFonts w:ascii="宋体" w:hAnsi="宋体" w:cs="宋体" w:eastAsia="宋体" w:hint="default"/>
                <w:sz w:val="18"/>
                <w:szCs w:val="18"/>
              </w:rPr>
            </w:pPr>
            <w:r>
              <w:rPr>
                <w:rFonts w:ascii="宋体" w:hAnsi="宋体" w:cs="宋体" w:eastAsia="宋体" w:hint="default"/>
                <w:sz w:val="18"/>
                <w:szCs w:val="18"/>
              </w:rPr>
              <w:t>否</w:t>
            </w:r>
          </w:p>
        </w:tc>
        <w:tc>
          <w:tcPr>
            <w:tcW w:w="6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128" w:right="36" w:hanging="90"/>
              <w:jc w:val="left"/>
              <w:rPr>
                <w:rFonts w:ascii="宋体" w:hAnsi="宋体" w:cs="宋体" w:eastAsia="宋体" w:hint="default"/>
                <w:sz w:val="18"/>
                <w:szCs w:val="18"/>
              </w:rPr>
            </w:pPr>
            <w:r>
              <w:rPr>
                <w:rFonts w:ascii="宋体" w:hAnsi="宋体" w:cs="宋体" w:eastAsia="宋体" w:hint="default"/>
                <w:sz w:val="18"/>
                <w:szCs w:val="18"/>
              </w:rPr>
              <w:t>保本浮 动型</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5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市场利 率</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2"/>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351"/>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0.52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0.52</w:t>
            </w:r>
          </w:p>
        </w:tc>
        <w:tc>
          <w:tcPr>
            <w:tcW w:w="5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1026" w:hRule="exact"/>
        </w:trPr>
        <w:tc>
          <w:tcPr>
            <w:tcW w:w="112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188"/>
              <w:jc w:val="both"/>
              <w:rPr>
                <w:rFonts w:ascii="宋体" w:hAnsi="宋体" w:cs="宋体" w:eastAsia="宋体" w:hint="default"/>
                <w:sz w:val="18"/>
                <w:szCs w:val="18"/>
              </w:rPr>
            </w:pPr>
            <w:r>
              <w:rPr>
                <w:rFonts w:ascii="宋体" w:hAnsi="宋体" w:cs="宋体" w:eastAsia="宋体" w:hint="default"/>
                <w:sz w:val="18"/>
                <w:szCs w:val="18"/>
              </w:rPr>
              <w:t>招商银行北 京朝阳公园 支行</w:t>
            </w:r>
          </w:p>
        </w:tc>
        <w:tc>
          <w:tcPr>
            <w:tcW w:w="721"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58"/>
              <w:jc w:val="right"/>
              <w:rPr>
                <w:rFonts w:ascii="宋体" w:hAnsi="宋体" w:cs="宋体" w:eastAsia="宋体" w:hint="default"/>
                <w:sz w:val="18"/>
                <w:szCs w:val="18"/>
              </w:rPr>
            </w:pPr>
            <w:r>
              <w:rPr>
                <w:rFonts w:ascii="宋体" w:hAnsi="宋体" w:cs="宋体" w:eastAsia="宋体" w:hint="default"/>
                <w:sz w:val="18"/>
                <w:szCs w:val="18"/>
              </w:rPr>
              <w:t>否</w:t>
            </w:r>
          </w:p>
        </w:tc>
        <w:tc>
          <w:tcPr>
            <w:tcW w:w="6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28" w:right="36" w:hanging="90"/>
              <w:jc w:val="left"/>
              <w:rPr>
                <w:rFonts w:ascii="宋体" w:hAnsi="宋体" w:cs="宋体" w:eastAsia="宋体" w:hint="default"/>
                <w:sz w:val="18"/>
                <w:szCs w:val="18"/>
              </w:rPr>
            </w:pPr>
            <w:r>
              <w:rPr>
                <w:rFonts w:ascii="宋体" w:hAnsi="宋体" w:cs="宋体" w:eastAsia="宋体" w:hint="default"/>
                <w:sz w:val="18"/>
                <w:szCs w:val="18"/>
              </w:rPr>
              <w:t>保本浮 动型</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5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市场利 率</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2"/>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351"/>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1.91</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1.91</w:t>
            </w:r>
          </w:p>
        </w:tc>
        <w:tc>
          <w:tcPr>
            <w:tcW w:w="5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1026" w:hRule="exact"/>
        </w:trPr>
        <w:tc>
          <w:tcPr>
            <w:tcW w:w="112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188"/>
              <w:jc w:val="both"/>
              <w:rPr>
                <w:rFonts w:ascii="宋体" w:hAnsi="宋体" w:cs="宋体" w:eastAsia="宋体" w:hint="default"/>
                <w:sz w:val="18"/>
                <w:szCs w:val="18"/>
              </w:rPr>
            </w:pPr>
            <w:r>
              <w:rPr>
                <w:rFonts w:ascii="宋体" w:hAnsi="宋体" w:cs="宋体" w:eastAsia="宋体" w:hint="default"/>
                <w:sz w:val="18"/>
                <w:szCs w:val="18"/>
              </w:rPr>
              <w:t>招商银行北 京朝阳公园 支行</w:t>
            </w:r>
          </w:p>
        </w:tc>
        <w:tc>
          <w:tcPr>
            <w:tcW w:w="721"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58"/>
              <w:jc w:val="right"/>
              <w:rPr>
                <w:rFonts w:ascii="宋体" w:hAnsi="宋体" w:cs="宋体" w:eastAsia="宋体" w:hint="default"/>
                <w:sz w:val="18"/>
                <w:szCs w:val="18"/>
              </w:rPr>
            </w:pPr>
            <w:r>
              <w:rPr>
                <w:rFonts w:ascii="宋体" w:hAnsi="宋体" w:cs="宋体" w:eastAsia="宋体" w:hint="default"/>
                <w:sz w:val="18"/>
                <w:szCs w:val="18"/>
              </w:rPr>
              <w:t>否</w:t>
            </w:r>
          </w:p>
        </w:tc>
        <w:tc>
          <w:tcPr>
            <w:tcW w:w="6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28" w:right="36" w:hanging="90"/>
              <w:jc w:val="left"/>
              <w:rPr>
                <w:rFonts w:ascii="宋体" w:hAnsi="宋体" w:cs="宋体" w:eastAsia="宋体" w:hint="default"/>
                <w:sz w:val="18"/>
                <w:szCs w:val="18"/>
              </w:rPr>
            </w:pPr>
            <w:r>
              <w:rPr>
                <w:rFonts w:ascii="宋体" w:hAnsi="宋体" w:cs="宋体" w:eastAsia="宋体" w:hint="default"/>
                <w:sz w:val="18"/>
                <w:szCs w:val="18"/>
              </w:rPr>
              <w:t>保本浮 动型</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5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市场利 率</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2"/>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351"/>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1.91</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1.91</w:t>
            </w:r>
          </w:p>
        </w:tc>
        <w:tc>
          <w:tcPr>
            <w:tcW w:w="5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1026" w:hRule="exact"/>
        </w:trPr>
        <w:tc>
          <w:tcPr>
            <w:tcW w:w="112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188"/>
              <w:jc w:val="both"/>
              <w:rPr>
                <w:rFonts w:ascii="宋体" w:hAnsi="宋体" w:cs="宋体" w:eastAsia="宋体" w:hint="default"/>
                <w:sz w:val="18"/>
                <w:szCs w:val="18"/>
              </w:rPr>
            </w:pPr>
            <w:r>
              <w:rPr>
                <w:rFonts w:ascii="宋体" w:hAnsi="宋体" w:cs="宋体" w:eastAsia="宋体" w:hint="default"/>
                <w:sz w:val="18"/>
                <w:szCs w:val="18"/>
              </w:rPr>
              <w:t>招商银行北 京双榆树支 行</w:t>
            </w:r>
          </w:p>
        </w:tc>
        <w:tc>
          <w:tcPr>
            <w:tcW w:w="721"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58"/>
              <w:jc w:val="right"/>
              <w:rPr>
                <w:rFonts w:ascii="宋体" w:hAnsi="宋体" w:cs="宋体" w:eastAsia="宋体" w:hint="default"/>
                <w:sz w:val="18"/>
                <w:szCs w:val="18"/>
              </w:rPr>
            </w:pPr>
            <w:r>
              <w:rPr>
                <w:rFonts w:ascii="宋体" w:hAnsi="宋体" w:cs="宋体" w:eastAsia="宋体" w:hint="default"/>
                <w:sz w:val="18"/>
                <w:szCs w:val="18"/>
              </w:rPr>
              <w:t>否</w:t>
            </w:r>
          </w:p>
        </w:tc>
        <w:tc>
          <w:tcPr>
            <w:tcW w:w="6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28" w:right="36" w:hanging="90"/>
              <w:jc w:val="left"/>
              <w:rPr>
                <w:rFonts w:ascii="宋体" w:hAnsi="宋体" w:cs="宋体" w:eastAsia="宋体" w:hint="default"/>
                <w:sz w:val="18"/>
                <w:szCs w:val="18"/>
              </w:rPr>
            </w:pPr>
            <w:r>
              <w:rPr>
                <w:rFonts w:ascii="宋体" w:hAnsi="宋体" w:cs="宋体" w:eastAsia="宋体" w:hint="default"/>
                <w:sz w:val="18"/>
                <w:szCs w:val="18"/>
              </w:rPr>
              <w:t>保本浮 动型</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5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市场利 率</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2"/>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351"/>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1.91</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1.91</w:t>
            </w:r>
          </w:p>
        </w:tc>
        <w:tc>
          <w:tcPr>
            <w:tcW w:w="5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1026" w:hRule="exact"/>
        </w:trPr>
        <w:tc>
          <w:tcPr>
            <w:tcW w:w="112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188"/>
              <w:jc w:val="both"/>
              <w:rPr>
                <w:rFonts w:ascii="宋体" w:hAnsi="宋体" w:cs="宋体" w:eastAsia="宋体" w:hint="default"/>
                <w:sz w:val="18"/>
                <w:szCs w:val="18"/>
              </w:rPr>
            </w:pPr>
            <w:r>
              <w:rPr>
                <w:rFonts w:ascii="宋体" w:hAnsi="宋体" w:cs="宋体" w:eastAsia="宋体" w:hint="default"/>
                <w:sz w:val="18"/>
                <w:szCs w:val="18"/>
              </w:rPr>
              <w:t>招商银行北 京双榆树支 行</w:t>
            </w:r>
          </w:p>
        </w:tc>
        <w:tc>
          <w:tcPr>
            <w:tcW w:w="721"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58"/>
              <w:jc w:val="right"/>
              <w:rPr>
                <w:rFonts w:ascii="宋体" w:hAnsi="宋体" w:cs="宋体" w:eastAsia="宋体" w:hint="default"/>
                <w:sz w:val="18"/>
                <w:szCs w:val="18"/>
              </w:rPr>
            </w:pPr>
            <w:r>
              <w:rPr>
                <w:rFonts w:ascii="宋体" w:hAnsi="宋体" w:cs="宋体" w:eastAsia="宋体" w:hint="default"/>
                <w:sz w:val="18"/>
                <w:szCs w:val="18"/>
              </w:rPr>
              <w:t>否</w:t>
            </w:r>
          </w:p>
        </w:tc>
        <w:tc>
          <w:tcPr>
            <w:tcW w:w="6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28" w:right="36" w:hanging="90"/>
              <w:jc w:val="left"/>
              <w:rPr>
                <w:rFonts w:ascii="宋体" w:hAnsi="宋体" w:cs="宋体" w:eastAsia="宋体" w:hint="default"/>
                <w:sz w:val="18"/>
                <w:szCs w:val="18"/>
              </w:rPr>
            </w:pPr>
            <w:r>
              <w:rPr>
                <w:rFonts w:ascii="宋体" w:hAnsi="宋体" w:cs="宋体" w:eastAsia="宋体" w:hint="default"/>
                <w:sz w:val="18"/>
                <w:szCs w:val="18"/>
              </w:rPr>
              <w:t>保本浮 动型</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5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市场利 率</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2"/>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351"/>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1.91</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1.91</w:t>
            </w:r>
          </w:p>
        </w:tc>
        <w:tc>
          <w:tcPr>
            <w:tcW w:w="5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1026" w:hRule="exact"/>
        </w:trPr>
        <w:tc>
          <w:tcPr>
            <w:tcW w:w="112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188"/>
              <w:jc w:val="both"/>
              <w:rPr>
                <w:rFonts w:ascii="宋体" w:hAnsi="宋体" w:cs="宋体" w:eastAsia="宋体" w:hint="default"/>
                <w:sz w:val="18"/>
                <w:szCs w:val="18"/>
              </w:rPr>
            </w:pPr>
            <w:r>
              <w:rPr>
                <w:rFonts w:ascii="宋体" w:hAnsi="宋体" w:cs="宋体" w:eastAsia="宋体" w:hint="default"/>
                <w:sz w:val="18"/>
                <w:szCs w:val="18"/>
              </w:rPr>
              <w:t>招商银行北 京双榆树支 行</w:t>
            </w:r>
          </w:p>
        </w:tc>
        <w:tc>
          <w:tcPr>
            <w:tcW w:w="721"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58"/>
              <w:jc w:val="right"/>
              <w:rPr>
                <w:rFonts w:ascii="宋体" w:hAnsi="宋体" w:cs="宋体" w:eastAsia="宋体" w:hint="default"/>
                <w:sz w:val="18"/>
                <w:szCs w:val="18"/>
              </w:rPr>
            </w:pPr>
            <w:r>
              <w:rPr>
                <w:rFonts w:ascii="宋体" w:hAnsi="宋体" w:cs="宋体" w:eastAsia="宋体" w:hint="default"/>
                <w:sz w:val="18"/>
                <w:szCs w:val="18"/>
              </w:rPr>
              <w:t>否</w:t>
            </w:r>
          </w:p>
        </w:tc>
        <w:tc>
          <w:tcPr>
            <w:tcW w:w="6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28" w:right="36" w:hanging="90"/>
              <w:jc w:val="left"/>
              <w:rPr>
                <w:rFonts w:ascii="宋体" w:hAnsi="宋体" w:cs="宋体" w:eastAsia="宋体" w:hint="default"/>
                <w:sz w:val="18"/>
                <w:szCs w:val="18"/>
              </w:rPr>
            </w:pPr>
            <w:r>
              <w:rPr>
                <w:rFonts w:ascii="宋体" w:hAnsi="宋体" w:cs="宋体" w:eastAsia="宋体" w:hint="default"/>
                <w:sz w:val="18"/>
                <w:szCs w:val="18"/>
              </w:rPr>
              <w:t>保本浮 动型</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5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市场利 率</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2"/>
              <w:jc w:val="right"/>
              <w:rPr>
                <w:rFonts w:ascii="Times New Roman" w:hAnsi="Times New Roman" w:cs="Times New Roman" w:eastAsia="Times New Roman" w:hint="default"/>
                <w:sz w:val="18"/>
                <w:szCs w:val="18"/>
              </w:rPr>
            </w:pPr>
            <w:r>
              <w:rPr>
                <w:rFonts w:ascii="Times New Roman"/>
                <w:sz w:val="18"/>
              </w:rPr>
              <w:t>1,100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351"/>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0.06</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0.06</w:t>
            </w:r>
          </w:p>
        </w:tc>
        <w:tc>
          <w:tcPr>
            <w:tcW w:w="5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12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71"/>
              <w:ind w:left="22" w:right="188"/>
              <w:jc w:val="left"/>
              <w:rPr>
                <w:rFonts w:ascii="宋体" w:hAnsi="宋体" w:cs="宋体" w:eastAsia="宋体" w:hint="default"/>
                <w:sz w:val="18"/>
                <w:szCs w:val="18"/>
              </w:rPr>
            </w:pPr>
            <w:r>
              <w:rPr>
                <w:rFonts w:ascii="宋体" w:hAnsi="宋体" w:cs="宋体" w:eastAsia="宋体" w:hint="default"/>
                <w:sz w:val="18"/>
                <w:szCs w:val="18"/>
              </w:rPr>
              <w:t>招商银行北 京双榆树支</w:t>
            </w:r>
          </w:p>
        </w:tc>
        <w:tc>
          <w:tcPr>
            <w:tcW w:w="721"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58"/>
              <w:jc w:val="right"/>
              <w:rPr>
                <w:rFonts w:ascii="宋体" w:hAnsi="宋体" w:cs="宋体" w:eastAsia="宋体" w:hint="default"/>
                <w:sz w:val="18"/>
                <w:szCs w:val="18"/>
              </w:rPr>
            </w:pPr>
            <w:r>
              <w:rPr>
                <w:rFonts w:ascii="宋体" w:hAnsi="宋体" w:cs="宋体" w:eastAsia="宋体" w:hint="default"/>
                <w:sz w:val="18"/>
                <w:szCs w:val="18"/>
              </w:rPr>
              <w:t>否</w:t>
            </w:r>
          </w:p>
        </w:tc>
        <w:tc>
          <w:tcPr>
            <w:tcW w:w="6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128" w:right="36" w:hanging="90"/>
              <w:jc w:val="left"/>
              <w:rPr>
                <w:rFonts w:ascii="宋体" w:hAnsi="宋体" w:cs="宋体" w:eastAsia="宋体" w:hint="default"/>
                <w:sz w:val="18"/>
                <w:szCs w:val="18"/>
              </w:rPr>
            </w:pPr>
            <w:r>
              <w:rPr>
                <w:rFonts w:ascii="宋体" w:hAnsi="宋体" w:cs="宋体" w:eastAsia="宋体" w:hint="default"/>
                <w:sz w:val="18"/>
                <w:szCs w:val="18"/>
              </w:rPr>
              <w:t>保本浮 动型</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5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市场利 率</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2"/>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51"/>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0.56</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0.56</w:t>
            </w:r>
          </w:p>
        </w:tc>
        <w:tc>
          <w:tcPr>
            <w:tcW w:w="5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center"/>
        <w:rPr>
          <w:rFonts w:ascii="宋体" w:hAnsi="宋体" w:cs="宋体" w:eastAsia="宋体" w:hint="default"/>
          <w:sz w:val="18"/>
          <w:szCs w:val="18"/>
        </w:rPr>
        <w:sectPr>
          <w:pgSz w:w="11910" w:h="16840"/>
          <w:pgMar w:header="877" w:footer="1187" w:top="1060" w:bottom="138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123"/>
        <w:gridCol w:w="721"/>
        <w:gridCol w:w="626"/>
        <w:gridCol w:w="792"/>
        <w:gridCol w:w="888"/>
        <w:gridCol w:w="954"/>
        <w:gridCol w:w="652"/>
        <w:gridCol w:w="805"/>
        <w:gridCol w:w="804"/>
        <w:gridCol w:w="802"/>
        <w:gridCol w:w="804"/>
        <w:gridCol w:w="599"/>
      </w:tblGrid>
      <w:tr>
        <w:trPr>
          <w:trHeight w:val="362" w:hRule="exact"/>
        </w:trPr>
        <w:tc>
          <w:tcPr>
            <w:tcW w:w="112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行</w:t>
            </w:r>
          </w:p>
        </w:tc>
        <w:tc>
          <w:tcPr>
            <w:tcW w:w="721" w:type="dxa"/>
            <w:tcBorders>
              <w:top w:val="single" w:sz="4" w:space="0" w:color="000000"/>
              <w:left w:val="single" w:sz="13" w:space="0" w:color="C6ECCC"/>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954"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714" w:hRule="exact"/>
        </w:trPr>
        <w:tc>
          <w:tcPr>
            <w:tcW w:w="112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188"/>
              <w:jc w:val="left"/>
              <w:rPr>
                <w:rFonts w:ascii="宋体" w:hAnsi="宋体" w:cs="宋体" w:eastAsia="宋体" w:hint="default"/>
                <w:sz w:val="18"/>
                <w:szCs w:val="18"/>
              </w:rPr>
            </w:pPr>
            <w:r>
              <w:rPr>
                <w:rFonts w:ascii="宋体" w:hAnsi="宋体" w:cs="宋体" w:eastAsia="宋体" w:hint="default"/>
                <w:sz w:val="18"/>
                <w:szCs w:val="18"/>
              </w:rPr>
              <w:t>广发银行北 京分行</w:t>
            </w:r>
          </w:p>
        </w:tc>
        <w:tc>
          <w:tcPr>
            <w:tcW w:w="721"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58"/>
              <w:jc w:val="right"/>
              <w:rPr>
                <w:rFonts w:ascii="宋体" w:hAnsi="宋体" w:cs="宋体" w:eastAsia="宋体" w:hint="default"/>
                <w:sz w:val="18"/>
                <w:szCs w:val="18"/>
              </w:rPr>
            </w:pPr>
            <w:r>
              <w:rPr>
                <w:rFonts w:ascii="宋体" w:hAnsi="宋体" w:cs="宋体" w:eastAsia="宋体" w:hint="default"/>
                <w:sz w:val="18"/>
                <w:szCs w:val="18"/>
              </w:rPr>
              <w:t>否</w:t>
            </w:r>
          </w:p>
        </w:tc>
        <w:tc>
          <w:tcPr>
            <w:tcW w:w="6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128" w:right="36" w:hanging="90"/>
              <w:jc w:val="left"/>
              <w:rPr>
                <w:rFonts w:ascii="宋体" w:hAnsi="宋体" w:cs="宋体" w:eastAsia="宋体" w:hint="default"/>
                <w:sz w:val="18"/>
                <w:szCs w:val="18"/>
              </w:rPr>
            </w:pPr>
            <w:r>
              <w:rPr>
                <w:rFonts w:ascii="宋体" w:hAnsi="宋体" w:cs="宋体" w:eastAsia="宋体" w:hint="default"/>
                <w:sz w:val="18"/>
                <w:szCs w:val="18"/>
              </w:rPr>
              <w:t>保本浮 动型</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5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市场利 率</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51"/>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2.68</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2.68</w:t>
            </w:r>
          </w:p>
        </w:tc>
        <w:tc>
          <w:tcPr>
            <w:tcW w:w="5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1026" w:hRule="exact"/>
        </w:trPr>
        <w:tc>
          <w:tcPr>
            <w:tcW w:w="112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188"/>
              <w:jc w:val="both"/>
              <w:rPr>
                <w:rFonts w:ascii="宋体" w:hAnsi="宋体" w:cs="宋体" w:eastAsia="宋体" w:hint="default"/>
                <w:sz w:val="18"/>
                <w:szCs w:val="18"/>
              </w:rPr>
            </w:pPr>
            <w:r>
              <w:rPr>
                <w:rFonts w:ascii="宋体" w:hAnsi="宋体" w:cs="宋体" w:eastAsia="宋体" w:hint="default"/>
                <w:sz w:val="18"/>
                <w:szCs w:val="18"/>
              </w:rPr>
              <w:t>招商银行北 京朝阳公园 支行</w:t>
            </w:r>
          </w:p>
        </w:tc>
        <w:tc>
          <w:tcPr>
            <w:tcW w:w="721"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58"/>
              <w:jc w:val="right"/>
              <w:rPr>
                <w:rFonts w:ascii="宋体" w:hAnsi="宋体" w:cs="宋体" w:eastAsia="宋体" w:hint="default"/>
                <w:sz w:val="18"/>
                <w:szCs w:val="18"/>
              </w:rPr>
            </w:pPr>
            <w:r>
              <w:rPr>
                <w:rFonts w:ascii="宋体" w:hAnsi="宋体" w:cs="宋体" w:eastAsia="宋体" w:hint="default"/>
                <w:sz w:val="18"/>
                <w:szCs w:val="18"/>
              </w:rPr>
              <w:t>否</w:t>
            </w:r>
          </w:p>
        </w:tc>
        <w:tc>
          <w:tcPr>
            <w:tcW w:w="6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28" w:right="36" w:hanging="90"/>
              <w:jc w:val="left"/>
              <w:rPr>
                <w:rFonts w:ascii="宋体" w:hAnsi="宋体" w:cs="宋体" w:eastAsia="宋体" w:hint="default"/>
                <w:sz w:val="18"/>
                <w:szCs w:val="18"/>
              </w:rPr>
            </w:pPr>
            <w:r>
              <w:rPr>
                <w:rFonts w:ascii="宋体" w:hAnsi="宋体" w:cs="宋体" w:eastAsia="宋体" w:hint="default"/>
                <w:sz w:val="18"/>
                <w:szCs w:val="18"/>
              </w:rPr>
              <w:t>保本浮 动型</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5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市场利 率</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351"/>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0.21</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0.21</w:t>
            </w:r>
          </w:p>
        </w:tc>
        <w:tc>
          <w:tcPr>
            <w:tcW w:w="5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1026" w:hRule="exact"/>
        </w:trPr>
        <w:tc>
          <w:tcPr>
            <w:tcW w:w="112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188"/>
              <w:jc w:val="both"/>
              <w:rPr>
                <w:rFonts w:ascii="宋体" w:hAnsi="宋体" w:cs="宋体" w:eastAsia="宋体" w:hint="default"/>
                <w:sz w:val="18"/>
                <w:szCs w:val="18"/>
              </w:rPr>
            </w:pPr>
            <w:r>
              <w:rPr>
                <w:rFonts w:ascii="宋体" w:hAnsi="宋体" w:cs="宋体" w:eastAsia="宋体" w:hint="default"/>
                <w:sz w:val="18"/>
                <w:szCs w:val="18"/>
              </w:rPr>
              <w:t>招商银行北 京朝阳公园 支行</w:t>
            </w:r>
          </w:p>
        </w:tc>
        <w:tc>
          <w:tcPr>
            <w:tcW w:w="721"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58"/>
              <w:jc w:val="right"/>
              <w:rPr>
                <w:rFonts w:ascii="宋体" w:hAnsi="宋体" w:cs="宋体" w:eastAsia="宋体" w:hint="default"/>
                <w:sz w:val="18"/>
                <w:szCs w:val="18"/>
              </w:rPr>
            </w:pPr>
            <w:r>
              <w:rPr>
                <w:rFonts w:ascii="宋体" w:hAnsi="宋体" w:cs="宋体" w:eastAsia="宋体" w:hint="default"/>
                <w:sz w:val="18"/>
                <w:szCs w:val="18"/>
              </w:rPr>
              <w:t>否</w:t>
            </w:r>
          </w:p>
        </w:tc>
        <w:tc>
          <w:tcPr>
            <w:tcW w:w="6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28" w:right="36" w:hanging="90"/>
              <w:jc w:val="left"/>
              <w:rPr>
                <w:rFonts w:ascii="宋体" w:hAnsi="宋体" w:cs="宋体" w:eastAsia="宋体" w:hint="default"/>
                <w:sz w:val="18"/>
                <w:szCs w:val="18"/>
              </w:rPr>
            </w:pPr>
            <w:r>
              <w:rPr>
                <w:rFonts w:ascii="宋体" w:hAnsi="宋体" w:cs="宋体" w:eastAsia="宋体" w:hint="default"/>
                <w:sz w:val="18"/>
                <w:szCs w:val="18"/>
              </w:rPr>
              <w:t>保本浮 动型</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5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市场利 率</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351"/>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1.67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1.67</w:t>
            </w:r>
          </w:p>
        </w:tc>
        <w:tc>
          <w:tcPr>
            <w:tcW w:w="5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407"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792"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35,500</w:t>
            </w:r>
          </w:p>
        </w:tc>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35,500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51"/>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73.14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73.14</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510" w:right="0"/>
              <w:jc w:val="left"/>
              <w:rPr>
                <w:rFonts w:ascii="宋体" w:hAnsi="宋体" w:cs="宋体" w:eastAsia="宋体" w:hint="default"/>
                <w:sz w:val="18"/>
                <w:szCs w:val="18"/>
              </w:rPr>
            </w:pPr>
            <w:r>
              <w:rPr>
                <w:rFonts w:ascii="宋体" w:hAnsi="宋体" w:cs="宋体" w:eastAsia="宋体" w:hint="default"/>
                <w:sz w:val="18"/>
                <w:szCs w:val="18"/>
              </w:rPr>
              <w:t>委托理财资金来源</w:t>
            </w:r>
          </w:p>
        </w:tc>
        <w:tc>
          <w:tcPr>
            <w:tcW w:w="7100" w:type="dxa"/>
            <w:gridSpan w:val="9"/>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6"/>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714"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50" w:right="58" w:hanging="991"/>
              <w:jc w:val="left"/>
              <w:rPr>
                <w:rFonts w:ascii="宋体" w:hAnsi="宋体" w:cs="宋体" w:eastAsia="宋体" w:hint="default"/>
                <w:sz w:val="18"/>
                <w:szCs w:val="18"/>
              </w:rPr>
            </w:pPr>
            <w:r>
              <w:rPr>
                <w:rFonts w:ascii="宋体" w:hAnsi="宋体" w:cs="宋体" w:eastAsia="宋体" w:hint="default"/>
                <w:sz w:val="18"/>
                <w:szCs w:val="18"/>
              </w:rPr>
              <w:t>逾期未收回的本金和收益累计 金额</w:t>
            </w:r>
          </w:p>
        </w:tc>
        <w:tc>
          <w:tcPr>
            <w:tcW w:w="710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涉诉情况（如适用）</w:t>
            </w:r>
          </w:p>
        </w:tc>
        <w:tc>
          <w:tcPr>
            <w:tcW w:w="7100" w:type="dxa"/>
            <w:gridSpan w:val="9"/>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0" w:right="58" w:hanging="691"/>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委托理财审批董事会公告披露 日期（如有</w:t>
            </w:r>
            <w:r>
              <w:rPr>
                <w:rFonts w:ascii="Times New Roman" w:hAnsi="Times New Roman" w:cs="Times New Roman" w:eastAsia="Times New Roman" w:hint="default"/>
                <w:sz w:val="18"/>
                <w:szCs w:val="18"/>
              </w:rPr>
              <w:t>)</w:t>
            </w:r>
          </w:p>
        </w:tc>
        <w:tc>
          <w:tcPr>
            <w:tcW w:w="710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0" w:right="58" w:hanging="691"/>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委托理财审批股东会公告披露 日期（如有</w:t>
            </w:r>
            <w:r>
              <w:rPr>
                <w:rFonts w:ascii="Times New Roman" w:hAnsi="Times New Roman" w:cs="Times New Roman" w:eastAsia="Times New Roman" w:hint="default"/>
                <w:sz w:val="18"/>
                <w:szCs w:val="18"/>
              </w:rPr>
              <w:t>)</w:t>
            </w:r>
          </w:p>
        </w:tc>
        <w:tc>
          <w:tcPr>
            <w:tcW w:w="710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0" w:right="0"/>
              <w:jc w:val="left"/>
              <w:rPr>
                <w:rFonts w:ascii="宋体" w:hAnsi="宋体" w:cs="宋体" w:eastAsia="宋体" w:hint="default"/>
                <w:sz w:val="18"/>
                <w:szCs w:val="18"/>
              </w:rPr>
            </w:pPr>
            <w:r>
              <w:rPr>
                <w:rFonts w:ascii="宋体" w:hAnsi="宋体" w:cs="宋体" w:eastAsia="宋体" w:hint="default"/>
                <w:sz w:val="18"/>
                <w:szCs w:val="18"/>
              </w:rPr>
              <w:t>未来是否还有委托理财计划</w:t>
            </w:r>
          </w:p>
        </w:tc>
        <w:tc>
          <w:tcPr>
            <w:tcW w:w="7100" w:type="dxa"/>
            <w:gridSpan w:val="9"/>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公司已于第二届董事会第十九次会议审议通过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年度相关理财议案。</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1134" w:right="0"/>
        <w:jc w:val="left"/>
        <w:rPr>
          <w:b w:val="0"/>
          <w:bCs w:val="0"/>
        </w:rPr>
      </w:pPr>
      <w:bookmarkStart w:name="（2）委托贷款情况" w:id="91"/>
      <w:bookmarkEnd w:id="91"/>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4、其他重大合同" w:id="92"/>
      <w:bookmarkEnd w:id="92"/>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七、其他重大事项的说明" w:id="93"/>
      <w:bookmarkEnd w:id="93"/>
      <w:r>
        <w:rPr>
          <w:b w:val="0"/>
          <w:bCs w:val="0"/>
        </w:rPr>
      </w:r>
      <w:r>
        <w:rPr/>
        <w:t>十七、其他重大事项的说明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公司报告期不存在需要说明的其他重大事项。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八、公司子公司重大事项" w:id="94"/>
      <w:bookmarkEnd w:id="94"/>
      <w:r>
        <w:rPr>
          <w:b w:val="0"/>
          <w:bCs w:val="0"/>
        </w:rPr>
      </w:r>
      <w:r>
        <w:rPr/>
        <w:t>十八、公司子公司重大事项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1187" w:top="1060" w:bottom="1380" w:left="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九、社会责任情况" w:id="95"/>
      <w:bookmarkEnd w:id="95"/>
      <w:r>
        <w:rPr>
          <w:b w:val="0"/>
          <w:bCs w:val="0"/>
        </w:rPr>
      </w:r>
      <w:r>
        <w:rPr/>
        <w:t>十九、社会责任情况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二十、公司债券相关情况" w:id="96"/>
      <w:bookmarkEnd w:id="96"/>
      <w:r>
        <w:rPr>
          <w:b w:val="0"/>
          <w:bCs w:val="0"/>
        </w:rPr>
      </w:r>
      <w:r>
        <w:rPr/>
        <w:t>二十、公司债券相关情况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2113"/>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877" w:footer="1187" w:top="1060" w:bottom="138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945" w:right="0"/>
        <w:jc w:val="left"/>
        <w:rPr>
          <w:b w:val="0"/>
          <w:bCs w:val="0"/>
        </w:rPr>
      </w:pPr>
      <w:bookmarkStart w:name="第六节 股份变动及股东情况" w:id="97"/>
      <w:bookmarkEnd w:id="97"/>
      <w:r>
        <w:rPr>
          <w:b w:val="0"/>
          <w:bCs w:val="0"/>
        </w:rPr>
      </w:r>
      <w:bookmarkStart w:name="_bookmark4" w:id="98"/>
      <w:bookmarkEnd w:id="98"/>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99"/>
      <w:bookmarkEnd w:id="99"/>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股份变动情况" w:id="100"/>
      <w:bookmarkEnd w:id="100"/>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081"/>
        <w:gridCol w:w="1095"/>
        <w:gridCol w:w="795"/>
        <w:gridCol w:w="980"/>
        <w:gridCol w:w="660"/>
        <w:gridCol w:w="893"/>
        <w:gridCol w:w="472"/>
        <w:gridCol w:w="980"/>
        <w:gridCol w:w="1084"/>
        <w:gridCol w:w="793"/>
      </w:tblGrid>
      <w:tr>
        <w:trPr>
          <w:trHeight w:val="402" w:hRule="exact"/>
        </w:trPr>
        <w:tc>
          <w:tcPr>
            <w:tcW w:w="2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18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6"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98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97"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87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3"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081" w:type="dxa"/>
            <w:vMerge w:val="restart"/>
            <w:tcBorders>
              <w:top w:val="nil" w:sz="6" w:space="0" w:color="auto"/>
              <w:left w:val="single" w:sz="4" w:space="0" w:color="000000"/>
              <w:right w:val="single" w:sz="4" w:space="0" w:color="000000"/>
            </w:tcBorders>
            <w:shd w:val="clear" w:color="auto" w:fill="D2D2D2"/>
          </w:tcPr>
          <w:p>
            <w:pPr/>
          </w:p>
        </w:tc>
        <w:tc>
          <w:tcPr>
            <w:tcW w:w="109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5" w:type="dxa"/>
            <w:tcBorders>
              <w:top w:val="single" w:sz="4" w:space="0" w:color="000000"/>
              <w:left w:val="single" w:sz="4" w:space="0" w:color="000000"/>
              <w:bottom w:val="nil" w:sz="6" w:space="0" w:color="auto"/>
              <w:right w:val="single" w:sz="4" w:space="0" w:color="000000"/>
            </w:tcBorders>
            <w:shd w:val="clear" w:color="auto" w:fill="D2D2D2"/>
          </w:tcPr>
          <w:p>
            <w:pPr/>
          </w:p>
        </w:tc>
        <w:tc>
          <w:tcPr>
            <w:tcW w:w="98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0" w:type="dxa"/>
            <w:tcBorders>
              <w:top w:val="single" w:sz="4" w:space="0" w:color="000000"/>
              <w:left w:val="single" w:sz="4" w:space="0" w:color="000000"/>
              <w:bottom w:val="nil" w:sz="6" w:space="0" w:color="auto"/>
              <w:right w:val="single" w:sz="4" w:space="0" w:color="000000"/>
            </w:tcBorders>
            <w:shd w:val="clear" w:color="auto" w:fill="D2D2D2"/>
          </w:tcPr>
          <w:p>
            <w:pPr/>
          </w:p>
        </w:tc>
        <w:tc>
          <w:tcPr>
            <w:tcW w:w="8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51" w:right="79"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98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8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081" w:type="dxa"/>
            <w:vMerge/>
            <w:tcBorders>
              <w:left w:val="single" w:sz="4" w:space="0" w:color="000000"/>
              <w:bottom w:val="nil" w:sz="6" w:space="0" w:color="auto"/>
              <w:right w:val="single" w:sz="4" w:space="0" w:color="000000"/>
            </w:tcBorders>
            <w:shd w:val="clear" w:color="auto" w:fill="D2D2D2"/>
          </w:tcPr>
          <w:p>
            <w:pPr/>
          </w:p>
        </w:tc>
        <w:tc>
          <w:tcPr>
            <w:tcW w:w="10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9"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66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93" w:type="dxa"/>
            <w:vMerge/>
            <w:tcBorders>
              <w:left w:val="single" w:sz="4" w:space="0" w:color="000000"/>
              <w:right w:val="single" w:sz="4" w:space="0" w:color="000000"/>
            </w:tcBorders>
            <w:shd w:val="clear" w:color="auto" w:fill="D2D2D2"/>
          </w:tcPr>
          <w:p>
            <w:pPr/>
          </w:p>
        </w:tc>
        <w:tc>
          <w:tcPr>
            <w:tcW w:w="4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0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5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081" w:type="dxa"/>
            <w:vMerge w:val="restart"/>
            <w:tcBorders>
              <w:top w:val="nil" w:sz="6" w:space="0" w:color="auto"/>
              <w:left w:val="single" w:sz="4" w:space="0" w:color="000000"/>
              <w:right w:val="single" w:sz="4" w:space="0" w:color="000000"/>
            </w:tcBorders>
            <w:shd w:val="clear" w:color="auto" w:fill="D2D2D2"/>
          </w:tcPr>
          <w:p>
            <w:pPr/>
          </w:p>
        </w:tc>
        <w:tc>
          <w:tcPr>
            <w:tcW w:w="1095" w:type="dxa"/>
            <w:vMerge/>
            <w:tcBorders>
              <w:left w:val="single" w:sz="4" w:space="0" w:color="000000"/>
              <w:bottom w:val="nil" w:sz="6" w:space="0" w:color="auto"/>
              <w:right w:val="single" w:sz="4" w:space="0" w:color="000000"/>
            </w:tcBorders>
            <w:shd w:val="clear" w:color="auto" w:fill="D2D2D2"/>
          </w:tcPr>
          <w:p>
            <w:pPr/>
          </w:p>
        </w:tc>
        <w:tc>
          <w:tcPr>
            <w:tcW w:w="795" w:type="dxa"/>
            <w:vMerge/>
            <w:tcBorders>
              <w:left w:val="single" w:sz="4" w:space="0" w:color="000000"/>
              <w:bottom w:val="nil" w:sz="6" w:space="0" w:color="auto"/>
              <w:right w:val="single" w:sz="4" w:space="0" w:color="000000"/>
            </w:tcBorders>
            <w:shd w:val="clear" w:color="auto" w:fill="D2D2D2"/>
          </w:tcPr>
          <w:p>
            <w:pPr/>
          </w:p>
        </w:tc>
        <w:tc>
          <w:tcPr>
            <w:tcW w:w="980" w:type="dxa"/>
            <w:vMerge/>
            <w:tcBorders>
              <w:left w:val="single" w:sz="4" w:space="0" w:color="000000"/>
              <w:bottom w:val="nil" w:sz="6" w:space="0" w:color="auto"/>
              <w:right w:val="single" w:sz="4" w:space="0" w:color="000000"/>
            </w:tcBorders>
            <w:shd w:val="clear" w:color="auto" w:fill="D2D2D2"/>
          </w:tcPr>
          <w:p>
            <w:pPr/>
          </w:p>
        </w:tc>
        <w:tc>
          <w:tcPr>
            <w:tcW w:w="660" w:type="dxa"/>
            <w:vMerge/>
            <w:tcBorders>
              <w:left w:val="single" w:sz="4" w:space="0" w:color="000000"/>
              <w:bottom w:val="nil" w:sz="6" w:space="0" w:color="auto"/>
              <w:right w:val="single" w:sz="4" w:space="0" w:color="000000"/>
            </w:tcBorders>
            <w:shd w:val="clear" w:color="auto" w:fill="D2D2D2"/>
          </w:tcPr>
          <w:p>
            <w:pPr/>
          </w:p>
        </w:tc>
        <w:tc>
          <w:tcPr>
            <w:tcW w:w="893" w:type="dxa"/>
            <w:vMerge/>
            <w:tcBorders>
              <w:left w:val="single" w:sz="4" w:space="0" w:color="000000"/>
              <w:right w:val="single" w:sz="4" w:space="0" w:color="000000"/>
            </w:tcBorders>
            <w:shd w:val="clear" w:color="auto" w:fill="D2D2D2"/>
          </w:tcPr>
          <w:p>
            <w:pPr/>
          </w:p>
        </w:tc>
        <w:tc>
          <w:tcPr>
            <w:tcW w:w="472" w:type="dxa"/>
            <w:vMerge/>
            <w:tcBorders>
              <w:left w:val="single" w:sz="4" w:space="0" w:color="000000"/>
              <w:bottom w:val="nil" w:sz="6" w:space="0" w:color="auto"/>
              <w:right w:val="single" w:sz="4" w:space="0" w:color="000000"/>
            </w:tcBorders>
            <w:shd w:val="clear" w:color="auto" w:fill="D2D2D2"/>
          </w:tcPr>
          <w:p>
            <w:pPr/>
          </w:p>
        </w:tc>
        <w:tc>
          <w:tcPr>
            <w:tcW w:w="980" w:type="dxa"/>
            <w:vMerge/>
            <w:tcBorders>
              <w:left w:val="single" w:sz="4" w:space="0" w:color="000000"/>
              <w:bottom w:val="nil" w:sz="6" w:space="0" w:color="auto"/>
              <w:right w:val="single" w:sz="4" w:space="0" w:color="000000"/>
            </w:tcBorders>
            <w:shd w:val="clear" w:color="auto" w:fill="D2D2D2"/>
          </w:tcPr>
          <w:p>
            <w:pPr/>
          </w:p>
        </w:tc>
        <w:tc>
          <w:tcPr>
            <w:tcW w:w="1084" w:type="dxa"/>
            <w:vMerge/>
            <w:tcBorders>
              <w:left w:val="single" w:sz="4" w:space="0" w:color="000000"/>
              <w:bottom w:val="nil" w:sz="6" w:space="0" w:color="auto"/>
              <w:right w:val="single" w:sz="4" w:space="0" w:color="000000"/>
            </w:tcBorders>
            <w:shd w:val="clear" w:color="auto" w:fill="D2D2D2"/>
          </w:tcPr>
          <w:p>
            <w:pPr/>
          </w:p>
        </w:tc>
        <w:tc>
          <w:tcPr>
            <w:tcW w:w="793"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081" w:type="dxa"/>
            <w:vMerge/>
            <w:tcBorders>
              <w:left w:val="single" w:sz="4" w:space="0" w:color="000000"/>
              <w:bottom w:val="single" w:sz="4" w:space="0" w:color="000000"/>
              <w:right w:val="single" w:sz="4" w:space="0" w:color="000000"/>
            </w:tcBorders>
            <w:shd w:val="clear" w:color="auto" w:fill="D2D2D2"/>
          </w:tcPr>
          <w:p>
            <w:pPr/>
          </w:p>
        </w:tc>
        <w:tc>
          <w:tcPr>
            <w:tcW w:w="109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5" w:type="dxa"/>
            <w:tcBorders>
              <w:top w:val="nil" w:sz="6" w:space="0" w:color="auto"/>
              <w:left w:val="single" w:sz="4" w:space="0" w:color="000000"/>
              <w:bottom w:val="single" w:sz="4" w:space="0" w:color="000000"/>
              <w:right w:val="single" w:sz="4" w:space="0" w:color="000000"/>
            </w:tcBorders>
            <w:shd w:val="clear" w:color="auto" w:fill="D2D2D2"/>
          </w:tcPr>
          <w:p>
            <w:pPr/>
          </w:p>
        </w:tc>
        <w:tc>
          <w:tcPr>
            <w:tcW w:w="98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0" w:type="dxa"/>
            <w:tcBorders>
              <w:top w:val="nil" w:sz="6" w:space="0" w:color="auto"/>
              <w:left w:val="single" w:sz="4" w:space="0" w:color="000000"/>
              <w:bottom w:val="single" w:sz="4" w:space="0" w:color="000000"/>
              <w:right w:val="single" w:sz="4" w:space="0" w:color="000000"/>
            </w:tcBorders>
            <w:shd w:val="clear" w:color="auto" w:fill="D2D2D2"/>
          </w:tcPr>
          <w:p>
            <w:pPr/>
          </w:p>
        </w:tc>
        <w:tc>
          <w:tcPr>
            <w:tcW w:w="893" w:type="dxa"/>
            <w:vMerge/>
            <w:tcBorders>
              <w:left w:val="single" w:sz="4" w:space="0" w:color="000000"/>
              <w:bottom w:val="single" w:sz="4" w:space="0" w:color="000000"/>
              <w:right w:val="single" w:sz="4" w:space="0" w:color="000000"/>
            </w:tcBorders>
            <w:shd w:val="clear" w:color="auto" w:fill="D2D2D2"/>
          </w:tcPr>
          <w:p>
            <w:pPr/>
          </w:p>
        </w:tc>
        <w:tc>
          <w:tcPr>
            <w:tcW w:w="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98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8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2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100,000,000</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75.00%</w:t>
            </w:r>
          </w:p>
        </w:tc>
      </w:tr>
      <w:tr>
        <w:trPr>
          <w:trHeight w:val="402" w:hRule="exact"/>
        </w:trPr>
        <w:tc>
          <w:tcPr>
            <w:tcW w:w="2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0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0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58,550,000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58.55%</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58,550,000</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43.91%</w:t>
            </w:r>
          </w:p>
        </w:tc>
      </w:tr>
      <w:tr>
        <w:trPr>
          <w:trHeight w:val="402" w:hRule="exact"/>
        </w:trPr>
        <w:tc>
          <w:tcPr>
            <w:tcW w:w="2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58,550,000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58.55%</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58,550,000</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43.91%</w:t>
            </w:r>
          </w:p>
        </w:tc>
      </w:tr>
      <w:tr>
        <w:trPr>
          <w:trHeight w:val="402" w:hRule="exact"/>
        </w:trPr>
        <w:tc>
          <w:tcPr>
            <w:tcW w:w="2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7"/>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0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0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41,450,000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41.45%</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41,450,000</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31.09%</w:t>
            </w:r>
          </w:p>
        </w:tc>
      </w:tr>
      <w:tr>
        <w:trPr>
          <w:trHeight w:val="402" w:hRule="exact"/>
        </w:trPr>
        <w:tc>
          <w:tcPr>
            <w:tcW w:w="2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0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41,450,000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41.45%</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41,450,000</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31.09%</w:t>
            </w:r>
          </w:p>
        </w:tc>
      </w:tr>
      <w:tr>
        <w:trPr>
          <w:trHeight w:val="402" w:hRule="exact"/>
        </w:trPr>
        <w:tc>
          <w:tcPr>
            <w:tcW w:w="2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7"/>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0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33,340,000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33,340,000</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33,340,000</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25.00%</w:t>
            </w:r>
          </w:p>
        </w:tc>
      </w:tr>
      <w:tr>
        <w:trPr>
          <w:trHeight w:val="402" w:hRule="exact"/>
        </w:trPr>
        <w:tc>
          <w:tcPr>
            <w:tcW w:w="2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33,340,000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33,340,000</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33,340,000</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25.00%</w:t>
            </w:r>
          </w:p>
        </w:tc>
      </w:tr>
      <w:tr>
        <w:trPr>
          <w:trHeight w:val="402" w:hRule="exact"/>
        </w:trPr>
        <w:tc>
          <w:tcPr>
            <w:tcW w:w="2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0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0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33,340,000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33,340,000</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133,340,000</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1134" w:right="0"/>
        <w:jc w:val="left"/>
      </w:pPr>
      <w:r>
        <w:rPr/>
        <w:t>股份变动的原因</w:t>
      </w:r>
    </w:p>
    <w:p>
      <w:pPr>
        <w:pStyle w:val="BodyText"/>
        <w:spacing w:line="319"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1"/>
        </w:rPr>
        <w:t>经中国证券监督管理委员会《关于核准高伟达软件股份有限公司首次公开发行股票的批复》（证监许可</w:t>
      </w:r>
      <w:r>
        <w:rPr>
          <w:rFonts w:ascii="Times New Roman" w:hAnsi="Times New Roman" w:cs="Times New Roman" w:eastAsia="Times New Roman" w:hint="default"/>
          <w:spacing w:val="-1"/>
        </w:rPr>
        <w:t>[2015]833</w:t>
      </w:r>
      <w:r>
        <w:rPr>
          <w:spacing w:val="-1"/>
        </w:rPr>
        <w:t>号）核准，</w:t>
      </w:r>
      <w:r>
        <w:rPr>
          <w:spacing w:val="-55"/>
        </w:rPr>
        <w:t> </w:t>
      </w:r>
      <w:r>
        <w:rPr>
          <w:spacing w:val="-55"/>
        </w:rPr>
      </w:r>
      <w:r>
        <w:rPr/>
        <w:t>高伟达软件股份有限公司于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8</w:t>
      </w:r>
      <w:r>
        <w:rPr/>
        <w:t>日获准向社会公众发行人民币普通股（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3,334</w:t>
      </w:r>
      <w:r>
        <w:rPr/>
        <w:t>万股，每股面值人民币</w:t>
      </w:r>
      <w:r>
        <w:rPr>
          <w:rFonts w:ascii="Times New Roman" w:hAnsi="Times New Roman" w:cs="Times New Roman" w:eastAsia="Times New Roman" w:hint="default"/>
        </w:rPr>
        <w:t>1</w:t>
      </w:r>
      <w:r>
        <w:rPr/>
        <w:t>元，并于</w:t>
      </w:r>
    </w:p>
    <w:p>
      <w:pPr>
        <w:pStyle w:val="BodyText"/>
        <w:spacing w:line="340" w:lineRule="auto"/>
        <w:ind w:left="1134" w:right="6387"/>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日上市，公司股份总数变更为</w:t>
      </w:r>
      <w:r>
        <w:rPr>
          <w:rFonts w:ascii="Times New Roman" w:hAnsi="Times New Roman" w:cs="Times New Roman" w:eastAsia="Times New Roman" w:hint="default"/>
        </w:rPr>
        <w:t>13,334</w:t>
      </w:r>
      <w:r>
        <w:rPr/>
        <w:t>万股。 股份变动的批准情况</w:t>
      </w:r>
    </w:p>
    <w:p>
      <w:pPr>
        <w:pStyle w:val="BodyText"/>
        <w:spacing w:line="319" w:lineRule="auto" w:before="41"/>
        <w:ind w:right="12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中国证券监督管理委员会</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8</w:t>
      </w:r>
      <w:r>
        <w:rPr/>
        <w:t>日出具的《关于核准高伟达软件股份有限公司首次公开发行股票的批复》【证监许可 </w:t>
      </w:r>
      <w:r>
        <w:rPr>
          <w:rFonts w:ascii="Times New Roman" w:hAnsi="Times New Roman" w:cs="Times New Roman" w:eastAsia="Times New Roman" w:hint="default"/>
        </w:rPr>
        <w:t>[2015]833</w:t>
      </w:r>
      <w:r>
        <w:rPr/>
        <w:t>号】。</w:t>
      </w:r>
    </w:p>
    <w:p>
      <w:pPr>
        <w:pStyle w:val="BodyText"/>
        <w:spacing w:line="240" w:lineRule="auto" w:before="36"/>
        <w:ind w:left="1134" w:right="0"/>
        <w:jc w:val="left"/>
      </w:pPr>
      <w:r>
        <w:rPr/>
        <w:t>股份变动的过户情况</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1187" w:top="1060" w:bottom="1380" w:left="0" w:right="0"/>
        </w:sectPr>
      </w:pPr>
    </w:p>
    <w:p>
      <w:pPr>
        <w:spacing w:line="240" w:lineRule="auto" w:before="12"/>
        <w:rPr>
          <w:rFonts w:ascii="宋体" w:hAnsi="宋体" w:cs="宋体" w:eastAsia="宋体" w:hint="default"/>
          <w:sz w:val="25"/>
          <w:szCs w:val="25"/>
        </w:rPr>
      </w:pPr>
    </w:p>
    <w:p>
      <w:pPr>
        <w:pStyle w:val="BodyText"/>
        <w:spacing w:line="340" w:lineRule="auto" w:before="44"/>
        <w:ind w:right="1393"/>
        <w:jc w:val="left"/>
      </w:pPr>
      <w:r>
        <w:rPr/>
        <w:t>新股股份登记工作已于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26</w:t>
      </w:r>
      <w:r>
        <w:rPr/>
        <w:t>日在中国登记结算公司深圳分公司办理完毕。 股份变动对最近一年和最近一期基本每股收益和稀释每股收益、归属于公司普通股股东的每股净资产等财务指标的影响</w:t>
      </w:r>
    </w:p>
    <w:p>
      <w:pPr>
        <w:pStyle w:val="BodyText"/>
        <w:spacing w:line="338" w:lineRule="auto" w:before="41"/>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公司认为必要或证券监管机构要求披露的其他内容</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限售股份变动情况" w:id="101"/>
      <w:bookmarkEnd w:id="101"/>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二、证券发行与上市情况" w:id="102"/>
      <w:bookmarkEnd w:id="102"/>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报告期内证券发行（不含优先股）情况" w:id="103"/>
      <w:bookmarkEnd w:id="103"/>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129"/>
        <w:gridCol w:w="1582"/>
        <w:gridCol w:w="1543"/>
        <w:gridCol w:w="1043"/>
        <w:gridCol w:w="1508"/>
        <w:gridCol w:w="1083"/>
        <w:gridCol w:w="1682"/>
      </w:tblGrid>
      <w:tr>
        <w:trPr>
          <w:trHeight w:val="714" w:hRule="exact"/>
        </w:trPr>
        <w:tc>
          <w:tcPr>
            <w:tcW w:w="1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1" w:right="105"/>
              <w:jc w:val="left"/>
              <w:rPr>
                <w:rFonts w:ascii="宋体" w:hAnsi="宋体" w:cs="宋体" w:eastAsia="宋体" w:hint="default"/>
                <w:sz w:val="18"/>
                <w:szCs w:val="18"/>
              </w:rPr>
            </w:pPr>
            <w:r>
              <w:rPr>
                <w:rFonts w:ascii="宋体" w:hAnsi="宋体" w:cs="宋体" w:eastAsia="宋体" w:hint="default"/>
                <w:sz w:val="18"/>
                <w:szCs w:val="18"/>
              </w:rPr>
              <w:t>股票及其衍 生证券名称</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1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pacing w:val="-5"/>
                <w:sz w:val="18"/>
                <w:szCs w:val="18"/>
              </w:rPr>
              <w:t>发行价格（或利率</w:t>
            </w:r>
          </w:p>
        </w:tc>
        <w:tc>
          <w:tcPr>
            <w:tcW w:w="1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9"/>
                <w:sz w:val="18"/>
                <w:szCs w:val="18"/>
              </w:rPr>
              <w:t> </w:t>
            </w:r>
            <w:r>
              <w:rPr>
                <w:rFonts w:ascii="宋体" w:hAnsi="宋体" w:cs="宋体" w:eastAsia="宋体" w:hint="default"/>
                <w:sz w:val="18"/>
                <w:szCs w:val="18"/>
              </w:rPr>
              <w:t>发行数量</w:t>
            </w:r>
          </w:p>
        </w:tc>
        <w:tc>
          <w:tcPr>
            <w:tcW w:w="1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上市日期</w:t>
            </w:r>
          </w:p>
        </w:tc>
        <w:tc>
          <w:tcPr>
            <w:tcW w:w="1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65" w:right="87" w:hanging="181"/>
              <w:jc w:val="left"/>
              <w:rPr>
                <w:rFonts w:ascii="宋体" w:hAnsi="宋体" w:cs="宋体" w:eastAsia="宋体" w:hint="default"/>
                <w:sz w:val="18"/>
                <w:szCs w:val="18"/>
              </w:rPr>
            </w:pPr>
            <w:r>
              <w:rPr>
                <w:rFonts w:ascii="宋体" w:hAnsi="宋体" w:cs="宋体" w:eastAsia="宋体" w:hint="default"/>
                <w:sz w:val="18"/>
                <w:szCs w:val="18"/>
              </w:rPr>
              <w:t>获准上市交 易数量</w:t>
            </w:r>
          </w:p>
        </w:tc>
        <w:tc>
          <w:tcPr>
            <w:tcW w:w="1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397"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407" w:hRule="exact"/>
        </w:trPr>
        <w:tc>
          <w:tcPr>
            <w:tcW w:w="112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6"/>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c>
          <w:tcPr>
            <w:tcW w:w="1582" w:type="dxa"/>
            <w:tcBorders>
              <w:top w:val="single" w:sz="4" w:space="0" w:color="000000"/>
              <w:left w:val="single" w:sz="13" w:space="0" w:color="C6ECCC"/>
              <w:bottom w:val="single" w:sz="4" w:space="0" w:color="000000"/>
              <w:right w:val="single" w:sz="13" w:space="0" w:color="C6ECCC"/>
            </w:tcBorders>
          </w:tcPr>
          <w:p>
            <w:pPr>
              <w:pStyle w:val="TableParagraph"/>
              <w:spacing w:line="240" w:lineRule="auto" w:before="56"/>
              <w:ind w:right="2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11.26</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99" w:right="0"/>
              <w:jc w:val="left"/>
              <w:rPr>
                <w:rFonts w:ascii="Times New Roman" w:hAnsi="Times New Roman" w:cs="Times New Roman" w:eastAsia="Times New Roman" w:hint="default"/>
                <w:sz w:val="18"/>
                <w:szCs w:val="18"/>
              </w:rPr>
            </w:pPr>
            <w:r>
              <w:rPr>
                <w:rFonts w:ascii="Times New Roman"/>
                <w:sz w:val="18"/>
              </w:rPr>
              <w:t>33,340,000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9" w:right="0"/>
              <w:jc w:val="left"/>
              <w:rPr>
                <w:rFonts w:ascii="Times New Roman" w:hAnsi="Times New Roman" w:cs="Times New Roman" w:eastAsia="Times New Roman" w:hint="default"/>
                <w:sz w:val="18"/>
                <w:szCs w:val="18"/>
              </w:rPr>
            </w:pPr>
            <w:r>
              <w:rPr>
                <w:rFonts w:ascii="Times New Roman"/>
                <w:sz w:val="18"/>
              </w:rPr>
              <w:t>33,340,000</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110"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1"/>
        <w:ind w:left="1134" w:right="0"/>
        <w:jc w:val="left"/>
      </w:pPr>
      <w:r>
        <w:rPr/>
        <w:t>报告期内证券发行（不含优先股）情况的说明</w:t>
      </w:r>
    </w:p>
    <w:p>
      <w:pPr>
        <w:spacing w:line="240" w:lineRule="auto" w:before="11"/>
        <w:rPr>
          <w:rFonts w:ascii="宋体" w:hAnsi="宋体" w:cs="宋体" w:eastAsia="宋体" w:hint="default"/>
          <w:sz w:val="26"/>
          <w:szCs w:val="26"/>
        </w:rPr>
      </w:pPr>
    </w:p>
    <w:p>
      <w:pPr>
        <w:pStyle w:val="Heading4"/>
        <w:spacing w:line="240" w:lineRule="auto"/>
        <w:ind w:left="1134" w:right="0"/>
        <w:jc w:val="left"/>
        <w:rPr>
          <w:b w:val="0"/>
          <w:bCs w:val="0"/>
        </w:rPr>
      </w:pPr>
      <w:bookmarkStart w:name="2、公司股份总数及股东结构的变动、公司资产和负债结构的变动情况说明" w:id="104"/>
      <w:bookmarkEnd w:id="104"/>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现存的内部职工股情况" w:id="105"/>
      <w:bookmarkEnd w:id="105"/>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股东和实际控制人情况" w:id="106"/>
      <w:bookmarkEnd w:id="106"/>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公司股东数量及持股情况" w:id="107"/>
      <w:bookmarkEnd w:id="107"/>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pict>
          <v:shape style="position:absolute;margin-left:449.277008pt;margin-top:70.491722pt;width:85.6pt;height:31.25pt;mso-position-horizontal-relative:page;mso-position-vertical-relative:paragraph;z-index:-842608" type="#_x0000_t202" filled="false" stroked="false">
            <v:textbox inset="0,0,0,0">
              <w:txbxContent>
                <w:p>
                  <w:pPr>
                    <w:pStyle w:val="BodyText"/>
                    <w:spacing w:line="207" w:lineRule="exact"/>
                    <w:ind w:left="0" w:right="0"/>
                    <w:jc w:val="left"/>
                  </w:pPr>
                  <w:r>
                    <w:rPr/>
                    <w:t>（如有）</w:t>
                  </w:r>
                </w:p>
              </w:txbxContent>
            </v:textbox>
            <w10:wrap type="none"/>
          </v:shape>
        </w:pict>
      </w:r>
      <w:r>
        <w:rPr/>
        <w:pict>
          <v:group style="position:absolute;margin-left:482.399994pt;margin-top:70.491722pt;width:52.45pt;height:31.25pt;mso-position-horizontal-relative:page;mso-position-vertical-relative:paragraph;z-index:-842584" coordorigin="9648,1410" coordsize="1049,625">
            <v:shape style="position:absolute;left:9648;top:1410;width:1049;height:625" coordorigin="9648,1410" coordsize="1049,625" path="m9648,2034l10697,2034,10697,1410,9648,1410,9648,2034xe" filled="true" fillcolor="#ffffff" stroked="false">
              <v:path arrowok="t"/>
              <v:fill type="solid"/>
            </v:shape>
            <w10:wrap type="none"/>
          </v:group>
        </w:pict>
      </w:r>
      <w:r>
        <w:rPr/>
        <w:t>单位：股</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323"/>
        <w:gridCol w:w="226"/>
        <w:gridCol w:w="581"/>
        <w:gridCol w:w="739"/>
        <w:gridCol w:w="744"/>
        <w:gridCol w:w="912"/>
        <w:gridCol w:w="262"/>
        <w:gridCol w:w="445"/>
        <w:gridCol w:w="862"/>
        <w:gridCol w:w="133"/>
        <w:gridCol w:w="851"/>
        <w:gridCol w:w="103"/>
        <w:gridCol w:w="1173"/>
        <w:gridCol w:w="133"/>
        <w:gridCol w:w="513"/>
        <w:gridCol w:w="558"/>
      </w:tblGrid>
      <w:tr>
        <w:trPr>
          <w:trHeight w:val="162" w:hRule="exact"/>
        </w:trPr>
        <w:tc>
          <w:tcPr>
            <w:tcW w:w="1323" w:type="dxa"/>
            <w:vMerge w:val="restart"/>
            <w:tcBorders>
              <w:top w:val="single" w:sz="4" w:space="0" w:color="000000"/>
              <w:left w:val="single" w:sz="4" w:space="0" w:color="000000"/>
              <w:right w:val="single" w:sz="4" w:space="0" w:color="000000"/>
            </w:tcBorders>
            <w:shd w:val="clear" w:color="auto" w:fill="D2D2D2"/>
          </w:tcPr>
          <w:p>
            <w:pPr/>
          </w:p>
        </w:tc>
        <w:tc>
          <w:tcPr>
            <w:tcW w:w="807"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13,942</w:t>
            </w:r>
          </w:p>
        </w:tc>
        <w:tc>
          <w:tcPr>
            <w:tcW w:w="1483" w:type="dxa"/>
            <w:gridSpan w:val="2"/>
            <w:vMerge w:val="restart"/>
            <w:tcBorders>
              <w:top w:val="single" w:sz="4" w:space="0" w:color="000000"/>
              <w:left w:val="single" w:sz="4" w:space="0" w:color="000000"/>
              <w:right w:val="single" w:sz="4" w:space="0" w:color="000000"/>
            </w:tcBorders>
            <w:shd w:val="clear" w:color="auto" w:fill="D2D2D2"/>
          </w:tcPr>
          <w:p>
            <w:pPr/>
          </w:p>
        </w:tc>
        <w:tc>
          <w:tcPr>
            <w:tcW w:w="1175"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629" w:right="0"/>
              <w:jc w:val="left"/>
              <w:rPr>
                <w:rFonts w:ascii="Times New Roman" w:hAnsi="Times New Roman" w:cs="Times New Roman" w:eastAsia="Times New Roman" w:hint="default"/>
                <w:sz w:val="18"/>
                <w:szCs w:val="18"/>
              </w:rPr>
            </w:pPr>
            <w:r>
              <w:rPr>
                <w:rFonts w:ascii="Times New Roman"/>
                <w:sz w:val="18"/>
              </w:rPr>
              <w:t>21,960</w:t>
            </w:r>
          </w:p>
        </w:tc>
        <w:tc>
          <w:tcPr>
            <w:tcW w:w="1306"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87" w:type="dxa"/>
            <w:gridSpan w:val="3"/>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0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 w:right="22"/>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13" w:type="dxa"/>
            <w:tcBorders>
              <w:top w:val="single" w:sz="4" w:space="0" w:color="000000"/>
              <w:left w:val="single" w:sz="13" w:space="0" w:color="D2D2D2"/>
              <w:bottom w:val="nil" w:sz="6" w:space="0" w:color="auto"/>
              <w:right w:val="nil" w:sz="6" w:space="0" w:color="auto"/>
            </w:tcBorders>
          </w:tcPr>
          <w:p>
            <w:pPr/>
          </w:p>
        </w:tc>
        <w:tc>
          <w:tcPr>
            <w:tcW w:w="558"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323"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5" w:type="dxa"/>
            <w:gridSpan w:val="2"/>
            <w:vMerge/>
            <w:tcBorders>
              <w:left w:val="single" w:sz="9" w:space="0" w:color="D2D2D2"/>
              <w:right w:val="single" w:sz="9" w:space="0" w:color="D2D2D2"/>
            </w:tcBorders>
          </w:tcPr>
          <w:p>
            <w:pPr/>
          </w:p>
        </w:tc>
        <w:tc>
          <w:tcPr>
            <w:tcW w:w="1306"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23"/>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87" w:type="dxa"/>
            <w:gridSpan w:val="3"/>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val="restart"/>
            <w:tcBorders>
              <w:top w:val="nil" w:sz="6" w:space="0" w:color="auto"/>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23" w:type="dxa"/>
            <w:vMerge/>
            <w:tcBorders>
              <w:left w:val="single" w:sz="4" w:space="0" w:color="000000"/>
              <w:bottom w:val="nil" w:sz="6" w:space="0" w:color="auto"/>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99"/>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75" w:type="dxa"/>
            <w:gridSpan w:val="2"/>
            <w:vMerge/>
            <w:tcBorders>
              <w:left w:val="single" w:sz="9" w:space="0" w:color="D2D2D2"/>
              <w:right w:val="single" w:sz="9"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1087" w:type="dxa"/>
            <w:gridSpan w:val="3"/>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703" w:hRule="exact"/>
        </w:trPr>
        <w:tc>
          <w:tcPr>
            <w:tcW w:w="13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right w:val="single" w:sz="4" w:space="0" w:color="000000"/>
            </w:tcBorders>
            <w:shd w:val="clear" w:color="auto" w:fill="D2D2D2"/>
          </w:tcPr>
          <w:p>
            <w:pPr/>
          </w:p>
        </w:tc>
        <w:tc>
          <w:tcPr>
            <w:tcW w:w="1175" w:type="dxa"/>
            <w:gridSpan w:val="2"/>
            <w:vMerge/>
            <w:tcBorders>
              <w:left w:val="single" w:sz="9" w:space="0" w:color="D2D2D2"/>
              <w:right w:val="single" w:sz="9"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1087" w:type="dxa"/>
            <w:gridSpan w:val="3"/>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323" w:type="dxa"/>
            <w:vMerge w:val="restart"/>
            <w:tcBorders>
              <w:top w:val="nil" w:sz="6" w:space="0" w:color="auto"/>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5" w:type="dxa"/>
            <w:gridSpan w:val="2"/>
            <w:vMerge/>
            <w:tcBorders>
              <w:left w:val="single" w:sz="9" w:space="0" w:color="D2D2D2"/>
              <w:right w:val="single" w:sz="9"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1087" w:type="dxa"/>
            <w:gridSpan w:val="3"/>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23"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
        </w:tc>
        <w:tc>
          <w:tcPr>
            <w:tcW w:w="1175" w:type="dxa"/>
            <w:gridSpan w:val="2"/>
            <w:vMerge/>
            <w:tcBorders>
              <w:left w:val="single" w:sz="9" w:space="0" w:color="D2D2D2"/>
              <w:right w:val="single" w:sz="9" w:space="0" w:color="D2D2D2"/>
            </w:tcBorders>
          </w:tcPr>
          <w:p>
            <w:pPr/>
          </w:p>
        </w:tc>
        <w:tc>
          <w:tcPr>
            <w:tcW w:w="1306" w:type="dxa"/>
            <w:gridSpan w:val="2"/>
            <w:vMerge/>
            <w:tcBorders>
              <w:left w:val="single" w:sz="4" w:space="0" w:color="000000"/>
              <w:bottom w:val="nil" w:sz="6" w:space="0" w:color="auto"/>
              <w:right w:val="single" w:sz="4" w:space="0" w:color="000000"/>
            </w:tcBorders>
            <w:shd w:val="clear" w:color="auto" w:fill="D2D2D2"/>
          </w:tcPr>
          <w:p>
            <w:pPr/>
          </w:p>
        </w:tc>
        <w:tc>
          <w:tcPr>
            <w:tcW w:w="1087" w:type="dxa"/>
            <w:gridSpan w:val="3"/>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67" w:hRule="exact"/>
        </w:trPr>
        <w:tc>
          <w:tcPr>
            <w:tcW w:w="1323" w:type="dxa"/>
            <w:vMerge/>
            <w:tcBorders>
              <w:left w:val="single" w:sz="4" w:space="0" w:color="000000"/>
              <w:bottom w:val="single" w:sz="4" w:space="0" w:color="000000"/>
              <w:right w:val="single" w:sz="4" w:space="0" w:color="000000"/>
            </w:tcBorders>
            <w:shd w:val="clear" w:color="auto" w:fill="D2D2D2"/>
          </w:tcPr>
          <w:p>
            <w:pPr/>
          </w:p>
        </w:tc>
        <w:tc>
          <w:tcPr>
            <w:tcW w:w="807" w:type="dxa"/>
            <w:gridSpan w:val="2"/>
            <w:vMerge/>
            <w:tcBorders>
              <w:left w:val="single" w:sz="9" w:space="0" w:color="D2D2D2"/>
              <w:bottom w:val="single" w:sz="4" w:space="0" w:color="000000"/>
              <w:right w:val="single" w:sz="9" w:space="0" w:color="D2D2D2"/>
            </w:tcBorders>
          </w:tcPr>
          <w:p>
            <w:pPr/>
          </w:p>
        </w:tc>
        <w:tc>
          <w:tcPr>
            <w:tcW w:w="1483" w:type="dxa"/>
            <w:gridSpan w:val="2"/>
            <w:vMerge/>
            <w:tcBorders>
              <w:left w:val="single" w:sz="4" w:space="0" w:color="000000"/>
              <w:bottom w:val="single" w:sz="4" w:space="0" w:color="000000"/>
              <w:right w:val="single" w:sz="4" w:space="0" w:color="000000"/>
            </w:tcBorders>
            <w:shd w:val="clear" w:color="auto" w:fill="D2D2D2"/>
          </w:tcPr>
          <w:p>
            <w:pPr/>
          </w:p>
        </w:tc>
        <w:tc>
          <w:tcPr>
            <w:tcW w:w="1175" w:type="dxa"/>
            <w:gridSpan w:val="2"/>
            <w:vMerge/>
            <w:tcBorders>
              <w:left w:val="single" w:sz="9" w:space="0" w:color="D2D2D2"/>
              <w:bottom w:val="single" w:sz="4" w:space="0" w:color="000000"/>
              <w:right w:val="single" w:sz="9" w:space="0" w:color="D2D2D2"/>
            </w:tcBorders>
          </w:tcPr>
          <w:p>
            <w:pPr/>
          </w:p>
        </w:tc>
        <w:tc>
          <w:tcPr>
            <w:tcW w:w="1306"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87" w:type="dxa"/>
            <w:gridSpan w:val="3"/>
            <w:vMerge/>
            <w:tcBorders>
              <w:left w:val="single" w:sz="10" w:space="0" w:color="D2D2D2"/>
              <w:bottom w:val="single" w:sz="4" w:space="0" w:color="000000"/>
              <w:right w:val="single" w:sz="13" w:space="0" w:color="D2D2D2"/>
            </w:tcBorders>
          </w:tcPr>
          <w:p>
            <w:pPr/>
          </w:p>
        </w:tc>
        <w:tc>
          <w:tcPr>
            <w:tcW w:w="1306" w:type="dxa"/>
            <w:gridSpan w:val="2"/>
            <w:vMerge/>
            <w:tcBorders>
              <w:left w:val="single" w:sz="4" w:space="0" w:color="000000"/>
              <w:bottom w:val="single" w:sz="4" w:space="0" w:color="000000"/>
              <w:right w:val="single" w:sz="4" w:space="0" w:color="000000"/>
            </w:tcBorders>
            <w:shd w:val="clear" w:color="auto" w:fill="D2D2D2"/>
          </w:tcPr>
          <w:p>
            <w:pPr/>
          </w:p>
        </w:tc>
        <w:tc>
          <w:tcPr>
            <w:tcW w:w="513" w:type="dxa"/>
            <w:vMerge/>
            <w:tcBorders>
              <w:left w:val="single" w:sz="13" w:space="0" w:color="D2D2D2"/>
              <w:bottom w:val="single" w:sz="4" w:space="0" w:color="000000"/>
              <w:right w:val="nil" w:sz="6" w:space="0" w:color="auto"/>
            </w:tcBorders>
          </w:tcPr>
          <w:p>
            <w:pPr/>
          </w:p>
        </w:tc>
        <w:tc>
          <w:tcPr>
            <w:tcW w:w="558" w:type="dxa"/>
            <w:tcBorders>
              <w:top w:val="nil" w:sz="6" w:space="0" w:color="auto"/>
              <w:left w:val="nil" w:sz="6" w:space="0" w:color="auto"/>
              <w:bottom w:val="single" w:sz="4" w:space="0" w:color="000000"/>
              <w:right w:val="single" w:sz="4" w:space="0" w:color="000000"/>
            </w:tcBorders>
          </w:tcPr>
          <w:p>
            <w:pPr/>
          </w:p>
        </w:tc>
      </w:tr>
      <w:tr>
        <w:trPr>
          <w:trHeight w:val="429" w:hRule="exact"/>
        </w:trPr>
        <w:tc>
          <w:tcPr>
            <w:tcW w:w="9557" w:type="dxa"/>
            <w:gridSpan w:val="1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50"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73" w:hRule="exact"/>
        </w:trPr>
        <w:tc>
          <w:tcPr>
            <w:tcW w:w="154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32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44" w:type="dxa"/>
            <w:tcBorders>
              <w:top w:val="single" w:sz="4" w:space="0" w:color="000000"/>
              <w:left w:val="single" w:sz="4" w:space="0" w:color="000000"/>
              <w:bottom w:val="nil" w:sz="6" w:space="0" w:color="auto"/>
              <w:right w:val="single" w:sz="4" w:space="0" w:color="000000"/>
            </w:tcBorders>
            <w:shd w:val="clear" w:color="auto" w:fill="D2D2D2"/>
          </w:tcPr>
          <w:p>
            <w:pPr/>
          </w:p>
        </w:tc>
        <w:tc>
          <w:tcPr>
            <w:tcW w:w="91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4"/>
              <w:ind w:left="113" w:right="6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0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4"/>
              <w:ind w:left="78" w:right="77"/>
              <w:jc w:val="left"/>
              <w:rPr>
                <w:rFonts w:ascii="宋体" w:hAnsi="宋体" w:cs="宋体" w:eastAsia="宋体" w:hint="default"/>
                <w:sz w:val="18"/>
                <w:szCs w:val="18"/>
              </w:rPr>
            </w:pPr>
            <w:r>
              <w:rPr>
                <w:rFonts w:ascii="宋体" w:hAnsi="宋体" w:cs="宋体" w:eastAsia="宋体" w:hint="default"/>
                <w:sz w:val="18"/>
                <w:szCs w:val="18"/>
              </w:rPr>
              <w:t>报告期 内增减</w:t>
            </w:r>
          </w:p>
        </w:tc>
        <w:tc>
          <w:tcPr>
            <w:tcW w:w="99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4"/>
              <w:ind w:left="42" w:right="40"/>
              <w:jc w:val="left"/>
              <w:rPr>
                <w:rFonts w:ascii="宋体" w:hAnsi="宋体" w:cs="宋体" w:eastAsia="宋体" w:hint="default"/>
                <w:sz w:val="18"/>
                <w:szCs w:val="18"/>
              </w:rPr>
            </w:pPr>
            <w:r>
              <w:rPr>
                <w:rFonts w:ascii="宋体" w:hAnsi="宋体" w:cs="宋体" w:eastAsia="宋体" w:hint="default"/>
                <w:sz w:val="18"/>
                <w:szCs w:val="18"/>
              </w:rPr>
              <w:t>持有有限售 条件的股份</w:t>
            </w:r>
          </w:p>
        </w:tc>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4"/>
              <w:ind w:left="60" w:right="60"/>
              <w:jc w:val="left"/>
              <w:rPr>
                <w:rFonts w:ascii="宋体" w:hAnsi="宋体" w:cs="宋体" w:eastAsia="宋体" w:hint="default"/>
                <w:sz w:val="18"/>
                <w:szCs w:val="18"/>
              </w:rPr>
            </w:pPr>
            <w:r>
              <w:rPr>
                <w:rFonts w:ascii="宋体" w:hAnsi="宋体" w:cs="宋体" w:eastAsia="宋体" w:hint="default"/>
                <w:sz w:val="18"/>
                <w:szCs w:val="18"/>
              </w:rPr>
              <w:t>持有无限 售条件的</w:t>
            </w:r>
          </w:p>
        </w:tc>
        <w:tc>
          <w:tcPr>
            <w:tcW w:w="2480"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9"/>
              <w:ind w:left="60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91" w:hRule="exact"/>
        </w:trPr>
        <w:tc>
          <w:tcPr>
            <w:tcW w:w="154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02"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2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94"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 w:right="-15"/>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912" w:type="dxa"/>
            <w:vMerge/>
            <w:tcBorders>
              <w:left w:val="single" w:sz="4" w:space="0" w:color="000000"/>
              <w:right w:val="single" w:sz="4" w:space="0" w:color="000000"/>
            </w:tcBorders>
            <w:shd w:val="clear" w:color="auto" w:fill="D2D2D2"/>
          </w:tcPr>
          <w:p>
            <w:pPr/>
          </w:p>
        </w:tc>
        <w:tc>
          <w:tcPr>
            <w:tcW w:w="707" w:type="dxa"/>
            <w:gridSpan w:val="2"/>
            <w:vMerge/>
            <w:tcBorders>
              <w:left w:val="single" w:sz="4" w:space="0" w:color="000000"/>
              <w:right w:val="single" w:sz="4" w:space="0" w:color="000000"/>
            </w:tcBorders>
            <w:shd w:val="clear" w:color="auto" w:fill="D2D2D2"/>
          </w:tcPr>
          <w:p>
            <w:pPr/>
          </w:p>
        </w:tc>
        <w:tc>
          <w:tcPr>
            <w:tcW w:w="994" w:type="dxa"/>
            <w:gridSpan w:val="2"/>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shd w:val="clear" w:color="auto" w:fill="D2D2D2"/>
          </w:tcPr>
          <w:p>
            <w:pPr/>
          </w:p>
        </w:tc>
        <w:tc>
          <w:tcPr>
            <w:tcW w:w="2480" w:type="dxa"/>
            <w:gridSpan w:val="5"/>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549" w:type="dxa"/>
            <w:gridSpan w:val="2"/>
            <w:vMerge/>
            <w:tcBorders>
              <w:left w:val="single" w:sz="4" w:space="0" w:color="000000"/>
              <w:bottom w:val="nil" w:sz="6" w:space="0" w:color="auto"/>
              <w:right w:val="single" w:sz="4" w:space="0" w:color="000000"/>
            </w:tcBorders>
            <w:shd w:val="clear" w:color="auto" w:fill="D2D2D2"/>
          </w:tcPr>
          <w:p>
            <w:pPr/>
          </w:p>
        </w:tc>
        <w:tc>
          <w:tcPr>
            <w:tcW w:w="1320"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912" w:type="dxa"/>
            <w:vMerge/>
            <w:tcBorders>
              <w:left w:val="single" w:sz="4" w:space="0" w:color="000000"/>
              <w:right w:val="single" w:sz="4" w:space="0" w:color="000000"/>
            </w:tcBorders>
            <w:shd w:val="clear" w:color="auto" w:fill="D2D2D2"/>
          </w:tcPr>
          <w:p>
            <w:pPr/>
          </w:p>
        </w:tc>
        <w:tc>
          <w:tcPr>
            <w:tcW w:w="707" w:type="dxa"/>
            <w:gridSpan w:val="2"/>
            <w:vMerge/>
            <w:tcBorders>
              <w:left w:val="single" w:sz="4" w:space="0" w:color="000000"/>
              <w:right w:val="single" w:sz="4" w:space="0" w:color="000000"/>
            </w:tcBorders>
            <w:shd w:val="clear" w:color="auto" w:fill="D2D2D2"/>
          </w:tcPr>
          <w:p>
            <w:pPr/>
          </w:p>
        </w:tc>
        <w:tc>
          <w:tcPr>
            <w:tcW w:w="994" w:type="dxa"/>
            <w:gridSpan w:val="2"/>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shd w:val="clear" w:color="auto" w:fill="D2D2D2"/>
          </w:tcPr>
          <w:p>
            <w:pPr/>
          </w:p>
        </w:tc>
        <w:tc>
          <w:tcPr>
            <w:tcW w:w="127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273"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20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154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32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44" w:type="dxa"/>
            <w:tcBorders>
              <w:top w:val="nil" w:sz="6" w:space="0" w:color="auto"/>
              <w:left w:val="single" w:sz="4" w:space="0" w:color="000000"/>
              <w:bottom w:val="single" w:sz="4" w:space="0" w:color="000000"/>
              <w:right w:val="single" w:sz="4" w:space="0" w:color="000000"/>
            </w:tcBorders>
            <w:shd w:val="clear" w:color="auto" w:fill="D2D2D2"/>
          </w:tcPr>
          <w:p>
            <w:pPr/>
          </w:p>
        </w:tc>
        <w:tc>
          <w:tcPr>
            <w:tcW w:w="912" w:type="dxa"/>
            <w:vMerge/>
            <w:tcBorders>
              <w:left w:val="single" w:sz="4" w:space="0" w:color="000000"/>
              <w:bottom w:val="single" w:sz="4" w:space="0" w:color="000000"/>
              <w:right w:val="single" w:sz="4" w:space="0" w:color="000000"/>
            </w:tcBorders>
            <w:shd w:val="clear" w:color="auto" w:fill="D2D2D2"/>
          </w:tcPr>
          <w:p>
            <w:pPr/>
          </w:p>
        </w:tc>
        <w:tc>
          <w:tcPr>
            <w:tcW w:w="707" w:type="dxa"/>
            <w:gridSpan w:val="2"/>
            <w:vMerge/>
            <w:tcBorders>
              <w:left w:val="single" w:sz="4" w:space="0" w:color="000000"/>
              <w:bottom w:val="single" w:sz="4" w:space="0" w:color="000000"/>
              <w:right w:val="single" w:sz="4" w:space="0" w:color="000000"/>
            </w:tcBorders>
            <w:shd w:val="clear" w:color="auto" w:fill="D2D2D2"/>
          </w:tcPr>
          <w:p>
            <w:pPr/>
          </w:p>
        </w:tc>
        <w:tc>
          <w:tcPr>
            <w:tcW w:w="994" w:type="dxa"/>
            <w:gridSpan w:val="2"/>
            <w:vMerge/>
            <w:tcBorders>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shd w:val="clear" w:color="auto" w:fill="D2D2D2"/>
          </w:tcPr>
          <w:p>
            <w:pPr/>
          </w:p>
        </w:tc>
        <w:tc>
          <w:tcPr>
            <w:tcW w:w="1276" w:type="dxa"/>
            <w:gridSpan w:val="2"/>
            <w:vMerge/>
            <w:tcBorders>
              <w:left w:val="single" w:sz="4" w:space="0" w:color="000000"/>
              <w:bottom w:val="single" w:sz="4" w:space="0" w:color="000000"/>
              <w:right w:val="single" w:sz="4" w:space="0" w:color="000000"/>
            </w:tcBorders>
            <w:shd w:val="clear" w:color="auto" w:fill="D2D2D2"/>
          </w:tcPr>
          <w:p>
            <w:pPr/>
          </w:p>
        </w:tc>
        <w:tc>
          <w:tcPr>
            <w:tcW w:w="1204" w:type="dxa"/>
            <w:gridSpan w:val="3"/>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1187" w:top="1060" w:bottom="138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560"/>
        <w:gridCol w:w="1320"/>
        <w:gridCol w:w="788"/>
        <w:gridCol w:w="868"/>
        <w:gridCol w:w="707"/>
        <w:gridCol w:w="995"/>
        <w:gridCol w:w="851"/>
        <w:gridCol w:w="1276"/>
        <w:gridCol w:w="1204"/>
      </w:tblGrid>
      <w:tr>
        <w:trPr>
          <w:trHeight w:val="67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20" w:type="dxa"/>
            <w:tcBorders>
              <w:top w:val="single" w:sz="4" w:space="0" w:color="000000"/>
              <w:left w:val="single" w:sz="4" w:space="0" w:color="000000"/>
              <w:bottom w:val="single" w:sz="4" w:space="0" w:color="000000"/>
              <w:right w:val="single" w:sz="4" w:space="0" w:color="FFFFFF"/>
            </w:tcBorders>
            <w:shd w:val="clear" w:color="auto" w:fill="D2D2D2"/>
          </w:tcPr>
          <w:p>
            <w:pPr/>
          </w:p>
        </w:tc>
        <w:tc>
          <w:tcPr>
            <w:tcW w:w="788" w:type="dxa"/>
            <w:tcBorders>
              <w:top w:val="single" w:sz="4" w:space="0" w:color="000000"/>
              <w:left w:val="single" w:sz="4" w:space="0" w:color="FFFFFF"/>
              <w:bottom w:val="single" w:sz="4" w:space="0" w:color="000000"/>
              <w:right w:val="single" w:sz="4" w:space="0" w:color="000000"/>
            </w:tcBorders>
            <w:shd w:val="clear" w:color="auto" w:fill="D2D2D2"/>
          </w:tcPr>
          <w:p>
            <w:pPr/>
          </w:p>
        </w:tc>
        <w:tc>
          <w:tcPr>
            <w:tcW w:w="8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57" w:right="77" w:hanging="180"/>
              <w:jc w:val="left"/>
              <w:rPr>
                <w:rFonts w:ascii="宋体" w:hAnsi="宋体" w:cs="宋体" w:eastAsia="宋体" w:hint="default"/>
                <w:sz w:val="18"/>
                <w:szCs w:val="18"/>
              </w:rPr>
            </w:pPr>
            <w:r>
              <w:rPr>
                <w:rFonts w:ascii="宋体" w:hAnsi="宋体" w:cs="宋体" w:eastAsia="宋体" w:hint="default"/>
                <w:sz w:val="18"/>
                <w:szCs w:val="18"/>
              </w:rPr>
              <w:t>变动情 况</w:t>
            </w:r>
          </w:p>
        </w:tc>
        <w:tc>
          <w:tcPr>
            <w:tcW w:w="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59"/>
              <w:jc w:val="right"/>
              <w:rPr>
                <w:rFonts w:ascii="宋体" w:hAnsi="宋体" w:cs="宋体" w:eastAsia="宋体" w:hint="default"/>
                <w:sz w:val="18"/>
                <w:szCs w:val="18"/>
              </w:rPr>
            </w:pPr>
            <w:r>
              <w:rPr>
                <w:rFonts w:ascii="宋体" w:hAnsi="宋体" w:cs="宋体" w:eastAsia="宋体" w:hint="default"/>
                <w:sz w:val="18"/>
                <w:szCs w:val="18"/>
              </w:rPr>
              <w:t>股份数量</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0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鹰潭市鹰高投资咨 询有限公司</w:t>
            </w:r>
          </w:p>
        </w:tc>
        <w:tc>
          <w:tcPr>
            <w:tcW w:w="1320"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32.42%</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43,228,000</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43,228,000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不适用</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银联科技有限公司</w:t>
            </w:r>
          </w:p>
        </w:tc>
        <w:tc>
          <w:tcPr>
            <w:tcW w:w="1320"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88"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20.25%</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27,000,000</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27,000,000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不适用</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贵昌有限公司</w:t>
            </w:r>
          </w:p>
        </w:tc>
        <w:tc>
          <w:tcPr>
            <w:tcW w:w="1320"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88"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10.84%</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14,450,000</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14,450,000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不适用</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鹰潭市锐鹰投资咨 询有限公司</w:t>
            </w:r>
          </w:p>
        </w:tc>
        <w:tc>
          <w:tcPr>
            <w:tcW w:w="1320"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2.29%</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3,050,000</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3,050,000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不适用</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鹰潭市华鹰投资咨 询有限公司</w:t>
            </w:r>
          </w:p>
        </w:tc>
        <w:tc>
          <w:tcPr>
            <w:tcW w:w="1320"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2.26%</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3,012,000</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3,012,000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不适用</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鹰潭市鹰达投资咨 询有限公司</w:t>
            </w:r>
          </w:p>
        </w:tc>
        <w:tc>
          <w:tcPr>
            <w:tcW w:w="1320"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2.09%</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2,782,000</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2,782,000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不适用</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鹰潭市鹰伟投资咨 询有限公司</w:t>
            </w:r>
          </w:p>
        </w:tc>
        <w:tc>
          <w:tcPr>
            <w:tcW w:w="1320"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2.08%</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2,771,000</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2,771,000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不适用</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中央汇金资产管理 有限责任公司</w:t>
            </w:r>
          </w:p>
        </w:tc>
        <w:tc>
          <w:tcPr>
            <w:tcW w:w="1320"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1.76%</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2,350,600</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2,350,600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不适用</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鹰潭市鹰杰投资咨 询有限公司</w:t>
            </w:r>
          </w:p>
        </w:tc>
        <w:tc>
          <w:tcPr>
            <w:tcW w:w="1320"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1.46%</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1,953,000</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1,953,000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不适用</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鹰潭市鹰飞投资咨 询有限公司</w:t>
            </w:r>
          </w:p>
        </w:tc>
        <w:tc>
          <w:tcPr>
            <w:tcW w:w="1320"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1.32%</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1,754,000</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1,754,000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不适用</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2880" w:type="dxa"/>
            <w:gridSpan w:val="2"/>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30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8" w:type="dxa"/>
            <w:gridSpan w:val="7"/>
            <w:tcBorders>
              <w:top w:val="single" w:sz="4" w:space="0" w:color="000000"/>
              <w:left w:val="single" w:sz="4" w:space="0" w:color="FFFFFF"/>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8" w:type="dxa"/>
            <w:gridSpan w:val="7"/>
            <w:tcBorders>
              <w:top w:val="single" w:sz="4" w:space="0" w:color="000000"/>
              <w:left w:val="single" w:sz="4" w:space="0" w:color="FFFFFF"/>
              <w:bottom w:val="single" w:sz="4" w:space="0" w:color="000000"/>
              <w:right w:val="single" w:sz="4" w:space="0" w:color="000000"/>
            </w:tcBorders>
            <w:shd w:val="clear" w:color="auto" w:fill="C6ECCC"/>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1"/>
                <w:sz w:val="18"/>
                <w:szCs w:val="18"/>
              </w:rPr>
              <w:t>鹰潭市锐鹰投资咨询有限公司、鹰潭市华鹰投资咨询有限公司为控股股东鹰潭市鹰高</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投资咨询有限公司的关联方</w:t>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5" w:hRule="exact"/>
        </w:trPr>
        <w:tc>
          <w:tcPr>
            <w:tcW w:w="288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4209"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47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88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209"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748"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479"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80" w:type="dxa"/>
            <w:gridSpan w:val="2"/>
            <w:vMerge/>
            <w:tcBorders>
              <w:left w:val="single" w:sz="4" w:space="0" w:color="000000"/>
              <w:bottom w:val="nil" w:sz="6" w:space="0" w:color="auto"/>
              <w:right w:val="single" w:sz="4" w:space="0" w:color="000000"/>
            </w:tcBorders>
            <w:shd w:val="clear" w:color="auto" w:fill="D2D2D2"/>
          </w:tcPr>
          <w:p>
            <w:pPr/>
          </w:p>
        </w:tc>
        <w:tc>
          <w:tcPr>
            <w:tcW w:w="4209" w:type="dxa"/>
            <w:gridSpan w:val="5"/>
            <w:vMerge/>
            <w:tcBorders>
              <w:left w:val="single" w:sz="4" w:space="0" w:color="000000"/>
              <w:bottom w:val="nil" w:sz="6" w:space="0" w:color="auto"/>
              <w:right w:val="single" w:sz="4" w:space="0" w:color="000000"/>
            </w:tcBorders>
            <w:shd w:val="clear" w:color="auto" w:fill="D2D2D2"/>
          </w:tcPr>
          <w:p>
            <w:pP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72"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2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4209"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20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420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2,350,600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2,350,600</w:t>
            </w:r>
          </w:p>
        </w:tc>
      </w:tr>
      <w:tr>
        <w:trPr>
          <w:trHeight w:val="1026"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both"/>
              <w:rPr>
                <w:rFonts w:ascii="宋体" w:hAnsi="宋体" w:cs="宋体" w:eastAsia="宋体" w:hint="default"/>
                <w:sz w:val="18"/>
                <w:szCs w:val="18"/>
              </w:rPr>
            </w:pPr>
            <w:r>
              <w:rPr>
                <w:rFonts w:ascii="宋体" w:hAnsi="宋体" w:cs="宋体" w:eastAsia="宋体" w:hint="default"/>
                <w:sz w:val="18"/>
                <w:szCs w:val="18"/>
              </w:rPr>
              <w:t>中国农业银行股份有限公司－中邮 信息产业灵活配置混合型证券投资 基金</w:t>
            </w:r>
          </w:p>
        </w:tc>
        <w:tc>
          <w:tcPr>
            <w:tcW w:w="420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1,600,000</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中国工商银行－易方达价值成长混 合型证券投资基金</w:t>
            </w:r>
          </w:p>
        </w:tc>
        <w:tc>
          <w:tcPr>
            <w:tcW w:w="420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1,391,236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1,391,236</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全国社保基金一零九组合</w:t>
            </w:r>
          </w:p>
        </w:tc>
        <w:tc>
          <w:tcPr>
            <w:tcW w:w="420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1,030,104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1,030,104</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中国建设银行股份有限公司－泰达 宏利市值优选混合型证券投资基金</w:t>
            </w:r>
          </w:p>
        </w:tc>
        <w:tc>
          <w:tcPr>
            <w:tcW w:w="420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1,017,433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1,017,433</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交通银行股份有限公司－浦银安盛</w:t>
            </w:r>
          </w:p>
        </w:tc>
        <w:tc>
          <w:tcPr>
            <w:tcW w:w="420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633,102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633,102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7" w:top="1060" w:bottom="138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80"/>
        <w:gridCol w:w="4209"/>
        <w:gridCol w:w="1276"/>
        <w:gridCol w:w="1204"/>
      </w:tblGrid>
      <w:tr>
        <w:trPr>
          <w:trHeight w:val="36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战略新兴产业混合型证券投资基金</w:t>
            </w:r>
          </w:p>
        </w:tc>
        <w:tc>
          <w:tcPr>
            <w:tcW w:w="42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全国社保基金四零六组合</w:t>
            </w:r>
          </w:p>
        </w:tc>
        <w:tc>
          <w:tcPr>
            <w:tcW w:w="4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558,300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558,300</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陈慰忠</w:t>
            </w:r>
          </w:p>
        </w:tc>
        <w:tc>
          <w:tcPr>
            <w:tcW w:w="4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537,711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537,711</w:t>
            </w:r>
          </w:p>
        </w:tc>
      </w:tr>
      <w:tr>
        <w:trPr>
          <w:trHeight w:val="71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中国工商银行股份有限公司－汇添 富移动互联股票型证券投资基金</w:t>
            </w:r>
          </w:p>
        </w:tc>
        <w:tc>
          <w:tcPr>
            <w:tcW w:w="4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407,199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407,199</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陈琼珊</w:t>
            </w:r>
          </w:p>
        </w:tc>
        <w:tc>
          <w:tcPr>
            <w:tcW w:w="4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369,000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369,000</w:t>
            </w:r>
          </w:p>
        </w:tc>
      </w:tr>
      <w:tr>
        <w:trPr>
          <w:trHeight w:val="1338"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1"/>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8" w:type="dxa"/>
            <w:gridSpan w:val="3"/>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公司未知前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名无限售股股东是否为一致行动人。</w:t>
            </w:r>
          </w:p>
        </w:tc>
      </w:tr>
      <w:tr>
        <w:trPr>
          <w:trHeight w:val="1026"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5"/>
                <w:sz w:val="18"/>
                <w:szCs w:val="18"/>
              </w:rPr>
              <w:t>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88" w:type="dxa"/>
            <w:gridSpan w:val="3"/>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其中，股东陈慰忠除通过普通证券账户持有公司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238,440 </w:t>
            </w:r>
            <w:r>
              <w:rPr>
                <w:rFonts w:ascii="宋体" w:hAnsi="宋体" w:cs="宋体" w:eastAsia="宋体" w:hint="default"/>
                <w:sz w:val="18"/>
                <w:szCs w:val="18"/>
              </w:rPr>
              <w:t>股外，还通过投资者信用账</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户持有公司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299,271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股；股东陈琼珊除通过普通证券账户持有公司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327,200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股外，还</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通过投资者信用账户持有公司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41,800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pStyle w:val="BodyText"/>
        <w:spacing w:line="240" w:lineRule="auto" w:before="51"/>
        <w:ind w:left="1134"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公司控股股东情况" w:id="108"/>
      <w:bookmarkEnd w:id="108"/>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593"/>
        <w:jc w:val="left"/>
      </w:pPr>
      <w:r>
        <w:rPr/>
        <w:t>控股股东性质：自然人控股 控股股东类型：法人</w:t>
      </w:r>
    </w:p>
    <w:tbl>
      <w:tblPr>
        <w:tblW w:w="0" w:type="auto"/>
        <w:jc w:val="left"/>
        <w:tblInd w:w="1129" w:type="dxa"/>
        <w:tblLayout w:type="fixed"/>
        <w:tblCellMar>
          <w:top w:w="0" w:type="dxa"/>
          <w:left w:w="0" w:type="dxa"/>
          <w:bottom w:w="0" w:type="dxa"/>
          <w:right w:w="0" w:type="dxa"/>
        </w:tblCellMar>
        <w:tblLook w:val="01E0"/>
      </w:tblPr>
      <w:tblGrid>
        <w:gridCol w:w="2410"/>
        <w:gridCol w:w="1986"/>
        <w:gridCol w:w="1712"/>
        <w:gridCol w:w="1274"/>
        <w:gridCol w:w="2176"/>
      </w:tblGrid>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控股股东名称</w:t>
            </w:r>
          </w:p>
        </w:tc>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单位负责人</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4"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2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2"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161" w:hRule="exact"/>
        </w:trPr>
        <w:tc>
          <w:tcPr>
            <w:tcW w:w="2410" w:type="dxa"/>
            <w:tcBorders>
              <w:top w:val="single" w:sz="4" w:space="0" w:color="000000"/>
              <w:left w:val="single" w:sz="4" w:space="0" w:color="000000"/>
              <w:bottom w:val="nil" w:sz="6" w:space="0" w:color="auto"/>
              <w:right w:val="single" w:sz="4" w:space="0" w:color="000000"/>
            </w:tcBorders>
            <w:shd w:val="clear" w:color="auto" w:fill="C6ECCC"/>
          </w:tcPr>
          <w:p>
            <w:pPr/>
          </w:p>
        </w:tc>
        <w:tc>
          <w:tcPr>
            <w:tcW w:w="1986" w:type="dxa"/>
            <w:tcBorders>
              <w:top w:val="single" w:sz="4" w:space="0" w:color="000000"/>
              <w:left w:val="single" w:sz="4" w:space="0" w:color="000000"/>
              <w:bottom w:val="nil" w:sz="6" w:space="0" w:color="auto"/>
              <w:right w:val="single" w:sz="4" w:space="0" w:color="000000"/>
            </w:tcBorders>
            <w:shd w:val="clear" w:color="auto" w:fill="C6ECCC"/>
          </w:tcPr>
          <w:p>
            <w:pPr/>
          </w:p>
        </w:tc>
        <w:tc>
          <w:tcPr>
            <w:tcW w:w="1712" w:type="dxa"/>
            <w:vMerge w:val="restart"/>
            <w:tcBorders>
              <w:top w:val="single" w:sz="4" w:space="0" w:color="000000"/>
              <w:left w:val="single" w:sz="9" w:space="0" w:color="C6ECCC"/>
              <w:right w:val="single" w:sz="9" w:space="0" w:color="C6ECCC"/>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274" w:type="dxa"/>
            <w:tcBorders>
              <w:top w:val="single" w:sz="4" w:space="0" w:color="000000"/>
              <w:left w:val="single" w:sz="4" w:space="0" w:color="000000"/>
              <w:bottom w:val="nil" w:sz="6" w:space="0" w:color="auto"/>
              <w:right w:val="single" w:sz="4" w:space="0" w:color="000000"/>
            </w:tcBorders>
            <w:shd w:val="clear" w:color="auto" w:fill="C6ECCC"/>
          </w:tcPr>
          <w:p>
            <w:pPr/>
          </w:p>
        </w:tc>
        <w:tc>
          <w:tcPr>
            <w:tcW w:w="2176" w:type="dxa"/>
            <w:vMerge w:val="restart"/>
            <w:tcBorders>
              <w:top w:val="single" w:sz="4" w:space="0" w:color="000000"/>
              <w:left w:val="single" w:sz="4" w:space="0" w:color="000000"/>
              <w:right w:val="single" w:sz="4" w:space="0" w:color="000000"/>
            </w:tcBorders>
            <w:shd w:val="clear" w:color="auto" w:fill="C6ECCC"/>
          </w:tcPr>
          <w:p>
            <w:pPr>
              <w:pStyle w:val="TableParagraph"/>
              <w:spacing w:line="316" w:lineRule="auto" w:before="51"/>
              <w:ind w:left="11" w:right="9"/>
              <w:jc w:val="left"/>
              <w:rPr>
                <w:rFonts w:ascii="宋体" w:hAnsi="宋体" w:cs="宋体" w:eastAsia="宋体" w:hint="default"/>
                <w:sz w:val="18"/>
                <w:szCs w:val="18"/>
              </w:rPr>
            </w:pPr>
            <w:r>
              <w:rPr>
                <w:rFonts w:ascii="宋体" w:hAnsi="宋体" w:cs="宋体" w:eastAsia="宋体" w:hint="default"/>
                <w:spacing w:val="-2"/>
                <w:sz w:val="18"/>
                <w:szCs w:val="18"/>
              </w:rPr>
              <w:t>投资，企业管理咨询；营销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策划</w:t>
            </w:r>
          </w:p>
        </w:tc>
      </w:tr>
      <w:tr>
        <w:trPr>
          <w:trHeight w:val="392" w:hRule="exact"/>
        </w:trPr>
        <w:tc>
          <w:tcPr>
            <w:tcW w:w="24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鹰潭市鹰高投资咨询有限公司</w:t>
            </w:r>
          </w:p>
        </w:tc>
        <w:tc>
          <w:tcPr>
            <w:tcW w:w="198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于伟</w:t>
            </w:r>
          </w:p>
        </w:tc>
        <w:tc>
          <w:tcPr>
            <w:tcW w:w="1712" w:type="dxa"/>
            <w:vMerge/>
            <w:tcBorders>
              <w:left w:val="single" w:sz="9" w:space="0" w:color="C6ECCC"/>
              <w:right w:val="single" w:sz="9" w:space="0" w:color="C6ECCC"/>
            </w:tcBorders>
          </w:tcPr>
          <w:p>
            <w:pPr/>
          </w:p>
        </w:tc>
        <w:tc>
          <w:tcPr>
            <w:tcW w:w="1274"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568655130</w:t>
            </w:r>
          </w:p>
        </w:tc>
        <w:tc>
          <w:tcPr>
            <w:tcW w:w="2176" w:type="dxa"/>
            <w:vMerge/>
            <w:tcBorders>
              <w:left w:val="single" w:sz="4" w:space="0" w:color="000000"/>
              <w:right w:val="single" w:sz="4" w:space="0" w:color="000000"/>
            </w:tcBorders>
            <w:shd w:val="clear" w:color="auto" w:fill="C6ECCC"/>
          </w:tcPr>
          <w:p>
            <w:pPr/>
          </w:p>
        </w:tc>
      </w:tr>
      <w:tr>
        <w:trPr>
          <w:trHeight w:val="161" w:hRule="exact"/>
        </w:trPr>
        <w:tc>
          <w:tcPr>
            <w:tcW w:w="2410" w:type="dxa"/>
            <w:tcBorders>
              <w:top w:val="nil" w:sz="6" w:space="0" w:color="auto"/>
              <w:left w:val="single" w:sz="4" w:space="0" w:color="000000"/>
              <w:bottom w:val="single" w:sz="4" w:space="0" w:color="000000"/>
              <w:right w:val="single" w:sz="4" w:space="0" w:color="000000"/>
            </w:tcBorders>
            <w:shd w:val="clear" w:color="auto" w:fill="C6ECCC"/>
          </w:tcPr>
          <w:p>
            <w:pPr/>
          </w:p>
        </w:tc>
        <w:tc>
          <w:tcPr>
            <w:tcW w:w="1986" w:type="dxa"/>
            <w:tcBorders>
              <w:top w:val="nil" w:sz="6" w:space="0" w:color="auto"/>
              <w:left w:val="single" w:sz="4" w:space="0" w:color="000000"/>
              <w:bottom w:val="single" w:sz="4" w:space="0" w:color="000000"/>
              <w:right w:val="single" w:sz="4" w:space="0" w:color="000000"/>
            </w:tcBorders>
            <w:shd w:val="clear" w:color="auto" w:fill="C6ECCC"/>
          </w:tcPr>
          <w:p>
            <w:pPr/>
          </w:p>
        </w:tc>
        <w:tc>
          <w:tcPr>
            <w:tcW w:w="1712" w:type="dxa"/>
            <w:vMerge/>
            <w:tcBorders>
              <w:left w:val="single" w:sz="9" w:space="0" w:color="C6ECCC"/>
              <w:bottom w:val="single" w:sz="4" w:space="0" w:color="000000"/>
              <w:right w:val="single" w:sz="9" w:space="0" w:color="C6ECCC"/>
            </w:tcBorders>
          </w:tcPr>
          <w:p>
            <w:pPr/>
          </w:p>
        </w:tc>
        <w:tc>
          <w:tcPr>
            <w:tcW w:w="1274" w:type="dxa"/>
            <w:tcBorders>
              <w:top w:val="nil" w:sz="6" w:space="0" w:color="auto"/>
              <w:left w:val="single" w:sz="4" w:space="0" w:color="000000"/>
              <w:bottom w:val="single" w:sz="4" w:space="0" w:color="000000"/>
              <w:right w:val="single" w:sz="4" w:space="0" w:color="000000"/>
            </w:tcBorders>
            <w:shd w:val="clear" w:color="auto" w:fill="C6ECCC"/>
          </w:tcPr>
          <w:p>
            <w:pPr/>
          </w:p>
        </w:tc>
        <w:tc>
          <w:tcPr>
            <w:tcW w:w="2176" w:type="dxa"/>
            <w:vMerge/>
            <w:tcBorders>
              <w:left w:val="single" w:sz="4" w:space="0" w:color="000000"/>
              <w:bottom w:val="single" w:sz="4" w:space="0" w:color="000000"/>
              <w:right w:val="single" w:sz="4" w:space="0" w:color="000000"/>
            </w:tcBorders>
            <w:shd w:val="clear" w:color="auto" w:fill="C6ECCC"/>
          </w:tcPr>
          <w:p>
            <w:pPr/>
          </w:p>
        </w:tc>
      </w:tr>
      <w:tr>
        <w:trPr>
          <w:trHeight w:val="317" w:hRule="exact"/>
        </w:trPr>
        <w:tc>
          <w:tcPr>
            <w:tcW w:w="2410" w:type="dxa"/>
            <w:vMerge w:val="restart"/>
            <w:tcBorders>
              <w:top w:val="single" w:sz="4" w:space="0" w:color="000000"/>
              <w:left w:val="single" w:sz="4" w:space="0" w:color="000000"/>
              <w:right w:val="single" w:sz="10" w:space="0" w:color="C6ECCC"/>
            </w:tcBorders>
            <w:shd w:val="clear" w:color="auto" w:fill="D2D2D2"/>
          </w:tcPr>
          <w:p>
            <w:pPr>
              <w:pStyle w:val="TableParagraph"/>
              <w:spacing w:line="316" w:lineRule="auto" w:before="51"/>
              <w:ind w:left="22" w:right="28"/>
              <w:jc w:val="both"/>
              <w:rPr>
                <w:rFonts w:ascii="宋体" w:hAnsi="宋体" w:cs="宋体" w:eastAsia="宋体" w:hint="default"/>
                <w:sz w:val="18"/>
                <w:szCs w:val="18"/>
              </w:rPr>
            </w:pPr>
            <w:r>
              <w:rPr>
                <w:rFonts w:ascii="宋体" w:hAnsi="宋体" w:cs="宋体" w:eastAsia="宋体" w:hint="default"/>
                <w:sz w:val="18"/>
                <w:szCs w:val="18"/>
              </w:rPr>
              <w:t>控股股东报告期内控股和参股 的其他境内外上市公司的股权 情况</w:t>
            </w:r>
          </w:p>
        </w:tc>
        <w:tc>
          <w:tcPr>
            <w:tcW w:w="7147" w:type="dxa"/>
            <w:gridSpan w:val="4"/>
            <w:tcBorders>
              <w:top w:val="single" w:sz="4" w:space="0" w:color="000000"/>
              <w:left w:val="single" w:sz="4" w:space="0" w:color="000000"/>
              <w:bottom w:val="nil" w:sz="6" w:space="0" w:color="auto"/>
              <w:right w:val="single" w:sz="4" w:space="0" w:color="000000"/>
            </w:tcBorders>
            <w:shd w:val="clear" w:color="auto" w:fill="C6ECCC"/>
          </w:tcPr>
          <w:p>
            <w:pPr/>
          </w:p>
        </w:tc>
      </w:tr>
      <w:tr>
        <w:trPr>
          <w:trHeight w:val="392" w:hRule="exact"/>
        </w:trPr>
        <w:tc>
          <w:tcPr>
            <w:tcW w:w="2410" w:type="dxa"/>
            <w:vMerge/>
            <w:tcBorders>
              <w:left w:val="single" w:sz="4" w:space="0" w:color="000000"/>
              <w:right w:val="single" w:sz="10" w:space="0" w:color="C6ECCC"/>
            </w:tcBorders>
            <w:shd w:val="clear" w:color="auto" w:fill="D2D2D2"/>
          </w:tcPr>
          <w:p>
            <w:pPr/>
          </w:p>
        </w:tc>
        <w:tc>
          <w:tcPr>
            <w:tcW w:w="7147" w:type="dxa"/>
            <w:gridSpan w:val="4"/>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17" w:hRule="exact"/>
        </w:trPr>
        <w:tc>
          <w:tcPr>
            <w:tcW w:w="2410" w:type="dxa"/>
            <w:vMerge/>
            <w:tcBorders>
              <w:left w:val="single" w:sz="4" w:space="0" w:color="000000"/>
              <w:bottom w:val="single" w:sz="4" w:space="0" w:color="000000"/>
              <w:right w:val="single" w:sz="10" w:space="0" w:color="C6ECCC"/>
            </w:tcBorders>
            <w:shd w:val="clear" w:color="auto" w:fill="D2D2D2"/>
          </w:tcPr>
          <w:p>
            <w:pPr/>
          </w:p>
        </w:tc>
        <w:tc>
          <w:tcPr>
            <w:tcW w:w="7147" w:type="dxa"/>
            <w:gridSpan w:val="4"/>
            <w:tcBorders>
              <w:top w:val="nil" w:sz="6" w:space="0" w:color="auto"/>
              <w:left w:val="single" w:sz="4" w:space="0" w:color="000000"/>
              <w:bottom w:val="single" w:sz="4" w:space="0" w:color="000000"/>
              <w:right w:val="single" w:sz="4" w:space="0" w:color="000000"/>
            </w:tcBorders>
            <w:shd w:val="clear" w:color="auto" w:fill="C6ECCC"/>
          </w:tcPr>
          <w:p>
            <w:pPr/>
          </w:p>
        </w:tc>
      </w:tr>
    </w:tbl>
    <w:p>
      <w:pPr>
        <w:pStyle w:val="BodyText"/>
        <w:spacing w:line="240" w:lineRule="auto" w:before="68"/>
        <w:ind w:left="1134" w:right="0"/>
        <w:jc w:val="left"/>
      </w:pPr>
      <w:r>
        <w:rPr/>
        <w:t>控股股东报告期内变更</w:t>
      </w:r>
    </w:p>
    <w:p>
      <w:pPr>
        <w:pStyle w:val="BodyText"/>
        <w:spacing w:line="338" w:lineRule="auto" w:before="117"/>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bookmarkStart w:name="3、公司实际控制人情况" w:id="109"/>
      <w:bookmarkEnd w:id="109"/>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413"/>
        <w:jc w:val="left"/>
      </w:pPr>
      <w:r>
        <w:rPr/>
        <w:t>实际控制人性质：境内自然人 实际控制人类型：自然人</w:t>
      </w:r>
    </w:p>
    <w:tbl>
      <w:tblPr>
        <w:tblW w:w="0" w:type="auto"/>
        <w:jc w:val="left"/>
        <w:tblInd w:w="1129" w:type="dxa"/>
        <w:tblLayout w:type="fixed"/>
        <w:tblCellMar>
          <w:top w:w="0" w:type="dxa"/>
          <w:left w:w="0" w:type="dxa"/>
          <w:bottom w:w="0" w:type="dxa"/>
          <w:right w:w="0" w:type="dxa"/>
        </w:tblCellMar>
        <w:tblLook w:val="01E0"/>
      </w:tblPr>
      <w:tblGrid>
        <w:gridCol w:w="3339"/>
        <w:gridCol w:w="2109"/>
        <w:gridCol w:w="4120"/>
      </w:tblGrid>
      <w:tr>
        <w:trPr>
          <w:trHeight w:val="397" w:hRule="exact"/>
        </w:trPr>
        <w:tc>
          <w:tcPr>
            <w:tcW w:w="3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8"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7" w:hRule="exact"/>
        </w:trPr>
        <w:tc>
          <w:tcPr>
            <w:tcW w:w="333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6"/>
              <w:ind w:right="10"/>
              <w:jc w:val="center"/>
              <w:rPr>
                <w:rFonts w:ascii="宋体" w:hAnsi="宋体" w:cs="宋体" w:eastAsia="宋体" w:hint="default"/>
                <w:sz w:val="18"/>
                <w:szCs w:val="18"/>
              </w:rPr>
            </w:pPr>
            <w:r>
              <w:rPr>
                <w:rFonts w:ascii="宋体" w:hAnsi="宋体" w:cs="宋体" w:eastAsia="宋体" w:hint="default"/>
                <w:sz w:val="18"/>
                <w:szCs w:val="18"/>
              </w:rPr>
              <w:t>于伟</w:t>
            </w:r>
          </w:p>
        </w:tc>
        <w:tc>
          <w:tcPr>
            <w:tcW w:w="210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6"/>
              <w:ind w:right="10"/>
              <w:jc w:val="center"/>
              <w:rPr>
                <w:rFonts w:ascii="宋体" w:hAnsi="宋体" w:cs="宋体" w:eastAsia="宋体" w:hint="default"/>
                <w:sz w:val="18"/>
                <w:szCs w:val="18"/>
              </w:rPr>
            </w:pPr>
            <w:r>
              <w:rPr>
                <w:rFonts w:ascii="宋体" w:hAnsi="宋体" w:cs="宋体" w:eastAsia="宋体" w:hint="default"/>
                <w:sz w:val="18"/>
                <w:szCs w:val="18"/>
              </w:rPr>
              <w:t>中国</w:t>
            </w:r>
          </w:p>
        </w:tc>
        <w:tc>
          <w:tcPr>
            <w:tcW w:w="4120"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56"/>
              <w:ind w:right="1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39" w:type="dxa"/>
            <w:tcBorders>
              <w:top w:val="single" w:sz="4" w:space="0" w:color="000000"/>
              <w:left w:val="single" w:sz="4" w:space="0" w:color="000000"/>
              <w:bottom w:val="single" w:sz="4" w:space="0" w:color="000000"/>
              <w:right w:val="single" w:sz="9" w:space="0" w:color="C6ECCC"/>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29" w:type="dxa"/>
            <w:gridSpan w:val="2"/>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任公司董事长</w:t>
            </w:r>
          </w:p>
        </w:tc>
      </w:tr>
      <w:tr>
        <w:trPr>
          <w:trHeight w:val="402" w:hRule="exact"/>
        </w:trPr>
        <w:tc>
          <w:tcPr>
            <w:tcW w:w="3339" w:type="dxa"/>
            <w:tcBorders>
              <w:top w:val="single" w:sz="4" w:space="0" w:color="000000"/>
              <w:left w:val="single" w:sz="4" w:space="0" w:color="000000"/>
              <w:bottom w:val="single" w:sz="4" w:space="0" w:color="000000"/>
              <w:right w:val="single" w:sz="9" w:space="0" w:color="C6ECCC"/>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29" w:type="dxa"/>
            <w:gridSpan w:val="2"/>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877" w:footer="1187" w:top="1060" w:bottom="138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实际控制人报告期内变更</w:t>
      </w:r>
    </w:p>
    <w:p>
      <w:pPr>
        <w:pStyle w:val="BodyText"/>
        <w:spacing w:line="348" w:lineRule="auto" w:before="116"/>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line="240" w:lineRule="auto" w:before="3"/>
        <w:rPr>
          <w:rFonts w:ascii="宋体" w:hAnsi="宋体" w:cs="宋体" w:eastAsia="宋体" w:hint="default"/>
          <w:sz w:val="20"/>
          <w:szCs w:val="20"/>
        </w:rPr>
      </w:pPr>
    </w:p>
    <w:p>
      <w:pPr>
        <w:spacing w:line="4515" w:lineRule="exact"/>
        <w:ind w:left="2336" w:right="0" w:firstLine="0"/>
        <w:rPr>
          <w:rFonts w:ascii="宋体" w:hAnsi="宋体" w:cs="宋体" w:eastAsia="宋体" w:hint="default"/>
          <w:sz w:val="20"/>
          <w:szCs w:val="20"/>
        </w:rPr>
      </w:pPr>
      <w:r>
        <w:rPr>
          <w:rFonts w:ascii="宋体" w:hAnsi="宋体" w:cs="宋体" w:eastAsia="宋体" w:hint="default"/>
          <w:position w:val="-89"/>
          <w:sz w:val="20"/>
          <w:szCs w:val="20"/>
        </w:rPr>
        <w:drawing>
          <wp:inline distT="0" distB="0" distL="0" distR="0">
            <wp:extent cx="4591555" cy="2867025"/>
            <wp:effectExtent l="0" t="0" r="0" b="0"/>
            <wp:docPr id="5" name="image5.jpeg" descr=""/>
            <wp:cNvGraphicFramePr>
              <a:graphicFrameLocks noChangeAspect="1"/>
            </wp:cNvGraphicFramePr>
            <a:graphic>
              <a:graphicData uri="http://schemas.openxmlformats.org/drawingml/2006/picture">
                <pic:pic>
                  <pic:nvPicPr>
                    <pic:cNvPr id="6" name="image5.jpeg"/>
                    <pic:cNvPicPr/>
                  </pic:nvPicPr>
                  <pic:blipFill>
                    <a:blip r:embed="rId15" cstate="print"/>
                    <a:stretch>
                      <a:fillRect/>
                    </a:stretch>
                  </pic:blipFill>
                  <pic:spPr>
                    <a:xfrm>
                      <a:off x="0" y="0"/>
                      <a:ext cx="4591555" cy="2867025"/>
                    </a:xfrm>
                    <a:prstGeom prst="rect">
                      <a:avLst/>
                    </a:prstGeom>
                  </pic:spPr>
                </pic:pic>
              </a:graphicData>
            </a:graphic>
          </wp:inline>
        </w:drawing>
      </w:r>
      <w:r>
        <w:rPr>
          <w:rFonts w:ascii="宋体" w:hAnsi="宋体" w:cs="宋体" w:eastAsia="宋体" w:hint="default"/>
          <w:position w:val="-89"/>
          <w:sz w:val="20"/>
          <w:szCs w:val="20"/>
        </w:rPr>
      </w:r>
    </w:p>
    <w:p>
      <w:pPr>
        <w:spacing w:line="240" w:lineRule="auto" w:before="8"/>
        <w:rPr>
          <w:rFonts w:ascii="宋体" w:hAnsi="宋体" w:cs="宋体" w:eastAsia="宋体" w:hint="default"/>
          <w:sz w:val="22"/>
          <w:szCs w:val="22"/>
        </w:rPr>
      </w:pPr>
    </w:p>
    <w:p>
      <w:pPr>
        <w:pStyle w:val="BodyText"/>
        <w:spacing w:line="240" w:lineRule="auto"/>
        <w:ind w:right="0"/>
        <w:jc w:val="left"/>
      </w:pPr>
      <w:r>
        <w:rPr/>
        <w:t>实际控制人通过信托或其他资产管理方式控制公司</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4、其他持股在10%以上的法人股东" w:id="110"/>
      <w:bookmarkEnd w:id="110"/>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2579"/>
        <w:gridCol w:w="1817"/>
        <w:gridCol w:w="1559"/>
        <w:gridCol w:w="1490"/>
        <w:gridCol w:w="2124"/>
      </w:tblGrid>
      <w:tr>
        <w:trPr>
          <w:trHeight w:val="709" w:hRule="exact"/>
        </w:trPr>
        <w:tc>
          <w:tcPr>
            <w:tcW w:w="2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4"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812" w:right="67" w:hanging="74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79"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2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主要经营业务或管理活动</w:t>
            </w:r>
          </w:p>
        </w:tc>
      </w:tr>
      <w:tr>
        <w:trPr>
          <w:trHeight w:val="719" w:hRule="exact"/>
        </w:trPr>
        <w:tc>
          <w:tcPr>
            <w:tcW w:w="25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银联科技有限公司</w:t>
            </w:r>
          </w:p>
        </w:tc>
        <w:tc>
          <w:tcPr>
            <w:tcW w:w="181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40" w:lineRule="auto" w:before="56"/>
              <w:ind w:left="22" w:right="2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GOH Peng </w:t>
            </w:r>
            <w:r>
              <w:rPr>
                <w:rFonts w:ascii="Times New Roman" w:hAnsi="Times New Roman" w:cs="Times New Roman" w:eastAsia="Times New Roman" w:hint="default"/>
                <w:spacing w:val="-7"/>
                <w:sz w:val="18"/>
                <w:szCs w:val="18"/>
              </w:rPr>
              <w:t>Ooi</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Kwong</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5"/>
                <w:sz w:val="18"/>
                <w:szCs w:val="18"/>
              </w:rPr>
              <w:t>Yong</w:t>
            </w:r>
            <w:r>
              <w:rPr>
                <w:rFonts w:ascii="Times New Roman" w:hAnsi="Times New Roman" w:cs="Times New Roman" w:eastAsia="Times New Roman" w:hint="default"/>
                <w:sz w:val="18"/>
                <w:szCs w:val="18"/>
              </w:rPr>
              <w:t> Sin</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4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港元</w:t>
            </w:r>
          </w:p>
        </w:tc>
        <w:tc>
          <w:tcPr>
            <w:tcW w:w="21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投资控股</w:t>
            </w:r>
          </w:p>
        </w:tc>
      </w:tr>
      <w:tr>
        <w:trPr>
          <w:trHeight w:val="402" w:hRule="exact"/>
        </w:trPr>
        <w:tc>
          <w:tcPr>
            <w:tcW w:w="25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贵昌有限公司</w:t>
            </w:r>
          </w:p>
        </w:tc>
        <w:tc>
          <w:tcPr>
            <w:tcW w:w="181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4"/>
                <w:sz w:val="18"/>
              </w:rPr>
              <w:t>Tan </w:t>
            </w:r>
            <w:r>
              <w:rPr>
                <w:rFonts w:ascii="Times New Roman"/>
                <w:sz w:val="18"/>
              </w:rPr>
              <w:t>Bien</w:t>
            </w:r>
            <w:r>
              <w:rPr>
                <w:rFonts w:ascii="Times New Roman"/>
                <w:spacing w:val="2"/>
                <w:sz w:val="18"/>
              </w:rPr>
              <w:t> </w:t>
            </w:r>
            <w:r>
              <w:rPr>
                <w:rFonts w:ascii="Times New Roman"/>
                <w:sz w:val="18"/>
              </w:rPr>
              <w:t>Chuan</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4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港元</w:t>
            </w:r>
          </w:p>
        </w:tc>
        <w:tc>
          <w:tcPr>
            <w:tcW w:w="21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投资控股</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5、控股股东、实际控制人、重组方及其他承诺主体股份限制减持情况" w:id="111"/>
      <w:bookmarkEnd w:id="111"/>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1187" w:top="1060" w:bottom="138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114"/>
        <w:jc w:val="center"/>
        <w:rPr>
          <w:b w:val="0"/>
          <w:bCs w:val="0"/>
        </w:rPr>
      </w:pPr>
      <w:bookmarkStart w:name="第七节 优先股相关情况" w:id="112"/>
      <w:bookmarkEnd w:id="112"/>
      <w:r>
        <w:rPr>
          <w:b w:val="0"/>
          <w:bCs w:val="0"/>
        </w:rPr>
      </w:r>
      <w:bookmarkStart w:name="_bookmark5" w:id="113"/>
      <w:bookmarkEnd w:id="113"/>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before="44"/>
        <w:ind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877" w:footer="1187" w:top="1060" w:bottom="138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60" w:right="0"/>
        <w:jc w:val="left"/>
        <w:rPr>
          <w:b w:val="0"/>
          <w:bCs w:val="0"/>
        </w:rPr>
      </w:pPr>
      <w:bookmarkStart w:name="第八节 董事、监事、高级管理人员和员工情况" w:id="114"/>
      <w:bookmarkEnd w:id="114"/>
      <w:r>
        <w:rPr>
          <w:b w:val="0"/>
          <w:bCs w:val="0"/>
        </w:rPr>
      </w:r>
      <w:bookmarkStart w:name="_bookmark6" w:id="115"/>
      <w:bookmarkEnd w:id="115"/>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16"/>
      <w:bookmarkEnd w:id="116"/>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798"/>
        <w:gridCol w:w="797"/>
        <w:gridCol w:w="797"/>
        <w:gridCol w:w="798"/>
        <w:gridCol w:w="798"/>
        <w:gridCol w:w="833"/>
        <w:gridCol w:w="850"/>
        <w:gridCol w:w="710"/>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31" w:right="49"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40" w:right="59"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69" w:right="79" w:hanging="90"/>
              <w:jc w:val="left"/>
              <w:rPr>
                <w:rFonts w:ascii="宋体" w:hAnsi="宋体" w:cs="宋体" w:eastAsia="宋体" w:hint="default"/>
                <w:sz w:val="18"/>
                <w:szCs w:val="18"/>
              </w:rPr>
            </w:pPr>
            <w:r>
              <w:rPr>
                <w:rFonts w:ascii="宋体" w:hAnsi="宋体" w:cs="宋体" w:eastAsia="宋体" w:hint="default"/>
                <w:sz w:val="18"/>
                <w:szCs w:val="18"/>
              </w:rPr>
              <w:t>期初持 股数</w:t>
            </w:r>
          </w:p>
          <w:p>
            <w:pPr>
              <w:pStyle w:val="TableParagraph"/>
              <w:spacing w:line="240" w:lineRule="auto" w:before="20"/>
              <w:ind w:left="7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于伟</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58</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348" w:right="0"/>
              <w:jc w:val="lef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程军</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董事；总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48</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348" w:right="0"/>
              <w:jc w:val="lef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62" w:lineRule="auto" w:before="92"/>
              <w:ind w:left="22" w:right="96"/>
              <w:jc w:val="left"/>
              <w:rPr>
                <w:rFonts w:ascii="Times New Roman" w:hAnsi="Times New Roman" w:cs="Times New Roman" w:eastAsia="Times New Roman" w:hint="default"/>
                <w:sz w:val="18"/>
                <w:szCs w:val="18"/>
              </w:rPr>
            </w:pPr>
            <w:r>
              <w:rPr>
                <w:rFonts w:ascii="Times New Roman"/>
                <w:sz w:val="18"/>
              </w:rPr>
              <w:t>Kwong </w:t>
            </w:r>
            <w:r>
              <w:rPr>
                <w:rFonts w:ascii="Times New Roman"/>
                <w:spacing w:val="-5"/>
                <w:sz w:val="18"/>
              </w:rPr>
              <w:t>Yong</w:t>
            </w:r>
            <w:r>
              <w:rPr>
                <w:rFonts w:ascii="Times New Roman"/>
                <w:sz w:val="18"/>
              </w:rPr>
              <w:t> Sin</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60</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348" w:right="0"/>
              <w:jc w:val="lef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夏鹏</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51</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348" w:right="0"/>
              <w:jc w:val="lef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潘红</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50</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348" w:right="0"/>
              <w:jc w:val="lef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张文利</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48</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left="348" w:right="0"/>
              <w:jc w:val="lef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赵永莉</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58</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348" w:right="0"/>
              <w:jc w:val="lef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孙文</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39</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348" w:right="0"/>
              <w:jc w:val="lef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李勇</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48</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348" w:right="0"/>
              <w:jc w:val="lef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武京双</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48</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348" w:right="0"/>
              <w:jc w:val="lef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高源</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副总经 理；董事 会秘书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35</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348" w:right="0"/>
              <w:jc w:val="lef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沈远恒</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53</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348" w:right="0"/>
              <w:jc w:val="lef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杨晓斌</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48</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348" w:right="0"/>
              <w:jc w:val="lef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张小玲</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董事；总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63</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48" w:right="0"/>
              <w:jc w:val="lef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孙颖</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副总经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47</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05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7" w:right="0"/>
              <w:jc w:val="lef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7" w:right="0"/>
              <w:jc w:val="lef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8" w:right="0"/>
              <w:jc w:val="lef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7" w:right="0"/>
              <w:jc w:val="lef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187" w:top="1060" w:bottom="138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798"/>
        <w:gridCol w:w="785"/>
        <w:gridCol w:w="808"/>
        <w:gridCol w:w="798"/>
        <w:gridCol w:w="798"/>
        <w:gridCol w:w="833"/>
        <w:gridCol w:w="850"/>
        <w:gridCol w:w="710"/>
        <w:gridCol w:w="798"/>
        <w:gridCol w:w="798"/>
        <w:gridCol w:w="798"/>
        <w:gridCol w:w="798"/>
      </w:tblGrid>
      <w:tr>
        <w:trPr>
          <w:trHeight w:val="674" w:hRule="exact"/>
        </w:trPr>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78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10"/>
              <w:ind w:left="22" w:right="32"/>
              <w:jc w:val="left"/>
              <w:rPr>
                <w:rFonts w:ascii="宋体" w:hAnsi="宋体" w:cs="宋体" w:eastAsia="宋体" w:hint="default"/>
                <w:sz w:val="18"/>
                <w:szCs w:val="18"/>
              </w:rPr>
            </w:pPr>
            <w:r>
              <w:rPr>
                <w:rFonts w:ascii="宋体" w:hAnsi="宋体" w:cs="宋体" w:eastAsia="宋体" w:hint="default"/>
                <w:sz w:val="18"/>
                <w:szCs w:val="18"/>
              </w:rPr>
              <w:t>理；董事 会秘书</w:t>
            </w:r>
          </w:p>
        </w:tc>
        <w:tc>
          <w:tcPr>
            <w:tcW w:w="808" w:type="dxa"/>
            <w:tcBorders>
              <w:top w:val="single" w:sz="4" w:space="0" w:color="000000"/>
              <w:left w:val="single" w:sz="9" w:space="0" w:color="C6ECCC"/>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Times New Roman" w:hAnsi="Times New Roman" w:cs="Times New Roman" w:eastAsia="Times New Roman" w:hint="default"/>
                <w:sz w:val="12"/>
                <w:szCs w:val="12"/>
              </w:rPr>
            </w:pPr>
            <w:r>
              <w:rPr>
                <w:rFonts w:ascii="Times New Roman"/>
                <w:position w:val="-7"/>
                <w:sz w:val="18"/>
              </w:rPr>
              <w:t>0</w:t>
            </w:r>
            <w:r>
              <w:rPr>
                <w:rFonts w:ascii="Times New Roman"/>
                <w:color w:val="FF0000"/>
                <w:sz w:val="12"/>
              </w:rPr>
              <w:t>1</w:t>
            </w:r>
            <w:r>
              <w:rPr>
                <w:rFonts w:ascii="Times New Roman"/>
                <w:sz w:val="12"/>
              </w:rPr>
            </w:r>
          </w:p>
        </w:tc>
      </w:tr>
    </w:tbl>
    <w:p>
      <w:pPr>
        <w:spacing w:line="240" w:lineRule="auto" w:before="6"/>
        <w:rPr>
          <w:rFonts w:ascii="宋体" w:hAnsi="宋体" w:cs="宋体" w:eastAsia="宋体" w:hint="default"/>
          <w:b/>
          <w:bCs/>
          <w:sz w:val="27"/>
          <w:szCs w:val="27"/>
        </w:rPr>
      </w:pPr>
    </w:p>
    <w:p>
      <w:pPr>
        <w:pStyle w:val="BodyText"/>
        <w:spacing w:line="312" w:lineRule="auto" w:before="44"/>
        <w:ind w:right="1130"/>
        <w:jc w:val="both"/>
      </w:pPr>
      <w:r>
        <w:rPr>
          <w:spacing w:val="-4"/>
        </w:rPr>
        <w:t>注：</w:t>
      </w:r>
      <w:r>
        <w:rPr>
          <w:rFonts w:ascii="Times New Roman" w:hAnsi="Times New Roman" w:cs="Times New Roman" w:eastAsia="Times New Roman" w:hint="default"/>
          <w:spacing w:val="-4"/>
        </w:rPr>
        <w:t>1</w:t>
      </w:r>
      <w:r>
        <w:rPr>
          <w:rFonts w:ascii="Times New Roman" w:hAnsi="Times New Roman" w:cs="Times New Roman" w:eastAsia="Times New Roman" w:hint="default"/>
          <w:spacing w:val="-23"/>
        </w:rPr>
        <w:t> </w:t>
      </w:r>
      <w:r>
        <w:rPr/>
        <w:t>于伟系鹰潭市鹰高投资咨询有限公司、鹰潭市华鹰投资咨询有限公司、鹰潭市锐鹰投资咨询有限公司股东；程军系鹰 潭市鹰高投资咨询有限公司、鹰潭市华鹰投资咨询有限公司、鹰潭市鹰飞投资咨询有限公司；</w:t>
      </w:r>
      <w:r>
        <w:rPr>
          <w:rFonts w:ascii="Times New Roman" w:hAnsi="Times New Roman" w:cs="Times New Roman" w:eastAsia="Times New Roman" w:hint="default"/>
        </w:rPr>
        <w:t>Kwong </w:t>
      </w:r>
      <w:r>
        <w:rPr>
          <w:rFonts w:ascii="Times New Roman" w:hAnsi="Times New Roman" w:cs="Times New Roman" w:eastAsia="Times New Roman" w:hint="default"/>
          <w:spacing w:val="-5"/>
        </w:rPr>
        <w:t>Yong </w:t>
      </w:r>
      <w:r>
        <w:rPr>
          <w:rFonts w:ascii="Times New Roman" w:hAnsi="Times New Roman" w:cs="Times New Roman" w:eastAsia="Times New Roman" w:hint="default"/>
        </w:rPr>
        <w:t>Sin</w:t>
      </w:r>
      <w:r>
        <w:rPr>
          <w:rFonts w:ascii="Times New Roman" w:hAnsi="Times New Roman" w:cs="Times New Roman" w:eastAsia="Times New Roman" w:hint="default"/>
          <w:spacing w:val="-10"/>
        </w:rPr>
        <w:t> </w:t>
      </w:r>
      <w:r>
        <w:rPr/>
        <w:t>系银联科技 </w:t>
      </w:r>
      <w:r>
        <w:rPr>
          <w:spacing w:val="-2"/>
        </w:rPr>
        <w:t>股东；武京双系鹰潭市华鹰投资咨询有限公司、鹰潭市锐鹰投资咨询有限公司、鹰潭市鹰达投资咨询有限公司股东；孙颖系</w:t>
      </w:r>
      <w:r>
        <w:rPr>
          <w:spacing w:val="-66"/>
        </w:rPr>
        <w:t> </w:t>
      </w:r>
      <w:r>
        <w:rPr>
          <w:spacing w:val="-66"/>
        </w:rPr>
      </w:r>
      <w:r>
        <w:rPr>
          <w:spacing w:val="-2"/>
        </w:rPr>
        <w:t>鹰潭市华鹰投资咨询有限公司、鹰潭市锐鹰投资咨询有限公司、鹰潭市鹰伟投资咨询有限公司、鹰潭市鹰飞投资咨询有限公</w:t>
      </w:r>
      <w:r>
        <w:rPr>
          <w:spacing w:val="-66"/>
        </w:rPr>
        <w:t> </w:t>
      </w:r>
      <w:r>
        <w:rPr>
          <w:spacing w:val="-66"/>
        </w:rPr>
      </w:r>
      <w:r>
        <w:rPr>
          <w:spacing w:val="-2"/>
        </w:rPr>
        <w:t>司股东；张小玲系鹰潭市鹰伟投资咨询有限公司股东；赵永莉系鹰潭市鹰达投资咨询有限公司股东；张文利系鹰潭市鹰飞投</w:t>
      </w:r>
      <w:r>
        <w:rPr>
          <w:spacing w:val="-68"/>
        </w:rPr>
        <w:t> </w:t>
      </w:r>
      <w:r>
        <w:rPr>
          <w:spacing w:val="-68"/>
        </w:rPr>
      </w:r>
      <w:r>
        <w:rPr/>
        <w:t>资咨询有限公司股东；孙文系鹰潭市锐鹰投资咨询有限公司股东；李勇系鹰潭市锐鹰投资咨询有限公司股东。</w:t>
      </w:r>
    </w:p>
    <w:p>
      <w:pPr>
        <w:pStyle w:val="BodyText"/>
        <w:spacing w:line="319" w:lineRule="auto" w:before="61"/>
        <w:ind w:right="1132"/>
        <w:jc w:val="both"/>
      </w:pPr>
      <w:r>
        <w:rPr>
          <w:spacing w:val="-2"/>
        </w:rPr>
        <w:t>鹰潭市鹰高投资咨询有限公司、鹰潭市华鹰投资咨询有限公司、鹰潭市锐鹰投资咨询有限公司股东、鹰潭市鹰飞投资咨询有</w:t>
      </w:r>
      <w:r>
        <w:rPr>
          <w:spacing w:val="-66"/>
        </w:rPr>
        <w:t> </w:t>
      </w:r>
      <w:r>
        <w:rPr>
          <w:spacing w:val="-66"/>
        </w:rPr>
      </w:r>
      <w:r>
        <w:rPr/>
        <w:t>限公司、银联科技、鹰潭市鹰达投资咨询有限公司股东、鹰潭市鹰伟投资咨询有限公司系高伟达股东。</w:t>
      </w:r>
    </w:p>
    <w:p>
      <w:pPr>
        <w:spacing w:line="240" w:lineRule="auto" w:before="6"/>
        <w:rPr>
          <w:rFonts w:ascii="宋体" w:hAnsi="宋体" w:cs="宋体" w:eastAsia="宋体" w:hint="default"/>
          <w:sz w:val="20"/>
          <w:szCs w:val="20"/>
        </w:rPr>
      </w:pPr>
    </w:p>
    <w:p>
      <w:pPr>
        <w:pStyle w:val="Heading2"/>
        <w:spacing w:line="240" w:lineRule="auto"/>
        <w:ind w:right="0"/>
        <w:jc w:val="both"/>
        <w:rPr>
          <w:b w:val="0"/>
          <w:bCs w:val="0"/>
        </w:rPr>
      </w:pPr>
      <w:bookmarkStart w:name="二、公司董事、监事、高级管理人员变动情况" w:id="117"/>
      <w:bookmarkEnd w:id="117"/>
      <w:r>
        <w:rPr>
          <w:b w:val="0"/>
          <w:bCs w:val="0"/>
        </w:rPr>
      </w:r>
      <w:r>
        <w:rPr/>
        <w:t>二、公司董事、监事、高级管理人员变动情况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30"/>
        <w:gridCol w:w="1330"/>
        <w:gridCol w:w="1331"/>
        <w:gridCol w:w="1551"/>
        <w:gridCol w:w="4026"/>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日期</w:t>
            </w:r>
          </w:p>
        </w:tc>
        <w:tc>
          <w:tcPr>
            <w:tcW w:w="4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张小玲</w:t>
            </w:r>
          </w:p>
        </w:tc>
        <w:tc>
          <w:tcPr>
            <w:tcW w:w="133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总经理</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551" w:type="dxa"/>
            <w:tcBorders>
              <w:top w:val="single" w:sz="4" w:space="0" w:color="000000"/>
              <w:left w:val="single" w:sz="4" w:space="0" w:color="000000"/>
              <w:bottom w:val="single" w:sz="4" w:space="0" w:color="000000"/>
              <w:right w:val="single" w:sz="9" w:space="0" w:color="C6ECCC"/>
            </w:tcBorders>
          </w:tcPr>
          <w:p>
            <w:pPr>
              <w:pStyle w:val="TableParagraph"/>
              <w:spacing w:line="240" w:lineRule="auto" w:before="5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0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孙颖</w:t>
            </w:r>
          </w:p>
        </w:tc>
        <w:tc>
          <w:tcPr>
            <w:tcW w:w="133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副总经理</w:t>
            </w:r>
            <w:r>
              <w:rPr>
                <w:rFonts w:ascii="Times New Roman" w:hAnsi="Times New Roman" w:cs="Times New Roman" w:eastAsia="Times New Roman" w:hint="default"/>
                <w:sz w:val="18"/>
                <w:szCs w:val="18"/>
              </w:rPr>
              <w:t>;</w:t>
            </w:r>
            <w:r>
              <w:rPr>
                <w:rFonts w:ascii="宋体" w:hAnsi="宋体" w:cs="宋体" w:eastAsia="宋体" w:hint="default"/>
                <w:sz w:val="18"/>
                <w:szCs w:val="18"/>
              </w:rPr>
              <w:t>董秘</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551" w:type="dxa"/>
            <w:tcBorders>
              <w:top w:val="single" w:sz="4" w:space="0" w:color="000000"/>
              <w:left w:val="single" w:sz="4" w:space="0" w:color="000000"/>
              <w:bottom w:val="single" w:sz="4" w:space="0" w:color="000000"/>
              <w:right w:val="single" w:sz="9" w:space="0" w:color="C6ECCC"/>
            </w:tcBorders>
          </w:tcPr>
          <w:p>
            <w:pPr>
              <w:pStyle w:val="TableParagraph"/>
              <w:spacing w:line="240" w:lineRule="auto" w:before="5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0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个人原因</w:t>
            </w:r>
          </w:p>
        </w:tc>
      </w:tr>
    </w:tbl>
    <w:p>
      <w:pPr>
        <w:spacing w:line="240" w:lineRule="auto" w:before="2"/>
        <w:rPr>
          <w:rFonts w:ascii="宋体" w:hAnsi="宋体" w:cs="宋体" w:eastAsia="宋体" w:hint="default"/>
          <w:b/>
          <w:bCs/>
          <w:sz w:val="18"/>
          <w:szCs w:val="18"/>
        </w:rPr>
      </w:pPr>
    </w:p>
    <w:p>
      <w:pPr>
        <w:pStyle w:val="Heading2"/>
        <w:spacing w:line="240" w:lineRule="auto" w:before="26"/>
        <w:ind w:left="1114" w:right="9306"/>
        <w:jc w:val="center"/>
        <w:rPr>
          <w:b w:val="0"/>
          <w:bCs w:val="0"/>
        </w:rPr>
      </w:pPr>
      <w:bookmarkStart w:name="三、任职情况" w:id="118"/>
      <w:bookmarkEnd w:id="118"/>
      <w:r>
        <w:rPr>
          <w:b w:val="0"/>
          <w:bCs w:val="0"/>
        </w:rPr>
      </w:r>
      <w:r>
        <w:rPr/>
        <w:t>三、任职情况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公司现任董事、监事、高级管理人员专业背景、主要工作经历以及目前在公司的主要职责</w:t>
      </w:r>
    </w:p>
    <w:p>
      <w:pPr>
        <w:pStyle w:val="BodyText"/>
        <w:spacing w:line="240" w:lineRule="auto" w:before="75"/>
        <w:ind w:left="1493" w:right="0"/>
        <w:jc w:val="left"/>
      </w:pPr>
      <w:r>
        <w:rPr>
          <w:rFonts w:ascii="Times New Roman" w:hAnsi="Times New Roman" w:cs="Times New Roman" w:eastAsia="Times New Roman" w:hint="default"/>
        </w:rPr>
        <w:t>1</w:t>
      </w:r>
      <w:r>
        <w:rPr/>
        <w:t>、董事</w:t>
      </w:r>
    </w:p>
    <w:p>
      <w:pPr>
        <w:pStyle w:val="BodyText"/>
        <w:spacing w:line="292" w:lineRule="auto" w:before="82"/>
        <w:ind w:right="1131" w:firstLine="360"/>
        <w:jc w:val="both"/>
      </w:pPr>
      <w:r>
        <w:rPr/>
        <w:t>于伟，董事长，</w:t>
      </w:r>
      <w:r>
        <w:rPr>
          <w:rFonts w:ascii="Times New Roman" w:hAnsi="Times New Roman" w:cs="Times New Roman" w:eastAsia="Times New Roman" w:hint="default"/>
        </w:rPr>
        <w:t>1958</w:t>
      </w:r>
      <w:r>
        <w:rPr>
          <w:rFonts w:ascii="Times New Roman" w:hAnsi="Times New Roman" w:cs="Times New Roman" w:eastAsia="Times New Roman" w:hint="default"/>
          <w:spacing w:val="7"/>
        </w:rPr>
        <w:t> </w:t>
      </w:r>
      <w:r>
        <w:rPr/>
        <w:t>年出生，中国国籍，无境外永久居留权，毕业于国际关系学院，获学士学位。工作期间历任中国 </w:t>
      </w:r>
      <w:r>
        <w:rPr>
          <w:spacing w:val="-2"/>
        </w:rPr>
        <w:t>瑞宝开发公司项目经理、阿斯克（中国）软件技术有限公司总经理、西科姆（中国）有限公司总经理、深圳市高伟达投资有</w:t>
      </w:r>
      <w:r>
        <w:rPr>
          <w:spacing w:val="-72"/>
        </w:rPr>
        <w:t> </w:t>
      </w:r>
      <w:r>
        <w:rPr>
          <w:spacing w:val="-72"/>
        </w:rPr>
      </w:r>
      <w:r>
        <w:rPr>
          <w:spacing w:val="-2"/>
        </w:rPr>
        <w:t>限公司执行董事兼总经理、北京高伟达科技发展有限公司董事长、北京高伟达系统集成有限公司董事长兼总经理、高伟达控</w:t>
      </w:r>
      <w:r>
        <w:rPr>
          <w:spacing w:val="-65"/>
        </w:rPr>
        <w:t> </w:t>
      </w:r>
      <w:r>
        <w:rPr>
          <w:spacing w:val="-65"/>
        </w:rPr>
      </w:r>
      <w:r>
        <w:rPr/>
        <w:t>股公司董事长，现任公司董事长。</w:t>
      </w:r>
    </w:p>
    <w:p>
      <w:pPr>
        <w:pStyle w:val="BodyText"/>
        <w:spacing w:line="280" w:lineRule="auto" w:before="56"/>
        <w:ind w:right="1131" w:firstLine="360"/>
        <w:jc w:val="both"/>
      </w:pPr>
      <w:r>
        <w:rPr>
          <w:spacing w:val="-3"/>
        </w:rPr>
        <w:t>程军，董事、总经理，</w:t>
      </w:r>
      <w:r>
        <w:rPr>
          <w:rFonts w:ascii="Times New Roman" w:hAnsi="Times New Roman" w:cs="Times New Roman" w:eastAsia="Times New Roman" w:hint="default"/>
          <w:spacing w:val="-3"/>
        </w:rPr>
        <w:t>1968</w:t>
      </w:r>
      <w:r>
        <w:rPr>
          <w:rFonts w:ascii="Times New Roman" w:hAnsi="Times New Roman" w:cs="Times New Roman" w:eastAsia="Times New Roman" w:hint="default"/>
          <w:spacing w:val="-19"/>
        </w:rPr>
        <w:t> </w:t>
      </w:r>
      <w:r>
        <w:rPr/>
        <w:t>年出生，中国国籍，无境外永久居留权，大专学历。</w:t>
      </w:r>
      <w:r>
        <w:rPr>
          <w:rFonts w:ascii="Times New Roman" w:hAnsi="Times New Roman" w:cs="Times New Roman" w:eastAsia="Times New Roman" w:hint="default"/>
        </w:rPr>
        <w:t>1996</w:t>
      </w:r>
      <w:r>
        <w:rPr>
          <w:rFonts w:ascii="Times New Roman" w:hAnsi="Times New Roman" w:cs="Times New Roman" w:eastAsia="Times New Roman" w:hint="default"/>
          <w:spacing w:val="-19"/>
        </w:rPr>
        <w:t> </w:t>
      </w:r>
      <w:r>
        <w:rPr/>
        <w:t>年</w:t>
      </w:r>
      <w:r>
        <w:rPr>
          <w:rFonts w:ascii="Times New Roman" w:hAnsi="Times New Roman" w:cs="Times New Roman" w:eastAsia="Times New Roman" w:hint="default"/>
        </w:rPr>
        <w:t>-1997</w:t>
      </w:r>
      <w:r>
        <w:rPr>
          <w:rFonts w:ascii="Times New Roman" w:hAnsi="Times New Roman" w:cs="Times New Roman" w:eastAsia="Times New Roman" w:hint="default"/>
          <w:spacing w:val="-19"/>
        </w:rPr>
        <w:t> </w:t>
      </w:r>
      <w:r>
        <w:rPr/>
        <w:t>年，供职于联合饼干（中 国）武汉分公司财务部；</w:t>
      </w:r>
      <w:r>
        <w:rPr>
          <w:rFonts w:ascii="Times New Roman" w:hAnsi="Times New Roman" w:cs="Times New Roman" w:eastAsia="Times New Roman" w:hint="default"/>
        </w:rPr>
        <w:t>1997 </w:t>
      </w:r>
      <w:r>
        <w:rPr/>
        <w:t>年</w:t>
      </w:r>
      <w:r>
        <w:rPr>
          <w:rFonts w:ascii="Times New Roman" w:hAnsi="Times New Roman" w:cs="Times New Roman" w:eastAsia="Times New Roman" w:hint="default"/>
        </w:rPr>
        <w:t>-2006 </w:t>
      </w:r>
      <w:r>
        <w:rPr/>
        <w:t>年，担任北京高伟达科技发展有限公司武汉分公司总经理；</w:t>
      </w:r>
      <w:r>
        <w:rPr>
          <w:rFonts w:ascii="Times New Roman" w:hAnsi="Times New Roman" w:cs="Times New Roman" w:eastAsia="Times New Roman" w:hint="default"/>
        </w:rPr>
        <w:t>2006 </w:t>
      </w:r>
      <w:r>
        <w:rPr/>
        <w:t>年</w:t>
      </w:r>
      <w:r>
        <w:rPr>
          <w:rFonts w:ascii="Times New Roman" w:hAnsi="Times New Roman" w:cs="Times New Roman" w:eastAsia="Times New Roman" w:hint="default"/>
        </w:rPr>
        <w:t>-2011</w:t>
      </w:r>
      <w:r>
        <w:rPr>
          <w:rFonts w:ascii="Times New Roman" w:hAnsi="Times New Roman" w:cs="Times New Roman" w:eastAsia="Times New Roman" w:hint="default"/>
          <w:spacing w:val="-26"/>
        </w:rPr>
        <w:t> </w:t>
      </w:r>
      <w:r>
        <w:rPr/>
        <w:t>年，担任北 京高伟达软件技术有限公司副总经理；</w:t>
      </w:r>
      <w:r>
        <w:rPr>
          <w:rFonts w:ascii="Times New Roman" w:hAnsi="Times New Roman" w:cs="Times New Roman" w:eastAsia="Times New Roman" w:hint="default"/>
        </w:rPr>
        <w:t>2011</w:t>
      </w:r>
      <w:r>
        <w:rPr>
          <w:rFonts w:ascii="Times New Roman" w:hAnsi="Times New Roman" w:cs="Times New Roman" w:eastAsia="Times New Roman" w:hint="default"/>
          <w:spacing w:val="-9"/>
        </w:rPr>
        <w:t> </w:t>
      </w:r>
      <w:r>
        <w:rPr/>
        <w:t>年至今，担任高伟达软件股份有限公司副总经理。</w:t>
      </w:r>
    </w:p>
    <w:p>
      <w:pPr>
        <w:pStyle w:val="BodyText"/>
        <w:spacing w:line="280" w:lineRule="auto" w:before="48"/>
        <w:ind w:right="1129" w:firstLine="360"/>
        <w:jc w:val="both"/>
      </w:pPr>
      <w:r>
        <w:rPr>
          <w:rFonts w:ascii="Times New Roman" w:hAnsi="Times New Roman" w:cs="Times New Roman" w:eastAsia="Times New Roman" w:hint="default"/>
        </w:rPr>
        <w:t>Kwong</w:t>
      </w:r>
      <w:r>
        <w:rPr>
          <w:rFonts w:ascii="Times New Roman" w:hAnsi="Times New Roman" w:cs="Times New Roman" w:eastAsia="Times New Roman" w:hint="default"/>
          <w:spacing w:val="-9"/>
        </w:rPr>
        <w:t> </w:t>
      </w:r>
      <w:r>
        <w:rPr>
          <w:rFonts w:ascii="Times New Roman" w:hAnsi="Times New Roman" w:cs="Times New Roman" w:eastAsia="Times New Roman" w:hint="default"/>
          <w:spacing w:val="-5"/>
        </w:rPr>
        <w:t>Yong</w:t>
      </w:r>
      <w:r>
        <w:rPr>
          <w:rFonts w:ascii="Times New Roman" w:hAnsi="Times New Roman" w:cs="Times New Roman" w:eastAsia="Times New Roman" w:hint="default"/>
          <w:spacing w:val="-3"/>
        </w:rPr>
        <w:t> Sin</w:t>
      </w:r>
      <w:r>
        <w:rPr>
          <w:spacing w:val="-3"/>
        </w:rPr>
        <w:t>（关银星）先生，董事，</w:t>
      </w:r>
      <w:r>
        <w:rPr>
          <w:rFonts w:ascii="Times New Roman" w:hAnsi="Times New Roman" w:cs="Times New Roman" w:eastAsia="Times New Roman" w:hint="default"/>
          <w:spacing w:val="-3"/>
        </w:rPr>
        <w:t>1956</w:t>
      </w:r>
      <w:r>
        <w:rPr>
          <w:rFonts w:ascii="Times New Roman" w:hAnsi="Times New Roman" w:cs="Times New Roman" w:eastAsia="Times New Roman" w:hint="default"/>
          <w:spacing w:val="-4"/>
        </w:rPr>
        <w:t> </w:t>
      </w:r>
      <w:r>
        <w:rPr/>
        <w:t>年出生，马来西亚籍，毕业于</w:t>
      </w:r>
      <w:r>
        <w:rPr>
          <w:spacing w:val="-49"/>
        </w:rPr>
        <w:t> </w:t>
      </w:r>
      <w:r>
        <w:rPr>
          <w:rFonts w:ascii="Times New Roman" w:hAnsi="Times New Roman" w:cs="Times New Roman" w:eastAsia="Times New Roman" w:hint="default"/>
        </w:rPr>
        <w:t>University</w:t>
      </w:r>
      <w:r>
        <w:rPr>
          <w:rFonts w:ascii="Times New Roman" w:hAnsi="Times New Roman" w:cs="Times New Roman" w:eastAsia="Times New Roman" w:hint="default"/>
          <w:spacing w:val="-2"/>
        </w:rPr>
        <w:t> </w:t>
      </w:r>
      <w:r>
        <w:rPr>
          <w:rFonts w:ascii="Times New Roman" w:hAnsi="Times New Roman" w:cs="Times New Roman" w:eastAsia="Times New Roman" w:hint="default"/>
        </w:rPr>
        <w:t>of</w:t>
      </w:r>
      <w:r>
        <w:rPr>
          <w:rFonts w:ascii="Times New Roman" w:hAnsi="Times New Roman" w:cs="Times New Roman" w:eastAsia="Times New Roman" w:hint="default"/>
          <w:spacing w:val="-4"/>
        </w:rPr>
        <w:t> </w:t>
      </w:r>
      <w:r>
        <w:rPr>
          <w:rFonts w:ascii="Times New Roman" w:hAnsi="Times New Roman" w:cs="Times New Roman" w:eastAsia="Times New Roman" w:hint="default"/>
        </w:rPr>
        <w:t>New</w:t>
      </w:r>
      <w:r>
        <w:rPr>
          <w:rFonts w:ascii="Times New Roman" w:hAnsi="Times New Roman" w:cs="Times New Roman" w:eastAsia="Times New Roman" w:hint="default"/>
          <w:spacing w:val="-3"/>
        </w:rPr>
        <w:t> </w:t>
      </w:r>
      <w:r>
        <w:rPr>
          <w:rFonts w:ascii="Times New Roman" w:hAnsi="Times New Roman" w:cs="Times New Roman" w:eastAsia="Times New Roman" w:hint="default"/>
        </w:rPr>
        <w:t>South</w:t>
      </w:r>
      <w:r>
        <w:rPr>
          <w:rFonts w:ascii="Times New Roman" w:hAnsi="Times New Roman" w:cs="Times New Roman" w:eastAsia="Times New Roman" w:hint="default"/>
          <w:spacing w:val="-6"/>
        </w:rPr>
        <w:t> </w:t>
      </w:r>
      <w:r>
        <w:rPr>
          <w:rFonts w:ascii="Times New Roman" w:hAnsi="Times New Roman" w:cs="Times New Roman" w:eastAsia="Times New Roman" w:hint="default"/>
          <w:spacing w:val="-4"/>
        </w:rPr>
        <w:t>Wales</w:t>
      </w:r>
      <w:r>
        <w:rPr>
          <w:rFonts w:ascii="Times New Roman" w:hAnsi="Times New Roman" w:cs="Times New Roman" w:eastAsia="Times New Roman" w:hint="default"/>
          <w:spacing w:val="-12"/>
        </w:rPr>
        <w:t> </w:t>
      </w:r>
      <w:r>
        <w:rPr>
          <w:rFonts w:ascii="Times New Roman" w:hAnsi="Times New Roman" w:cs="Times New Roman" w:eastAsia="Times New Roman" w:hint="default"/>
        </w:rPr>
        <w:t>Australia</w:t>
      </w:r>
      <w:r>
        <w:rPr/>
        <w:t>，获</w:t>
      </w:r>
      <w:r>
        <w:rPr>
          <w:spacing w:val="-10"/>
          <w:w w:val="99"/>
        </w:rPr>
        <w:t> </w:t>
      </w:r>
      <w:r>
        <w:rPr/>
        <w:t>学士学位。工作期间历任</w:t>
      </w:r>
      <w:r>
        <w:rPr>
          <w:spacing w:val="-54"/>
        </w:rPr>
        <w:t> </w:t>
      </w:r>
      <w:r>
        <w:rPr>
          <w:rFonts w:ascii="Times New Roman" w:hAnsi="Times New Roman" w:cs="Times New Roman" w:eastAsia="Times New Roman" w:hint="default"/>
        </w:rPr>
        <w:t>University</w:t>
      </w:r>
      <w:r>
        <w:rPr>
          <w:rFonts w:ascii="Times New Roman" w:hAnsi="Times New Roman" w:cs="Times New Roman" w:eastAsia="Times New Roman" w:hint="default"/>
          <w:spacing w:val="-7"/>
        </w:rPr>
        <w:t> </w:t>
      </w:r>
      <w:r>
        <w:rPr>
          <w:rFonts w:ascii="Times New Roman" w:hAnsi="Times New Roman" w:cs="Times New Roman" w:eastAsia="Times New Roman" w:hint="default"/>
        </w:rPr>
        <w:t>of</w:t>
      </w:r>
      <w:r>
        <w:rPr>
          <w:rFonts w:ascii="Times New Roman" w:hAnsi="Times New Roman" w:cs="Times New Roman" w:eastAsia="Times New Roman" w:hint="default"/>
          <w:spacing w:val="-9"/>
        </w:rPr>
        <w:t> </w:t>
      </w:r>
      <w:r>
        <w:rPr>
          <w:rFonts w:ascii="Times New Roman" w:hAnsi="Times New Roman" w:cs="Times New Roman" w:eastAsia="Times New Roman" w:hint="default"/>
        </w:rPr>
        <w:t>New</w:t>
      </w:r>
      <w:r>
        <w:rPr>
          <w:rFonts w:ascii="Times New Roman" w:hAnsi="Times New Roman" w:cs="Times New Roman" w:eastAsia="Times New Roman" w:hint="default"/>
          <w:spacing w:val="-8"/>
        </w:rPr>
        <w:t> </w:t>
      </w:r>
      <w:r>
        <w:rPr>
          <w:rFonts w:ascii="Times New Roman" w:hAnsi="Times New Roman" w:cs="Times New Roman" w:eastAsia="Times New Roman" w:hint="default"/>
        </w:rPr>
        <w:t>South</w:t>
      </w:r>
      <w:r>
        <w:rPr>
          <w:rFonts w:ascii="Times New Roman" w:hAnsi="Times New Roman" w:cs="Times New Roman" w:eastAsia="Times New Roman" w:hint="default"/>
          <w:spacing w:val="-11"/>
        </w:rPr>
        <w:t> </w:t>
      </w:r>
      <w:r>
        <w:rPr>
          <w:rFonts w:ascii="Times New Roman" w:hAnsi="Times New Roman" w:cs="Times New Roman" w:eastAsia="Times New Roman" w:hint="default"/>
        </w:rPr>
        <w:t>Wales,Australia</w:t>
      </w:r>
      <w:r>
        <w:rPr>
          <w:rFonts w:ascii="Times New Roman" w:hAnsi="Times New Roman" w:cs="Times New Roman" w:eastAsia="Times New Roman" w:hint="default"/>
          <w:spacing w:val="-7"/>
        </w:rPr>
        <w:t> </w:t>
      </w:r>
      <w:r>
        <w:rPr/>
        <w:t>信息系统部分析师兼程序员、</w:t>
      </w:r>
      <w:r>
        <w:rPr>
          <w:rFonts w:ascii="Times New Roman" w:hAnsi="Times New Roman" w:cs="Times New Roman" w:eastAsia="Times New Roman" w:hint="default"/>
        </w:rPr>
        <w:t>Electricity</w:t>
      </w:r>
      <w:r>
        <w:rPr>
          <w:rFonts w:ascii="Times New Roman" w:hAnsi="Times New Roman" w:cs="Times New Roman" w:eastAsia="Times New Roman" w:hint="default"/>
          <w:spacing w:val="-7"/>
        </w:rPr>
        <w:t> </w:t>
      </w:r>
      <w:r>
        <w:rPr>
          <w:rFonts w:ascii="Times New Roman" w:hAnsi="Times New Roman" w:cs="Times New Roman" w:eastAsia="Times New Roman" w:hint="default"/>
        </w:rPr>
        <w:t>Commission</w:t>
      </w:r>
      <w:r>
        <w:rPr>
          <w:rFonts w:ascii="Times New Roman" w:hAnsi="Times New Roman" w:cs="Times New Roman" w:eastAsia="Times New Roman" w:hint="default"/>
          <w:spacing w:val="-9"/>
        </w:rPr>
        <w:t> </w:t>
      </w:r>
      <w:r>
        <w:rPr>
          <w:rFonts w:ascii="Times New Roman" w:hAnsi="Times New Roman" w:cs="Times New Roman" w:eastAsia="Times New Roman" w:hint="default"/>
        </w:rPr>
        <w:t>of</w:t>
      </w:r>
      <w:r>
        <w:rPr>
          <w:rFonts w:ascii="Times New Roman" w:hAnsi="Times New Roman" w:cs="Times New Roman" w:eastAsia="Times New Roman" w:hint="default"/>
          <w:spacing w:val="-8"/>
        </w:rPr>
        <w:t> </w:t>
      </w:r>
      <w:r>
        <w:rPr>
          <w:rFonts w:ascii="Times New Roman" w:hAnsi="Times New Roman" w:cs="Times New Roman" w:eastAsia="Times New Roman" w:hint="default"/>
        </w:rPr>
        <w:t>New</w:t>
      </w:r>
      <w:r>
        <w:rPr>
          <w:rFonts w:ascii="Times New Roman" w:hAnsi="Times New Roman" w:cs="Times New Roman" w:eastAsia="Times New Roman" w:hint="default"/>
          <w:w w:val="99"/>
        </w:rPr>
        <w:t> </w:t>
      </w:r>
      <w:r>
        <w:rPr>
          <w:rFonts w:ascii="Times New Roman" w:hAnsi="Times New Roman" w:cs="Times New Roman" w:eastAsia="Times New Roman" w:hint="default"/>
        </w:rPr>
        <w:t>South Wales,Australia </w:t>
      </w:r>
      <w:r>
        <w:rPr/>
        <w:t>信息系统部高级系统计划人员、</w:t>
      </w:r>
      <w:r>
        <w:rPr>
          <w:rFonts w:ascii="Times New Roman" w:hAnsi="Times New Roman" w:cs="Times New Roman" w:eastAsia="Times New Roman" w:hint="default"/>
        </w:rPr>
        <w:t>Coopers&amp;Lybrand Management Consultants</w:t>
      </w:r>
      <w:r>
        <w:rPr>
          <w:rFonts w:ascii="Times New Roman" w:hAnsi="Times New Roman" w:cs="Times New Roman" w:eastAsia="Times New Roman" w:hint="default"/>
          <w:spacing w:val="9"/>
        </w:rPr>
        <w:t> </w:t>
      </w:r>
      <w:r>
        <w:rPr/>
        <w:t>管理咨询服务部高级经理及 主管、</w:t>
      </w:r>
      <w:r>
        <w:rPr>
          <w:rFonts w:ascii="Times New Roman" w:hAnsi="Times New Roman" w:cs="Times New Roman" w:eastAsia="Times New Roman" w:hint="default"/>
        </w:rPr>
        <w:t>Ernst&amp;Young Global Consulting/Cap GeminiErnst&amp;Young </w:t>
      </w:r>
      <w:r>
        <w:rPr/>
        <w:t>合伙人兼副主席、</w:t>
      </w:r>
      <w:r>
        <w:rPr>
          <w:rFonts w:ascii="Times New Roman" w:hAnsi="Times New Roman" w:cs="Times New Roman" w:eastAsia="Times New Roman" w:hint="default"/>
        </w:rPr>
        <w:t>Silverlake Corporation</w:t>
      </w:r>
      <w:r>
        <w:rPr>
          <w:rFonts w:ascii="Times New Roman" w:hAnsi="Times New Roman" w:cs="Times New Roman" w:eastAsia="Times New Roman" w:hint="default"/>
          <w:spacing w:val="-17"/>
        </w:rPr>
        <w:t> </w:t>
      </w:r>
      <w:r>
        <w:rPr/>
        <w:t>执行董事，同时兼任 </w:t>
      </w:r>
      <w:r>
        <w:rPr>
          <w:rFonts w:ascii="Times New Roman" w:hAnsi="Times New Roman" w:cs="Times New Roman" w:eastAsia="Times New Roman" w:hint="default"/>
        </w:rPr>
        <w:t>Connectif</w:t>
      </w:r>
      <w:r>
        <w:rPr>
          <w:rFonts w:ascii="Times New Roman" w:hAnsi="Times New Roman" w:cs="Times New Roman" w:eastAsia="Times New Roman" w:hint="default"/>
          <w:spacing w:val="-2"/>
        </w:rPr>
        <w:t> </w:t>
      </w:r>
      <w:r>
        <w:rPr>
          <w:rFonts w:ascii="Times New Roman" w:hAnsi="Times New Roman" w:cs="Times New Roman" w:eastAsia="Times New Roman" w:hint="default"/>
        </w:rPr>
        <w:t>Commerce</w:t>
      </w:r>
      <w:r>
        <w:rPr>
          <w:rFonts w:ascii="Times New Roman" w:hAnsi="Times New Roman" w:cs="Times New Roman" w:eastAsia="Times New Roman" w:hint="default"/>
          <w:spacing w:val="-2"/>
        </w:rPr>
        <w:t> </w:t>
      </w:r>
      <w:r>
        <w:rPr>
          <w:rFonts w:ascii="Times New Roman" w:hAnsi="Times New Roman" w:cs="Times New Roman" w:eastAsia="Times New Roman" w:hint="default"/>
        </w:rPr>
        <w:t>Sdn</w:t>
      </w:r>
      <w:r>
        <w:rPr>
          <w:rFonts w:ascii="Times New Roman" w:hAnsi="Times New Roman" w:cs="Times New Roman" w:eastAsia="Times New Roman" w:hint="default"/>
          <w:spacing w:val="-2"/>
        </w:rPr>
        <w:t> </w:t>
      </w:r>
      <w:r>
        <w:rPr>
          <w:rFonts w:ascii="Times New Roman" w:hAnsi="Times New Roman" w:cs="Times New Roman" w:eastAsia="Times New Roman" w:hint="default"/>
        </w:rPr>
        <w:t>Bhd</w:t>
      </w:r>
      <w:r>
        <w:rPr>
          <w:rFonts w:ascii="Times New Roman" w:hAnsi="Times New Roman" w:cs="Times New Roman" w:eastAsia="Times New Roman" w:hint="default"/>
          <w:spacing w:val="-2"/>
        </w:rPr>
        <w:t> </w:t>
      </w:r>
      <w:r>
        <w:rPr/>
        <w:t>执行董事。现任</w:t>
      </w:r>
      <w:r>
        <w:rPr>
          <w:spacing w:val="-47"/>
        </w:rPr>
        <w:t> </w:t>
      </w:r>
      <w:r>
        <w:rPr>
          <w:rFonts w:ascii="Times New Roman" w:hAnsi="Times New Roman" w:cs="Times New Roman" w:eastAsia="Times New Roman" w:hint="default"/>
        </w:rPr>
        <w:t>Silverlake</w:t>
      </w:r>
      <w:r>
        <w:rPr>
          <w:rFonts w:ascii="Times New Roman" w:hAnsi="Times New Roman" w:cs="Times New Roman" w:eastAsia="Times New Roman" w:hint="default"/>
          <w:spacing w:val="-11"/>
        </w:rPr>
        <w:t> </w:t>
      </w:r>
      <w:r>
        <w:rPr>
          <w:rFonts w:ascii="Times New Roman" w:hAnsi="Times New Roman" w:cs="Times New Roman" w:eastAsia="Times New Roman" w:hint="default"/>
        </w:rPr>
        <w:t>Axis</w:t>
      </w:r>
      <w:r>
        <w:rPr>
          <w:rFonts w:ascii="Times New Roman" w:hAnsi="Times New Roman" w:cs="Times New Roman" w:eastAsia="Times New Roman" w:hint="default"/>
          <w:spacing w:val="-2"/>
        </w:rPr>
        <w:t> </w:t>
      </w:r>
      <w:r>
        <w:rPr>
          <w:rFonts w:ascii="Times New Roman" w:hAnsi="Times New Roman" w:cs="Times New Roman" w:eastAsia="Times New Roman" w:hint="default"/>
        </w:rPr>
        <w:t>Ltd.</w:t>
      </w:r>
      <w:r>
        <w:rPr/>
        <w:t>集团执行董事及公司董事。</w:t>
      </w:r>
    </w:p>
    <w:p>
      <w:pPr>
        <w:pStyle w:val="BodyText"/>
        <w:spacing w:line="290" w:lineRule="auto" w:before="48"/>
        <w:ind w:right="1131" w:firstLine="360"/>
        <w:jc w:val="both"/>
      </w:pPr>
      <w:r>
        <w:rPr/>
        <w:t>潘红，独立董事，</w:t>
      </w:r>
      <w:r>
        <w:rPr>
          <w:rFonts w:ascii="Times New Roman" w:hAnsi="Times New Roman" w:cs="Times New Roman" w:eastAsia="Times New Roman" w:hint="default"/>
        </w:rPr>
        <w:t>1966</w:t>
      </w:r>
      <w:r>
        <w:rPr>
          <w:rFonts w:ascii="Times New Roman" w:hAnsi="Times New Roman" w:cs="Times New Roman" w:eastAsia="Times New Roman" w:hint="default"/>
          <w:spacing w:val="7"/>
        </w:rPr>
        <w:t> </w:t>
      </w:r>
      <w:r>
        <w:rPr/>
        <w:t>年出生，中国国籍，无境外永久居留权，毕业于中国政法大学，获学士学位。工作期间历任北 </w:t>
      </w:r>
      <w:r>
        <w:rPr>
          <w:spacing w:val="-2"/>
        </w:rPr>
        <w:t>京市东城区人民法院民事审判庭审判员、北京市法大律师事务所专职律师、北京市观韬律师事务所专职律师，现任北京市昆</w:t>
      </w:r>
      <w:r>
        <w:rPr>
          <w:spacing w:val="-66"/>
        </w:rPr>
        <w:t> </w:t>
      </w:r>
      <w:r>
        <w:rPr>
          <w:spacing w:val="-66"/>
        </w:rPr>
      </w:r>
      <w:r>
        <w:rPr/>
        <w:t>仑律师事务所专职律师及公司独立董事。</w:t>
      </w:r>
    </w:p>
    <w:p>
      <w:pPr>
        <w:pStyle w:val="BodyText"/>
        <w:spacing w:line="292" w:lineRule="auto" w:before="58"/>
        <w:ind w:right="0" w:firstLine="360"/>
        <w:jc w:val="left"/>
      </w:pPr>
      <w:r>
        <w:rPr/>
        <w:t>夏鹏，独立董事，</w:t>
      </w:r>
      <w:r>
        <w:rPr>
          <w:rFonts w:ascii="Times New Roman" w:hAnsi="Times New Roman" w:cs="Times New Roman" w:eastAsia="Times New Roman" w:hint="default"/>
        </w:rPr>
        <w:t>1965</w:t>
      </w:r>
      <w:r>
        <w:rPr>
          <w:rFonts w:ascii="Times New Roman" w:hAnsi="Times New Roman" w:cs="Times New Roman" w:eastAsia="Times New Roman" w:hint="default"/>
          <w:spacing w:val="4"/>
        </w:rPr>
        <w:t> </w:t>
      </w:r>
      <w:r>
        <w:rPr/>
        <w:t>年出生，中国国籍，无境外永久居留权，高级会计师，毕业于中国人民大学，获博士学位。工 </w:t>
      </w:r>
      <w:r>
        <w:rPr>
          <w:spacing w:val="-2"/>
        </w:rPr>
        <w:t>作期间历任湖北教育学院数学系教师、中国对外经济贸易会计学会任副会长兼秘书长、《对外经贸财会》杂志主编、北京广</w:t>
      </w:r>
      <w:r>
        <w:rPr>
          <w:spacing w:val="-65"/>
        </w:rPr>
        <w:t> </w:t>
      </w:r>
      <w:r>
        <w:rPr>
          <w:spacing w:val="-65"/>
        </w:rPr>
      </w:r>
      <w:r>
        <w:rPr>
          <w:spacing w:val="-4"/>
        </w:rPr>
        <w:t>播影视集团财务总管兼财务中心主任、中广传播集团有限公司财务总监兼投融资部总经理，北京深华新股份有限公司董事长，</w:t>
      </w:r>
      <w:r>
        <w:rPr>
          <w:spacing w:val="-44"/>
        </w:rPr>
        <w:t> </w:t>
      </w:r>
      <w:r>
        <w:rPr>
          <w:spacing w:val="-44"/>
        </w:rPr>
      </w:r>
      <w:r>
        <w:rPr/>
        <w:t>现任公司独立董事。</w:t>
      </w:r>
    </w:p>
    <w:p>
      <w:pPr>
        <w:pStyle w:val="BodyText"/>
        <w:spacing w:line="240" w:lineRule="auto" w:before="56"/>
        <w:ind w:left="1493" w:right="0"/>
        <w:jc w:val="left"/>
      </w:pPr>
      <w:r>
        <w:rPr>
          <w:rFonts w:ascii="Times New Roman" w:hAnsi="Times New Roman" w:cs="Times New Roman" w:eastAsia="Times New Roman" w:hint="default"/>
        </w:rPr>
        <w:t>2</w:t>
      </w:r>
      <w:r>
        <w:rPr/>
        <w:t>、监事</w:t>
      </w:r>
    </w:p>
    <w:p>
      <w:pPr>
        <w:spacing w:after="0" w:line="240" w:lineRule="auto"/>
        <w:jc w:val="left"/>
        <w:sectPr>
          <w:pgSz w:w="11910" w:h="16840"/>
          <w:pgMar w:header="877" w:footer="1187" w:top="1060" w:bottom="1380" w:left="0" w:right="0"/>
        </w:sectPr>
      </w:pPr>
    </w:p>
    <w:p>
      <w:pPr>
        <w:spacing w:line="240" w:lineRule="auto" w:before="10"/>
        <w:rPr>
          <w:rFonts w:ascii="宋体" w:hAnsi="宋体" w:cs="宋体" w:eastAsia="宋体" w:hint="default"/>
          <w:sz w:val="22"/>
          <w:szCs w:val="22"/>
        </w:rPr>
      </w:pPr>
    </w:p>
    <w:p>
      <w:pPr>
        <w:pStyle w:val="BodyText"/>
        <w:spacing w:line="288" w:lineRule="auto" w:before="44"/>
        <w:ind w:right="1131" w:firstLine="360"/>
        <w:jc w:val="both"/>
      </w:pPr>
      <w:r>
        <w:rPr/>
        <w:t>张文利，监事会主席，</w:t>
      </w:r>
      <w:r>
        <w:rPr>
          <w:rFonts w:ascii="Times New Roman" w:hAnsi="Times New Roman" w:cs="Times New Roman" w:eastAsia="Times New Roman" w:hint="default"/>
        </w:rPr>
        <w:t>1968</w:t>
      </w:r>
      <w:r>
        <w:rPr>
          <w:rFonts w:ascii="Times New Roman" w:hAnsi="Times New Roman" w:cs="Times New Roman" w:eastAsia="Times New Roman" w:hint="default"/>
          <w:spacing w:val="7"/>
        </w:rPr>
        <w:t> </w:t>
      </w:r>
      <w:r>
        <w:rPr/>
        <w:t>年出生，中国国籍，无境外永久居留权，学士学位。历任北京高伟达软件技术有限公司北 </w:t>
      </w:r>
      <w:r>
        <w:rPr>
          <w:spacing w:val="-2"/>
        </w:rPr>
        <w:t>京分软总经理助理、北京分软副总经理、信贷产品部副总经理、信贷产品部总经理，金融软件中心运营委成员，期间获得工</w:t>
      </w:r>
      <w:r>
        <w:rPr>
          <w:spacing w:val="-66"/>
        </w:rPr>
        <w:t> </w:t>
      </w:r>
      <w:r>
        <w:rPr>
          <w:spacing w:val="-66"/>
        </w:rPr>
      </w:r>
      <w:r>
        <w:rPr/>
        <w:t>业和信息化部高级项目经理证书，现任公司监事会主席、信贷产品部总经理。</w:t>
      </w:r>
    </w:p>
    <w:p>
      <w:pPr>
        <w:pStyle w:val="BodyText"/>
        <w:spacing w:line="288" w:lineRule="auto" w:before="61"/>
        <w:ind w:right="1131" w:firstLine="360"/>
        <w:jc w:val="both"/>
      </w:pPr>
      <w:r>
        <w:rPr/>
        <w:t>孙文，监事，</w:t>
      </w:r>
      <w:r>
        <w:rPr>
          <w:rFonts w:ascii="Times New Roman" w:hAnsi="Times New Roman" w:cs="Times New Roman" w:eastAsia="Times New Roman" w:hint="default"/>
        </w:rPr>
        <w:t>1977</w:t>
      </w:r>
      <w:r>
        <w:rPr>
          <w:rFonts w:ascii="Times New Roman" w:hAnsi="Times New Roman" w:cs="Times New Roman" w:eastAsia="Times New Roman" w:hint="default"/>
          <w:spacing w:val="7"/>
        </w:rPr>
        <w:t> </w:t>
      </w:r>
      <w:r>
        <w:rPr/>
        <w:t>年出生，中国国籍，无境外永久居留权，毕业于湖北大学，获学士学位。工作期间历任中原电子集 </w:t>
      </w:r>
      <w:r>
        <w:rPr>
          <w:spacing w:val="-2"/>
        </w:rPr>
        <w:t>团研发中心工程师、上海思群科技有限公司武汉研发中心工程师兼项目经理、北京高伟达软件技术有限公司工程师、武汉分</w:t>
      </w:r>
      <w:r>
        <w:rPr>
          <w:spacing w:val="-66"/>
        </w:rPr>
        <w:t> </w:t>
      </w:r>
      <w:r>
        <w:rPr>
          <w:spacing w:val="-66"/>
        </w:rPr>
      </w:r>
      <w:r>
        <w:rPr/>
        <w:t>软总经理、武汉分公司总经理，期间获得工业和信息化部高级项目经理证书，现任公司监事、武汉分公司总经理。</w:t>
      </w:r>
    </w:p>
    <w:p>
      <w:pPr>
        <w:pStyle w:val="BodyText"/>
        <w:spacing w:line="292" w:lineRule="auto" w:before="61"/>
        <w:ind w:right="1033" w:firstLine="360"/>
        <w:jc w:val="left"/>
      </w:pPr>
      <w:r>
        <w:rPr/>
        <w:t>赵永莉，职工代表监事，</w:t>
      </w:r>
      <w:r>
        <w:rPr>
          <w:rFonts w:ascii="Times New Roman" w:hAnsi="Times New Roman" w:cs="Times New Roman" w:eastAsia="Times New Roman" w:hint="default"/>
        </w:rPr>
        <w:t>1958</w:t>
      </w:r>
      <w:r>
        <w:rPr>
          <w:rFonts w:ascii="Times New Roman" w:hAnsi="Times New Roman" w:cs="Times New Roman" w:eastAsia="Times New Roman" w:hint="default"/>
          <w:spacing w:val="4"/>
        </w:rPr>
        <w:t> </w:t>
      </w:r>
      <w:r>
        <w:rPr/>
        <w:t>年出生，中国国籍，无境外永久居留权，毕业于华东纺织工学院，获学士学位。工作期 间历任北京维尼纶厂教育科教师、北京计算机技术服务中心软件室主任、西科姆（中国）有限公司计算机事业部项目经理、 </w:t>
      </w:r>
      <w:r>
        <w:rPr>
          <w:spacing w:val="-2"/>
        </w:rPr>
        <w:t>北京高伟达软件技术有限公司项目管理部经理，期间获得工业和信息化部高级项目经理证书，现任公司监事、项目管理部经</w:t>
      </w:r>
      <w:r>
        <w:rPr>
          <w:spacing w:val="-66"/>
        </w:rPr>
        <w:t> </w:t>
      </w:r>
      <w:r>
        <w:rPr>
          <w:spacing w:val="-66"/>
        </w:rPr>
      </w:r>
      <w:r>
        <w:rPr/>
        <w:t>理。</w:t>
      </w:r>
    </w:p>
    <w:p>
      <w:pPr>
        <w:pStyle w:val="BodyText"/>
        <w:spacing w:line="240" w:lineRule="auto" w:before="57"/>
        <w:ind w:left="1494" w:right="0"/>
        <w:jc w:val="left"/>
      </w:pPr>
      <w:r>
        <w:rPr>
          <w:rFonts w:ascii="Times New Roman" w:hAnsi="Times New Roman" w:cs="Times New Roman" w:eastAsia="Times New Roman" w:hint="default"/>
        </w:rPr>
        <w:t>3</w:t>
      </w:r>
      <w:r>
        <w:rPr/>
        <w:t>、高级管理人员</w:t>
      </w:r>
    </w:p>
    <w:p>
      <w:pPr>
        <w:pStyle w:val="BodyText"/>
        <w:spacing w:line="280" w:lineRule="auto" w:before="82"/>
        <w:ind w:right="1130" w:firstLine="360"/>
        <w:jc w:val="both"/>
      </w:pPr>
      <w:r>
        <w:rPr/>
        <w:t>李勇，副总经理，</w:t>
      </w:r>
      <w:r>
        <w:rPr>
          <w:rFonts w:ascii="Times New Roman" w:hAnsi="Times New Roman" w:cs="Times New Roman" w:eastAsia="Times New Roman" w:hint="default"/>
        </w:rPr>
        <w:t>1968</w:t>
      </w:r>
      <w:r>
        <w:rPr>
          <w:rFonts w:ascii="Times New Roman" w:hAnsi="Times New Roman" w:cs="Times New Roman" w:eastAsia="Times New Roman" w:hint="default"/>
          <w:spacing w:val="7"/>
        </w:rPr>
        <w:t> </w:t>
      </w:r>
      <w:r>
        <w:rPr/>
        <w:t>年出生，中国国籍，无境外永久居留权，毕业于山东大学，获学士学位。工作期间历任山东中 创软件工程股份有限公司工程师、部门经理及副总工程师、中钞信用卡信息产业发展有限公司研发中心经理及</w:t>
      </w:r>
      <w:r>
        <w:rPr>
          <w:spacing w:val="-40"/>
        </w:rPr>
        <w:t> </w:t>
      </w:r>
      <w:r>
        <w:rPr>
          <w:rFonts w:ascii="Times New Roman" w:hAnsi="Times New Roman" w:cs="Times New Roman" w:eastAsia="Times New Roman" w:hint="default"/>
        </w:rPr>
        <w:t>IC</w:t>
      </w:r>
      <w:r>
        <w:rPr>
          <w:rFonts w:ascii="Times New Roman" w:hAnsi="Times New Roman" w:cs="Times New Roman" w:eastAsia="Times New Roman" w:hint="default"/>
          <w:spacing w:val="4"/>
        </w:rPr>
        <w:t> </w:t>
      </w:r>
      <w:r>
        <w:rPr/>
        <w:t>卡事业部 总工程师、北京高伟达软件技术有限公司副总经理，现任公司副总经理。</w:t>
      </w:r>
    </w:p>
    <w:p>
      <w:pPr>
        <w:pStyle w:val="BodyText"/>
        <w:spacing w:line="288" w:lineRule="auto" w:before="66"/>
        <w:ind w:right="1130" w:firstLine="360"/>
        <w:jc w:val="both"/>
      </w:pPr>
      <w:r>
        <w:rPr>
          <w:spacing w:val="-2"/>
        </w:rPr>
        <w:t>武京双，财务总监，</w:t>
      </w:r>
      <w:r>
        <w:rPr>
          <w:rFonts w:ascii="Times New Roman" w:hAnsi="Times New Roman" w:cs="Times New Roman" w:eastAsia="Times New Roman" w:hint="default"/>
          <w:spacing w:val="-2"/>
        </w:rPr>
        <w:t>1968</w:t>
      </w:r>
      <w:r>
        <w:rPr>
          <w:rFonts w:ascii="Times New Roman" w:hAnsi="Times New Roman" w:cs="Times New Roman" w:eastAsia="Times New Roman" w:hint="default"/>
          <w:spacing w:val="11"/>
        </w:rPr>
        <w:t> </w:t>
      </w:r>
      <w:r>
        <w:rPr>
          <w:spacing w:val="-4"/>
          <w:w w:val="99"/>
        </w:rPr>
        <w:t>年出生，中国国籍，无境外永久居留权，大专学历，注册管理会计师（</w:t>
      </w:r>
      <w:r>
        <w:rPr>
          <w:rFonts w:ascii="Times New Roman" w:hAnsi="Times New Roman" w:cs="Times New Roman" w:eastAsia="Times New Roman" w:hint="default"/>
          <w:spacing w:val="-4"/>
          <w:w w:val="99"/>
        </w:rPr>
        <w:t>CMA</w:t>
      </w:r>
      <w:r>
        <w:rPr>
          <w:spacing w:val="-4"/>
          <w:w w:val="99"/>
        </w:rPr>
        <w:t>）。工作期间历任</w:t>
      </w:r>
      <w:r>
        <w:rPr/>
        <w:t> </w:t>
      </w:r>
      <w:r>
        <w:rPr>
          <w:spacing w:val="-2"/>
        </w:rPr>
        <w:t>北京轮胎厂财务科会计、香港山源公司财务部会计、西科姆（中国）有限公司财务部主管、北京高伟达系统集成有限公司财</w:t>
      </w:r>
      <w:r>
        <w:rPr>
          <w:spacing w:val="-66"/>
        </w:rPr>
        <w:t> </w:t>
      </w:r>
      <w:r>
        <w:rPr>
          <w:spacing w:val="-66"/>
        </w:rPr>
      </w:r>
      <w:r>
        <w:rPr/>
        <w:t>务部经理、北京高伟达软件技术有限公司财务部经理，现任公司财务总监。</w:t>
      </w:r>
    </w:p>
    <w:p>
      <w:pPr>
        <w:pStyle w:val="BodyText"/>
        <w:spacing w:line="280" w:lineRule="auto" w:before="61"/>
        <w:ind w:right="1132" w:firstLine="360"/>
        <w:jc w:val="both"/>
        <w:rPr>
          <w:rFonts w:ascii="Times New Roman" w:hAnsi="Times New Roman" w:cs="Times New Roman" w:eastAsia="Times New Roman" w:hint="default"/>
        </w:rPr>
      </w:pPr>
      <w:r>
        <w:rPr>
          <w:spacing w:val="-3"/>
        </w:rPr>
        <w:t>高源，副总经理、董事会秘书，</w:t>
      </w:r>
      <w:r>
        <w:rPr>
          <w:rFonts w:ascii="Times New Roman" w:hAnsi="Times New Roman" w:cs="Times New Roman" w:eastAsia="Times New Roman" w:hint="default"/>
          <w:spacing w:val="-3"/>
        </w:rPr>
        <w:t>1981</w:t>
      </w:r>
      <w:r>
        <w:rPr>
          <w:rFonts w:ascii="Times New Roman" w:hAnsi="Times New Roman" w:cs="Times New Roman" w:eastAsia="Times New Roman" w:hint="default"/>
          <w:spacing w:val="-9"/>
        </w:rPr>
        <w:t> </w:t>
      </w:r>
      <w:r>
        <w:rPr/>
        <w:t>年出生，中国国籍，无境外永久居留权。</w:t>
      </w:r>
      <w:r>
        <w:rPr>
          <w:rFonts w:ascii="Times New Roman" w:hAnsi="Times New Roman" w:cs="Times New Roman" w:eastAsia="Times New Roman" w:hint="default"/>
        </w:rPr>
        <w:t>2000</w:t>
      </w:r>
      <w:r>
        <w:rPr>
          <w:rFonts w:ascii="Times New Roman" w:hAnsi="Times New Roman" w:cs="Times New Roman" w:eastAsia="Times New Roman" w:hint="default"/>
          <w:spacing w:val="-8"/>
        </w:rPr>
        <w:t> </w:t>
      </w:r>
      <w:r>
        <w:rPr/>
        <w:t>年至</w:t>
      </w:r>
      <w:r>
        <w:rPr>
          <w:spacing w:val="-54"/>
        </w:rPr>
        <w:t> </w:t>
      </w:r>
      <w:r>
        <w:rPr>
          <w:rFonts w:ascii="Times New Roman" w:hAnsi="Times New Roman" w:cs="Times New Roman" w:eastAsia="Times New Roman" w:hint="default"/>
        </w:rPr>
        <w:t>2004</w:t>
      </w:r>
      <w:r>
        <w:rPr>
          <w:rFonts w:ascii="Times New Roman" w:hAnsi="Times New Roman" w:cs="Times New Roman" w:eastAsia="Times New Roman" w:hint="default"/>
          <w:spacing w:val="-9"/>
        </w:rPr>
        <w:t> </w:t>
      </w:r>
      <w:r>
        <w:rPr/>
        <w:t>年，就读于兰州大学新闻 系，获得学士学位。</w:t>
      </w:r>
      <w:r>
        <w:rPr>
          <w:rFonts w:ascii="Times New Roman" w:hAnsi="Times New Roman" w:cs="Times New Roman" w:eastAsia="Times New Roman" w:hint="default"/>
        </w:rPr>
        <w:t>2005</w:t>
      </w:r>
      <w:r>
        <w:rPr>
          <w:rFonts w:ascii="Times New Roman" w:hAnsi="Times New Roman" w:cs="Times New Roman" w:eastAsia="Times New Roman" w:hint="default"/>
          <w:spacing w:val="9"/>
        </w:rPr>
        <w:t> </w:t>
      </w:r>
      <w:r>
        <w:rPr/>
        <w:t>年至</w:t>
      </w:r>
      <w:r>
        <w:rPr>
          <w:spacing w:val="-36"/>
        </w:rPr>
        <w:t> </w:t>
      </w:r>
      <w:r>
        <w:rPr>
          <w:rFonts w:ascii="Times New Roman" w:hAnsi="Times New Roman" w:cs="Times New Roman" w:eastAsia="Times New Roman" w:hint="default"/>
        </w:rPr>
        <w:t>2007</w:t>
      </w:r>
      <w:r>
        <w:rPr>
          <w:rFonts w:ascii="Times New Roman" w:hAnsi="Times New Roman" w:cs="Times New Roman" w:eastAsia="Times New Roman" w:hint="default"/>
          <w:spacing w:val="9"/>
        </w:rPr>
        <w:t> </w:t>
      </w:r>
      <w:r>
        <w:rPr/>
        <w:t>年就读于比利时</w:t>
      </w:r>
      <w:r>
        <w:rPr>
          <w:spacing w:val="-36"/>
        </w:rPr>
        <w:t> </w:t>
      </w:r>
      <w:r>
        <w:rPr>
          <w:rFonts w:ascii="Times New Roman" w:hAnsi="Times New Roman" w:cs="Times New Roman" w:eastAsia="Times New Roman" w:hint="default"/>
        </w:rPr>
        <w:t>EHSAL</w:t>
      </w:r>
      <w:r>
        <w:rPr>
          <w:rFonts w:ascii="Times New Roman" w:hAnsi="Times New Roman" w:cs="Times New Roman" w:eastAsia="Times New Roman" w:hint="default"/>
          <w:spacing w:val="9"/>
        </w:rPr>
        <w:t> </w:t>
      </w:r>
      <w:r>
        <w:rPr/>
        <w:t>大学商业管理专业，获得硕士学位。</w:t>
      </w:r>
      <w:r>
        <w:rPr>
          <w:rFonts w:ascii="Times New Roman" w:hAnsi="Times New Roman" w:cs="Times New Roman" w:eastAsia="Times New Roman" w:hint="default"/>
        </w:rPr>
        <w:t>2008</w:t>
      </w:r>
      <w:r>
        <w:rPr>
          <w:rFonts w:ascii="Times New Roman" w:hAnsi="Times New Roman" w:cs="Times New Roman" w:eastAsia="Times New Roman" w:hint="default"/>
          <w:spacing w:val="9"/>
        </w:rPr>
        <w:t> </w:t>
      </w:r>
      <w:r>
        <w:rPr/>
        <w:t>年</w:t>
      </w:r>
      <w:r>
        <w:rPr>
          <w:spacing w:val="-36"/>
        </w:rPr>
        <w:t> </w:t>
      </w:r>
      <w:r>
        <w:rPr>
          <w:rFonts w:ascii="Times New Roman" w:hAnsi="Times New Roman" w:cs="Times New Roman" w:eastAsia="Times New Roman" w:hint="default"/>
        </w:rPr>
        <w:t>2</w:t>
      </w:r>
      <w:r>
        <w:rPr>
          <w:rFonts w:ascii="Times New Roman" w:hAnsi="Times New Roman" w:cs="Times New Roman" w:eastAsia="Times New Roman" w:hint="default"/>
          <w:spacing w:val="9"/>
        </w:rPr>
        <w:t> </w:t>
      </w:r>
      <w:r>
        <w:rPr/>
        <w:t>月至</w:t>
      </w:r>
      <w:r>
        <w:rPr>
          <w:spacing w:val="-36"/>
        </w:rPr>
        <w:t> </w:t>
      </w:r>
      <w:r>
        <w:rPr>
          <w:rFonts w:ascii="Times New Roman" w:hAnsi="Times New Roman" w:cs="Times New Roman" w:eastAsia="Times New Roman" w:hint="default"/>
        </w:rPr>
        <w:t>2009</w:t>
      </w:r>
      <w:r>
        <w:rPr>
          <w:rFonts w:ascii="Times New Roman" w:hAnsi="Times New Roman" w:cs="Times New Roman" w:eastAsia="Times New Roman" w:hint="default"/>
          <w:spacing w:val="9"/>
        </w:rPr>
        <w:t> </w:t>
      </w:r>
      <w:r>
        <w:rPr/>
        <w:t>年</w:t>
      </w:r>
      <w:r>
        <w:rPr>
          <w:spacing w:val="-36"/>
        </w:rPr>
        <w:t> </w:t>
      </w:r>
      <w:r>
        <w:rPr>
          <w:rFonts w:ascii="Times New Roman" w:hAnsi="Times New Roman" w:cs="Times New Roman" w:eastAsia="Times New Roman" w:hint="default"/>
        </w:rPr>
        <w:t>9</w:t>
      </w:r>
    </w:p>
    <w:p>
      <w:pPr>
        <w:pStyle w:val="BodyText"/>
        <w:spacing w:line="240" w:lineRule="auto" w:before="8"/>
        <w:ind w:right="0"/>
        <w:jc w:val="left"/>
      </w:pPr>
      <w:r>
        <w:rPr/>
        <w:t>月，在中国雨润食品集团股份有限公司投资者关系部，任投资者关系主任。</w:t>
      </w:r>
      <w:r>
        <w:rPr>
          <w:rFonts w:ascii="Times New Roman" w:hAnsi="Times New Roman" w:cs="Times New Roman" w:eastAsia="Times New Roman" w:hint="default"/>
        </w:rPr>
        <w:t>2009</w:t>
      </w:r>
      <w:r>
        <w:rPr>
          <w:rFonts w:ascii="Times New Roman" w:hAnsi="Times New Roman" w:cs="Times New Roman" w:eastAsia="Times New Roman" w:hint="default"/>
          <w:spacing w:val="-7"/>
        </w:rPr>
        <w:t> </w:t>
      </w:r>
      <w:r>
        <w:rPr/>
        <w:t>年</w:t>
      </w:r>
      <w:r>
        <w:rPr>
          <w:spacing w:val="-51"/>
        </w:rPr>
        <w:t> </w:t>
      </w:r>
      <w:r>
        <w:rPr>
          <w:rFonts w:ascii="Times New Roman" w:hAnsi="Times New Roman" w:cs="Times New Roman" w:eastAsia="Times New Roman" w:hint="default"/>
        </w:rPr>
        <w:t>9</w:t>
      </w:r>
      <w:r>
        <w:rPr>
          <w:rFonts w:ascii="Times New Roman" w:hAnsi="Times New Roman" w:cs="Times New Roman" w:eastAsia="Times New Roman" w:hint="default"/>
          <w:spacing w:val="-7"/>
        </w:rPr>
        <w:t> </w:t>
      </w:r>
      <w:r>
        <w:rPr/>
        <w:t>月至</w:t>
      </w:r>
      <w:r>
        <w:rPr>
          <w:spacing w:val="-5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w:t>
      </w:r>
      <w:r>
        <w:rPr>
          <w:spacing w:val="-51"/>
        </w:rPr>
        <w:t> </w:t>
      </w:r>
      <w:r>
        <w:rPr>
          <w:rFonts w:ascii="Times New Roman" w:hAnsi="Times New Roman" w:cs="Times New Roman" w:eastAsia="Times New Roman" w:hint="default"/>
        </w:rPr>
        <w:t>6</w:t>
      </w:r>
      <w:r>
        <w:rPr>
          <w:rFonts w:ascii="Times New Roman" w:hAnsi="Times New Roman" w:cs="Times New Roman" w:eastAsia="Times New Roman" w:hint="default"/>
          <w:spacing w:val="-7"/>
        </w:rPr>
        <w:t> </w:t>
      </w:r>
      <w:r>
        <w:rPr/>
        <w:t>月，在慈铭健康体检管</w:t>
      </w:r>
    </w:p>
    <w:p>
      <w:pPr>
        <w:pStyle w:val="BodyText"/>
        <w:spacing w:line="240" w:lineRule="auto" w:before="42"/>
        <w:ind w:right="0"/>
        <w:jc w:val="left"/>
      </w:pPr>
      <w:r>
        <w:rPr/>
        <w:t>理集团股份有限公司，任证券事务代表。</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月至</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月，在博彦科技股份有限公司任证券事务与投融资总监。</w:t>
      </w:r>
    </w:p>
    <w:p>
      <w:pPr>
        <w:pStyle w:val="BodyText"/>
        <w:spacing w:line="283" w:lineRule="auto" w:before="42"/>
        <w:ind w:left="1134" w:right="1125"/>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7"/>
        </w:rPr>
        <w:t> </w:t>
      </w:r>
      <w:r>
        <w:rPr/>
        <w:t>年</w:t>
      </w:r>
      <w:r>
        <w:rPr>
          <w:spacing w:val="-52"/>
        </w:rPr>
        <w:t> </w:t>
      </w:r>
      <w:r>
        <w:rPr>
          <w:rFonts w:ascii="Times New Roman" w:hAnsi="Times New Roman" w:cs="Times New Roman" w:eastAsia="Times New Roman" w:hint="default"/>
        </w:rPr>
        <w:t>8</w:t>
      </w:r>
      <w:r>
        <w:rPr>
          <w:rFonts w:ascii="Times New Roman" w:hAnsi="Times New Roman" w:cs="Times New Roman" w:eastAsia="Times New Roman" w:hint="default"/>
          <w:spacing w:val="-7"/>
        </w:rPr>
        <w:t> </w:t>
      </w:r>
      <w:r>
        <w:rPr/>
        <w:t>月至</w:t>
      </w:r>
      <w:r>
        <w:rPr>
          <w:spacing w:val="-51"/>
        </w:rPr>
        <w:t> </w:t>
      </w:r>
      <w:r>
        <w:rPr>
          <w:rFonts w:ascii="Times New Roman" w:hAnsi="Times New Roman" w:cs="Times New Roman" w:eastAsia="Times New Roman" w:hint="default"/>
        </w:rPr>
        <w:t>2015</w:t>
      </w:r>
      <w:r>
        <w:rPr>
          <w:rFonts w:ascii="Times New Roman" w:hAnsi="Times New Roman" w:cs="Times New Roman" w:eastAsia="Times New Roman" w:hint="default"/>
          <w:spacing w:val="-7"/>
        </w:rPr>
        <w:t> </w:t>
      </w:r>
      <w:r>
        <w:rPr/>
        <w:t>年</w:t>
      </w:r>
      <w:r>
        <w:rPr>
          <w:spacing w:val="-52"/>
        </w:rPr>
        <w:t> </w:t>
      </w:r>
      <w:r>
        <w:rPr>
          <w:rFonts w:ascii="Times New Roman" w:hAnsi="Times New Roman" w:cs="Times New Roman" w:eastAsia="Times New Roman" w:hint="default"/>
        </w:rPr>
        <w:t>8</w:t>
      </w:r>
      <w:r>
        <w:rPr>
          <w:rFonts w:ascii="Times New Roman" w:hAnsi="Times New Roman" w:cs="Times New Roman" w:eastAsia="Times New Roman" w:hint="default"/>
          <w:spacing w:val="-7"/>
        </w:rPr>
        <w:t> </w:t>
      </w:r>
      <w:r>
        <w:rPr/>
        <w:t>月，在东易日盛家居装饰集团股份有限公司任副总经理、董事会秘书。</w:t>
      </w:r>
      <w:r>
        <w:rPr>
          <w:rFonts w:ascii="Times New Roman" w:hAnsi="Times New Roman" w:cs="Times New Roman" w:eastAsia="Times New Roman" w:hint="default"/>
        </w:rPr>
        <w:t>2015</w:t>
      </w:r>
      <w:r>
        <w:rPr>
          <w:rFonts w:ascii="Times New Roman" w:hAnsi="Times New Roman" w:cs="Times New Roman" w:eastAsia="Times New Roman" w:hint="default"/>
          <w:spacing w:val="-7"/>
        </w:rPr>
        <w:t> </w:t>
      </w:r>
      <w:r>
        <w:rPr/>
        <w:t>年</w:t>
      </w:r>
      <w:r>
        <w:rPr>
          <w:spacing w:val="-52"/>
        </w:rPr>
        <w:t> </w:t>
      </w:r>
      <w:r>
        <w:rPr>
          <w:rFonts w:ascii="Times New Roman" w:hAnsi="Times New Roman" w:cs="Times New Roman" w:eastAsia="Times New Roman" w:hint="default"/>
        </w:rPr>
        <w:t>9</w:t>
      </w:r>
      <w:r>
        <w:rPr>
          <w:rFonts w:ascii="Times New Roman" w:hAnsi="Times New Roman" w:cs="Times New Roman" w:eastAsia="Times New Roman" w:hint="default"/>
          <w:spacing w:val="-7"/>
        </w:rPr>
        <w:t> </w:t>
      </w:r>
      <w:r>
        <w:rPr>
          <w:spacing w:val="-3"/>
        </w:rPr>
        <w:t>月至今，在高伟达</w:t>
      </w:r>
      <w:r>
        <w:rPr/>
        <w:t> 软件股份有限公司任副总经理、董事会秘书。</w:t>
      </w:r>
    </w:p>
    <w:p>
      <w:pPr>
        <w:pStyle w:val="BodyText"/>
        <w:spacing w:line="280" w:lineRule="auto" w:before="63"/>
        <w:ind w:right="1085" w:firstLine="360"/>
        <w:jc w:val="both"/>
      </w:pPr>
      <w:r>
        <w:rPr/>
        <w:t>杨晓斌先生，</w:t>
      </w:r>
      <w:r>
        <w:rPr>
          <w:rFonts w:ascii="Times New Roman" w:hAnsi="Times New Roman" w:cs="Times New Roman" w:eastAsia="Times New Roman" w:hint="default"/>
        </w:rPr>
        <w:t>1968</w:t>
      </w:r>
      <w:r>
        <w:rPr>
          <w:rFonts w:ascii="Times New Roman" w:hAnsi="Times New Roman" w:cs="Times New Roman" w:eastAsia="Times New Roman" w:hint="default"/>
          <w:spacing w:val="4"/>
        </w:rPr>
        <w:t> </w:t>
      </w:r>
      <w:r>
        <w:rPr/>
        <w:t>年出生，中国国籍，无境外永久居留权，先后毕业于北京航空航天大学，国防科技大学和美国威斯 康星大学，获得电子工程学士、计算机硕士和 </w:t>
      </w:r>
      <w:r>
        <w:rPr>
          <w:rFonts w:ascii="Times New Roman" w:hAnsi="Times New Roman" w:cs="Times New Roman" w:eastAsia="Times New Roman" w:hint="default"/>
        </w:rPr>
        <w:t>MBA </w:t>
      </w:r>
      <w:r>
        <w:rPr/>
        <w:t>学位。</w:t>
      </w:r>
      <w:r>
        <w:rPr>
          <w:rFonts w:ascii="Times New Roman" w:hAnsi="Times New Roman" w:cs="Times New Roman" w:eastAsia="Times New Roman" w:hint="default"/>
        </w:rPr>
        <w:t>1989 </w:t>
      </w:r>
      <w:r>
        <w:rPr/>
        <w:t>年</w:t>
      </w:r>
      <w:r>
        <w:rPr>
          <w:rFonts w:ascii="Times New Roman" w:hAnsi="Times New Roman" w:cs="Times New Roman" w:eastAsia="Times New Roman" w:hint="default"/>
        </w:rPr>
        <w:t>-2000</w:t>
      </w:r>
      <w:r>
        <w:rPr>
          <w:rFonts w:ascii="Times New Roman" w:hAnsi="Times New Roman" w:cs="Times New Roman" w:eastAsia="Times New Roman" w:hint="default"/>
          <w:spacing w:val="-14"/>
        </w:rPr>
        <w:t> </w:t>
      </w:r>
      <w:r>
        <w:rPr/>
        <w:t>年，供职于国家研究机构，担任航天系统设计师； </w:t>
      </w:r>
      <w:r>
        <w:rPr>
          <w:rFonts w:ascii="Times New Roman" w:hAnsi="Times New Roman" w:cs="Times New Roman" w:eastAsia="Times New Roman" w:hint="default"/>
        </w:rPr>
        <w:t>2000 </w:t>
      </w:r>
      <w:r>
        <w:rPr/>
        <w:t>年</w:t>
      </w:r>
      <w:r>
        <w:rPr>
          <w:rFonts w:ascii="Times New Roman" w:hAnsi="Times New Roman" w:cs="Times New Roman" w:eastAsia="Times New Roman" w:hint="default"/>
        </w:rPr>
        <w:t>-2014 </w:t>
      </w:r>
      <w:r>
        <w:rPr/>
        <w:t>年，供职于 </w:t>
      </w:r>
      <w:r>
        <w:rPr>
          <w:rFonts w:ascii="Times New Roman" w:hAnsi="Times New Roman" w:cs="Times New Roman" w:eastAsia="Times New Roman" w:hint="default"/>
        </w:rPr>
        <w:t>IBM</w:t>
      </w:r>
      <w:r>
        <w:rPr/>
        <w:t>，任职高级产品研发经理和大中华区协同软件服务部总经理；</w:t>
      </w:r>
      <w:r>
        <w:rPr>
          <w:rFonts w:ascii="Times New Roman" w:hAnsi="Times New Roman" w:cs="Times New Roman" w:eastAsia="Times New Roman" w:hint="default"/>
        </w:rPr>
        <w:t>2014</w:t>
      </w:r>
      <w:r>
        <w:rPr>
          <w:rFonts w:ascii="Times New Roman" w:hAnsi="Times New Roman" w:cs="Times New Roman" w:eastAsia="Times New Roman" w:hint="default"/>
          <w:spacing w:val="12"/>
        </w:rPr>
        <w:t> </w:t>
      </w:r>
      <w:r>
        <w:rPr/>
        <w:t>年至今，担任高伟达软件 股份有限公司研发中心总经理。</w:t>
      </w:r>
    </w:p>
    <w:p>
      <w:pPr>
        <w:pStyle w:val="BodyText"/>
        <w:spacing w:line="280" w:lineRule="auto" w:before="65"/>
        <w:ind w:right="1035" w:firstLine="360"/>
        <w:jc w:val="left"/>
      </w:pPr>
      <w:r>
        <w:rPr/>
        <w:t>沈远恒，</w:t>
      </w:r>
      <w:r>
        <w:rPr>
          <w:rFonts w:ascii="Times New Roman" w:hAnsi="Times New Roman" w:cs="Times New Roman" w:eastAsia="Times New Roman" w:hint="default"/>
        </w:rPr>
        <w:t>1963</w:t>
      </w:r>
      <w:r>
        <w:rPr>
          <w:rFonts w:ascii="Times New Roman" w:hAnsi="Times New Roman" w:cs="Times New Roman" w:eastAsia="Times New Roman" w:hint="default"/>
          <w:spacing w:val="4"/>
        </w:rPr>
        <w:t> </w:t>
      </w:r>
      <w:r>
        <w:rPr/>
        <w:t>年出生，中国台湾籍及美国国籍，毕业于美国伊利诺理工学院以及美国堪萨斯州立大学，分别获得金融 工程硕士学位以及土木工程硕士学位。</w:t>
      </w:r>
      <w:r>
        <w:rPr>
          <w:rFonts w:ascii="Times New Roman" w:hAnsi="Times New Roman" w:cs="Times New Roman" w:eastAsia="Times New Roman" w:hint="default"/>
        </w:rPr>
        <w:t>1992</w:t>
      </w:r>
      <w:r>
        <w:rPr>
          <w:rFonts w:ascii="Times New Roman" w:hAnsi="Times New Roman" w:cs="Times New Roman" w:eastAsia="Times New Roman" w:hint="default"/>
          <w:spacing w:val="-6"/>
        </w:rPr>
        <w:t> </w:t>
      </w:r>
      <w:r>
        <w:rPr/>
        <w:t>年</w:t>
      </w:r>
      <w:r>
        <w:rPr>
          <w:rFonts w:ascii="Times New Roman" w:hAnsi="Times New Roman" w:cs="Times New Roman" w:eastAsia="Times New Roman" w:hint="default"/>
        </w:rPr>
        <w:t>-1997</w:t>
      </w:r>
      <w:r>
        <w:rPr>
          <w:rFonts w:ascii="Times New Roman" w:hAnsi="Times New Roman" w:cs="Times New Roman" w:eastAsia="Times New Roman" w:hint="default"/>
          <w:spacing w:val="-6"/>
        </w:rPr>
        <w:t> </w:t>
      </w:r>
      <w:r>
        <w:rPr/>
        <w:t>年担任美国</w:t>
      </w:r>
      <w:r>
        <w:rPr>
          <w:spacing w:val="-51"/>
        </w:rPr>
        <w:t> </w:t>
      </w:r>
      <w:r>
        <w:rPr>
          <w:rFonts w:ascii="Times New Roman" w:hAnsi="Times New Roman" w:cs="Times New Roman" w:eastAsia="Times New Roman" w:hint="default"/>
        </w:rPr>
        <w:t>HNTB</w:t>
      </w:r>
      <w:r>
        <w:rPr>
          <w:rFonts w:ascii="Times New Roman" w:hAnsi="Times New Roman" w:cs="Times New Roman" w:eastAsia="Times New Roman" w:hint="default"/>
          <w:spacing w:val="-5"/>
        </w:rPr>
        <w:t> </w:t>
      </w:r>
      <w:r>
        <w:rPr/>
        <w:t>工程顾问公司结构设计工程师；</w:t>
      </w:r>
      <w:r>
        <w:rPr>
          <w:rFonts w:ascii="Times New Roman" w:hAnsi="Times New Roman" w:cs="Times New Roman" w:eastAsia="Times New Roman" w:hint="default"/>
        </w:rPr>
        <w:t>1998</w:t>
      </w:r>
      <w:r>
        <w:rPr>
          <w:rFonts w:ascii="Times New Roman" w:hAnsi="Times New Roman" w:cs="Times New Roman" w:eastAsia="Times New Roman" w:hint="default"/>
          <w:spacing w:val="-6"/>
        </w:rPr>
        <w:t> </w:t>
      </w:r>
      <w:r>
        <w:rPr/>
        <w:t>年</w:t>
      </w:r>
      <w:r>
        <w:rPr>
          <w:rFonts w:ascii="Times New Roman" w:hAnsi="Times New Roman" w:cs="Times New Roman" w:eastAsia="Times New Roman" w:hint="default"/>
        </w:rPr>
        <w:t>-2000</w:t>
      </w:r>
      <w:r>
        <w:rPr>
          <w:rFonts w:ascii="Times New Roman" w:hAnsi="Times New Roman" w:cs="Times New Roman" w:eastAsia="Times New Roman" w:hint="default"/>
          <w:spacing w:val="-6"/>
        </w:rPr>
        <w:t> </w:t>
      </w:r>
      <w:r>
        <w:rPr>
          <w:spacing w:val="-7"/>
        </w:rPr>
        <w:t>年，担</w:t>
      </w:r>
      <w:r>
        <w:rPr/>
        <w:t> </w:t>
      </w:r>
      <w:r>
        <w:rPr>
          <w:spacing w:val="-5"/>
        </w:rPr>
        <w:t>任摩根大通集团（美国）全球资本市场部量化投资策略固定收益部负责人；</w:t>
      </w:r>
      <w:r>
        <w:rPr>
          <w:rFonts w:ascii="Times New Roman" w:hAnsi="Times New Roman" w:cs="Times New Roman" w:eastAsia="Times New Roman" w:hint="default"/>
          <w:spacing w:val="-5"/>
        </w:rPr>
        <w:t>2000</w:t>
      </w:r>
      <w:r>
        <w:rPr>
          <w:rFonts w:ascii="Times New Roman" w:hAnsi="Times New Roman" w:cs="Times New Roman" w:eastAsia="Times New Roman" w:hint="default"/>
          <w:spacing w:val="15"/>
        </w:rPr>
        <w:t> </w:t>
      </w:r>
      <w:r>
        <w:rPr/>
        <w:t>年</w:t>
      </w:r>
      <w:r>
        <w:rPr>
          <w:rFonts w:ascii="Times New Roman" w:hAnsi="Times New Roman" w:cs="Times New Roman" w:eastAsia="Times New Roman" w:hint="default"/>
        </w:rPr>
        <w:t>-2006</w:t>
      </w:r>
      <w:r>
        <w:rPr>
          <w:rFonts w:ascii="Times New Roman" w:hAnsi="Times New Roman" w:cs="Times New Roman" w:eastAsia="Times New Roman" w:hint="default"/>
          <w:spacing w:val="15"/>
        </w:rPr>
        <w:t> </w:t>
      </w:r>
      <w:r>
        <w:rPr>
          <w:spacing w:val="-3"/>
        </w:rPr>
        <w:t>年，担任芝加哥期权交易所</w:t>
      </w:r>
      <w:r>
        <w:rPr>
          <w:rFonts w:ascii="Times New Roman" w:hAnsi="Times New Roman" w:cs="Times New Roman" w:eastAsia="Times New Roman" w:hint="default"/>
          <w:spacing w:val="-3"/>
        </w:rPr>
        <w:t>(CBOE)</w:t>
      </w:r>
      <w:r>
        <w:rPr>
          <w:spacing w:val="-3"/>
        </w:rPr>
        <w:t>、</w:t>
      </w:r>
      <w:r>
        <w:rPr>
          <w:spacing w:val="-86"/>
        </w:rPr>
        <w:t> </w:t>
      </w:r>
      <w:r>
        <w:rPr/>
        <w:t>芝加哥商品期货交易所</w:t>
      </w:r>
      <w:r>
        <w:rPr>
          <w:rFonts w:ascii="Times New Roman" w:hAnsi="Times New Roman" w:cs="Times New Roman" w:eastAsia="Times New Roman" w:hint="default"/>
        </w:rPr>
        <w:t>(CBOT)</w:t>
      </w:r>
      <w:r>
        <w:rPr/>
        <w:t>资深量化交易风险管理负责人；</w:t>
      </w:r>
      <w:r>
        <w:rPr>
          <w:rFonts w:ascii="Times New Roman" w:hAnsi="Times New Roman" w:cs="Times New Roman" w:eastAsia="Times New Roman" w:hint="default"/>
        </w:rPr>
        <w:t>2006 </w:t>
      </w:r>
      <w:r>
        <w:rPr/>
        <w:t>年</w:t>
      </w:r>
      <w:r>
        <w:rPr>
          <w:rFonts w:ascii="Times New Roman" w:hAnsi="Times New Roman" w:cs="Times New Roman" w:eastAsia="Times New Roman" w:hint="default"/>
        </w:rPr>
        <w:t>-2009</w:t>
      </w:r>
      <w:r>
        <w:rPr>
          <w:rFonts w:ascii="Times New Roman" w:hAnsi="Times New Roman" w:cs="Times New Roman" w:eastAsia="Times New Roman" w:hint="default"/>
          <w:spacing w:val="12"/>
        </w:rPr>
        <w:t> </w:t>
      </w:r>
      <w:r>
        <w:rPr/>
        <w:t>年，担任美国第二大团体人寿险集团（</w:t>
      </w:r>
      <w:r>
        <w:rPr>
          <w:rFonts w:ascii="Times New Roman" w:hAnsi="Times New Roman" w:cs="Times New Roman" w:eastAsia="Times New Roman" w:hint="default"/>
        </w:rPr>
        <w:t>UNUM</w:t>
      </w:r>
      <w:r>
        <w:rPr>
          <w:rFonts w:ascii="Times New Roman" w:hAnsi="Times New Roman" w:cs="Times New Roman" w:eastAsia="Times New Roman" w:hint="default"/>
          <w:w w:val="99"/>
        </w:rPr>
        <w:t> </w:t>
      </w:r>
      <w:r>
        <w:rPr>
          <w:rFonts w:ascii="Times New Roman" w:hAnsi="Times New Roman" w:cs="Times New Roman" w:eastAsia="Times New Roman" w:hint="default"/>
        </w:rPr>
        <w:t>Group)</w:t>
      </w:r>
      <w:r>
        <w:rPr/>
        <w:t>量化投资组合管理副总裁；</w:t>
      </w: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t>年</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年，担任中国平安保险（集团）集团风险管理部总经理；</w:t>
      </w:r>
      <w:r>
        <w:rPr>
          <w:spacing w:val="-47"/>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rFonts w:ascii="Times New Roman" w:hAnsi="Times New Roman" w:cs="Times New Roman" w:eastAsia="Times New Roman" w:hint="default"/>
        </w:rPr>
        <w:t>-2013</w:t>
      </w:r>
      <w:r>
        <w:rPr>
          <w:rFonts w:ascii="Times New Roman" w:hAnsi="Times New Roman" w:cs="Times New Roman" w:eastAsia="Times New Roman" w:hint="default"/>
          <w:spacing w:val="-4"/>
        </w:rPr>
        <w:t> </w:t>
      </w:r>
      <w:r>
        <w:rPr/>
        <w:t>年，</w:t>
      </w:r>
      <w:r>
        <w:rPr>
          <w:w w:val="99"/>
        </w:rPr>
        <w:t> </w:t>
      </w:r>
      <w:r>
        <w:rPr/>
        <w:t>担任高伟达软件股份有限公司风险管理部总经理；</w:t>
      </w:r>
      <w:r>
        <w:rPr>
          <w:rFonts w:ascii="Times New Roman" w:hAnsi="Times New Roman" w:cs="Times New Roman" w:eastAsia="Times New Roman" w:hint="default"/>
        </w:rPr>
        <w:t>2013 </w:t>
      </w:r>
      <w:r>
        <w:rPr/>
        <w:t>年</w:t>
      </w:r>
      <w:r>
        <w:rPr>
          <w:rFonts w:ascii="Times New Roman" w:hAnsi="Times New Roman" w:cs="Times New Roman" w:eastAsia="Times New Roman" w:hint="default"/>
        </w:rPr>
        <w:t>-2015 </w:t>
      </w:r>
      <w:r>
        <w:rPr/>
        <w:t>年，担任先锋产业金融集团首席执行官；</w:t>
      </w:r>
      <w:r>
        <w:rPr>
          <w:rFonts w:ascii="Times New Roman" w:hAnsi="Times New Roman" w:cs="Times New Roman" w:eastAsia="Times New Roman" w:hint="default"/>
        </w:rPr>
        <w:t>2015</w:t>
      </w:r>
      <w:r>
        <w:rPr>
          <w:rFonts w:ascii="Times New Roman" w:hAnsi="Times New Roman" w:cs="Times New Roman" w:eastAsia="Times New Roman" w:hint="default"/>
          <w:spacing w:val="-8"/>
        </w:rPr>
        <w:t> </w:t>
      </w:r>
      <w:r>
        <w:rPr/>
        <w:t>年至今，担</w:t>
      </w:r>
      <w:r>
        <w:rPr>
          <w:w w:val="99"/>
        </w:rPr>
        <w:t> </w:t>
      </w:r>
      <w:r>
        <w:rPr/>
        <w:t>任高伟达软件股份有限公司战略发展部总经理。</w:t>
      </w:r>
    </w:p>
    <w:p>
      <w:pPr>
        <w:pStyle w:val="BodyText"/>
        <w:spacing w:line="240" w:lineRule="auto" w:before="108"/>
        <w:ind w:right="0"/>
        <w:jc w:val="left"/>
      </w:pPr>
      <w:r>
        <w:rPr/>
        <w:t>在股东单位任职情况</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217"/>
        <w:gridCol w:w="2753"/>
        <w:gridCol w:w="1276"/>
        <w:gridCol w:w="1490"/>
        <w:gridCol w:w="1487"/>
        <w:gridCol w:w="1345"/>
      </w:tblGrid>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30"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在股东单位担 任的职务</w:t>
            </w:r>
          </w:p>
        </w:tc>
        <w:tc>
          <w:tcPr>
            <w:tcW w:w="1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4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7" w:right="36"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于伟</w:t>
            </w:r>
          </w:p>
        </w:tc>
        <w:tc>
          <w:tcPr>
            <w:tcW w:w="275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鹰潭市鹰高投资咨询有限公司</w:t>
            </w:r>
          </w:p>
        </w:tc>
        <w:tc>
          <w:tcPr>
            <w:tcW w:w="1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于伟</w:t>
            </w:r>
          </w:p>
        </w:tc>
        <w:tc>
          <w:tcPr>
            <w:tcW w:w="275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鹰潭市华鹰投资咨询有限公司</w:t>
            </w:r>
          </w:p>
        </w:tc>
        <w:tc>
          <w:tcPr>
            <w:tcW w:w="1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于伟</w:t>
            </w:r>
          </w:p>
        </w:tc>
        <w:tc>
          <w:tcPr>
            <w:tcW w:w="275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鹰潭市锐鹰投资咨询有限公司</w:t>
            </w:r>
          </w:p>
        </w:tc>
        <w:tc>
          <w:tcPr>
            <w:tcW w:w="1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关银星</w:t>
            </w:r>
          </w:p>
        </w:tc>
        <w:tc>
          <w:tcPr>
            <w:tcW w:w="275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鹰潭市华鹰投资咨询有限公司</w:t>
            </w:r>
          </w:p>
        </w:tc>
        <w:tc>
          <w:tcPr>
            <w:tcW w:w="1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1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关银星</w:t>
            </w:r>
          </w:p>
        </w:tc>
        <w:tc>
          <w:tcPr>
            <w:tcW w:w="275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鹰潭市华鹰投资咨询有限公司</w:t>
            </w:r>
          </w:p>
        </w:tc>
        <w:tc>
          <w:tcPr>
            <w:tcW w:w="1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1187" w:top="1060" w:bottom="138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217"/>
        <w:gridCol w:w="2753"/>
        <w:gridCol w:w="1276"/>
        <w:gridCol w:w="1490"/>
        <w:gridCol w:w="1487"/>
        <w:gridCol w:w="1345"/>
      </w:tblGrid>
      <w:tr>
        <w:trPr>
          <w:trHeight w:val="402" w:hRule="exact"/>
        </w:trPr>
        <w:tc>
          <w:tcPr>
            <w:tcW w:w="121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关银星</w:t>
            </w:r>
          </w:p>
        </w:tc>
        <w:tc>
          <w:tcPr>
            <w:tcW w:w="275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银联科技有限公司</w:t>
            </w:r>
          </w:p>
        </w:tc>
        <w:tc>
          <w:tcPr>
            <w:tcW w:w="1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关银星</w:t>
            </w:r>
          </w:p>
        </w:tc>
        <w:tc>
          <w:tcPr>
            <w:tcW w:w="275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银湖公司</w:t>
            </w:r>
          </w:p>
        </w:tc>
        <w:tc>
          <w:tcPr>
            <w:tcW w:w="1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集团执行董事</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left="1134" w:right="0"/>
        <w:jc w:val="left"/>
      </w:pPr>
      <w:r>
        <w:rPr/>
        <w:t>在其他单位任职情况</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234"/>
        <w:gridCol w:w="3276"/>
        <w:gridCol w:w="1092"/>
        <w:gridCol w:w="1487"/>
        <w:gridCol w:w="1559"/>
        <w:gridCol w:w="920"/>
      </w:tblGrid>
      <w:tr>
        <w:trPr>
          <w:trHeight w:val="1338"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任职人员姓名</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4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4" w:right="95"/>
              <w:jc w:val="center"/>
              <w:rPr>
                <w:rFonts w:ascii="宋体" w:hAnsi="宋体" w:cs="宋体" w:eastAsia="宋体" w:hint="default"/>
                <w:sz w:val="18"/>
                <w:szCs w:val="18"/>
              </w:rPr>
            </w:pPr>
            <w:r>
              <w:rPr>
                <w:rFonts w:ascii="宋体" w:hAnsi="宋体" w:cs="宋体" w:eastAsia="宋体" w:hint="default"/>
                <w:sz w:val="18"/>
                <w:szCs w:val="18"/>
              </w:rPr>
              <w:t>在其他单 位是否领 取报酬津 贴</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关银星</w:t>
            </w:r>
          </w:p>
        </w:tc>
        <w:tc>
          <w:tcPr>
            <w:tcW w:w="3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Silverlake Axis Sdn</w:t>
            </w:r>
            <w:r>
              <w:rPr>
                <w:rFonts w:ascii="Times New Roman"/>
                <w:spacing w:val="-15"/>
                <w:sz w:val="18"/>
              </w:rPr>
              <w:t> </w:t>
            </w:r>
            <w:r>
              <w:rPr>
                <w:rFonts w:ascii="Times New Roman"/>
                <w:sz w:val="18"/>
              </w:rPr>
              <w:t>Bhd</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关银星</w:t>
            </w:r>
          </w:p>
        </w:tc>
        <w:tc>
          <w:tcPr>
            <w:tcW w:w="3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Silverlake Japan</w:t>
            </w:r>
            <w:r>
              <w:rPr>
                <w:rFonts w:ascii="Times New Roman"/>
                <w:spacing w:val="-8"/>
                <w:sz w:val="18"/>
              </w:rPr>
              <w:t> </w:t>
            </w:r>
            <w:r>
              <w:rPr>
                <w:rFonts w:ascii="Times New Roman"/>
                <w:sz w:val="18"/>
              </w:rPr>
              <w:t>Ltd.</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关银星</w:t>
            </w:r>
          </w:p>
        </w:tc>
        <w:tc>
          <w:tcPr>
            <w:tcW w:w="3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Silverlake Solutions</w:t>
            </w:r>
            <w:r>
              <w:rPr>
                <w:rFonts w:ascii="Times New Roman"/>
                <w:spacing w:val="-7"/>
                <w:sz w:val="18"/>
              </w:rPr>
              <w:t> </w:t>
            </w:r>
            <w:r>
              <w:rPr>
                <w:rFonts w:ascii="Times New Roman"/>
                <w:sz w:val="18"/>
              </w:rPr>
              <w:t>Limited</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23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关银星</w:t>
            </w:r>
          </w:p>
        </w:tc>
        <w:tc>
          <w:tcPr>
            <w:tcW w:w="3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62" w:lineRule="auto" w:before="91"/>
              <w:ind w:left="22" w:right="194"/>
              <w:jc w:val="left"/>
              <w:rPr>
                <w:rFonts w:ascii="Times New Roman" w:hAnsi="Times New Roman" w:cs="Times New Roman" w:eastAsia="Times New Roman" w:hint="default"/>
                <w:sz w:val="18"/>
                <w:szCs w:val="18"/>
              </w:rPr>
            </w:pPr>
            <w:r>
              <w:rPr>
                <w:rFonts w:ascii="Times New Roman"/>
                <w:sz w:val="18"/>
              </w:rPr>
              <w:t>Symmetric Payments &amp;</w:t>
            </w:r>
            <w:r>
              <w:rPr>
                <w:rFonts w:ascii="Times New Roman"/>
                <w:spacing w:val="-1"/>
                <w:sz w:val="18"/>
              </w:rPr>
              <w:t> </w:t>
            </w:r>
            <w:r>
              <w:rPr>
                <w:rFonts w:ascii="Times New Roman"/>
                <w:sz w:val="18"/>
              </w:rPr>
              <w:t>Integration</w:t>
            </w:r>
            <w:r>
              <w:rPr>
                <w:rFonts w:ascii="Times New Roman"/>
                <w:sz w:val="18"/>
              </w:rPr>
              <w:t> Holdings Pte. Ltd. (f.k.a. Isis</w:t>
            </w:r>
            <w:r>
              <w:rPr>
                <w:rFonts w:ascii="Times New Roman"/>
                <w:spacing w:val="-8"/>
                <w:sz w:val="18"/>
              </w:rPr>
              <w:t> </w:t>
            </w:r>
            <w:r>
              <w:rPr>
                <w:rFonts w:ascii="Times New Roman"/>
                <w:sz w:val="18"/>
              </w:rPr>
              <w:t>International</w:t>
            </w:r>
            <w:r>
              <w:rPr>
                <w:rFonts w:ascii="Times New Roman"/>
                <w:sz w:val="18"/>
              </w:rPr>
              <w:t> Pte</w:t>
            </w:r>
            <w:r>
              <w:rPr>
                <w:rFonts w:ascii="Times New Roman"/>
                <w:spacing w:val="-2"/>
                <w:sz w:val="18"/>
              </w:rPr>
              <w:t> </w:t>
            </w:r>
            <w:r>
              <w:rPr>
                <w:rFonts w:ascii="Times New Roman"/>
                <w:sz w:val="18"/>
              </w:rPr>
              <w:t>Ltd)</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关银星</w:t>
            </w:r>
          </w:p>
        </w:tc>
        <w:tc>
          <w:tcPr>
            <w:tcW w:w="3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Merimen </w:t>
            </w:r>
            <w:r>
              <w:rPr>
                <w:rFonts w:ascii="Times New Roman"/>
                <w:spacing w:val="-3"/>
                <w:sz w:val="18"/>
              </w:rPr>
              <w:t>Ventures </w:t>
            </w:r>
            <w:r>
              <w:rPr>
                <w:rFonts w:ascii="Times New Roman"/>
                <w:sz w:val="18"/>
              </w:rPr>
              <w:t>Sdn Bhd</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关银星</w:t>
            </w:r>
          </w:p>
        </w:tc>
        <w:tc>
          <w:tcPr>
            <w:tcW w:w="3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Cyber Village Sdn</w:t>
            </w:r>
            <w:r>
              <w:rPr>
                <w:rFonts w:ascii="Times New Roman"/>
                <w:spacing w:val="-17"/>
                <w:sz w:val="18"/>
              </w:rPr>
              <w:t> </w:t>
            </w:r>
            <w:r>
              <w:rPr>
                <w:rFonts w:ascii="Times New Roman"/>
                <w:sz w:val="18"/>
              </w:rPr>
              <w:t>Bhd</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关银星</w:t>
            </w:r>
          </w:p>
        </w:tc>
        <w:tc>
          <w:tcPr>
            <w:tcW w:w="3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PT Structured</w:t>
            </w:r>
            <w:r>
              <w:rPr>
                <w:rFonts w:ascii="Times New Roman"/>
                <w:spacing w:val="-13"/>
                <w:sz w:val="18"/>
              </w:rPr>
              <w:t> </w:t>
            </w:r>
            <w:r>
              <w:rPr>
                <w:rFonts w:ascii="Times New Roman"/>
                <w:sz w:val="18"/>
              </w:rPr>
              <w:t>Services</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关银星</w:t>
            </w:r>
          </w:p>
        </w:tc>
        <w:tc>
          <w:tcPr>
            <w:tcW w:w="3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Silverlake Structured Services Sdn</w:t>
            </w:r>
            <w:r>
              <w:rPr>
                <w:rFonts w:ascii="Times New Roman"/>
                <w:spacing w:val="-13"/>
                <w:sz w:val="18"/>
              </w:rPr>
              <w:t> </w:t>
            </w:r>
            <w:r>
              <w:rPr>
                <w:rFonts w:ascii="Times New Roman"/>
                <w:sz w:val="18"/>
              </w:rPr>
              <w:t>Bhd</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关银星</w:t>
            </w:r>
          </w:p>
        </w:tc>
        <w:tc>
          <w:tcPr>
            <w:tcW w:w="3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Silverlakegroup Pte</w:t>
            </w:r>
            <w:r>
              <w:rPr>
                <w:rFonts w:ascii="Times New Roman"/>
                <w:spacing w:val="-5"/>
                <w:sz w:val="18"/>
              </w:rPr>
              <w:t> </w:t>
            </w:r>
            <w:r>
              <w:rPr>
                <w:rFonts w:ascii="Times New Roman"/>
                <w:sz w:val="18"/>
              </w:rPr>
              <w:t>Ltd</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关银星</w:t>
            </w:r>
          </w:p>
        </w:tc>
        <w:tc>
          <w:tcPr>
            <w:tcW w:w="3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62" w:lineRule="auto" w:before="91"/>
              <w:ind w:left="22" w:right="28"/>
              <w:jc w:val="left"/>
              <w:rPr>
                <w:rFonts w:ascii="Times New Roman" w:hAnsi="Times New Roman" w:cs="Times New Roman" w:eastAsia="Times New Roman" w:hint="default"/>
                <w:sz w:val="18"/>
                <w:szCs w:val="18"/>
              </w:rPr>
            </w:pPr>
            <w:r>
              <w:rPr>
                <w:rFonts w:ascii="Times New Roman"/>
                <w:sz w:val="18"/>
              </w:rPr>
              <w:t>Symmetric Payments &amp; Integration Pte.</w:t>
            </w:r>
            <w:r>
              <w:rPr>
                <w:rFonts w:ascii="Times New Roman"/>
                <w:spacing w:val="-9"/>
                <w:sz w:val="18"/>
              </w:rPr>
              <w:t> </w:t>
            </w:r>
            <w:r>
              <w:rPr>
                <w:rFonts w:ascii="Times New Roman"/>
                <w:sz w:val="18"/>
              </w:rPr>
              <w:t>Ltd.</w:t>
            </w:r>
            <w:r>
              <w:rPr>
                <w:rFonts w:ascii="Times New Roman"/>
                <w:sz w:val="18"/>
              </w:rPr>
              <w:t> (f.k.a. Isis Computer Systems Pte</w:t>
            </w:r>
            <w:r>
              <w:rPr>
                <w:rFonts w:ascii="Times New Roman"/>
                <w:spacing w:val="-6"/>
                <w:sz w:val="18"/>
              </w:rPr>
              <w:t> </w:t>
            </w:r>
            <w:r>
              <w:rPr>
                <w:rFonts w:ascii="Times New Roman"/>
                <w:sz w:val="18"/>
              </w:rPr>
              <w:t>Ltd)</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23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关银星</w:t>
            </w:r>
          </w:p>
        </w:tc>
        <w:tc>
          <w:tcPr>
            <w:tcW w:w="3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62" w:lineRule="auto" w:before="91"/>
              <w:ind w:left="22" w:right="318"/>
              <w:jc w:val="left"/>
              <w:rPr>
                <w:rFonts w:ascii="Times New Roman" w:hAnsi="Times New Roman" w:cs="Times New Roman" w:eastAsia="Times New Roman" w:hint="default"/>
                <w:sz w:val="18"/>
                <w:szCs w:val="18"/>
              </w:rPr>
            </w:pPr>
            <w:r>
              <w:rPr>
                <w:rFonts w:ascii="Times New Roman"/>
                <w:sz w:val="18"/>
              </w:rPr>
              <w:t>Symmetric Payments &amp; Integration</w:t>
            </w:r>
            <w:r>
              <w:rPr>
                <w:rFonts w:ascii="Times New Roman"/>
                <w:spacing w:val="-7"/>
                <w:sz w:val="18"/>
              </w:rPr>
              <w:t> </w:t>
            </w:r>
            <w:r>
              <w:rPr>
                <w:rFonts w:ascii="Times New Roman"/>
                <w:sz w:val="18"/>
              </w:rPr>
              <w:t>Sdn.</w:t>
            </w:r>
            <w:r>
              <w:rPr>
                <w:rFonts w:ascii="Times New Roman"/>
                <w:sz w:val="18"/>
              </w:rPr>
              <w:t> Bhd. (f.k.a. Isis Computer Systems</w:t>
            </w:r>
            <w:r>
              <w:rPr>
                <w:rFonts w:ascii="Times New Roman"/>
                <w:spacing w:val="-9"/>
                <w:sz w:val="18"/>
              </w:rPr>
              <w:t> </w:t>
            </w:r>
            <w:r>
              <w:rPr>
                <w:rFonts w:ascii="Times New Roman"/>
                <w:sz w:val="18"/>
              </w:rPr>
              <w:t>Sdn</w:t>
            </w:r>
            <w:r>
              <w:rPr>
                <w:rFonts w:ascii="Times New Roman"/>
                <w:sz w:val="18"/>
              </w:rPr>
              <w:t> Bhd)</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关银星</w:t>
            </w:r>
          </w:p>
        </w:tc>
        <w:tc>
          <w:tcPr>
            <w:tcW w:w="3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Merimen Online Sdn</w:t>
            </w:r>
            <w:r>
              <w:rPr>
                <w:rFonts w:ascii="Times New Roman"/>
                <w:spacing w:val="-1"/>
                <w:sz w:val="18"/>
              </w:rPr>
              <w:t> </w:t>
            </w:r>
            <w:r>
              <w:rPr>
                <w:rFonts w:ascii="Times New Roman"/>
                <w:sz w:val="18"/>
              </w:rPr>
              <w:t>Bhd</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关银星</w:t>
            </w:r>
          </w:p>
        </w:tc>
        <w:tc>
          <w:tcPr>
            <w:tcW w:w="3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Motobiznes Online Sdn</w:t>
            </w:r>
            <w:r>
              <w:rPr>
                <w:rFonts w:ascii="Times New Roman"/>
                <w:spacing w:val="-4"/>
                <w:sz w:val="18"/>
              </w:rPr>
              <w:t> </w:t>
            </w:r>
            <w:r>
              <w:rPr>
                <w:rFonts w:ascii="Times New Roman"/>
                <w:sz w:val="18"/>
              </w:rPr>
              <w:t>Bhd</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关银星</w:t>
            </w:r>
          </w:p>
        </w:tc>
        <w:tc>
          <w:tcPr>
            <w:tcW w:w="3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Merimen Technologies (Singapore) Pte</w:t>
            </w:r>
            <w:r>
              <w:rPr>
                <w:rFonts w:ascii="Times New Roman"/>
                <w:spacing w:val="-24"/>
                <w:sz w:val="18"/>
              </w:rPr>
              <w:t> </w:t>
            </w:r>
            <w:r>
              <w:rPr>
                <w:rFonts w:ascii="Times New Roman"/>
                <w:sz w:val="18"/>
              </w:rPr>
              <w:t>Ltd</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关银星</w:t>
            </w:r>
          </w:p>
        </w:tc>
        <w:tc>
          <w:tcPr>
            <w:tcW w:w="3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62" w:lineRule="auto" w:before="91"/>
              <w:ind w:left="22" w:right="607"/>
              <w:jc w:val="left"/>
              <w:rPr>
                <w:rFonts w:ascii="Times New Roman" w:hAnsi="Times New Roman" w:cs="Times New Roman" w:eastAsia="Times New Roman" w:hint="default"/>
                <w:sz w:val="18"/>
                <w:szCs w:val="18"/>
              </w:rPr>
            </w:pPr>
            <w:r>
              <w:rPr>
                <w:rFonts w:ascii="Times New Roman"/>
                <w:sz w:val="18"/>
              </w:rPr>
              <w:t>Silverlakegroup Pte Ltd</w:t>
            </w:r>
            <w:r>
              <w:rPr>
                <w:rFonts w:ascii="Times New Roman"/>
                <w:spacing w:val="-5"/>
                <w:sz w:val="18"/>
              </w:rPr>
              <w:t> </w:t>
            </w:r>
            <w:r>
              <w:rPr>
                <w:rFonts w:ascii="Times New Roman"/>
                <w:sz w:val="18"/>
              </w:rPr>
              <w:t>(Philippines</w:t>
            </w:r>
            <w:r>
              <w:rPr>
                <w:rFonts w:ascii="Times New Roman"/>
                <w:w w:val="99"/>
                <w:sz w:val="18"/>
              </w:rPr>
              <w:t> </w:t>
            </w:r>
            <w:r>
              <w:rPr>
                <w:rFonts w:ascii="Times New Roman"/>
                <w:sz w:val="18"/>
              </w:rPr>
              <w:t>branch)</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关银星</w:t>
            </w:r>
          </w:p>
        </w:tc>
        <w:tc>
          <w:tcPr>
            <w:tcW w:w="3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ePetrol Silverswitch Sdn.</w:t>
            </w:r>
            <w:r>
              <w:rPr>
                <w:rFonts w:ascii="Times New Roman"/>
                <w:spacing w:val="-7"/>
                <w:sz w:val="18"/>
              </w:rPr>
              <w:t> </w:t>
            </w:r>
            <w:r>
              <w:rPr>
                <w:rFonts w:ascii="Times New Roman"/>
                <w:sz w:val="18"/>
              </w:rPr>
              <w:t>Bhd.</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关银星</w:t>
            </w:r>
          </w:p>
        </w:tc>
        <w:tc>
          <w:tcPr>
            <w:tcW w:w="3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Silverlake HGH</w:t>
            </w:r>
            <w:r>
              <w:rPr>
                <w:rFonts w:ascii="Times New Roman"/>
                <w:spacing w:val="-6"/>
                <w:sz w:val="18"/>
              </w:rPr>
              <w:t> </w:t>
            </w:r>
            <w:r>
              <w:rPr>
                <w:rFonts w:ascii="Times New Roman"/>
                <w:sz w:val="18"/>
              </w:rPr>
              <w:t>Limited</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关银星</w:t>
            </w:r>
          </w:p>
        </w:tc>
        <w:tc>
          <w:tcPr>
            <w:tcW w:w="3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Finzsoft Solutions</w:t>
            </w:r>
            <w:r>
              <w:rPr>
                <w:rFonts w:ascii="Times New Roman"/>
                <w:spacing w:val="-3"/>
                <w:sz w:val="18"/>
              </w:rPr>
              <w:t> </w:t>
            </w:r>
            <w:r>
              <w:rPr>
                <w:rFonts w:ascii="Times New Roman"/>
                <w:sz w:val="18"/>
              </w:rPr>
              <w:t>Limited</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关银星</w:t>
            </w:r>
          </w:p>
        </w:tc>
        <w:tc>
          <w:tcPr>
            <w:tcW w:w="3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5"/>
                <w:sz w:val="18"/>
              </w:rPr>
              <w:t>PT. </w:t>
            </w:r>
            <w:r>
              <w:rPr>
                <w:rFonts w:ascii="Times New Roman"/>
                <w:sz w:val="18"/>
              </w:rPr>
              <w:t>Merimen Technologies</w:t>
            </w:r>
            <w:r>
              <w:rPr>
                <w:rFonts w:ascii="Times New Roman"/>
                <w:spacing w:val="-18"/>
                <w:sz w:val="18"/>
              </w:rPr>
              <w:t> </w:t>
            </w:r>
            <w:r>
              <w:rPr>
                <w:rFonts w:ascii="Times New Roman"/>
                <w:sz w:val="18"/>
              </w:rPr>
              <w:t>Indonesia</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关银星</w:t>
            </w:r>
          </w:p>
        </w:tc>
        <w:tc>
          <w:tcPr>
            <w:tcW w:w="3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Silverlake Symmetri (Singapore) Pte</w:t>
            </w:r>
            <w:r>
              <w:rPr>
                <w:rFonts w:ascii="Times New Roman"/>
                <w:spacing w:val="-8"/>
                <w:sz w:val="18"/>
              </w:rPr>
              <w:t> </w:t>
            </w:r>
            <w:r>
              <w:rPr>
                <w:rFonts w:ascii="Times New Roman"/>
                <w:sz w:val="18"/>
              </w:rPr>
              <w:t>Ltd</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关银星</w:t>
            </w:r>
          </w:p>
        </w:tc>
        <w:tc>
          <w:tcPr>
            <w:tcW w:w="3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Silverlake Symmetri (Malaysia) Sdn</w:t>
            </w:r>
            <w:r>
              <w:rPr>
                <w:rFonts w:ascii="Times New Roman"/>
                <w:spacing w:val="-9"/>
                <w:sz w:val="18"/>
              </w:rPr>
              <w:t> </w:t>
            </w:r>
            <w:r>
              <w:rPr>
                <w:rFonts w:ascii="Times New Roman"/>
                <w:sz w:val="18"/>
              </w:rPr>
              <w:t>Bhd</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关银星</w:t>
            </w:r>
          </w:p>
        </w:tc>
        <w:tc>
          <w:tcPr>
            <w:tcW w:w="3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62" w:lineRule="auto" w:before="91"/>
              <w:ind w:left="22" w:right="566"/>
              <w:jc w:val="left"/>
              <w:rPr>
                <w:rFonts w:ascii="Times New Roman" w:hAnsi="Times New Roman" w:cs="Times New Roman" w:eastAsia="Times New Roman" w:hint="default"/>
                <w:sz w:val="18"/>
                <w:szCs w:val="18"/>
              </w:rPr>
            </w:pPr>
            <w:r>
              <w:rPr>
                <w:rFonts w:ascii="Times New Roman"/>
                <w:sz w:val="18"/>
              </w:rPr>
              <w:t>Silverlake Symmetri Pakistan</w:t>
            </w:r>
            <w:r>
              <w:rPr>
                <w:rFonts w:ascii="Times New Roman"/>
                <w:spacing w:val="-4"/>
                <w:sz w:val="18"/>
              </w:rPr>
              <w:t> </w:t>
            </w:r>
            <w:r>
              <w:rPr>
                <w:rFonts w:ascii="Times New Roman"/>
                <w:spacing w:val="-3"/>
                <w:sz w:val="18"/>
              </w:rPr>
              <w:t>(PVT.)</w:t>
            </w:r>
            <w:r>
              <w:rPr>
                <w:rFonts w:ascii="Times New Roman"/>
                <w:sz w:val="18"/>
              </w:rPr>
              <w:t> Limited</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877" w:footer="1187" w:top="1060" w:bottom="14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245"/>
        <w:gridCol w:w="3254"/>
        <w:gridCol w:w="1092"/>
        <w:gridCol w:w="1499"/>
        <w:gridCol w:w="1559"/>
        <w:gridCol w:w="920"/>
      </w:tblGrid>
      <w:tr>
        <w:trPr>
          <w:trHeight w:val="161" w:hRule="exact"/>
        </w:trPr>
        <w:tc>
          <w:tcPr>
            <w:tcW w:w="1245" w:type="dxa"/>
            <w:tcBorders>
              <w:top w:val="single" w:sz="4" w:space="0" w:color="000000"/>
              <w:left w:val="single" w:sz="4" w:space="0" w:color="000000"/>
              <w:bottom w:val="nil" w:sz="6" w:space="0" w:color="auto"/>
              <w:right w:val="single" w:sz="4" w:space="0" w:color="000000"/>
            </w:tcBorders>
            <w:shd w:val="clear" w:color="auto" w:fill="C6ECCC"/>
          </w:tcPr>
          <w:p>
            <w:pPr/>
          </w:p>
        </w:tc>
        <w:tc>
          <w:tcPr>
            <w:tcW w:w="3254" w:type="dxa"/>
            <w:vMerge w:val="restart"/>
            <w:tcBorders>
              <w:top w:val="single" w:sz="4" w:space="0" w:color="000000"/>
              <w:left w:val="single" w:sz="4" w:space="0" w:color="000000"/>
              <w:right w:val="single" w:sz="4" w:space="0" w:color="000000"/>
            </w:tcBorders>
            <w:shd w:val="clear" w:color="auto" w:fill="C6ECCC"/>
          </w:tcPr>
          <w:p>
            <w:pPr>
              <w:pStyle w:val="TableParagraph"/>
              <w:spacing w:line="362" w:lineRule="auto" w:before="91"/>
              <w:ind w:left="11" w:right="771"/>
              <w:jc w:val="left"/>
              <w:rPr>
                <w:rFonts w:ascii="Times New Roman" w:hAnsi="Times New Roman" w:cs="Times New Roman" w:eastAsia="Times New Roman" w:hint="default"/>
                <w:sz w:val="18"/>
                <w:szCs w:val="18"/>
              </w:rPr>
            </w:pPr>
            <w:r>
              <w:rPr>
                <w:rFonts w:ascii="Times New Roman"/>
                <w:sz w:val="18"/>
              </w:rPr>
              <w:t>Silverlake Symmetri</w:t>
            </w:r>
            <w:r>
              <w:rPr>
                <w:rFonts w:ascii="Times New Roman"/>
                <w:spacing w:val="-6"/>
                <w:sz w:val="18"/>
              </w:rPr>
              <w:t> </w:t>
            </w:r>
            <w:r>
              <w:rPr>
                <w:rFonts w:ascii="Times New Roman"/>
                <w:sz w:val="18"/>
              </w:rPr>
              <w:t>(Philippines)</w:t>
            </w:r>
            <w:r>
              <w:rPr>
                <w:rFonts w:ascii="Times New Roman"/>
                <w:w w:val="99"/>
                <w:sz w:val="18"/>
              </w:rPr>
              <w:t> </w:t>
            </w:r>
            <w:r>
              <w:rPr>
                <w:rFonts w:ascii="Times New Roman"/>
                <w:sz w:val="18"/>
              </w:rPr>
              <w:t>Enterprises,</w:t>
            </w:r>
            <w:r>
              <w:rPr>
                <w:rFonts w:ascii="Times New Roman"/>
                <w:spacing w:val="-5"/>
                <w:sz w:val="18"/>
              </w:rPr>
              <w:t> </w:t>
            </w:r>
            <w:r>
              <w:rPr>
                <w:rFonts w:ascii="Times New Roman"/>
                <w:sz w:val="18"/>
              </w:rPr>
              <w:t>Inc.</w:t>
            </w:r>
          </w:p>
        </w:tc>
        <w:tc>
          <w:tcPr>
            <w:tcW w:w="1092" w:type="dxa"/>
            <w:tcBorders>
              <w:top w:val="single" w:sz="4" w:space="0" w:color="000000"/>
              <w:left w:val="single" w:sz="4" w:space="0" w:color="000000"/>
              <w:bottom w:val="nil" w:sz="6" w:space="0" w:color="auto"/>
              <w:right w:val="single" w:sz="4" w:space="0" w:color="000000"/>
            </w:tcBorders>
            <w:shd w:val="clear" w:color="auto" w:fill="C6ECCC"/>
          </w:tcPr>
          <w:p>
            <w:pPr/>
          </w:p>
        </w:tc>
        <w:tc>
          <w:tcPr>
            <w:tcW w:w="1499" w:type="dxa"/>
            <w:vMerge w:val="restart"/>
            <w:tcBorders>
              <w:top w:val="single" w:sz="4" w:space="0" w:color="000000"/>
              <w:left w:val="single" w:sz="9" w:space="0" w:color="C6ECCC"/>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559" w:type="dxa"/>
            <w:vMerge w:val="restart"/>
            <w:tcBorders>
              <w:top w:val="single" w:sz="4" w:space="0" w:color="000000"/>
              <w:left w:val="single" w:sz="4" w:space="0" w:color="000000"/>
              <w:right w:val="single" w:sz="4" w:space="0" w:color="000000"/>
            </w:tcBorders>
          </w:tcPr>
          <w:p>
            <w:pPr/>
          </w:p>
        </w:tc>
        <w:tc>
          <w:tcPr>
            <w:tcW w:w="92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92" w:hRule="exact"/>
        </w:trPr>
        <w:tc>
          <w:tcPr>
            <w:tcW w:w="124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z w:val="18"/>
                <w:szCs w:val="18"/>
              </w:rPr>
              <w:t>关银星</w:t>
            </w:r>
          </w:p>
        </w:tc>
        <w:tc>
          <w:tcPr>
            <w:tcW w:w="3254" w:type="dxa"/>
            <w:vMerge/>
            <w:tcBorders>
              <w:left w:val="single" w:sz="4" w:space="0" w:color="000000"/>
              <w:right w:val="single" w:sz="4" w:space="0" w:color="000000"/>
            </w:tcBorders>
            <w:shd w:val="clear" w:color="auto" w:fill="C6ECCC"/>
          </w:tcPr>
          <w:p>
            <w:pPr/>
          </w:p>
        </w:tc>
        <w:tc>
          <w:tcPr>
            <w:tcW w:w="1092"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1"/>
              <w:ind w:left="3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99" w:type="dxa"/>
            <w:vMerge/>
            <w:tcBorders>
              <w:left w:val="single" w:sz="9" w:space="0" w:color="C6ECCC"/>
              <w:right w:val="single" w:sz="4" w:space="0" w:color="000000"/>
            </w:tcBorders>
          </w:tcPr>
          <w:p>
            <w:pPr/>
          </w:p>
        </w:tc>
        <w:tc>
          <w:tcPr>
            <w:tcW w:w="1559"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161" w:hRule="exact"/>
        </w:trPr>
        <w:tc>
          <w:tcPr>
            <w:tcW w:w="1245" w:type="dxa"/>
            <w:tcBorders>
              <w:top w:val="nil" w:sz="6" w:space="0" w:color="auto"/>
              <w:left w:val="single" w:sz="4" w:space="0" w:color="000000"/>
              <w:bottom w:val="single" w:sz="4" w:space="0" w:color="000000"/>
              <w:right w:val="single" w:sz="4" w:space="0" w:color="000000"/>
            </w:tcBorders>
            <w:shd w:val="clear" w:color="auto" w:fill="C6ECCC"/>
          </w:tcPr>
          <w:p>
            <w:pPr/>
          </w:p>
        </w:tc>
        <w:tc>
          <w:tcPr>
            <w:tcW w:w="3254" w:type="dxa"/>
            <w:vMerge/>
            <w:tcBorders>
              <w:left w:val="single" w:sz="4" w:space="0" w:color="000000"/>
              <w:bottom w:val="single" w:sz="4" w:space="0" w:color="000000"/>
              <w:right w:val="single" w:sz="4" w:space="0" w:color="000000"/>
            </w:tcBorders>
            <w:shd w:val="clear" w:color="auto" w:fill="C6ECCC"/>
          </w:tcPr>
          <w:p>
            <w:pPr/>
          </w:p>
        </w:tc>
        <w:tc>
          <w:tcPr>
            <w:tcW w:w="1092" w:type="dxa"/>
            <w:tcBorders>
              <w:top w:val="nil" w:sz="6" w:space="0" w:color="auto"/>
              <w:left w:val="single" w:sz="4" w:space="0" w:color="000000"/>
              <w:bottom w:val="single" w:sz="4" w:space="0" w:color="000000"/>
              <w:right w:val="single" w:sz="4" w:space="0" w:color="000000"/>
            </w:tcBorders>
            <w:shd w:val="clear" w:color="auto" w:fill="C6ECCC"/>
          </w:tcPr>
          <w:p>
            <w:pPr/>
          </w:p>
        </w:tc>
        <w:tc>
          <w:tcPr>
            <w:tcW w:w="1499" w:type="dxa"/>
            <w:vMerge/>
            <w:tcBorders>
              <w:left w:val="single" w:sz="9" w:space="0" w:color="C6ECCC"/>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c>
          <w:tcPr>
            <w:tcW w:w="920" w:type="dxa"/>
            <w:vMerge/>
            <w:tcBorders>
              <w:left w:val="single" w:sz="4" w:space="0" w:color="000000"/>
              <w:bottom w:val="single" w:sz="4" w:space="0" w:color="000000"/>
              <w:right w:val="single" w:sz="4" w:space="0" w:color="000000"/>
            </w:tcBorders>
          </w:tcPr>
          <w:p>
            <w:pPr/>
          </w:p>
        </w:tc>
      </w:tr>
      <w:tr>
        <w:trPr>
          <w:trHeight w:val="402" w:hRule="exact"/>
        </w:trPr>
        <w:tc>
          <w:tcPr>
            <w:tcW w:w="124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z w:val="18"/>
                <w:szCs w:val="18"/>
              </w:rPr>
              <w:t>关银星</w:t>
            </w:r>
          </w:p>
        </w:tc>
        <w:tc>
          <w:tcPr>
            <w:tcW w:w="325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Silverlake Symmetri (Thailand)</w:t>
            </w:r>
            <w:r>
              <w:rPr>
                <w:rFonts w:ascii="Times New Roman"/>
                <w:spacing w:val="-10"/>
                <w:sz w:val="18"/>
              </w:rPr>
              <w:t> </w:t>
            </w:r>
            <w:r>
              <w:rPr>
                <w:rFonts w:ascii="Times New Roman"/>
                <w:sz w:val="18"/>
              </w:rPr>
              <w:t>Limited</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3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99"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245" w:type="dxa"/>
            <w:tcBorders>
              <w:top w:val="single" w:sz="4" w:space="0" w:color="000000"/>
              <w:left w:val="single" w:sz="4" w:space="0" w:color="000000"/>
              <w:bottom w:val="nil" w:sz="6" w:space="0" w:color="auto"/>
              <w:right w:val="single" w:sz="4" w:space="0" w:color="000000"/>
            </w:tcBorders>
            <w:shd w:val="clear" w:color="auto" w:fill="C6ECCC"/>
          </w:tcPr>
          <w:p>
            <w:pPr/>
          </w:p>
        </w:tc>
        <w:tc>
          <w:tcPr>
            <w:tcW w:w="3254" w:type="dxa"/>
            <w:vMerge w:val="restart"/>
            <w:tcBorders>
              <w:top w:val="single" w:sz="4" w:space="0" w:color="000000"/>
              <w:left w:val="single" w:sz="4" w:space="0" w:color="000000"/>
              <w:right w:val="single" w:sz="4" w:space="0" w:color="000000"/>
            </w:tcBorders>
            <w:shd w:val="clear" w:color="auto" w:fill="C6ECCC"/>
          </w:tcPr>
          <w:p>
            <w:pPr>
              <w:pStyle w:val="TableParagraph"/>
              <w:spacing w:line="362" w:lineRule="auto" w:before="91"/>
              <w:ind w:left="11" w:right="301"/>
              <w:jc w:val="left"/>
              <w:rPr>
                <w:rFonts w:ascii="Times New Roman" w:hAnsi="Times New Roman" w:cs="Times New Roman" w:eastAsia="Times New Roman" w:hint="default"/>
                <w:sz w:val="18"/>
                <w:szCs w:val="18"/>
              </w:rPr>
            </w:pPr>
            <w:r>
              <w:rPr>
                <w:rFonts w:ascii="Times New Roman"/>
                <w:sz w:val="18"/>
              </w:rPr>
              <w:t>Silverlake Symmetri (Czech</w:t>
            </w:r>
            <w:r>
              <w:rPr>
                <w:rFonts w:ascii="Times New Roman"/>
                <w:spacing w:val="-6"/>
                <w:sz w:val="18"/>
              </w:rPr>
              <w:t> </w:t>
            </w:r>
            <w:r>
              <w:rPr>
                <w:rFonts w:ascii="Times New Roman"/>
                <w:sz w:val="18"/>
              </w:rPr>
              <w:t>Republic)</w:t>
            </w:r>
            <w:r>
              <w:rPr>
                <w:rFonts w:ascii="Times New Roman"/>
                <w:sz w:val="18"/>
              </w:rPr>
              <w:t> s.r.o.</w:t>
            </w:r>
          </w:p>
        </w:tc>
        <w:tc>
          <w:tcPr>
            <w:tcW w:w="1092" w:type="dxa"/>
            <w:tcBorders>
              <w:top w:val="single" w:sz="4" w:space="0" w:color="000000"/>
              <w:left w:val="single" w:sz="4" w:space="0" w:color="000000"/>
              <w:bottom w:val="nil" w:sz="6" w:space="0" w:color="auto"/>
              <w:right w:val="single" w:sz="4" w:space="0" w:color="000000"/>
            </w:tcBorders>
            <w:shd w:val="clear" w:color="auto" w:fill="C6ECCC"/>
          </w:tcPr>
          <w:p>
            <w:pPr/>
          </w:p>
        </w:tc>
        <w:tc>
          <w:tcPr>
            <w:tcW w:w="1499" w:type="dxa"/>
            <w:vMerge w:val="restart"/>
            <w:tcBorders>
              <w:top w:val="single" w:sz="4" w:space="0" w:color="000000"/>
              <w:left w:val="single" w:sz="9" w:space="0" w:color="C6ECCC"/>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559" w:type="dxa"/>
            <w:vMerge w:val="restart"/>
            <w:tcBorders>
              <w:top w:val="single" w:sz="4" w:space="0" w:color="000000"/>
              <w:left w:val="single" w:sz="4" w:space="0" w:color="000000"/>
              <w:right w:val="single" w:sz="4" w:space="0" w:color="000000"/>
            </w:tcBorders>
          </w:tcPr>
          <w:p>
            <w:pPr/>
          </w:p>
        </w:tc>
        <w:tc>
          <w:tcPr>
            <w:tcW w:w="92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93" w:hRule="exact"/>
        </w:trPr>
        <w:tc>
          <w:tcPr>
            <w:tcW w:w="124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z w:val="18"/>
                <w:szCs w:val="18"/>
              </w:rPr>
              <w:t>关银星</w:t>
            </w:r>
          </w:p>
        </w:tc>
        <w:tc>
          <w:tcPr>
            <w:tcW w:w="3254" w:type="dxa"/>
            <w:vMerge/>
            <w:tcBorders>
              <w:left w:val="single" w:sz="4" w:space="0" w:color="000000"/>
              <w:right w:val="single" w:sz="4" w:space="0" w:color="000000"/>
            </w:tcBorders>
            <w:shd w:val="clear" w:color="auto" w:fill="C6ECCC"/>
          </w:tcPr>
          <w:p>
            <w:pPr/>
          </w:p>
        </w:tc>
        <w:tc>
          <w:tcPr>
            <w:tcW w:w="1092"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1"/>
              <w:ind w:left="3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99" w:type="dxa"/>
            <w:vMerge/>
            <w:tcBorders>
              <w:left w:val="single" w:sz="9" w:space="0" w:color="C6ECCC"/>
              <w:right w:val="single" w:sz="4" w:space="0" w:color="000000"/>
            </w:tcBorders>
          </w:tcPr>
          <w:p>
            <w:pPr/>
          </w:p>
        </w:tc>
        <w:tc>
          <w:tcPr>
            <w:tcW w:w="1559"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161" w:hRule="exact"/>
        </w:trPr>
        <w:tc>
          <w:tcPr>
            <w:tcW w:w="1245" w:type="dxa"/>
            <w:tcBorders>
              <w:top w:val="nil" w:sz="6" w:space="0" w:color="auto"/>
              <w:left w:val="single" w:sz="4" w:space="0" w:color="000000"/>
              <w:bottom w:val="single" w:sz="4" w:space="0" w:color="000000"/>
              <w:right w:val="single" w:sz="4" w:space="0" w:color="000000"/>
            </w:tcBorders>
            <w:shd w:val="clear" w:color="auto" w:fill="C6ECCC"/>
          </w:tcPr>
          <w:p>
            <w:pPr/>
          </w:p>
        </w:tc>
        <w:tc>
          <w:tcPr>
            <w:tcW w:w="3254" w:type="dxa"/>
            <w:vMerge/>
            <w:tcBorders>
              <w:left w:val="single" w:sz="4" w:space="0" w:color="000000"/>
              <w:bottom w:val="single" w:sz="4" w:space="0" w:color="000000"/>
              <w:right w:val="single" w:sz="4" w:space="0" w:color="000000"/>
            </w:tcBorders>
            <w:shd w:val="clear" w:color="auto" w:fill="C6ECCC"/>
          </w:tcPr>
          <w:p>
            <w:pPr/>
          </w:p>
        </w:tc>
        <w:tc>
          <w:tcPr>
            <w:tcW w:w="1092" w:type="dxa"/>
            <w:tcBorders>
              <w:top w:val="nil" w:sz="6" w:space="0" w:color="auto"/>
              <w:left w:val="single" w:sz="4" w:space="0" w:color="000000"/>
              <w:bottom w:val="single" w:sz="4" w:space="0" w:color="000000"/>
              <w:right w:val="single" w:sz="4" w:space="0" w:color="000000"/>
            </w:tcBorders>
            <w:shd w:val="clear" w:color="auto" w:fill="C6ECCC"/>
          </w:tcPr>
          <w:p>
            <w:pPr/>
          </w:p>
        </w:tc>
        <w:tc>
          <w:tcPr>
            <w:tcW w:w="1499" w:type="dxa"/>
            <w:vMerge/>
            <w:tcBorders>
              <w:left w:val="single" w:sz="9" w:space="0" w:color="C6ECCC"/>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c>
          <w:tcPr>
            <w:tcW w:w="920" w:type="dxa"/>
            <w:vMerge/>
            <w:tcBorders>
              <w:left w:val="single" w:sz="4" w:space="0" w:color="000000"/>
              <w:bottom w:val="single" w:sz="4" w:space="0" w:color="000000"/>
              <w:right w:val="single" w:sz="4" w:space="0" w:color="000000"/>
            </w:tcBorders>
          </w:tcPr>
          <w:p>
            <w:pPr/>
          </w:p>
        </w:tc>
      </w:tr>
      <w:tr>
        <w:trPr>
          <w:trHeight w:val="407" w:hRule="exact"/>
        </w:trPr>
        <w:tc>
          <w:tcPr>
            <w:tcW w:w="124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z w:val="18"/>
                <w:szCs w:val="18"/>
              </w:rPr>
              <w:t>关银星</w:t>
            </w:r>
          </w:p>
        </w:tc>
        <w:tc>
          <w:tcPr>
            <w:tcW w:w="325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Silverlake Symmetri (Europe)</w:t>
            </w:r>
            <w:r>
              <w:rPr>
                <w:rFonts w:ascii="Times New Roman"/>
                <w:spacing w:val="-9"/>
                <w:sz w:val="18"/>
              </w:rPr>
              <w:t> </w:t>
            </w:r>
            <w:r>
              <w:rPr>
                <w:rFonts w:ascii="Times New Roman"/>
                <w:sz w:val="18"/>
              </w:rPr>
              <w:t>Limited</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3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99"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56" w:hRule="exact"/>
        </w:trPr>
        <w:tc>
          <w:tcPr>
            <w:tcW w:w="1245" w:type="dxa"/>
            <w:vMerge w:val="restart"/>
            <w:tcBorders>
              <w:top w:val="single" w:sz="4" w:space="0" w:color="000000"/>
              <w:left w:val="single" w:sz="4" w:space="0" w:color="000000"/>
              <w:right w:val="single" w:sz="9" w:space="0" w:color="C6ECCC"/>
            </w:tcBorders>
            <w:shd w:val="clear" w:color="auto" w:fill="D2D2D2"/>
          </w:tcPr>
          <w:p>
            <w:pPr>
              <w:pStyle w:val="TableParagraph"/>
              <w:spacing w:line="319" w:lineRule="auto" w:before="46"/>
              <w:ind w:left="70" w:right="76"/>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23" w:type="dxa"/>
            <w:gridSpan w:val="5"/>
            <w:tcBorders>
              <w:top w:val="single" w:sz="4" w:space="0" w:color="000000"/>
              <w:left w:val="single" w:sz="4" w:space="0" w:color="000000"/>
              <w:bottom w:val="nil" w:sz="6" w:space="0" w:color="auto"/>
              <w:right w:val="single" w:sz="4" w:space="0" w:color="000000"/>
            </w:tcBorders>
            <w:shd w:val="clear" w:color="auto" w:fill="C6ECCC"/>
          </w:tcPr>
          <w:p>
            <w:pPr/>
          </w:p>
        </w:tc>
      </w:tr>
      <w:tr>
        <w:trPr>
          <w:trHeight w:val="392" w:hRule="exact"/>
        </w:trPr>
        <w:tc>
          <w:tcPr>
            <w:tcW w:w="1245" w:type="dxa"/>
            <w:vMerge/>
            <w:tcBorders>
              <w:left w:val="single" w:sz="4" w:space="0" w:color="000000"/>
              <w:right w:val="single" w:sz="9" w:space="0" w:color="C6ECCC"/>
            </w:tcBorders>
            <w:shd w:val="clear" w:color="auto" w:fill="D2D2D2"/>
          </w:tcPr>
          <w:p>
            <w:pPr/>
          </w:p>
        </w:tc>
        <w:tc>
          <w:tcPr>
            <w:tcW w:w="8323" w:type="dxa"/>
            <w:gridSpan w:val="5"/>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1" w:hRule="exact"/>
        </w:trPr>
        <w:tc>
          <w:tcPr>
            <w:tcW w:w="1245" w:type="dxa"/>
            <w:vMerge/>
            <w:tcBorders>
              <w:left w:val="single" w:sz="4" w:space="0" w:color="000000"/>
              <w:bottom w:val="single" w:sz="4" w:space="0" w:color="000000"/>
              <w:right w:val="single" w:sz="9" w:space="0" w:color="C6ECCC"/>
            </w:tcBorders>
            <w:shd w:val="clear" w:color="auto" w:fill="D2D2D2"/>
          </w:tcPr>
          <w:p>
            <w:pPr/>
          </w:p>
        </w:tc>
        <w:tc>
          <w:tcPr>
            <w:tcW w:w="8323" w:type="dxa"/>
            <w:gridSpan w:val="5"/>
            <w:tcBorders>
              <w:top w:val="nil" w:sz="6" w:space="0" w:color="auto"/>
              <w:left w:val="single" w:sz="4" w:space="0" w:color="000000"/>
              <w:bottom w:val="single" w:sz="4" w:space="0" w:color="000000"/>
              <w:right w:val="single" w:sz="4" w:space="0" w:color="000000"/>
            </w:tcBorders>
            <w:shd w:val="clear" w:color="auto" w:fill="C6ECCC"/>
          </w:tcPr>
          <w:p>
            <w:pPr/>
          </w:p>
        </w:tc>
      </w:tr>
    </w:tbl>
    <w:p>
      <w:pPr>
        <w:spacing w:line="240" w:lineRule="auto" w:before="6"/>
        <w:rPr>
          <w:rFonts w:ascii="宋体" w:hAnsi="宋体" w:cs="宋体" w:eastAsia="宋体" w:hint="default"/>
          <w:sz w:val="27"/>
          <w:szCs w:val="27"/>
        </w:rPr>
      </w:pPr>
    </w:p>
    <w:p>
      <w:pPr>
        <w:pStyle w:val="BodyText"/>
        <w:spacing w:line="240" w:lineRule="auto" w:before="44"/>
        <w:ind w:left="1134" w:right="0"/>
        <w:jc w:val="left"/>
      </w:pPr>
      <w:r>
        <w:rPr/>
        <w:t>公司现任及报告期内离任董事、监事和高级管理人员近三年证券监管机构处罚的情况</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四、董事、监事、高级管理人员报酬情况" w:id="119"/>
      <w:bookmarkEnd w:id="119"/>
      <w:r>
        <w:rPr>
          <w:b w:val="0"/>
          <w:bCs w:val="0"/>
        </w:rPr>
      </w:r>
      <w:r>
        <w:rPr/>
        <w:t>四、董事、监事、高级管理人员报酬情况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1493" w:right="0" w:hanging="360"/>
        <w:jc w:val="left"/>
      </w:pPr>
      <w:r>
        <w:rPr/>
        <w:t>董事、监事、高级管理人员报酬的决策程序、确定依据、实际支付情况 </w:t>
      </w:r>
      <w:r>
        <w:rPr>
          <w:spacing w:val="-2"/>
        </w:rPr>
        <w:t>董事、监事、高级管理人员报酬根据公司《高伟达软件股份有限公司薪酬与考核委员会议事规则》确定，由董事会薪酬</w:t>
      </w:r>
    </w:p>
    <w:p>
      <w:pPr>
        <w:pStyle w:val="BodyText"/>
        <w:spacing w:line="224" w:lineRule="exact"/>
        <w:ind w:right="0"/>
        <w:jc w:val="left"/>
      </w:pPr>
      <w:r>
        <w:rPr/>
        <w:t>与考核委员会组织并考核。</w:t>
      </w:r>
    </w:p>
    <w:p>
      <w:pPr>
        <w:spacing w:line="240" w:lineRule="auto" w:before="5"/>
        <w:rPr>
          <w:rFonts w:ascii="宋体" w:hAnsi="宋体" w:cs="宋体" w:eastAsia="宋体" w:hint="default"/>
          <w:sz w:val="29"/>
          <w:szCs w:val="29"/>
        </w:rPr>
      </w:pPr>
    </w:p>
    <w:p>
      <w:pPr>
        <w:pStyle w:val="BodyText"/>
        <w:spacing w:line="240" w:lineRule="auto" w:before="44"/>
        <w:ind w:right="0"/>
        <w:jc w:val="left"/>
      </w:pPr>
      <w:r>
        <w:rPr/>
        <w:t>公司报告期内董事、监事和高级管理人员报酬情况</w:t>
      </w:r>
    </w:p>
    <w:p>
      <w:pPr>
        <w:pStyle w:val="BodyText"/>
        <w:spacing w:line="240" w:lineRule="auto" w:before="116"/>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于伟</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程军</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Kwong </w:t>
            </w:r>
            <w:r>
              <w:rPr>
                <w:rFonts w:ascii="Times New Roman"/>
                <w:spacing w:val="-5"/>
                <w:sz w:val="18"/>
              </w:rPr>
              <w:t>Yong</w:t>
            </w:r>
            <w:r>
              <w:rPr>
                <w:rFonts w:ascii="Times New Roman"/>
                <w:spacing w:val="-8"/>
                <w:sz w:val="18"/>
              </w:rPr>
              <w:t> </w:t>
            </w:r>
            <w:r>
              <w:rPr>
                <w:rFonts w:ascii="Times New Roman"/>
                <w:sz w:val="18"/>
              </w:rPr>
              <w:t>Sin</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夏鹏</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12.65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潘红</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12.65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张文利</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56.86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赵永莉</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39.89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孙文</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28.52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李勇</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57.29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武京双</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30.27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高源</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407" w:right="47" w:hanging="360"/>
              <w:jc w:val="left"/>
              <w:rPr>
                <w:rFonts w:ascii="宋体" w:hAnsi="宋体" w:cs="宋体" w:eastAsia="宋体" w:hint="default"/>
                <w:sz w:val="18"/>
                <w:szCs w:val="18"/>
              </w:rPr>
            </w:pPr>
            <w:r>
              <w:rPr>
                <w:rFonts w:ascii="宋体" w:hAnsi="宋体" w:cs="宋体" w:eastAsia="宋体" w:hint="default"/>
                <w:sz w:val="18"/>
                <w:szCs w:val="18"/>
              </w:rPr>
              <w:t>副总经理；董事 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22.71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沈远恒</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36.68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杨晓斌</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76.29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张小玲</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1187" w:top="1060" w:bottom="138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孙颖</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407" w:right="47" w:hanging="360"/>
              <w:jc w:val="left"/>
              <w:rPr>
                <w:rFonts w:ascii="宋体" w:hAnsi="宋体" w:cs="宋体" w:eastAsia="宋体" w:hint="default"/>
                <w:sz w:val="18"/>
                <w:szCs w:val="18"/>
              </w:rPr>
            </w:pPr>
            <w:r>
              <w:rPr>
                <w:rFonts w:ascii="宋体" w:hAnsi="宋体" w:cs="宋体" w:eastAsia="宋体" w:hint="default"/>
                <w:sz w:val="18"/>
                <w:szCs w:val="18"/>
              </w:rPr>
              <w:t>副总经理；董事 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87"/>
              <w:jc w:val="righ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30.28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617"/>
              <w:jc w:val="right"/>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0" w:right="0"/>
              <w:jc w:val="left"/>
              <w:rPr>
                <w:rFonts w:ascii="Times New Roman" w:hAnsi="Times New Roman" w:cs="Times New Roman" w:eastAsia="Times New Roman" w:hint="default"/>
                <w:sz w:val="18"/>
                <w:szCs w:val="18"/>
              </w:rPr>
            </w:pPr>
            <w:r>
              <w:rPr>
                <w:rFonts w:ascii="Times New Roman"/>
                <w:sz w:val="18"/>
              </w:rPr>
              <w:t>516.69</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17" w:right="0"/>
              <w:jc w:val="left"/>
              <w:rPr>
                <w:rFonts w:ascii="Times New Roman" w:hAnsi="Times New Roman" w:cs="Times New Roman" w:eastAsia="Times New Roman" w:hint="default"/>
                <w:sz w:val="18"/>
                <w:szCs w:val="18"/>
              </w:rPr>
            </w:pPr>
            <w:r>
              <w:rPr>
                <w:rFonts w:ascii="Times New Roman"/>
                <w:sz w:val="18"/>
              </w:rPr>
              <w:t>--</w:t>
            </w:r>
          </w:p>
        </w:tc>
      </w:tr>
    </w:tbl>
    <w:p>
      <w:pPr>
        <w:spacing w:line="240" w:lineRule="auto" w:before="7"/>
        <w:rPr>
          <w:rFonts w:ascii="宋体" w:hAnsi="宋体" w:cs="宋体" w:eastAsia="宋体" w:hint="default"/>
          <w:sz w:val="27"/>
          <w:szCs w:val="27"/>
        </w:rPr>
      </w:pPr>
    </w:p>
    <w:p>
      <w:pPr>
        <w:pStyle w:val="BodyText"/>
        <w:spacing w:line="240" w:lineRule="auto" w:before="44"/>
        <w:ind w:left="1134" w:right="0"/>
        <w:jc w:val="left"/>
      </w:pPr>
      <w:r>
        <w:rPr/>
        <w:t>公司董事、监事、高级管理人员报告期内被授予的股权激励情况</w:t>
      </w:r>
    </w:p>
    <w:p>
      <w:pPr>
        <w:pStyle w:val="BodyText"/>
        <w:spacing w:line="240" w:lineRule="auto" w:before="116"/>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五、公司员工情况" w:id="120"/>
      <w:bookmarkEnd w:id="120"/>
      <w:r>
        <w:rPr>
          <w:b w:val="0"/>
          <w:bCs w:val="0"/>
        </w:rPr>
      </w:r>
      <w:r>
        <w:rPr/>
        <w:t>五、公司员工情况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员工数量、专业构成及教育程度" w:id="121"/>
      <w:bookmarkEnd w:id="121"/>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4766"/>
        <w:gridCol w:w="4792"/>
      </w:tblGrid>
      <w:tr>
        <w:trPr>
          <w:trHeight w:val="403"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2,235</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2,284</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2,284</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1,997</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216</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2,284</w:t>
            </w:r>
          </w:p>
        </w:tc>
      </w:tr>
      <w:tr>
        <w:trPr>
          <w:trHeight w:val="39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 w:right="2"/>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7"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本科及以上学历</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1,830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大专学历</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439</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高中及以下学历</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2,284</w:t>
            </w:r>
          </w:p>
        </w:tc>
      </w:tr>
    </w:tbl>
    <w:p>
      <w:pPr>
        <w:spacing w:line="240" w:lineRule="auto" w:before="2"/>
        <w:rPr>
          <w:rFonts w:ascii="宋体" w:hAnsi="宋体" w:cs="宋体" w:eastAsia="宋体" w:hint="default"/>
          <w:b/>
          <w:bCs/>
          <w:sz w:val="19"/>
          <w:szCs w:val="19"/>
        </w:rPr>
      </w:pPr>
    </w:p>
    <w:p>
      <w:pPr>
        <w:pStyle w:val="Heading4"/>
        <w:spacing w:line="240" w:lineRule="auto" w:before="35"/>
        <w:ind w:left="1134" w:right="0"/>
        <w:jc w:val="left"/>
        <w:rPr>
          <w:b w:val="0"/>
          <w:bCs w:val="0"/>
        </w:rPr>
      </w:pPr>
      <w:bookmarkStart w:name="2、薪酬政策" w:id="122"/>
      <w:bookmarkEnd w:id="122"/>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5"/>
        <w:rPr>
          <w:rFonts w:ascii="宋体" w:hAnsi="宋体" w:cs="宋体" w:eastAsia="宋体" w:hint="default"/>
          <w:b/>
          <w:bCs/>
          <w:sz w:val="23"/>
          <w:szCs w:val="23"/>
        </w:rPr>
      </w:pPr>
    </w:p>
    <w:p>
      <w:pPr>
        <w:pStyle w:val="BodyText"/>
        <w:spacing w:line="297" w:lineRule="auto"/>
        <w:ind w:left="1134" w:right="1131" w:firstLine="360"/>
        <w:jc w:val="both"/>
      </w:pPr>
      <w:r>
        <w:rPr>
          <w:spacing w:val="-2"/>
        </w:rPr>
        <w:t>公司员工薪酬政策力求体现工资管理的激励性、竞争性和公平性，把个人业绩和团队业绩有效结合起来，共同分享企业</w:t>
      </w:r>
      <w:r>
        <w:rPr/>
        <w:t> </w:t>
      </w:r>
      <w:r>
        <w:rPr>
          <w:spacing w:val="-2"/>
        </w:rPr>
        <w:t>发展所带来的机制，促进员工价值观念的凝合，形成留住人才和吸引人才的机制，最终推进公司发展战略的实现。公司薪酬</w:t>
      </w:r>
      <w:r>
        <w:rPr>
          <w:spacing w:val="-66"/>
        </w:rPr>
        <w:t> </w:t>
      </w:r>
      <w:r>
        <w:rPr>
          <w:spacing w:val="-66"/>
        </w:rPr>
      </w:r>
      <w:r>
        <w:rPr/>
        <w:t>政策分为年薪制、月薪制，并通过绩效考核将员工工作目标与企业战略目标以及个人绩效结合，激发员工的积极性。</w:t>
      </w:r>
    </w:p>
    <w:p>
      <w:pPr>
        <w:spacing w:after="0" w:line="297" w:lineRule="auto"/>
        <w:jc w:val="both"/>
        <w:sectPr>
          <w:pgSz w:w="11910" w:h="16840"/>
          <w:pgMar w:header="877" w:footer="1187" w:top="1060" w:bottom="1380" w:left="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3、培训计划" w:id="123"/>
      <w:bookmarkEnd w:id="123"/>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6"/>
        <w:rPr>
          <w:rFonts w:ascii="宋体" w:hAnsi="宋体" w:cs="宋体" w:eastAsia="宋体" w:hint="default"/>
          <w:b/>
          <w:bCs/>
          <w:sz w:val="23"/>
          <w:szCs w:val="23"/>
        </w:rPr>
      </w:pPr>
    </w:p>
    <w:p>
      <w:pPr>
        <w:pStyle w:val="BodyText"/>
        <w:spacing w:line="297" w:lineRule="auto"/>
        <w:ind w:right="1131" w:firstLine="360"/>
        <w:jc w:val="both"/>
      </w:pPr>
      <w:r>
        <w:rPr>
          <w:spacing w:val="-2"/>
        </w:rPr>
        <w:t>为了提高员工技能与素质，依据公司整体目标、工作重点和专业人员培养需求，由各部门提出培训需求，人力资源部根</w:t>
      </w:r>
      <w:r>
        <w:rPr/>
        <w:t> </w:t>
      </w:r>
      <w:r>
        <w:rPr>
          <w:spacing w:val="-3"/>
        </w:rPr>
        <w:t>据结合组织目标和公司发展需要，汇总编制《年度培训计划》，报总经理公司总经理批准后执行。</w:t>
      </w:r>
    </w:p>
    <w:p>
      <w:pPr>
        <w:pStyle w:val="BodyText"/>
        <w:spacing w:line="288" w:lineRule="auto" w:before="54"/>
        <w:ind w:left="1134" w:right="1131" w:firstLine="360"/>
        <w:jc w:val="both"/>
      </w:pPr>
      <w:r>
        <w:rPr>
          <w:rFonts w:ascii="Times New Roman" w:hAnsi="Times New Roman" w:cs="Times New Roman" w:eastAsia="Times New Roman" w:hint="default"/>
        </w:rPr>
        <w:t>2015 </w:t>
      </w:r>
      <w:r>
        <w:rPr/>
        <w:t>年培训计划已经基本完成。</w:t>
      </w:r>
      <w:r>
        <w:rPr>
          <w:rFonts w:ascii="Times New Roman" w:hAnsi="Times New Roman" w:cs="Times New Roman" w:eastAsia="Times New Roman" w:hint="default"/>
        </w:rPr>
        <w:t>2016</w:t>
      </w:r>
      <w:r>
        <w:rPr>
          <w:rFonts w:ascii="Times New Roman" w:hAnsi="Times New Roman" w:cs="Times New Roman" w:eastAsia="Times New Roman" w:hint="default"/>
          <w:spacing w:val="7"/>
        </w:rPr>
        <w:t> </w:t>
      </w:r>
      <w:r>
        <w:rPr/>
        <w:t>年公司将从知识管理、人才培养体系、课程体系、培训管理制度等方面开展梳理 </w:t>
      </w:r>
      <w:r>
        <w:rPr>
          <w:spacing w:val="-2"/>
        </w:rPr>
        <w:t>和优化。基于员工的岗位胜任能力，从知识、技能、心态三方面针对不同的层级、不同的业务线条设置具有针对性的学习内</w:t>
      </w:r>
      <w:r>
        <w:rPr>
          <w:spacing w:val="-66"/>
        </w:rPr>
        <w:t> </w:t>
      </w:r>
      <w:r>
        <w:rPr>
          <w:spacing w:val="-66"/>
        </w:rPr>
      </w:r>
      <w:r>
        <w:rPr/>
        <w:t>容，有序开展培训实施工作，逐步推进人才培养工作和学习型组织建设。</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4、劳务外包情况" w:id="124"/>
      <w:bookmarkEnd w:id="124"/>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1187" w:top="1060" w:bottom="138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114"/>
        <w:jc w:val="center"/>
        <w:rPr>
          <w:b w:val="0"/>
          <w:bCs w:val="0"/>
        </w:rPr>
      </w:pPr>
      <w:bookmarkStart w:name="第九节 公司治理" w:id="125"/>
      <w:bookmarkEnd w:id="125"/>
      <w:r>
        <w:rPr>
          <w:b w:val="0"/>
          <w:bCs w:val="0"/>
        </w:rPr>
      </w:r>
      <w:bookmarkStart w:name="_bookmark7" w:id="126"/>
      <w:bookmarkEnd w:id="126"/>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治理的基本状况" w:id="127"/>
      <w:bookmarkEnd w:id="127"/>
      <w:r>
        <w:rPr>
          <w:b w:val="0"/>
          <w:bCs w:val="0"/>
        </w:rPr>
      </w:r>
      <w:r>
        <w:rPr/>
        <w:t>一、公司治理的基本状况</w:t>
      </w:r>
      <w:r>
        <w:rPr>
          <w:b w:val="0"/>
          <w:bCs w:val="0"/>
        </w:rPr>
      </w:r>
    </w:p>
    <w:p>
      <w:pPr>
        <w:spacing w:line="240" w:lineRule="auto" w:before="5"/>
        <w:rPr>
          <w:rFonts w:ascii="宋体" w:hAnsi="宋体" w:cs="宋体" w:eastAsia="宋体" w:hint="default"/>
          <w:b/>
          <w:bCs/>
          <w:sz w:val="23"/>
          <w:szCs w:val="23"/>
        </w:rPr>
      </w:pPr>
    </w:p>
    <w:p>
      <w:pPr>
        <w:pStyle w:val="BodyText"/>
        <w:spacing w:line="297" w:lineRule="auto"/>
        <w:ind w:right="1130" w:firstLine="360"/>
        <w:jc w:val="both"/>
      </w:pPr>
      <w:r>
        <w:rPr>
          <w:spacing w:val="-15"/>
        </w:rPr>
        <w:t>报告期内，公司根据《公司法》、《证券法》、《上市公司治理准则》、《深圳证券交易所创业板股票上市规则》、《深圳证券</w:t>
      </w:r>
      <w:r>
        <w:rPr/>
        <w:t> </w:t>
      </w:r>
      <w:r>
        <w:rPr>
          <w:spacing w:val="-2"/>
        </w:rPr>
        <w:t>交易所创业板上市公司规范运作指引》等法律法规的要求，结合公司实际情况建立、健全和完善了《公司章程》和各项内部</w:t>
      </w:r>
      <w:r>
        <w:rPr>
          <w:spacing w:val="-66"/>
        </w:rPr>
        <w:t> </w:t>
      </w:r>
      <w:r>
        <w:rPr>
          <w:spacing w:val="-66"/>
        </w:rPr>
      </w:r>
      <w:r>
        <w:rPr>
          <w:spacing w:val="-2"/>
        </w:rPr>
        <w:t>控制制度，发挥了董事会及下属专门委员会的职能和作用，完善提高了董事会的职能和专业化程度，有效保障了董事会决策</w:t>
      </w:r>
      <w:r>
        <w:rPr>
          <w:spacing w:val="-65"/>
        </w:rPr>
        <w:t> </w:t>
      </w:r>
      <w:r>
        <w:rPr>
          <w:spacing w:val="-65"/>
        </w:rPr>
      </w:r>
      <w:r>
        <w:rPr>
          <w:spacing w:val="-2"/>
        </w:rPr>
        <w:t>的科学性和合规性，不断完善公司法人治理结构和内控体系，进一步规范公司运作，提高公司治理水平。截至报告期末，本</w:t>
      </w:r>
      <w:r>
        <w:rPr>
          <w:spacing w:val="-66"/>
        </w:rPr>
        <w:t> </w:t>
      </w:r>
      <w:r>
        <w:rPr>
          <w:spacing w:val="-66"/>
        </w:rPr>
      </w:r>
      <w:r>
        <w:rPr/>
        <w:t>公司治理实际情况基本符合中国证监会发布的有关上市公司治理的规范性文件的要求。</w:t>
      </w:r>
    </w:p>
    <w:p>
      <w:pPr>
        <w:pStyle w:val="BodyText"/>
        <w:spacing w:line="297" w:lineRule="auto" w:before="52"/>
        <w:ind w:right="1133" w:firstLine="360"/>
        <w:jc w:val="both"/>
      </w:pPr>
      <w:r>
        <w:rPr>
          <w:spacing w:val="-5"/>
        </w:rPr>
        <w:t>公司严格按照有关法律法规以及《信息披露管理办法》、《投资者关系管理制度》等，真实、准确、及时、公平、完整地</w:t>
      </w:r>
      <w:r>
        <w:rPr/>
        <w:t> 披露有关信息。</w:t>
      </w:r>
    </w:p>
    <w:p>
      <w:pPr>
        <w:pStyle w:val="BodyText"/>
        <w:spacing w:line="280" w:lineRule="auto" w:before="52"/>
        <w:ind w:right="1131" w:firstLine="360"/>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7"/>
        </w:rPr>
        <w:t> </w:t>
      </w:r>
      <w:r>
        <w:rPr/>
        <w:t>年公司未受到中国证监会、深圳证券交易所就公司内控存在问题的处分，公司聘请的会计师事务所没有对公司内 部控制的有效性表示异议，公司内部控制方面没有需要整改的问题。今后公司将进一步优化和完善公司的内控制度。</w:t>
      </w:r>
    </w:p>
    <w:p>
      <w:pPr>
        <w:pStyle w:val="BodyText"/>
        <w:spacing w:line="240" w:lineRule="auto" w:before="108"/>
        <w:ind w:right="0"/>
        <w:jc w:val="left"/>
      </w:pPr>
      <w:r>
        <w:rPr/>
        <w:t>公司治理的实际状况与中国证监会发布的有关上市公司治理的规范性文件是否存在重大差异</w:t>
      </w:r>
    </w:p>
    <w:p>
      <w:pPr>
        <w:pStyle w:val="BodyText"/>
        <w:spacing w:line="338" w:lineRule="auto" w:before="116"/>
        <w:ind w:right="35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二、公司相对于控股股东在业务、人员、资产、机构、财务等方面的独立情况" w:id="128"/>
      <w:bookmarkEnd w:id="128"/>
      <w:r>
        <w:rPr>
          <w:b w:val="0"/>
          <w:bCs w:val="0"/>
        </w:rPr>
      </w: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公司相对于控股股东在业务、人员、资产、机构、财务等方面保持独立。</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三、同业竞争情况" w:id="129"/>
      <w:bookmarkEnd w:id="129"/>
      <w:r>
        <w:rPr>
          <w:b w:val="0"/>
          <w:bCs w:val="0"/>
        </w:rPr>
      </w:r>
      <w:r>
        <w:rPr/>
        <w:t>三、同业竞争情况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报告期内召开的年度股东大会和临时股东大会的有关情况" w:id="130"/>
      <w:bookmarkEnd w:id="130"/>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本报告期股东大会情况" w:id="131"/>
      <w:bookmarkEnd w:id="131"/>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21" w:type="dxa"/>
        <w:tblLayout w:type="fixed"/>
        <w:tblCellMar>
          <w:top w:w="0" w:type="dxa"/>
          <w:left w:w="0" w:type="dxa"/>
          <w:bottom w:w="0" w:type="dxa"/>
          <w:right w:w="0" w:type="dxa"/>
        </w:tblCellMar>
        <w:tblLook w:val="01E0"/>
      </w:tblPr>
      <w:tblGrid>
        <w:gridCol w:w="1844"/>
        <w:gridCol w:w="1559"/>
        <w:gridCol w:w="1383"/>
        <w:gridCol w:w="1594"/>
        <w:gridCol w:w="1594"/>
        <w:gridCol w:w="1595"/>
      </w:tblGrid>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56"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3"/>
              <w:jc w:val="right"/>
              <w:rPr>
                <w:rFonts w:ascii="宋体" w:hAnsi="宋体" w:cs="宋体" w:eastAsia="宋体" w:hint="default"/>
                <w:sz w:val="18"/>
                <w:szCs w:val="18"/>
              </w:rPr>
            </w:pPr>
            <w:r>
              <w:rPr>
                <w:rFonts w:ascii="宋体" w:hAnsi="宋体" w:cs="宋体" w:eastAsia="宋体" w:hint="default"/>
                <w:sz w:val="18"/>
                <w:szCs w:val="18"/>
              </w:rPr>
              <w:t>会议类型</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596" w:right="144" w:hanging="451"/>
              <w:jc w:val="left"/>
              <w:rPr>
                <w:rFonts w:ascii="宋体" w:hAnsi="宋体" w:cs="宋体" w:eastAsia="宋体" w:hint="default"/>
                <w:sz w:val="18"/>
                <w:szCs w:val="18"/>
              </w:rPr>
            </w:pPr>
            <w:r>
              <w:rPr>
                <w:rFonts w:ascii="宋体" w:hAnsi="宋体" w:cs="宋体" w:eastAsia="宋体" w:hint="default"/>
                <w:sz w:val="18"/>
                <w:szCs w:val="18"/>
              </w:rPr>
              <w:t>投资者参与比 例</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244"/>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5"/>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5" w:right="0"/>
              <w:jc w:val="lef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103" w:right="122"/>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r>
              <w:rPr>
                <w:rFonts w:ascii="Times New Roman" w:hAnsi="Times New Roman" w:cs="Times New Roman" w:eastAsia="Times New Roman" w:hint="default"/>
                <w:spacing w:val="-1"/>
                <w:sz w:val="18"/>
                <w:szCs w:val="18"/>
              </w:rPr>
              <w:t>http://www.cninfo.</w:t>
            </w:r>
            <w:r>
              <w:rPr>
                <w:rFonts w:ascii="Times New Roman" w:hAnsi="Times New Roman" w:cs="Times New Roman" w:eastAsia="Times New Roman" w:hint="default"/>
                <w:sz w:val="18"/>
                <w:szCs w:val="18"/>
              </w:rPr>
              <w:t> com.cn</w:t>
            </w:r>
          </w:p>
        </w:tc>
      </w:tr>
    </w:tbl>
    <w:p>
      <w:pPr>
        <w:spacing w:line="240" w:lineRule="auto" w:before="2"/>
        <w:rPr>
          <w:rFonts w:ascii="宋体" w:hAnsi="宋体" w:cs="宋体" w:eastAsia="宋体" w:hint="default"/>
          <w:b/>
          <w:bCs/>
          <w:sz w:val="19"/>
          <w:szCs w:val="19"/>
        </w:rPr>
      </w:pPr>
    </w:p>
    <w:p>
      <w:pPr>
        <w:pStyle w:val="Heading4"/>
        <w:spacing w:line="240" w:lineRule="auto" w:before="35"/>
        <w:ind w:left="1134" w:right="0"/>
        <w:jc w:val="left"/>
        <w:rPr>
          <w:b w:val="0"/>
          <w:bCs w:val="0"/>
        </w:rPr>
      </w:pPr>
      <w:bookmarkStart w:name="2、表决权恢复的优先股股东请求召开临时股东大会" w:id="132"/>
      <w:bookmarkEnd w:id="132"/>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1187" w:top="1060" w:bottom="1380" w:left="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五、报告期内独立董事履行职责的情况" w:id="133"/>
      <w:bookmarkEnd w:id="133"/>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独立董事出席董事会及股东大会的情况" w:id="134"/>
      <w:bookmarkEnd w:id="134"/>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4"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夏鹏</w:t>
            </w:r>
          </w:p>
        </w:tc>
        <w:tc>
          <w:tcPr>
            <w:tcW w:w="1325" w:type="dxa"/>
            <w:tcBorders>
              <w:top w:val="single" w:sz="4" w:space="0" w:color="000000"/>
              <w:left w:val="single" w:sz="9" w:space="0" w:color="C6EC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潘红</w:t>
            </w:r>
          </w:p>
        </w:tc>
        <w:tc>
          <w:tcPr>
            <w:tcW w:w="1325" w:type="dxa"/>
            <w:tcBorders>
              <w:top w:val="single" w:sz="4" w:space="0" w:color="000000"/>
              <w:left w:val="single" w:sz="9" w:space="0" w:color="C6EC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r>
    </w:tbl>
    <w:p>
      <w:pPr>
        <w:pStyle w:val="BodyText"/>
        <w:spacing w:line="360" w:lineRule="auto" w:before="51"/>
        <w:ind w:left="1134" w:right="8052"/>
        <w:jc w:val="left"/>
      </w:pPr>
      <w:r>
        <w:rPr/>
        <w:t>连续两次未亲自出席董事会的说明 不适用</w:t>
      </w:r>
    </w:p>
    <w:p>
      <w:pPr>
        <w:spacing w:line="240" w:lineRule="auto" w:before="11"/>
        <w:rPr>
          <w:rFonts w:ascii="宋体" w:hAnsi="宋体" w:cs="宋体" w:eastAsia="宋体" w:hint="default"/>
          <w:sz w:val="19"/>
          <w:szCs w:val="19"/>
        </w:rPr>
      </w:pPr>
    </w:p>
    <w:p>
      <w:pPr>
        <w:pStyle w:val="Heading4"/>
        <w:spacing w:line="240" w:lineRule="auto"/>
        <w:ind w:left="1134" w:right="0"/>
        <w:jc w:val="left"/>
        <w:rPr>
          <w:b w:val="0"/>
          <w:bCs w:val="0"/>
        </w:rPr>
      </w:pPr>
      <w:bookmarkStart w:name="2、独立董事对公司有关事项提出异议的情况" w:id="135"/>
      <w:bookmarkEnd w:id="135"/>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t>独立董事对公司有关事项是否提出异议</w:t>
      </w:r>
    </w:p>
    <w:p>
      <w:pPr>
        <w:pStyle w:val="BodyText"/>
        <w:spacing w:line="338" w:lineRule="auto" w:before="117"/>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bookmarkStart w:name="3、独立董事履行职责的其他说明" w:id="136"/>
      <w:bookmarkEnd w:id="136"/>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pStyle w:val="BodyText"/>
        <w:spacing w:line="340" w:lineRule="auto" w:before="116"/>
        <w:ind w:right="67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280" w:lineRule="auto"/>
        <w:ind w:left="1134" w:right="1121" w:firstLine="360"/>
        <w:jc w:val="left"/>
      </w:pPr>
      <w:r>
        <w:rPr>
          <w:rFonts w:ascii="Times New Roman" w:hAnsi="Times New Roman" w:cs="Times New Roman" w:eastAsia="Times New Roman" w:hint="default"/>
        </w:rPr>
        <w:t>1.2015</w:t>
      </w:r>
      <w:r>
        <w:rPr>
          <w:rFonts w:ascii="Times New Roman" w:hAnsi="Times New Roman" w:cs="Times New Roman" w:eastAsia="Times New Roman" w:hint="default"/>
          <w:spacing w:val="-17"/>
        </w:rPr>
        <w:t> </w:t>
      </w:r>
      <w:r>
        <w:rPr/>
        <w:t>年</w:t>
      </w:r>
      <w:r>
        <w:rPr>
          <w:spacing w:val="-63"/>
        </w:rPr>
        <w:t> </w:t>
      </w:r>
      <w:r>
        <w:rPr>
          <w:rFonts w:ascii="Times New Roman" w:hAnsi="Times New Roman" w:cs="Times New Roman" w:eastAsia="Times New Roman" w:hint="default"/>
        </w:rPr>
        <w:t>6</w:t>
      </w:r>
      <w:r>
        <w:rPr>
          <w:rFonts w:ascii="Times New Roman" w:hAnsi="Times New Roman" w:cs="Times New Roman" w:eastAsia="Times New Roman" w:hint="default"/>
          <w:spacing w:val="-18"/>
        </w:rPr>
        <w:t> </w:t>
      </w:r>
      <w:r>
        <w:rPr/>
        <w:t>月</w:t>
      </w:r>
      <w:r>
        <w:rPr>
          <w:spacing w:val="-63"/>
        </w:rPr>
        <w:t> </w:t>
      </w:r>
      <w:r>
        <w:rPr>
          <w:rFonts w:ascii="Times New Roman" w:hAnsi="Times New Roman" w:cs="Times New Roman" w:eastAsia="Times New Roman" w:hint="default"/>
        </w:rPr>
        <w:t>18</w:t>
      </w:r>
      <w:r>
        <w:rPr>
          <w:rFonts w:ascii="Times New Roman" w:hAnsi="Times New Roman" w:cs="Times New Roman" w:eastAsia="Times New Roman" w:hint="default"/>
          <w:spacing w:val="-18"/>
        </w:rPr>
        <w:t> </w:t>
      </w:r>
      <w:r>
        <w:rPr/>
        <w:t>日公司召开第二届董事会第八次会议</w:t>
      </w:r>
      <w:r>
        <w:rPr>
          <w:rFonts w:ascii="Times New Roman" w:hAnsi="Times New Roman" w:cs="Times New Roman" w:eastAsia="Times New Roman" w:hint="default"/>
        </w:rPr>
        <w:t>.,</w:t>
      </w:r>
      <w:r>
        <w:rPr/>
        <w:t>独立董事关于使用募集资金置换预先投入募集资金投资项目的自 筹资金的独立意见并被采纳。</w:t>
      </w:r>
    </w:p>
    <w:p>
      <w:pPr>
        <w:pStyle w:val="BodyText"/>
        <w:spacing w:line="280" w:lineRule="auto" w:before="66"/>
        <w:ind w:left="1134" w:right="1121" w:firstLine="360"/>
        <w:jc w:val="left"/>
      </w:pPr>
      <w:r>
        <w:rPr>
          <w:rFonts w:ascii="Times New Roman" w:hAnsi="Times New Roman" w:cs="Times New Roman" w:eastAsia="Times New Roman" w:hint="default"/>
        </w:rPr>
        <w:t>2.2015</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8 </w:t>
      </w:r>
      <w:r>
        <w:rPr/>
        <w:t>月</w:t>
      </w:r>
      <w:r>
        <w:rPr>
          <w:spacing w:val="-45"/>
        </w:rPr>
        <w:t> </w:t>
      </w:r>
      <w:r>
        <w:rPr>
          <w:rFonts w:ascii="Times New Roman" w:hAnsi="Times New Roman" w:cs="Times New Roman" w:eastAsia="Times New Roman" w:hint="default"/>
        </w:rPr>
        <w:t>25 </w:t>
      </w:r>
      <w:r>
        <w:rPr/>
        <w:t>日公司召开第二届董事会第九次会议，独立董事就关于变更募集资金投资项目的议案发表独立意见并 被公司采纳。</w:t>
      </w:r>
    </w:p>
    <w:p>
      <w:pPr>
        <w:pStyle w:val="BodyText"/>
        <w:spacing w:line="280" w:lineRule="auto" w:before="65"/>
        <w:ind w:left="1134" w:right="1121" w:firstLine="360"/>
        <w:jc w:val="left"/>
      </w:pPr>
      <w:r>
        <w:rPr>
          <w:rFonts w:ascii="Times New Roman" w:hAnsi="Times New Roman" w:cs="Times New Roman" w:eastAsia="Times New Roman" w:hint="default"/>
        </w:rPr>
        <w:t>3.2015</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9 </w:t>
      </w:r>
      <w:r>
        <w:rPr/>
        <w:t>月</w:t>
      </w:r>
      <w:r>
        <w:rPr>
          <w:spacing w:val="-45"/>
        </w:rPr>
        <w:t> </w:t>
      </w:r>
      <w:r>
        <w:rPr>
          <w:rFonts w:ascii="Times New Roman" w:hAnsi="Times New Roman" w:cs="Times New Roman" w:eastAsia="Times New Roman" w:hint="default"/>
        </w:rPr>
        <w:t>23 </w:t>
      </w:r>
      <w:r>
        <w:rPr/>
        <w:t>日公司召开第二届董事会第十次会议，独立董事就关于变更公司董事会秘书发表独立意见并被公司采 纳。</w:t>
      </w:r>
    </w:p>
    <w:p>
      <w:pPr>
        <w:pStyle w:val="BodyText"/>
        <w:spacing w:line="280" w:lineRule="auto" w:before="66"/>
        <w:ind w:left="1134" w:right="1121" w:firstLine="360"/>
        <w:jc w:val="left"/>
      </w:pPr>
      <w:r>
        <w:rPr>
          <w:rFonts w:ascii="Times New Roman" w:hAnsi="Times New Roman" w:cs="Times New Roman" w:eastAsia="Times New Roman" w:hint="default"/>
        </w:rPr>
        <w:t>4.2015</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10 </w:t>
      </w:r>
      <w:r>
        <w:rPr/>
        <w:t>月</w:t>
      </w:r>
      <w:r>
        <w:rPr>
          <w:spacing w:val="-44"/>
        </w:rPr>
        <w:t> </w:t>
      </w:r>
      <w:r>
        <w:rPr>
          <w:rFonts w:ascii="Times New Roman" w:hAnsi="Times New Roman" w:cs="Times New Roman" w:eastAsia="Times New Roman" w:hint="default"/>
        </w:rPr>
        <w:t>7 </w:t>
      </w:r>
      <w:r>
        <w:rPr>
          <w:spacing w:val="-4"/>
        </w:rPr>
        <w:t>日公司召开第二届董事会第十一次会议，独立董事就</w:t>
      </w:r>
      <w:r>
        <w:rPr>
          <w:spacing w:val="-4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年限制性股票激励计划发表独立意见并被采 纳。</w:t>
      </w:r>
    </w:p>
    <w:p>
      <w:pPr>
        <w:pStyle w:val="BodyText"/>
        <w:spacing w:line="280" w:lineRule="auto" w:before="66"/>
        <w:ind w:left="1134" w:right="1118" w:firstLine="360"/>
        <w:jc w:val="left"/>
      </w:pPr>
      <w:r>
        <w:rPr>
          <w:rFonts w:ascii="Times New Roman" w:hAnsi="Times New Roman" w:cs="Times New Roman" w:eastAsia="Times New Roman" w:hint="default"/>
        </w:rPr>
        <w:t>5.2015</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10 </w:t>
      </w:r>
      <w:r>
        <w:rPr/>
        <w:t>月</w:t>
      </w:r>
      <w:r>
        <w:rPr>
          <w:spacing w:val="-44"/>
        </w:rPr>
        <w:t> </w:t>
      </w:r>
      <w:r>
        <w:rPr>
          <w:rFonts w:ascii="Times New Roman" w:hAnsi="Times New Roman" w:cs="Times New Roman" w:eastAsia="Times New Roman" w:hint="default"/>
        </w:rPr>
        <w:t>12 </w:t>
      </w:r>
      <w:r>
        <w:rPr>
          <w:spacing w:val="-2"/>
        </w:rPr>
        <w:t>日公司召开第二届董事会第十二次会议，独立董事就关于使用部分闲置募集资金暂时补充流动资金的</w:t>
      </w:r>
      <w:r>
        <w:rPr/>
        <w:t> 独立意见并被采纳。</w:t>
      </w:r>
    </w:p>
    <w:p>
      <w:pPr>
        <w:pStyle w:val="BodyText"/>
        <w:spacing w:line="280" w:lineRule="auto" w:before="65"/>
        <w:ind w:right="1116" w:firstLine="360"/>
        <w:jc w:val="left"/>
      </w:pPr>
      <w:r>
        <w:rPr>
          <w:rFonts w:ascii="Times New Roman" w:hAnsi="Times New Roman" w:cs="Times New Roman" w:eastAsia="Times New Roman" w:hint="default"/>
        </w:rPr>
        <w:t>6.2015</w:t>
      </w:r>
      <w:r>
        <w:rPr>
          <w:rFonts w:ascii="Times New Roman" w:hAnsi="Times New Roman" w:cs="Times New Roman" w:eastAsia="Times New Roman" w:hint="default"/>
          <w:spacing w:val="9"/>
        </w:rPr>
        <w:t> </w:t>
      </w:r>
      <w:r>
        <w:rPr/>
        <w:t>年</w:t>
      </w:r>
      <w:r>
        <w:rPr>
          <w:spacing w:val="-36"/>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月</w:t>
      </w:r>
      <w:r>
        <w:rPr>
          <w:spacing w:val="-36"/>
        </w:rPr>
        <w:t> </w:t>
      </w:r>
      <w:r>
        <w:rPr>
          <w:rFonts w:ascii="Times New Roman" w:hAnsi="Times New Roman" w:cs="Times New Roman" w:eastAsia="Times New Roman" w:hint="default"/>
        </w:rPr>
        <w:t>21</w:t>
      </w:r>
      <w:r>
        <w:rPr>
          <w:rFonts w:ascii="Times New Roman" w:hAnsi="Times New Roman" w:cs="Times New Roman" w:eastAsia="Times New Roman" w:hint="default"/>
          <w:spacing w:val="9"/>
        </w:rPr>
        <w:t> </w:t>
      </w:r>
      <w:r>
        <w:rPr/>
        <w:t>日公司召开第二届董事会第十三次会议，独立董事就关于公司《</w:t>
      </w:r>
      <w:r>
        <w:rPr>
          <w:rFonts w:ascii="Times New Roman" w:hAnsi="Times New Roman" w:cs="Times New Roman" w:eastAsia="Times New Roman" w:hint="default"/>
        </w:rPr>
        <w:t>2015</w:t>
      </w:r>
      <w:r>
        <w:rPr>
          <w:rFonts w:ascii="Times New Roman" w:hAnsi="Times New Roman" w:cs="Times New Roman" w:eastAsia="Times New Roman" w:hint="default"/>
          <w:spacing w:val="9"/>
        </w:rPr>
        <w:t> </w:t>
      </w:r>
      <w:r>
        <w:rPr/>
        <w:t>年第三季度报告》全文和摘要 的议案发表独立意见并被采纳。</w:t>
      </w:r>
    </w:p>
    <w:p>
      <w:pPr>
        <w:pStyle w:val="BodyText"/>
        <w:spacing w:line="280" w:lineRule="auto" w:before="66"/>
        <w:ind w:right="1119" w:firstLine="360"/>
        <w:jc w:val="left"/>
      </w:pPr>
      <w:r>
        <w:rPr>
          <w:rFonts w:ascii="Times New Roman" w:hAnsi="Times New Roman" w:cs="Times New Roman" w:eastAsia="Times New Roman" w:hint="default"/>
        </w:rPr>
        <w:t>7.2015</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10 </w:t>
      </w:r>
      <w:r>
        <w:rPr/>
        <w:t>月</w:t>
      </w:r>
      <w:r>
        <w:rPr>
          <w:spacing w:val="-44"/>
        </w:rPr>
        <w:t> </w:t>
      </w:r>
      <w:r>
        <w:rPr>
          <w:rFonts w:ascii="Times New Roman" w:hAnsi="Times New Roman" w:cs="Times New Roman" w:eastAsia="Times New Roman" w:hint="default"/>
        </w:rPr>
        <w:t>30 </w:t>
      </w:r>
      <w:r>
        <w:rPr>
          <w:spacing w:val="-2"/>
        </w:rPr>
        <w:t>日公司召开第二届董事会第十四次会议，独立董事就关于参与发起设立保险公司的议案发表独立意见</w:t>
      </w:r>
      <w:r>
        <w:rPr/>
        <w:t> 并被采纳。</w:t>
      </w:r>
    </w:p>
    <w:p>
      <w:pPr>
        <w:pStyle w:val="BodyText"/>
        <w:spacing w:line="280" w:lineRule="auto" w:before="66"/>
        <w:ind w:right="1033" w:firstLine="360"/>
        <w:jc w:val="left"/>
      </w:pPr>
      <w:r>
        <w:rPr>
          <w:rFonts w:ascii="Times New Roman" w:hAnsi="Times New Roman" w:cs="Times New Roman" w:eastAsia="Times New Roman" w:hint="default"/>
        </w:rPr>
        <w:t>8.2015</w:t>
      </w:r>
      <w:r>
        <w:rPr>
          <w:rFonts w:ascii="Times New Roman" w:hAnsi="Times New Roman" w:cs="Times New Roman" w:eastAsia="Times New Roman" w:hint="default"/>
          <w:spacing w:val="2"/>
        </w:rPr>
        <w:t> </w:t>
      </w:r>
      <w:r>
        <w:rPr/>
        <w:t>年</w:t>
      </w:r>
      <w:r>
        <w:rPr>
          <w:spacing w:val="-44"/>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2"/>
        </w:rPr>
        <w:t> </w:t>
      </w:r>
      <w:r>
        <w:rPr/>
        <w:t>月</w:t>
      </w:r>
      <w:r>
        <w:rPr>
          <w:spacing w:val="-43"/>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spacing w:val="-4"/>
        </w:rPr>
        <w:t>日公司召开第二届董事会第十五次会议，独立董事就关于使用自有资金收购盈行金融信息服务（上海）</w:t>
      </w:r>
      <w:r>
        <w:rPr/>
        <w:t> 有限公司</w:t>
      </w:r>
      <w:r>
        <w:rPr>
          <w:rFonts w:ascii="Times New Roman" w:hAnsi="Times New Roman" w:cs="Times New Roman" w:eastAsia="Times New Roman" w:hint="default"/>
          <w:position w:val="8"/>
          <w:sz w:val="12"/>
          <w:szCs w:val="12"/>
        </w:rPr>
        <w:t>4</w:t>
      </w:r>
      <w:r>
        <w:rPr>
          <w:rFonts w:ascii="Times New Roman" w:hAnsi="Times New Roman" w:cs="Times New Roman" w:eastAsia="Times New Roman" w:hint="default"/>
        </w:rPr>
        <w:t>30%</w:t>
      </w:r>
      <w:r>
        <w:rPr/>
        <w:t>股权的议案发表独立意见并被采纳。</w:t>
      </w:r>
    </w:p>
    <w:p>
      <w:pPr>
        <w:pStyle w:val="BodyText"/>
        <w:spacing w:line="240" w:lineRule="auto" w:before="43"/>
        <w:ind w:left="1494" w:right="0"/>
        <w:jc w:val="left"/>
      </w:pPr>
      <w:r>
        <w:rPr>
          <w:rFonts w:ascii="Times New Roman" w:hAnsi="Times New Roman" w:cs="Times New Roman" w:eastAsia="Times New Roman" w:hint="default"/>
        </w:rPr>
        <w:t>9.2015</w:t>
      </w:r>
      <w:r>
        <w:rPr>
          <w:rFonts w:ascii="Times New Roman" w:hAnsi="Times New Roman" w:cs="Times New Roman" w:eastAsia="Times New Roman" w:hint="default"/>
          <w:spacing w:val="-17"/>
        </w:rPr>
        <w:t> </w:t>
      </w:r>
      <w:r>
        <w:rPr/>
        <w:t>年</w:t>
      </w:r>
      <w:r>
        <w:rPr>
          <w:spacing w:val="-63"/>
        </w:rPr>
        <w:t> </w:t>
      </w:r>
      <w:r>
        <w:rPr>
          <w:rFonts w:ascii="Times New Roman" w:hAnsi="Times New Roman" w:cs="Times New Roman" w:eastAsia="Times New Roman" w:hint="default"/>
        </w:rPr>
        <w:t>12</w:t>
      </w:r>
      <w:r>
        <w:rPr>
          <w:rFonts w:ascii="Times New Roman" w:hAnsi="Times New Roman" w:cs="Times New Roman" w:eastAsia="Times New Roman" w:hint="default"/>
          <w:spacing w:val="-18"/>
        </w:rPr>
        <w:t> </w:t>
      </w:r>
      <w:r>
        <w:rPr/>
        <w:t>月</w:t>
      </w:r>
      <w:r>
        <w:rPr>
          <w:spacing w:val="-62"/>
        </w:rPr>
        <w:t> </w:t>
      </w:r>
      <w:r>
        <w:rPr>
          <w:rFonts w:ascii="Times New Roman" w:hAnsi="Times New Roman" w:cs="Times New Roman" w:eastAsia="Times New Roman" w:hint="default"/>
        </w:rPr>
        <w:t>17</w:t>
      </w:r>
      <w:r>
        <w:rPr>
          <w:rFonts w:ascii="Times New Roman" w:hAnsi="Times New Roman" w:cs="Times New Roman" w:eastAsia="Times New Roman" w:hint="default"/>
          <w:spacing w:val="-18"/>
        </w:rPr>
        <w:t> </w:t>
      </w:r>
      <w:r>
        <w:rPr/>
        <w:t>日公司召开第二届董事会第十六次会议，独立董事就关于候补第二届董事会非独立董事的议案，关于</w:t>
      </w:r>
    </w:p>
    <w:p>
      <w:pPr>
        <w:spacing w:line="240" w:lineRule="auto" w:before="3"/>
        <w:rPr>
          <w:rFonts w:ascii="宋体" w:hAnsi="宋体" w:cs="宋体" w:eastAsia="宋体" w:hint="default"/>
          <w:sz w:val="17"/>
          <w:szCs w:val="17"/>
        </w:rPr>
      </w:pPr>
    </w:p>
    <w:p>
      <w:pPr>
        <w:spacing w:line="20" w:lineRule="exact"/>
        <w:ind w:left="1129" w:right="0" w:firstLine="0"/>
        <w:rPr>
          <w:rFonts w:ascii="宋体" w:hAnsi="宋体" w:cs="宋体" w:eastAsia="宋体" w:hint="default"/>
          <w:sz w:val="2"/>
          <w:szCs w:val="2"/>
        </w:rPr>
      </w:pPr>
      <w:r>
        <w:rPr>
          <w:rFonts w:ascii="宋体" w:hAnsi="宋体" w:cs="宋体" w:eastAsia="宋体" w:hint="default"/>
          <w:sz w:val="2"/>
          <w:szCs w:val="2"/>
        </w:rPr>
        <w:pict>
          <v:group style="width:144.450pt;height:.45pt;mso-position-horizontal-relative:char;mso-position-vertical-relative:line" coordorigin="0,0" coordsize="2889,9">
            <v:group style="position:absolute;left:4;top:4;width:2881;height:2" coordorigin="4,4" coordsize="2881,2">
              <v:shape style="position:absolute;left:4;top:4;width:2881;height:2" coordorigin="4,4" coordsize="2881,0" path="m4,4l2885,4e" filled="false" stroked="true" strokeweight=".42pt" strokecolor="#000000">
                <v:path arrowok="t"/>
              </v:shape>
            </v:group>
          </v:group>
        </w:pict>
      </w:r>
      <w:r>
        <w:rPr>
          <w:rFonts w:ascii="宋体" w:hAnsi="宋体" w:cs="宋体" w:eastAsia="宋体" w:hint="default"/>
          <w:sz w:val="2"/>
          <w:szCs w:val="2"/>
        </w:rPr>
      </w:r>
    </w:p>
    <w:p>
      <w:pPr>
        <w:pStyle w:val="BodyText"/>
        <w:spacing w:line="240" w:lineRule="auto" w:before="41"/>
        <w:ind w:left="1134" w:right="0"/>
        <w:jc w:val="left"/>
      </w:pPr>
      <w:r>
        <w:rPr>
          <w:rFonts w:ascii="Times New Roman" w:hAnsi="Times New Roman" w:cs="Times New Roman" w:eastAsia="Times New Roman" w:hint="default"/>
          <w:position w:val="8"/>
          <w:sz w:val="12"/>
          <w:szCs w:val="12"/>
        </w:rPr>
        <w:t>4   </w:t>
      </w:r>
      <w:r>
        <w:rPr/>
        <w:t>曾用名为盈行金融信息服务（上海）有限公司，现更名为盈行金融信息技术（上海）有限公司</w:t>
      </w:r>
    </w:p>
    <w:p>
      <w:pPr>
        <w:spacing w:after="0" w:line="240" w:lineRule="auto"/>
        <w:jc w:val="left"/>
        <w:sectPr>
          <w:pgSz w:w="11910" w:h="16840"/>
          <w:pgMar w:header="877" w:footer="1187" w:top="1060" w:bottom="1380" w:left="0" w:right="0"/>
        </w:sectPr>
      </w:pPr>
    </w:p>
    <w:p>
      <w:pPr>
        <w:spacing w:line="240" w:lineRule="auto" w:before="10"/>
        <w:rPr>
          <w:rFonts w:ascii="宋体" w:hAnsi="宋体" w:cs="宋体" w:eastAsia="宋体" w:hint="default"/>
          <w:sz w:val="22"/>
          <w:szCs w:val="22"/>
        </w:rPr>
      </w:pPr>
    </w:p>
    <w:p>
      <w:pPr>
        <w:pStyle w:val="BodyText"/>
        <w:spacing w:line="240" w:lineRule="auto" w:before="44"/>
        <w:ind w:right="0"/>
        <w:jc w:val="left"/>
      </w:pPr>
      <w:r>
        <w:rPr/>
        <w:t>聘任总经理和副总经理的议案，关于召开</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年度第一次临时股东大会的议案发表独立意见并被采纳。</w:t>
      </w:r>
    </w:p>
    <w:p>
      <w:pPr>
        <w:spacing w:line="240" w:lineRule="auto" w:before="8"/>
        <w:rPr>
          <w:rFonts w:ascii="宋体" w:hAnsi="宋体" w:cs="宋体" w:eastAsia="宋体" w:hint="default"/>
          <w:sz w:val="25"/>
          <w:szCs w:val="25"/>
        </w:rPr>
      </w:pPr>
    </w:p>
    <w:p>
      <w:pPr>
        <w:pStyle w:val="Heading2"/>
        <w:spacing w:line="240" w:lineRule="auto"/>
        <w:ind w:right="0"/>
        <w:jc w:val="left"/>
        <w:rPr>
          <w:b w:val="0"/>
          <w:bCs w:val="0"/>
        </w:rPr>
      </w:pPr>
      <w:bookmarkStart w:name="六、董事会下设专门委员会在报告期内履行职责情况" w:id="137"/>
      <w:bookmarkEnd w:id="137"/>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3"/>
          <w:szCs w:val="23"/>
        </w:rPr>
      </w:pPr>
    </w:p>
    <w:p>
      <w:pPr>
        <w:pStyle w:val="BodyText"/>
        <w:spacing w:line="338" w:lineRule="auto"/>
        <w:ind w:left="1493" w:right="0"/>
        <w:jc w:val="left"/>
      </w:pPr>
      <w:r>
        <w:rPr/>
        <w:t>（一）审计委员会履职情况 </w:t>
      </w:r>
      <w:r>
        <w:rPr>
          <w:spacing w:val="-12"/>
        </w:rPr>
        <w:t>报告期内，审计委员会根据《公司法》、《证券法》、《上市公司治理准则》、《内部审计制度》及《审计与风险控制委员会</w:t>
      </w:r>
    </w:p>
    <w:p>
      <w:pPr>
        <w:pStyle w:val="BodyText"/>
        <w:spacing w:line="231" w:lineRule="exact"/>
        <w:ind w:right="0"/>
        <w:jc w:val="left"/>
      </w:pPr>
      <w:r>
        <w:rPr>
          <w:spacing w:val="-3"/>
        </w:rPr>
        <w:t>议事规则》等有关规定，积极履行职责。报告期内，审计委员会共召开了</w:t>
      </w:r>
      <w:r>
        <w:rPr>
          <w:spacing w:val="-40"/>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次会议，对相关事项进行了审议并听取了内审部</w:t>
      </w:r>
    </w:p>
    <w:p>
      <w:pPr>
        <w:pStyle w:val="BodyText"/>
        <w:spacing w:line="240" w:lineRule="auto" w:before="42"/>
        <w:ind w:right="0"/>
        <w:jc w:val="left"/>
      </w:pPr>
      <w:r>
        <w:rPr/>
        <w:t>相关工作报告。</w:t>
      </w:r>
    </w:p>
    <w:p>
      <w:pPr>
        <w:pStyle w:val="BodyText"/>
        <w:spacing w:line="338" w:lineRule="auto" w:before="97"/>
        <w:ind w:left="1493" w:right="0"/>
        <w:jc w:val="left"/>
      </w:pPr>
      <w:r>
        <w:rPr/>
        <w:t>（二）薪酬与考核委员会履职情况 </w:t>
      </w:r>
      <w:r>
        <w:rPr>
          <w:spacing w:val="-9"/>
        </w:rPr>
        <w:t>报告期内，薪酬与考核委员根据《公司法》、《证券法》、《上市公司治理准则》、及《薪酬与考核委员会议事规则》等有</w:t>
      </w:r>
    </w:p>
    <w:p>
      <w:pPr>
        <w:pStyle w:val="BodyText"/>
        <w:spacing w:line="231" w:lineRule="exact"/>
        <w:ind w:right="0"/>
        <w:jc w:val="left"/>
      </w:pPr>
      <w:r>
        <w:rPr/>
        <w:t>关规定，积极履行职责。报告期内，薪酬与考核委员会对公司</w:t>
      </w:r>
      <w:r>
        <w:rPr>
          <w:spacing w:val="-40"/>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年度限制性股票股权激励计划进行了审议，并提交董事</w:t>
      </w:r>
    </w:p>
    <w:p>
      <w:pPr>
        <w:pStyle w:val="BodyText"/>
        <w:spacing w:line="240" w:lineRule="auto" w:before="42"/>
        <w:ind w:right="0"/>
        <w:jc w:val="left"/>
      </w:pPr>
      <w:r>
        <w:rPr/>
        <w:t>会审议。</w:t>
      </w:r>
    </w:p>
    <w:p>
      <w:pPr>
        <w:pStyle w:val="BodyText"/>
        <w:spacing w:line="338" w:lineRule="auto" w:before="97"/>
        <w:ind w:left="1494" w:right="0"/>
        <w:jc w:val="left"/>
      </w:pPr>
      <w:r>
        <w:rPr/>
        <w:t>（三）提名委员会履职情况 </w:t>
      </w:r>
      <w:r>
        <w:rPr>
          <w:spacing w:val="-9"/>
        </w:rPr>
        <w:t>报告期内，提名委员会按照《公司法》、《证券法》、《上市公司治理准则》、及《提名委员会议事规则》等有关规定，积</w:t>
      </w:r>
    </w:p>
    <w:p>
      <w:pPr>
        <w:pStyle w:val="BodyText"/>
        <w:spacing w:line="219" w:lineRule="exact"/>
        <w:ind w:left="1134" w:right="0"/>
        <w:jc w:val="left"/>
      </w:pPr>
      <w:r>
        <w:rPr/>
        <w:t>极履行职责。</w:t>
      </w:r>
    </w:p>
    <w:p>
      <w:pPr>
        <w:pStyle w:val="BodyText"/>
        <w:spacing w:line="338" w:lineRule="auto" w:before="95"/>
        <w:ind w:left="1493" w:right="0"/>
        <w:jc w:val="left"/>
      </w:pPr>
      <w:r>
        <w:rPr/>
        <w:t>（四）战略发展委员会履职情况 </w:t>
      </w:r>
      <w:r>
        <w:rPr>
          <w:spacing w:val="-9"/>
        </w:rPr>
        <w:t>报告期内，战略发展委员按照《公司法》、《证券法》、《上市公司治理准则》、及《战略委员会议事规则》等有关规定，</w:t>
      </w:r>
    </w:p>
    <w:p>
      <w:pPr>
        <w:pStyle w:val="BodyText"/>
        <w:spacing w:line="218" w:lineRule="exact"/>
        <w:ind w:right="0"/>
        <w:jc w:val="left"/>
      </w:pPr>
      <w:r>
        <w:rPr/>
        <w:t>积极履行职责。</w:t>
      </w:r>
    </w:p>
    <w:p>
      <w:pPr>
        <w:spacing w:line="240" w:lineRule="auto" w:before="8"/>
        <w:rPr>
          <w:rFonts w:ascii="宋体" w:hAnsi="宋体" w:cs="宋体" w:eastAsia="宋体" w:hint="default"/>
          <w:sz w:val="26"/>
          <w:szCs w:val="26"/>
        </w:rPr>
      </w:pPr>
    </w:p>
    <w:p>
      <w:pPr>
        <w:pStyle w:val="Heading2"/>
        <w:spacing w:line="240" w:lineRule="auto"/>
        <w:ind w:right="0"/>
        <w:jc w:val="left"/>
        <w:rPr>
          <w:b w:val="0"/>
          <w:bCs w:val="0"/>
        </w:rPr>
      </w:pPr>
      <w:bookmarkStart w:name="七、监事会工作情况" w:id="138"/>
      <w:bookmarkEnd w:id="138"/>
      <w:r>
        <w:rPr>
          <w:b w:val="0"/>
          <w:bCs w:val="0"/>
        </w:rPr>
      </w:r>
      <w:r>
        <w:rPr/>
        <w:t>七、监事会工作情况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监事会在报告期内的监督活动是否发现公司存在风险</w:t>
      </w:r>
    </w:p>
    <w:p>
      <w:pPr>
        <w:pStyle w:val="BodyText"/>
        <w:spacing w:line="340" w:lineRule="auto" w:before="116"/>
        <w:ind w:right="73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八、高级管理人员的考评及激励情况" w:id="139"/>
      <w:bookmarkEnd w:id="139"/>
      <w:r>
        <w:rPr>
          <w:b w:val="0"/>
          <w:bCs w:val="0"/>
        </w:rPr>
      </w:r>
      <w:r>
        <w:rPr/>
        <w:t>八、高级管理人员的考评及激励情况</w:t>
      </w:r>
      <w:r>
        <w:rPr>
          <w:b w:val="0"/>
          <w:bCs w:val="0"/>
        </w:rPr>
      </w:r>
    </w:p>
    <w:p>
      <w:pPr>
        <w:spacing w:line="240" w:lineRule="auto" w:before="6"/>
        <w:rPr>
          <w:rFonts w:ascii="宋体" w:hAnsi="宋体" w:cs="宋体" w:eastAsia="宋体" w:hint="default"/>
          <w:b/>
          <w:bCs/>
          <w:sz w:val="23"/>
          <w:szCs w:val="23"/>
        </w:rPr>
      </w:pPr>
    </w:p>
    <w:p>
      <w:pPr>
        <w:pStyle w:val="BodyText"/>
        <w:spacing w:line="297" w:lineRule="auto"/>
        <w:ind w:right="0" w:firstLine="360"/>
        <w:jc w:val="left"/>
      </w:pPr>
      <w:r>
        <w:rPr>
          <w:spacing w:val="-2"/>
        </w:rPr>
        <w:t>公司高级管理人员的薪酬与考核以公司经济效益及工作目标为出发点，根据公司年度经营计划和高级管理人员分管工作</w:t>
      </w:r>
      <w:r>
        <w:rPr/>
        <w:t> 的职责，进行综合考核，根据考核结果确定高级管理人员的年度薪酬水平。</w:t>
      </w:r>
    </w:p>
    <w:p>
      <w:pPr>
        <w:spacing w:line="240" w:lineRule="auto" w:before="4"/>
        <w:rPr>
          <w:rFonts w:ascii="宋体" w:hAnsi="宋体" w:cs="宋体" w:eastAsia="宋体" w:hint="default"/>
          <w:sz w:val="23"/>
          <w:szCs w:val="23"/>
        </w:rPr>
      </w:pPr>
    </w:p>
    <w:p>
      <w:pPr>
        <w:pStyle w:val="Heading2"/>
        <w:spacing w:line="240" w:lineRule="auto"/>
        <w:ind w:right="0"/>
        <w:jc w:val="left"/>
        <w:rPr>
          <w:b w:val="0"/>
          <w:bCs w:val="0"/>
        </w:rPr>
      </w:pPr>
      <w:bookmarkStart w:name="九、内部控制评价报告" w:id="140"/>
      <w:bookmarkEnd w:id="140"/>
      <w:r>
        <w:rPr>
          <w:b w:val="0"/>
          <w:bCs w:val="0"/>
        </w:rPr>
      </w:r>
      <w:r>
        <w:rPr/>
        <w:t>九、内部控制评价报告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报告期内发现的内部控制重大缺陷的具体情况" w:id="141"/>
      <w:bookmarkEnd w:id="141"/>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内控自我评价报告" w:id="142"/>
      <w:bookmarkEnd w:id="142"/>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194"/>
        <w:gridCol w:w="6375"/>
      </w:tblGrid>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4"/>
                <w:sz w:val="18"/>
                <w:szCs w:val="18"/>
              </w:rPr>
              <w:t> </w:t>
            </w:r>
            <w:hyperlink r:id="rId11">
              <w:r>
                <w:rPr>
                  <w:rFonts w:ascii="Times New Roman" w:hAnsi="Times New Roman" w:cs="Times New Roman" w:eastAsia="Times New Roman" w:hint="default"/>
                  <w:sz w:val="18"/>
                  <w:szCs w:val="18"/>
                </w:rPr>
                <w:t>http://www.cninfo.com.cn</w:t>
              </w:r>
            </w:hyperlink>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 w:right="99"/>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7" w:top="1060" w:bottom="138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3189"/>
        <w:gridCol w:w="3329"/>
        <w:gridCol w:w="3051"/>
      </w:tblGrid>
      <w:tr>
        <w:trPr>
          <w:trHeight w:val="36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
        </w:tc>
      </w:tr>
      <w:tr>
        <w:trPr>
          <w:trHeight w:val="397"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721"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307" w:lineRule="auto"/>
              <w:ind w:left="22" w:right="48"/>
              <w:jc w:val="both"/>
              <w:rPr>
                <w:rFonts w:ascii="宋体" w:hAnsi="宋体" w:cs="宋体" w:eastAsia="宋体" w:hint="default"/>
                <w:sz w:val="18"/>
                <w:szCs w:val="18"/>
              </w:rPr>
            </w:pPr>
            <w:r>
              <w:rPr>
                <w:rFonts w:ascii="宋体" w:hAnsi="宋体" w:cs="宋体" w:eastAsia="宋体" w:hint="default"/>
                <w:sz w:val="18"/>
                <w:szCs w:val="18"/>
              </w:rPr>
              <w:t>公司确定的财务报告内部控制缺陷评价的 定性标准如下： （</w:t>
            </w:r>
            <w:r>
              <w:rPr>
                <w:rFonts w:ascii="Times New Roman" w:hAnsi="Times New Roman" w:cs="Times New Roman" w:eastAsia="Times New Roman" w:hint="default"/>
                <w:sz w:val="18"/>
                <w:szCs w:val="18"/>
              </w:rPr>
              <w:t>1</w:t>
            </w:r>
            <w:r>
              <w:rPr>
                <w:rFonts w:ascii="宋体" w:hAnsi="宋体" w:cs="宋体" w:eastAsia="宋体" w:hint="default"/>
                <w:sz w:val="18"/>
                <w:szCs w:val="18"/>
              </w:rPr>
              <w:t>）公司董事、监事和 高级管理人员的舞弊行为； （</w:t>
            </w:r>
            <w:r>
              <w:rPr>
                <w:rFonts w:ascii="Times New Roman" w:hAnsi="Times New Roman" w:cs="Times New Roman" w:eastAsia="Times New Roman" w:hint="default"/>
                <w:sz w:val="18"/>
                <w:szCs w:val="18"/>
              </w:rPr>
              <w:t>2</w:t>
            </w:r>
            <w:r>
              <w:rPr>
                <w:rFonts w:ascii="宋体" w:hAnsi="宋体" w:cs="宋体" w:eastAsia="宋体" w:hint="default"/>
                <w:sz w:val="18"/>
                <w:szCs w:val="18"/>
              </w:rPr>
              <w:t>）公司更 正已公布的财务报告； （</w:t>
            </w:r>
            <w:r>
              <w:rPr>
                <w:rFonts w:ascii="Times New Roman" w:hAnsi="Times New Roman" w:cs="Times New Roman" w:eastAsia="Times New Roman" w:hint="default"/>
                <w:sz w:val="18"/>
                <w:szCs w:val="18"/>
              </w:rPr>
              <w:t>3</w:t>
            </w:r>
            <w:r>
              <w:rPr>
                <w:rFonts w:ascii="宋体" w:hAnsi="宋体" w:cs="宋体" w:eastAsia="宋体" w:hint="default"/>
                <w:sz w:val="18"/>
                <w:szCs w:val="18"/>
              </w:rPr>
              <w:t>）注册会计师 发现的却未被公司内部控制识别的当期财 务报告中的重大错报； （</w:t>
            </w:r>
            <w:r>
              <w:rPr>
                <w:rFonts w:ascii="Times New Roman" w:hAnsi="Times New Roman" w:cs="Times New Roman" w:eastAsia="Times New Roman" w:hint="default"/>
                <w:sz w:val="18"/>
                <w:szCs w:val="18"/>
              </w:rPr>
              <w:t>4</w:t>
            </w:r>
            <w:r>
              <w:rPr>
                <w:rFonts w:ascii="宋体" w:hAnsi="宋体" w:cs="宋体" w:eastAsia="宋体" w:hint="default"/>
                <w:sz w:val="18"/>
                <w:szCs w:val="18"/>
              </w:rPr>
              <w:t>）审计委员会 和审计部门对公司的对外财务报告和财务 报告内部控制监督无效。</w:t>
            </w:r>
          </w:p>
        </w:tc>
        <w:tc>
          <w:tcPr>
            <w:tcW w:w="3051" w:type="dxa"/>
            <w:vMerge w:val="restart"/>
            <w:tcBorders>
              <w:top w:val="single" w:sz="4" w:space="0" w:color="000000"/>
              <w:left w:val="single" w:sz="4" w:space="0" w:color="000000"/>
              <w:right w:val="single" w:sz="4" w:space="0" w:color="000000"/>
            </w:tcBorders>
            <w:shd w:val="clear" w:color="auto" w:fill="C6ECCC"/>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非财务报告缺陷认定主要以缺陷对业 </w:t>
            </w:r>
            <w:r>
              <w:rPr>
                <w:rFonts w:ascii="宋体" w:hAnsi="宋体" w:cs="宋体" w:eastAsia="宋体" w:hint="default"/>
                <w:spacing w:val="-4"/>
                <w:sz w:val="18"/>
                <w:szCs w:val="18"/>
              </w:rPr>
              <w:t>务流程有效性的影响程度、发生的可能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性作判定。 如果缺陷发生的可能性较 </w:t>
            </w:r>
            <w:r>
              <w:rPr>
                <w:rFonts w:ascii="宋体" w:hAnsi="宋体" w:cs="宋体" w:eastAsia="宋体" w:hint="default"/>
                <w:spacing w:val="-4"/>
                <w:sz w:val="18"/>
                <w:szCs w:val="18"/>
              </w:rPr>
              <w:t>小，会降低工作效率或效果、或加大效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果的不确定性、或使之偏离预期目标为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一般缺陷； 如果缺陷发生的可能性较 </w:t>
            </w:r>
            <w:r>
              <w:rPr>
                <w:rFonts w:ascii="宋体" w:hAnsi="宋体" w:cs="宋体" w:eastAsia="宋体" w:hint="default"/>
                <w:spacing w:val="-4"/>
                <w:sz w:val="18"/>
                <w:szCs w:val="18"/>
              </w:rPr>
              <w:t>高，会显著降低工作效率或效果、或显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著加大效果的不确定性、或使之显著偏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离预期目标为重要缺陷；如果缺陷发生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的可能性高，会严重降低工作效率或效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果、或严重加大效果的不确定性、或使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之严重偏离预期目标为重大缺陷。</w:t>
            </w:r>
          </w:p>
        </w:tc>
      </w:tr>
      <w:tr>
        <w:trPr>
          <w:trHeight w:val="392"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9" w:type="dxa"/>
            <w:vMerge/>
            <w:tcBorders>
              <w:left w:val="single" w:sz="9" w:space="0" w:color="D2D2D2"/>
              <w:right w:val="single" w:sz="4" w:space="0" w:color="000000"/>
            </w:tcBorders>
            <w:shd w:val="clear" w:color="auto" w:fill="C6ECCC"/>
          </w:tcPr>
          <w:p>
            <w:pPr/>
          </w:p>
        </w:tc>
        <w:tc>
          <w:tcPr>
            <w:tcW w:w="3051" w:type="dxa"/>
            <w:vMerge/>
            <w:tcBorders>
              <w:left w:val="single" w:sz="4" w:space="0" w:color="000000"/>
              <w:right w:val="single" w:sz="4" w:space="0" w:color="000000"/>
            </w:tcBorders>
            <w:shd w:val="clear" w:color="auto" w:fill="C6ECCC"/>
          </w:tcPr>
          <w:p>
            <w:pPr/>
          </w:p>
        </w:tc>
      </w:tr>
      <w:tr>
        <w:trPr>
          <w:trHeight w:val="1721"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4" w:space="0" w:color="000000"/>
            </w:tcBorders>
            <w:shd w:val="clear" w:color="auto" w:fill="C6ECCC"/>
          </w:tcPr>
          <w:p>
            <w:pPr/>
          </w:p>
        </w:tc>
        <w:tc>
          <w:tcPr>
            <w:tcW w:w="3051" w:type="dxa"/>
            <w:vMerge/>
            <w:tcBorders>
              <w:left w:val="single" w:sz="4" w:space="0" w:color="000000"/>
              <w:bottom w:val="single" w:sz="4" w:space="0" w:color="000000"/>
              <w:right w:val="single" w:sz="4" w:space="0" w:color="000000"/>
            </w:tcBorders>
            <w:shd w:val="clear" w:color="auto" w:fill="C6ECCC"/>
          </w:tcPr>
          <w:p>
            <w:pPr/>
          </w:p>
        </w:tc>
      </w:tr>
      <w:tr>
        <w:trPr>
          <w:trHeight w:val="1877"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9" w:lineRule="auto"/>
              <w:ind w:left="22" w:right="19"/>
              <w:jc w:val="left"/>
              <w:rPr>
                <w:rFonts w:ascii="宋体" w:hAnsi="宋体" w:cs="宋体" w:eastAsia="宋体" w:hint="default"/>
                <w:sz w:val="18"/>
                <w:szCs w:val="18"/>
              </w:rPr>
            </w:pPr>
            <w:r>
              <w:rPr>
                <w:rFonts w:ascii="宋体" w:hAnsi="宋体" w:cs="宋体" w:eastAsia="宋体" w:hint="default"/>
                <w:sz w:val="18"/>
                <w:szCs w:val="18"/>
              </w:rPr>
              <w:t>定量标准以营业收入、资产总额作为衡量 指标。如果该缺陷单独或连同其他缺陷可 能导致或导致的财务报告错报金额小于营 业收入的</w:t>
            </w:r>
            <w:r>
              <w:rPr>
                <w:rFonts w:ascii="宋体" w:hAnsi="宋体" w:cs="宋体" w:eastAsia="宋体" w:hint="default"/>
                <w:spacing w:val="-38"/>
                <w:sz w:val="18"/>
                <w:szCs w:val="18"/>
              </w:rPr>
              <w:t> </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，则认定为一般缺陷；如果超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过营业收入的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但小于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，则为重要缺 </w:t>
            </w:r>
            <w:r>
              <w:rPr>
                <w:rFonts w:ascii="宋体" w:hAnsi="宋体" w:cs="宋体" w:eastAsia="宋体" w:hint="default"/>
                <w:spacing w:val="-4"/>
                <w:sz w:val="18"/>
                <w:szCs w:val="18"/>
              </w:rPr>
              <w:t>陷；如果超过营业收入的</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，则认定为重</w:t>
            </w:r>
            <w:r>
              <w:rPr>
                <w:rFonts w:ascii="宋体" w:hAnsi="宋体" w:cs="宋体" w:eastAsia="宋体" w:hint="default"/>
                <w:sz w:val="18"/>
                <w:szCs w:val="18"/>
              </w:rPr>
              <w:t> 大缺陷。</w:t>
            </w:r>
            <w:r>
              <w:rPr>
                <w:rFonts w:ascii="宋体" w:hAnsi="宋体" w:cs="宋体" w:eastAsia="宋体" w:hint="default"/>
                <w:spacing w:val="-64"/>
                <w:sz w:val="18"/>
                <w:szCs w:val="18"/>
              </w:rPr>
              <w:t> </w:t>
            </w:r>
            <w:r>
              <w:rPr>
                <w:rFonts w:ascii="宋体" w:hAnsi="宋体" w:cs="宋体" w:eastAsia="宋体" w:hint="default"/>
                <w:sz w:val="18"/>
                <w:szCs w:val="18"/>
              </w:rPr>
              <w:t>如果该缺陷单独或连同其他缺陷</w:t>
            </w:r>
            <w:r>
              <w:rPr>
                <w:rFonts w:ascii="宋体" w:hAnsi="宋体" w:cs="宋体" w:eastAsia="宋体" w:hint="default"/>
                <w:sz w:val="18"/>
                <w:szCs w:val="18"/>
              </w:rPr>
              <w:t> 可能导致的财务报告错报金额小于资产总 额的</w:t>
            </w:r>
            <w:r>
              <w:rPr>
                <w:rFonts w:ascii="宋体" w:hAnsi="宋体" w:cs="宋体" w:eastAsia="宋体" w:hint="default"/>
                <w:spacing w:val="-43"/>
                <w:sz w:val="18"/>
                <w:szCs w:val="18"/>
              </w:rPr>
              <w:t> </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，则认定为一般缺陷；如果超过资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但小于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认定为重要缺陷； 如果超过资产总额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，则认定为重大缺 陷。</w:t>
            </w:r>
          </w:p>
        </w:tc>
        <w:tc>
          <w:tcPr>
            <w:tcW w:w="3051" w:type="dxa"/>
            <w:vMerge w:val="restart"/>
            <w:tcBorders>
              <w:top w:val="single" w:sz="4" w:space="0" w:color="000000"/>
              <w:left w:val="single" w:sz="4" w:space="0" w:color="000000"/>
              <w:right w:val="single" w:sz="4" w:space="0" w:color="000000"/>
            </w:tcBorders>
            <w:shd w:val="clear" w:color="auto" w:fill="C6ECCC"/>
          </w:tcPr>
          <w:p>
            <w:pPr>
              <w:pStyle w:val="TableParagraph"/>
              <w:spacing w:line="307" w:lineRule="auto" w:before="51"/>
              <w:ind w:left="22" w:right="20"/>
              <w:jc w:val="left"/>
              <w:rPr>
                <w:rFonts w:ascii="宋体" w:hAnsi="宋体" w:cs="宋体" w:eastAsia="宋体" w:hint="default"/>
                <w:sz w:val="18"/>
                <w:szCs w:val="18"/>
              </w:rPr>
            </w:pPr>
            <w:r>
              <w:rPr>
                <w:rFonts w:ascii="宋体" w:hAnsi="宋体" w:cs="宋体" w:eastAsia="宋体" w:hint="default"/>
                <w:spacing w:val="-4"/>
                <w:sz w:val="18"/>
                <w:szCs w:val="18"/>
              </w:rPr>
              <w:t>定量标准以营业收入、资产总额作为衡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量指标。如果该缺陷单独或连同其他缺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陷可能导致或导致的财务报告错报金 额小于营业收入的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，则认定为一般 缺陷；如果超过营业收入的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但小于 </w:t>
            </w:r>
            <w:r>
              <w:rPr>
                <w:rFonts w:ascii="Times New Roman" w:hAnsi="Times New Roman" w:cs="Times New Roman" w:eastAsia="Times New Roman" w:hint="default"/>
                <w:sz w:val="18"/>
                <w:szCs w:val="18"/>
              </w:rPr>
              <w:t>2%</w:t>
            </w:r>
            <w:r>
              <w:rPr>
                <w:rFonts w:ascii="宋体" w:hAnsi="宋体" w:cs="宋体" w:eastAsia="宋体" w:hint="default"/>
                <w:sz w:val="18"/>
                <w:szCs w:val="18"/>
              </w:rPr>
              <w:t>，则为重要缺陷；如果超过营业收 入的</w:t>
            </w:r>
            <w:r>
              <w:rPr>
                <w:rFonts w:ascii="宋体" w:hAnsi="宋体" w:cs="宋体" w:eastAsia="宋体" w:hint="default"/>
                <w:spacing w:val="-43"/>
                <w:sz w:val="18"/>
                <w:szCs w:val="18"/>
              </w:rPr>
              <w:t> </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，则认定为重大缺陷。</w:t>
            </w:r>
            <w:r>
              <w:rPr>
                <w:rFonts w:ascii="宋体" w:hAnsi="宋体" w:cs="宋体" w:eastAsia="宋体" w:hint="default"/>
                <w:spacing w:val="-37"/>
                <w:sz w:val="18"/>
                <w:szCs w:val="18"/>
              </w:rPr>
              <w:t> </w:t>
            </w:r>
            <w:r>
              <w:rPr>
                <w:rFonts w:ascii="宋体" w:hAnsi="宋体" w:cs="宋体" w:eastAsia="宋体" w:hint="default"/>
                <w:sz w:val="18"/>
                <w:szCs w:val="18"/>
              </w:rPr>
              <w:t>如果该</w:t>
            </w:r>
            <w:r>
              <w:rPr>
                <w:rFonts w:ascii="宋体" w:hAnsi="宋体" w:cs="宋体" w:eastAsia="宋体" w:hint="default"/>
                <w:sz w:val="18"/>
                <w:szCs w:val="18"/>
              </w:rPr>
              <w:t> 缺陷单独或连同其他缺陷可能导致的 财务报告错报金额小于资产总额的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，则认定为一般缺陷；如果超过资 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但小于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认定为重要缺 陷；如果超过资产总额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，则认定为 重大缺陷。</w:t>
            </w:r>
          </w:p>
        </w:tc>
      </w:tr>
      <w:tr>
        <w:trPr>
          <w:trHeight w:val="393"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9" w:type="dxa"/>
            <w:vMerge/>
            <w:tcBorders>
              <w:left w:val="single" w:sz="9" w:space="0" w:color="D2D2D2"/>
              <w:right w:val="single" w:sz="4" w:space="0" w:color="000000"/>
            </w:tcBorders>
            <w:shd w:val="clear" w:color="auto" w:fill="C6ECCC"/>
          </w:tcPr>
          <w:p>
            <w:pPr/>
          </w:p>
        </w:tc>
        <w:tc>
          <w:tcPr>
            <w:tcW w:w="3051" w:type="dxa"/>
            <w:vMerge/>
            <w:tcBorders>
              <w:left w:val="single" w:sz="4" w:space="0" w:color="000000"/>
              <w:right w:val="single" w:sz="4" w:space="0" w:color="000000"/>
            </w:tcBorders>
            <w:shd w:val="clear" w:color="auto" w:fill="C6ECCC"/>
          </w:tcPr>
          <w:p>
            <w:pPr/>
          </w:p>
        </w:tc>
      </w:tr>
      <w:tr>
        <w:trPr>
          <w:trHeight w:val="1877"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4" w:space="0" w:color="000000"/>
            </w:tcBorders>
            <w:shd w:val="clear" w:color="auto" w:fill="C6ECCC"/>
          </w:tcPr>
          <w:p>
            <w:pPr/>
          </w:p>
        </w:tc>
        <w:tc>
          <w:tcPr>
            <w:tcW w:w="3051" w:type="dxa"/>
            <w:vMerge/>
            <w:tcBorders>
              <w:left w:val="single" w:sz="4" w:space="0" w:color="000000"/>
              <w:bottom w:val="single" w:sz="4" w:space="0" w:color="000000"/>
              <w:right w:val="single" w:sz="4" w:space="0" w:color="000000"/>
            </w:tcBorders>
            <w:shd w:val="clear" w:color="auto" w:fill="C6ECCC"/>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十、内部控制审计报告或鉴证报告" w:id="143"/>
      <w:bookmarkEnd w:id="143"/>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内部控制鉴证报告</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662"/>
        <w:gridCol w:w="6907"/>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0"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高伟达公司按照《企业内部控制基本规范》及相关规定于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日在所有重大方面保持了与财务报表相关的有 效的内部控制。</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bl>
    <w:p>
      <w:pPr>
        <w:spacing w:after="0" w:line="240" w:lineRule="auto"/>
        <w:jc w:val="left"/>
        <w:rPr>
          <w:rFonts w:ascii="宋体" w:hAnsi="宋体" w:cs="宋体" w:eastAsia="宋体" w:hint="default"/>
          <w:sz w:val="18"/>
          <w:szCs w:val="18"/>
        </w:rPr>
        <w:sectPr>
          <w:pgSz w:w="11910" w:h="16840"/>
          <w:pgMar w:header="877" w:footer="1187" w:top="1060" w:bottom="138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4"/>
                <w:sz w:val="18"/>
                <w:szCs w:val="18"/>
              </w:rPr>
              <w:t> </w:t>
            </w:r>
            <w:hyperlink r:id="rId11">
              <w:r>
                <w:rPr>
                  <w:rFonts w:ascii="Times New Roman" w:hAnsi="Times New Roman" w:cs="Times New Roman" w:eastAsia="Times New Roman" w:hint="default"/>
                  <w:sz w:val="18"/>
                  <w:szCs w:val="18"/>
                </w:rPr>
                <w:t>http://www.cninfo.com.cn</w:t>
              </w:r>
            </w:hyperlink>
          </w:p>
        </w:tc>
      </w:tr>
      <w:tr>
        <w:trPr>
          <w:trHeight w:val="402" w:hRule="exact"/>
        </w:trPr>
        <w:tc>
          <w:tcPr>
            <w:tcW w:w="2662"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134" w:right="0"/>
        <w:jc w:val="left"/>
      </w:pPr>
      <w:r>
        <w:rPr/>
        <w:t>会计师事务所是否出具非标准意见的内部控制鉴证报告</w:t>
      </w:r>
    </w:p>
    <w:p>
      <w:pPr>
        <w:pStyle w:val="BodyText"/>
        <w:spacing w:line="338" w:lineRule="auto" w:before="117"/>
        <w:ind w:right="46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会计师事务所出具的内部控制鉴证报告与董事会的自我评价报告意见是否一致</w:t>
      </w:r>
    </w:p>
    <w:p>
      <w:pPr>
        <w:pStyle w:val="BodyText"/>
        <w:spacing w:line="240" w:lineRule="auto" w:before="4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877" w:footer="1187" w:top="1060" w:bottom="138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114"/>
        <w:jc w:val="center"/>
        <w:rPr>
          <w:b w:val="0"/>
          <w:bCs w:val="0"/>
        </w:rPr>
      </w:pPr>
      <w:bookmarkStart w:name="第十节 财务报告" w:id="144"/>
      <w:bookmarkEnd w:id="144"/>
      <w:r>
        <w:rPr>
          <w:b w:val="0"/>
          <w:bCs w:val="0"/>
        </w:rPr>
      </w:r>
      <w:bookmarkStart w:name="_bookmark8" w:id="145"/>
      <w:bookmarkEnd w:id="145"/>
      <w:r>
        <w:rPr>
          <w:b w:val="0"/>
          <w:bCs w:val="0"/>
        </w:rPr>
      </w:r>
      <w:r>
        <w:rPr/>
        <w:t>第十节</w:t>
      </w:r>
      <w:r>
        <w:rPr>
          <w:spacing w:val="-5"/>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46"/>
      <w:bookmarkEnd w:id="146"/>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XYZH/2016BJA80148</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张克东、成岚</w:t>
            </w:r>
          </w:p>
        </w:tc>
      </w:tr>
    </w:tbl>
    <w:p>
      <w:pPr>
        <w:pStyle w:val="Heading6"/>
        <w:spacing w:line="240" w:lineRule="auto"/>
        <w:ind w:left="1114" w:right="1113"/>
        <w:jc w:val="center"/>
        <w:rPr>
          <w:b w:val="0"/>
          <w:bCs w:val="0"/>
        </w:rPr>
      </w:pPr>
      <w:r>
        <w:rPr>
          <w:spacing w:val="30"/>
        </w:rPr>
        <w:t>审计报告</w:t>
      </w:r>
      <w:r>
        <w:rPr>
          <w:spacing w:val="-50"/>
        </w:rPr>
        <w:t> </w:t>
      </w:r>
      <w:r>
        <w:rPr>
          <w:b w:val="0"/>
          <w:bCs w:val="0"/>
        </w:rPr>
      </w:r>
    </w:p>
    <w:p>
      <w:pPr>
        <w:spacing w:line="240" w:lineRule="auto" w:before="7"/>
        <w:rPr>
          <w:rFonts w:ascii="宋体" w:hAnsi="宋体" w:cs="宋体" w:eastAsia="宋体" w:hint="default"/>
          <w:b/>
          <w:bCs/>
          <w:sz w:val="10"/>
          <w:szCs w:val="10"/>
        </w:rPr>
      </w:pPr>
    </w:p>
    <w:p>
      <w:pPr>
        <w:pStyle w:val="BodyText"/>
        <w:spacing w:line="240" w:lineRule="auto" w:before="44"/>
        <w:ind w:left="0" w:right="1130"/>
        <w:jc w:val="right"/>
        <w:rPr>
          <w:rFonts w:ascii="宋体" w:hAnsi="宋体" w:cs="宋体" w:eastAsia="宋体" w:hint="default"/>
        </w:rPr>
      </w:pPr>
      <w:bookmarkStart w:name="XYZH/2016BJA80148" w:id="147"/>
      <w:bookmarkEnd w:id="147"/>
      <w:r>
        <w:rPr/>
      </w:r>
      <w:r>
        <w:rPr>
          <w:rFonts w:ascii="宋体"/>
          <w:spacing w:val="-1"/>
        </w:rPr>
        <w:t>XYZH/2016BJA80148</w:t>
      </w:r>
    </w:p>
    <w:p>
      <w:pPr>
        <w:pStyle w:val="Heading6"/>
        <w:spacing w:line="240" w:lineRule="auto" w:before="57"/>
        <w:ind w:right="0"/>
        <w:jc w:val="left"/>
        <w:rPr>
          <w:b w:val="0"/>
          <w:bCs w:val="0"/>
        </w:rPr>
      </w:pPr>
      <w:r>
        <w:rPr/>
        <w:t>高伟达软件股份有限公司董事会：</w:t>
      </w:r>
      <w:r>
        <w:rPr>
          <w:b w:val="0"/>
          <w:bCs w:val="0"/>
        </w:rPr>
      </w:r>
    </w:p>
    <w:p>
      <w:pPr>
        <w:pStyle w:val="BodyText"/>
        <w:spacing w:line="297" w:lineRule="auto" w:before="95"/>
        <w:ind w:right="1131" w:firstLine="360"/>
        <w:jc w:val="both"/>
      </w:pPr>
      <w:r>
        <w:rPr/>
        <w:t>我们审计了后附的高伟达软件股份有限公司（以下简称高伟达公司）财务报表，包括</w:t>
      </w:r>
      <w:r>
        <w:rPr>
          <w:spacing w:val="-43"/>
        </w:rPr>
        <w:t> </w:t>
      </w:r>
      <w:r>
        <w:rPr>
          <w:rFonts w:ascii="宋体" w:hAnsi="宋体" w:cs="宋体" w:eastAsia="宋体" w:hint="default"/>
        </w:rPr>
        <w:t>2015</w:t>
      </w:r>
      <w:r>
        <w:rPr>
          <w:rFonts w:ascii="宋体" w:hAnsi="宋体" w:cs="宋体" w:eastAsia="宋体" w:hint="default"/>
          <w:spacing w:val="-45"/>
        </w:rPr>
        <w:t> </w:t>
      </w:r>
      <w:r>
        <w:rPr/>
        <w:t>年</w:t>
      </w:r>
      <w:r>
        <w:rPr>
          <w:spacing w:val="-45"/>
        </w:rPr>
        <w:t> </w:t>
      </w:r>
      <w:r>
        <w:rPr>
          <w:rFonts w:ascii="宋体" w:hAnsi="宋体" w:cs="宋体" w:eastAsia="宋体" w:hint="default"/>
        </w:rPr>
        <w:t>12</w:t>
      </w:r>
      <w:r>
        <w:rPr>
          <w:rFonts w:ascii="宋体" w:hAnsi="宋体" w:cs="宋体" w:eastAsia="宋体" w:hint="default"/>
          <w:spacing w:val="-46"/>
        </w:rPr>
        <w:t> </w:t>
      </w:r>
      <w:r>
        <w:rPr/>
        <w:t>月</w:t>
      </w:r>
      <w:r>
        <w:rPr>
          <w:spacing w:val="-45"/>
        </w:rPr>
        <w:t> </w:t>
      </w:r>
      <w:r>
        <w:rPr>
          <w:rFonts w:ascii="宋体" w:hAnsi="宋体" w:cs="宋体" w:eastAsia="宋体" w:hint="default"/>
        </w:rPr>
        <w:t>31</w:t>
      </w:r>
      <w:r>
        <w:rPr>
          <w:rFonts w:ascii="宋体" w:hAnsi="宋体" w:cs="宋体" w:eastAsia="宋体" w:hint="default"/>
          <w:spacing w:val="-45"/>
        </w:rPr>
        <w:t> </w:t>
      </w:r>
      <w:r>
        <w:rPr/>
        <w:t>日的合并及母公 司资产负债表，</w:t>
      </w:r>
      <w:r>
        <w:rPr>
          <w:rFonts w:ascii="宋体" w:hAnsi="宋体" w:cs="宋体" w:eastAsia="宋体" w:hint="default"/>
        </w:rPr>
        <w:t>2015</w:t>
      </w:r>
      <w:r>
        <w:rPr>
          <w:rFonts w:ascii="宋体" w:hAnsi="宋体" w:cs="宋体" w:eastAsia="宋体" w:hint="default"/>
          <w:spacing w:val="7"/>
        </w:rPr>
        <w:t> </w:t>
      </w:r>
      <w:r>
        <w:rPr/>
        <w:t>年度的合并及母公司利润表、合并及母公司现金流量表、合并及母公司股东（所有者）权益变动表以 及财务报表附注。</w:t>
      </w:r>
    </w:p>
    <w:p>
      <w:pPr>
        <w:spacing w:line="338" w:lineRule="auto" w:before="53"/>
        <w:ind w:left="1493" w:right="0" w:firstLine="1"/>
        <w:jc w:val="left"/>
        <w:rPr>
          <w:rFonts w:ascii="宋体" w:hAnsi="宋体" w:cs="宋体" w:eastAsia="宋体" w:hint="default"/>
          <w:sz w:val="18"/>
          <w:szCs w:val="18"/>
        </w:rPr>
      </w:pPr>
      <w:r>
        <w:rPr>
          <w:rFonts w:ascii="宋体" w:hAnsi="宋体" w:cs="宋体" w:eastAsia="宋体" w:hint="default"/>
          <w:b/>
          <w:bCs/>
          <w:sz w:val="18"/>
          <w:szCs w:val="18"/>
        </w:rPr>
        <w:t>一、管理层对财务报表的责任</w:t>
      </w:r>
      <w:r>
        <w:rPr>
          <w:rFonts w:ascii="宋体" w:hAnsi="宋体" w:cs="宋体" w:eastAsia="宋体" w:hint="default"/>
          <w:b/>
          <w:bCs/>
          <w:w w:val="99"/>
          <w:sz w:val="18"/>
          <w:szCs w:val="18"/>
        </w:rPr>
        <w:t> </w:t>
      </w:r>
      <w:r>
        <w:rPr>
          <w:rFonts w:ascii="宋体" w:hAnsi="宋体" w:cs="宋体" w:eastAsia="宋体" w:hint="default"/>
          <w:spacing w:val="-4"/>
          <w:sz w:val="18"/>
          <w:szCs w:val="18"/>
        </w:rPr>
        <w:t>编制和公允列报财务报表是高伟达公司管理层的责任，这种责任包括：（</w:t>
      </w:r>
      <w:r>
        <w:rPr>
          <w:rFonts w:ascii="宋体" w:hAnsi="宋体" w:cs="宋体" w:eastAsia="宋体" w:hint="default"/>
          <w:spacing w:val="-4"/>
          <w:sz w:val="18"/>
          <w:szCs w:val="18"/>
        </w:rPr>
        <w:t>1</w:t>
      </w:r>
      <w:r>
        <w:rPr>
          <w:rFonts w:ascii="宋体" w:hAnsi="宋体" w:cs="宋体" w:eastAsia="宋体" w:hint="default"/>
          <w:spacing w:val="-4"/>
          <w:sz w:val="18"/>
          <w:szCs w:val="18"/>
        </w:rPr>
        <w:t>）按照企业会计准则的规定编制财务报表，并</w:t>
      </w:r>
    </w:p>
    <w:p>
      <w:pPr>
        <w:pStyle w:val="BodyText"/>
        <w:spacing w:line="219" w:lineRule="exact"/>
        <w:ind w:right="0"/>
        <w:jc w:val="left"/>
      </w:pPr>
      <w:r>
        <w:rPr/>
        <w:t>使其实现公允反映</w:t>
      </w:r>
      <w:r>
        <w:rPr>
          <w:spacing w:val="-90"/>
        </w:rPr>
        <w:t>；</w:t>
      </w:r>
      <w:r>
        <w:rPr/>
        <w:t>（</w:t>
      </w:r>
      <w:r>
        <w:rPr>
          <w:rFonts w:ascii="宋体" w:hAnsi="宋体" w:cs="宋体" w:eastAsia="宋体" w:hint="default"/>
        </w:rPr>
        <w:t>2</w:t>
      </w:r>
      <w:r>
        <w:rPr/>
        <w:t>）设计、执行和维护必要的内部控制，以使财务报表不存在由于舞弊或错误导致的重大错报。</w:t>
      </w:r>
    </w:p>
    <w:p>
      <w:pPr>
        <w:pStyle w:val="BodyText"/>
        <w:spacing w:line="338" w:lineRule="auto" w:before="96"/>
        <w:ind w:left="1493" w:right="0" w:firstLine="1"/>
        <w:jc w:val="left"/>
      </w:pPr>
      <w:r>
        <w:rPr>
          <w:rFonts w:ascii="宋体" w:hAnsi="宋体" w:cs="宋体" w:eastAsia="宋体" w:hint="default"/>
          <w:b/>
          <w:bCs/>
        </w:rPr>
        <w:t>二、注册会计师的责任</w:t>
      </w:r>
      <w:r>
        <w:rPr>
          <w:rFonts w:ascii="宋体" w:hAnsi="宋体" w:cs="宋体" w:eastAsia="宋体" w:hint="default"/>
          <w:b/>
          <w:bCs/>
          <w:w w:val="99"/>
        </w:rPr>
        <w:t> </w:t>
      </w:r>
      <w:r>
        <w:rPr>
          <w:spacing w:val="-2"/>
        </w:rPr>
        <w:t>我们的责任是在执行审计工作的基础上对财务报表发表审计意见。我们按照中国注册会计师审计准则的规定执行了审计</w:t>
      </w:r>
    </w:p>
    <w:p>
      <w:pPr>
        <w:pStyle w:val="BodyText"/>
        <w:spacing w:line="218" w:lineRule="exact"/>
        <w:ind w:right="0"/>
        <w:jc w:val="left"/>
      </w:pPr>
      <w:r>
        <w:rPr/>
        <w:t>工作。中国注册会计师审计准则要求我们遵守职业道德守则，计划和执行审计工作以对财务报表是否不存在重大错报获取合</w:t>
      </w:r>
    </w:p>
    <w:p>
      <w:pPr>
        <w:pStyle w:val="BodyText"/>
        <w:spacing w:line="240" w:lineRule="auto" w:before="56"/>
        <w:ind w:right="0"/>
        <w:jc w:val="left"/>
      </w:pPr>
      <w:r>
        <w:rPr/>
        <w:t>理保证。</w:t>
      </w:r>
    </w:p>
    <w:p>
      <w:pPr>
        <w:pStyle w:val="BodyText"/>
        <w:spacing w:line="297" w:lineRule="auto" w:before="95"/>
        <w:ind w:left="1134" w:right="1032" w:firstLine="360"/>
        <w:jc w:val="left"/>
      </w:pPr>
      <w:r>
        <w:rPr/>
        <w:t>审计工作涉及实施审计程序，以获取有关财务报表金额和披露的审计证据。选择的审计程序取决于注册会计师的判断， </w:t>
      </w:r>
      <w:r>
        <w:rPr>
          <w:spacing w:val="-2"/>
        </w:rPr>
        <w:t>包括对由于舞弊或错误导致的财务报表重大错报风险的评估。在进行风险评估时，注册会计师考虑与财务报表编制和公允列</w:t>
      </w:r>
      <w:r>
        <w:rPr>
          <w:spacing w:val="-64"/>
        </w:rPr>
        <w:t> </w:t>
      </w:r>
      <w:r>
        <w:rPr>
          <w:spacing w:val="-64"/>
        </w:rPr>
      </w:r>
      <w:r>
        <w:rPr/>
        <w:t>报相关的内部控制，以设计恰当的审计程序。审计工作还包括评价管理层选用会计政策的恰当性和作出会计估计的合理性， 以及评价财务报表的总体列报。</w:t>
      </w:r>
    </w:p>
    <w:p>
      <w:pPr>
        <w:pStyle w:val="BodyText"/>
        <w:spacing w:line="338" w:lineRule="auto" w:before="52"/>
        <w:ind w:left="1495" w:right="4093" w:hanging="2"/>
        <w:jc w:val="left"/>
        <w:rPr>
          <w:rFonts w:ascii="宋体" w:hAnsi="宋体" w:cs="宋体" w:eastAsia="宋体" w:hint="default"/>
        </w:rPr>
      </w:pPr>
      <w:r>
        <w:rPr/>
        <w:t>我们相信，我们获取的审计证据是充分、适当的，为发表审计意见提供了基础。 </w:t>
      </w:r>
      <w:r>
        <w:rPr>
          <w:rFonts w:ascii="宋体" w:hAnsi="宋体" w:cs="宋体" w:eastAsia="宋体" w:hint="default"/>
          <w:b/>
          <w:bCs/>
        </w:rPr>
        <w:t>三、</w:t>
      </w:r>
      <w:r>
        <w:rPr>
          <w:rFonts w:ascii="宋体" w:hAnsi="宋体" w:cs="宋体" w:eastAsia="宋体" w:hint="default"/>
          <w:b/>
          <w:bCs/>
          <w:spacing w:val="55"/>
        </w:rPr>
        <w:t> </w:t>
      </w:r>
      <w:r>
        <w:rPr>
          <w:rFonts w:ascii="宋体" w:hAnsi="宋体" w:cs="宋体" w:eastAsia="宋体" w:hint="default"/>
          <w:b/>
          <w:bCs/>
        </w:rPr>
        <w:t>审计意见</w:t>
      </w:r>
      <w:r>
        <w:rPr>
          <w:rFonts w:ascii="宋体" w:hAnsi="宋体" w:cs="宋体" w:eastAsia="宋体" w:hint="default"/>
        </w:rPr>
      </w:r>
    </w:p>
    <w:p>
      <w:pPr>
        <w:pStyle w:val="BodyText"/>
        <w:spacing w:line="240" w:lineRule="auto" w:before="22"/>
        <w:ind w:left="1494" w:right="0"/>
        <w:jc w:val="left"/>
      </w:pPr>
      <w:r>
        <w:rPr/>
        <w:t>我们认为，高伟达公司报表在所有重大方面按照企业会计准则的规定编制，公允反映了高伟达公司</w:t>
      </w:r>
      <w:r>
        <w:rPr>
          <w:spacing w:val="-43"/>
        </w:rPr>
        <w:t> </w:t>
      </w:r>
      <w:r>
        <w:rPr>
          <w:rFonts w:ascii="宋体" w:hAnsi="宋体" w:cs="宋体" w:eastAsia="宋体" w:hint="default"/>
        </w:rPr>
        <w:t>2015</w:t>
      </w:r>
      <w:r>
        <w:rPr>
          <w:rFonts w:ascii="宋体" w:hAnsi="宋体" w:cs="宋体" w:eastAsia="宋体" w:hint="default"/>
          <w:spacing w:val="-45"/>
        </w:rPr>
        <w:t> </w:t>
      </w:r>
      <w:r>
        <w:rPr/>
        <w:t>年</w:t>
      </w:r>
      <w:r>
        <w:rPr>
          <w:spacing w:val="-45"/>
        </w:rPr>
        <w:t> </w:t>
      </w:r>
      <w:r>
        <w:rPr>
          <w:rFonts w:ascii="宋体" w:hAnsi="宋体" w:cs="宋体" w:eastAsia="宋体" w:hint="default"/>
        </w:rPr>
        <w:t>12</w:t>
      </w:r>
      <w:r>
        <w:rPr>
          <w:rFonts w:ascii="宋体" w:hAnsi="宋体" w:cs="宋体" w:eastAsia="宋体" w:hint="default"/>
          <w:spacing w:val="-46"/>
        </w:rPr>
        <w:t> </w:t>
      </w:r>
      <w:r>
        <w:rPr/>
        <w:t>月</w:t>
      </w:r>
      <w:r>
        <w:rPr>
          <w:spacing w:val="-45"/>
        </w:rPr>
        <w:t> </w:t>
      </w:r>
      <w:r>
        <w:rPr>
          <w:rFonts w:ascii="宋体" w:hAnsi="宋体" w:cs="宋体" w:eastAsia="宋体" w:hint="default"/>
        </w:rPr>
        <w:t>31</w:t>
      </w:r>
      <w:r>
        <w:rPr>
          <w:rFonts w:ascii="宋体" w:hAnsi="宋体" w:cs="宋体" w:eastAsia="宋体" w:hint="default"/>
          <w:spacing w:val="-45"/>
        </w:rPr>
        <w:t> </w:t>
      </w:r>
      <w:r>
        <w:rPr/>
        <w:t>日</w:t>
      </w:r>
    </w:p>
    <w:p>
      <w:pPr>
        <w:pStyle w:val="BodyText"/>
        <w:spacing w:line="240" w:lineRule="auto" w:before="57"/>
        <w:ind w:right="0"/>
        <w:jc w:val="left"/>
      </w:pPr>
      <w:r>
        <w:rPr/>
        <w:t>的合并及母公司财务状况以及</w:t>
      </w:r>
      <w:r>
        <w:rPr>
          <w:spacing w:val="-46"/>
        </w:rPr>
        <w:t> </w:t>
      </w:r>
      <w:r>
        <w:rPr>
          <w:rFonts w:ascii="宋体" w:hAnsi="宋体" w:cs="宋体" w:eastAsia="宋体" w:hint="default"/>
        </w:rPr>
        <w:t>2015</w:t>
      </w:r>
      <w:r>
        <w:rPr>
          <w:rFonts w:ascii="宋体" w:hAnsi="宋体" w:cs="宋体" w:eastAsia="宋体" w:hint="default"/>
          <w:spacing w:val="-46"/>
        </w:rPr>
        <w:t> </w:t>
      </w:r>
      <w:r>
        <w:rPr/>
        <w:t>年度的合并及母公司经营成果和现金流量。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0"/>
          <w:szCs w:val="10"/>
        </w:rPr>
      </w:pPr>
    </w:p>
    <w:tbl>
      <w:tblPr>
        <w:tblW w:w="0" w:type="auto"/>
        <w:jc w:val="left"/>
        <w:tblInd w:w="934" w:type="dxa"/>
        <w:tblLayout w:type="fixed"/>
        <w:tblCellMar>
          <w:top w:w="0" w:type="dxa"/>
          <w:left w:w="0" w:type="dxa"/>
          <w:bottom w:w="0" w:type="dxa"/>
          <w:right w:w="0" w:type="dxa"/>
        </w:tblCellMar>
        <w:tblLook w:val="01E0"/>
      </w:tblPr>
      <w:tblGrid>
        <w:gridCol w:w="4686"/>
        <w:gridCol w:w="3426"/>
      </w:tblGrid>
      <w:tr>
        <w:trPr>
          <w:trHeight w:val="442" w:hRule="exact"/>
        </w:trPr>
        <w:tc>
          <w:tcPr>
            <w:tcW w:w="4686" w:type="dxa"/>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c>
          <w:tcPr>
            <w:tcW w:w="3426" w:type="dxa"/>
            <w:tcBorders>
              <w:top w:val="nil" w:sz="6" w:space="0" w:color="auto"/>
              <w:left w:val="nil" w:sz="6" w:space="0" w:color="auto"/>
              <w:bottom w:val="nil" w:sz="6" w:space="0" w:color="auto"/>
              <w:right w:val="nil" w:sz="6" w:space="0" w:color="auto"/>
            </w:tcBorders>
          </w:tcPr>
          <w:p>
            <w:pPr>
              <w:pStyle w:val="TableParagraph"/>
              <w:spacing w:line="180" w:lineRule="exact"/>
              <w:ind w:left="1245" w:right="0"/>
              <w:jc w:val="left"/>
              <w:rPr>
                <w:rFonts w:ascii="宋体" w:hAnsi="宋体" w:cs="宋体" w:eastAsia="宋体" w:hint="default"/>
                <w:sz w:val="18"/>
                <w:szCs w:val="18"/>
              </w:rPr>
            </w:pPr>
            <w:r>
              <w:rPr>
                <w:rFonts w:ascii="宋体" w:hAnsi="宋体" w:cs="宋体" w:eastAsia="宋体" w:hint="default"/>
                <w:sz w:val="18"/>
                <w:szCs w:val="18"/>
              </w:rPr>
              <w:t>中国注册会计师：</w:t>
            </w:r>
          </w:p>
        </w:tc>
      </w:tr>
      <w:tr>
        <w:trPr>
          <w:trHeight w:val="659" w:hRule="exact"/>
        </w:trPr>
        <w:tc>
          <w:tcPr>
            <w:tcW w:w="4686" w:type="dxa"/>
            <w:tcBorders>
              <w:top w:val="nil" w:sz="6" w:space="0" w:color="auto"/>
              <w:left w:val="nil" w:sz="6" w:space="0" w:color="auto"/>
              <w:bottom w:val="nil" w:sz="6" w:space="0" w:color="auto"/>
              <w:right w:val="nil" w:sz="6" w:space="0" w:color="auto"/>
            </w:tcBorders>
          </w:tcPr>
          <w:p>
            <w:pPr/>
          </w:p>
        </w:tc>
        <w:tc>
          <w:tcPr>
            <w:tcW w:w="342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45" w:right="0"/>
              <w:jc w:val="left"/>
              <w:rPr>
                <w:rFonts w:ascii="宋体" w:hAnsi="宋体" w:cs="宋体" w:eastAsia="宋体" w:hint="default"/>
                <w:sz w:val="18"/>
                <w:szCs w:val="18"/>
              </w:rPr>
            </w:pPr>
            <w:r>
              <w:rPr>
                <w:rFonts w:ascii="宋体" w:hAnsi="宋体" w:cs="宋体" w:eastAsia="宋体" w:hint="default"/>
                <w:sz w:val="18"/>
                <w:szCs w:val="18"/>
              </w:rPr>
              <w:t>中国注册会计师：</w:t>
            </w:r>
          </w:p>
        </w:tc>
      </w:tr>
      <w:tr>
        <w:trPr>
          <w:trHeight w:val="397" w:hRule="exact"/>
        </w:trPr>
        <w:tc>
          <w:tcPr>
            <w:tcW w:w="4686" w:type="dxa"/>
            <w:tcBorders>
              <w:top w:val="nil" w:sz="6" w:space="0" w:color="auto"/>
              <w:left w:val="nil" w:sz="6" w:space="0" w:color="auto"/>
              <w:bottom w:val="nil" w:sz="6" w:space="0" w:color="auto"/>
              <w:right w:val="nil" w:sz="6" w:space="0" w:color="auto"/>
            </w:tcBorders>
          </w:tcPr>
          <w:p>
            <w:pPr>
              <w:pStyle w:val="TableParagraph"/>
              <w:spacing w:line="240" w:lineRule="auto" w:before="161"/>
              <w:ind w:left="742"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宋体" w:hAnsi="宋体" w:cs="宋体" w:eastAsia="宋体" w:hint="default"/>
                <w:spacing w:val="-30"/>
                <w:sz w:val="18"/>
                <w:szCs w:val="18"/>
              </w:rPr>
              <w:t> </w:t>
            </w:r>
            <w:r>
              <w:rPr>
                <w:rFonts w:ascii="宋体" w:hAnsi="宋体" w:cs="宋体" w:eastAsia="宋体" w:hint="default"/>
                <w:sz w:val="18"/>
                <w:szCs w:val="18"/>
              </w:rPr>
              <w:t>北京</w:t>
            </w:r>
          </w:p>
        </w:tc>
        <w:tc>
          <w:tcPr>
            <w:tcW w:w="3426" w:type="dxa"/>
            <w:tcBorders>
              <w:top w:val="nil" w:sz="6" w:space="0" w:color="auto"/>
              <w:left w:val="nil" w:sz="6" w:space="0" w:color="auto"/>
              <w:bottom w:val="nil" w:sz="6" w:space="0" w:color="auto"/>
              <w:right w:val="nil" w:sz="6" w:space="0" w:color="auto"/>
            </w:tcBorders>
          </w:tcPr>
          <w:p>
            <w:pPr>
              <w:pStyle w:val="TableParagraph"/>
              <w:spacing w:line="240" w:lineRule="auto" w:before="161"/>
              <w:ind w:left="1245" w:right="0"/>
              <w:jc w:val="left"/>
              <w:rPr>
                <w:rFonts w:ascii="宋体" w:hAnsi="宋体" w:cs="宋体" w:eastAsia="宋体" w:hint="default"/>
                <w:sz w:val="18"/>
                <w:szCs w:val="18"/>
              </w:rPr>
            </w:pPr>
            <w:r>
              <w:rPr>
                <w:rFonts w:ascii="宋体" w:hAnsi="宋体" w:cs="宋体" w:eastAsia="宋体" w:hint="default"/>
                <w:sz w:val="18"/>
                <w:szCs w:val="18"/>
              </w:rPr>
              <w:t>二〇一六年四月二十二日</w:t>
            </w:r>
          </w:p>
        </w:tc>
      </w:tr>
    </w:tbl>
    <w:p>
      <w:pPr>
        <w:spacing w:after="0" w:line="240" w:lineRule="auto"/>
        <w:jc w:val="left"/>
        <w:rPr>
          <w:rFonts w:ascii="宋体" w:hAnsi="宋体" w:cs="宋体" w:eastAsia="宋体" w:hint="default"/>
          <w:sz w:val="18"/>
          <w:szCs w:val="18"/>
        </w:rPr>
        <w:sectPr>
          <w:pgSz w:w="11910" w:h="16840"/>
          <w:pgMar w:header="877" w:footer="1187" w:top="1060" w:bottom="1380" w:left="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二、财务报表" w:id="148"/>
      <w:bookmarkEnd w:id="148"/>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1、合并资产负债表" w:id="149"/>
      <w:bookmarkEnd w:id="149"/>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1187" w:top="1060" w:bottom="1380" w:left="0" w:right="0"/>
        </w:sectPr>
      </w:pPr>
    </w:p>
    <w:p>
      <w:pPr>
        <w:pStyle w:val="BodyText"/>
        <w:spacing w:line="240" w:lineRule="auto" w:before="44"/>
        <w:ind w:right="-19"/>
        <w:jc w:val="left"/>
      </w:pPr>
      <w:r>
        <w:rPr/>
        <w:t>编制单位：高伟达软件股份有限公司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right="-16"/>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单位：元</w:t>
      </w:r>
    </w:p>
    <w:p>
      <w:pPr>
        <w:spacing w:after="0" w:line="240" w:lineRule="auto"/>
        <w:jc w:val="center"/>
        <w:sectPr>
          <w:type w:val="continuous"/>
          <w:pgSz w:w="11910" w:h="16840"/>
          <w:pgMar w:top="1580" w:bottom="840" w:left="0" w:right="0"/>
          <w:cols w:num="3" w:equalWidth="0">
            <w:col w:w="4015" w:space="63"/>
            <w:col w:w="2619" w:space="2223"/>
            <w:col w:w="2990"/>
          </w:cols>
        </w:sectPr>
      </w:pP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411,329,772.48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222,067,711.88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275,433,209.10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263,488,838.42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4,214,827.04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12,785,670.84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5,267,862.49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9,658,797.17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19,618,448.61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69,004,412.90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715,864,119.72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617,005,431.21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80" w:bottom="84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55,806,509.33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54,697,901.52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6,411,890.33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1,953,713.71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14,278,954.58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1,219,731.41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2,328,217.79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3,634,882.41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3,208,165.19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150,851,968.06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62,187,998.21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866,716,087.78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679,193,429.42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146,700,000.00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40,895,634.32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92,595,785.56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28,524,600.09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62,815,244.73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7,469,995.07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2,959,199.64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22,633,739.94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18,365,824.94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7" w:top="1060" w:bottom="138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2,106,008.50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341,846.15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121,629,977.92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323,777,901.02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121,629,977.92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323,777,901.02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133,340,000.00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355,146,053.05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40,044,411.05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22,838,357.75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19,451,564.54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87" w:top="1060" w:bottom="138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233,761,699.06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195,919,552.81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745,086,109.86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355,415,528.40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745,086,109.86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355,415,528.40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866,716,087.78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679,193,429.42</w:t>
            </w:r>
          </w:p>
        </w:tc>
      </w:tr>
    </w:tbl>
    <w:p>
      <w:pPr>
        <w:spacing w:line="240" w:lineRule="auto" w:before="3"/>
        <w:rPr>
          <w:rFonts w:ascii="Times New Roman" w:hAnsi="Times New Roman" w:cs="Times New Roman" w:eastAsia="Times New Roman" w:hint="default"/>
          <w:sz w:val="23"/>
          <w:szCs w:val="23"/>
        </w:rPr>
      </w:pPr>
    </w:p>
    <w:p>
      <w:pPr>
        <w:pStyle w:val="BodyText"/>
        <w:tabs>
          <w:tab w:pos="3330" w:val="left" w:leader="none"/>
          <w:tab w:pos="7561" w:val="left" w:leader="none"/>
        </w:tabs>
        <w:spacing w:line="240" w:lineRule="auto" w:before="44"/>
        <w:ind w:left="0" w:right="1229"/>
        <w:jc w:val="right"/>
      </w:pPr>
      <w:r>
        <w:rPr/>
        <w:t>法定代表人：于伟</w:t>
        <w:tab/>
        <w:t>主管会计工作负责人：武京双</w:t>
        <w:tab/>
        <w:t>会计机构负责人：贾银肖</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母公司资产负债表" w:id="150"/>
      <w:bookmarkEnd w:id="150"/>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407,610,841.93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216,580,519.07</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260,127,715.66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246,367,992.42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4,082,778.73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12,706,991.78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4,631,256.08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8,653,681.81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16,989,837.47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60,621,766.06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693,442,429.87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584,930,951.14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54,676,942.32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53,954,286.07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7" w:top="1060" w:bottom="138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7,236,646.70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3,208,777.77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14,278,954.58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426,940.84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1,319,606.59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3,529,682.15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3,037,258.72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159,649,166.59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71,519,929.15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853,091,596.46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656,450,880.29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146,700,000.00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35,730,745.28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88,263,802.75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25,457,538.33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58,726,663.23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5,952,291.43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2,594,246.90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19,909,838.18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15,863,049.18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43,339,374.42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23,910,883.49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150,389,787.64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336,058,645.55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87" w:top="1060" w:bottom="138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150,389,787.64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336,058,645.55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133,340,000.00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355,090,562.68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39,988,920.68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21,893,848.12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18,507,054.91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192,377,398.02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161,896,259.15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702,701,808.82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320,392,234.74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853,091,596.46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656,450,880.29</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1134" w:right="0"/>
        <w:jc w:val="left"/>
        <w:rPr>
          <w:b w:val="0"/>
          <w:bCs w:val="0"/>
        </w:rPr>
      </w:pPr>
      <w:bookmarkStart w:name="3、合并利润表" w:id="151"/>
      <w:bookmarkEnd w:id="151"/>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938,623,959.01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995,930,625.91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938,623,959.01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995,930,625.91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893,234,067.85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922,327,594.12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712,197,972.00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769,271,397.73</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87" w:top="1060" w:bottom="1380" w:left="0" w:right="0"/>
        </w:sectPr>
      </w:pPr>
    </w:p>
    <w:p>
      <w:pPr>
        <w:spacing w:line="240" w:lineRule="auto" w:before="0"/>
        <w:rPr>
          <w:rFonts w:ascii="Times New Roman" w:hAnsi="Times New Roman" w:cs="Times New Roman" w:eastAsia="Times New Roman" w:hint="default"/>
          <w:sz w:val="20"/>
          <w:szCs w:val="20"/>
        </w:rPr>
      </w:pPr>
      <w:r>
        <w:rPr/>
        <w:pict>
          <v:group style="position:absolute;margin-left:212.119995pt;margin-top:400.699982pt;width:157.7pt;height:19.650pt;mso-position-horizontal-relative:page;mso-position-vertical-relative:page;z-index:-842536" coordorigin="4242,8014" coordsize="3154,393">
            <v:shape style="position:absolute;left:4242;top:8014;width:3154;height:393" coordorigin="4242,8014" coordsize="3154,393" path="m4242,8406l7396,8406,7396,8014,4242,8014,4242,8406xe" filled="true" fillcolor="#ffffff" stroked="false">
              <v:path arrowok="t"/>
              <v:fill type="solid"/>
            </v:shape>
            <w10:wrap type="none"/>
          </v:group>
        </w:pict>
      </w:r>
      <w:r>
        <w:rPr/>
        <w:pict>
          <v:group style="position:absolute;margin-left:212.119995pt;margin-top:521.320007pt;width:157.7pt;height:19.650pt;mso-position-horizontal-relative:page;mso-position-vertical-relative:page;z-index:-842512" coordorigin="4242,10426" coordsize="3154,393">
            <v:shape style="position:absolute;left:4242;top:10426;width:3154;height:393" coordorigin="4242,10426" coordsize="3154,393" path="m4242,10819l7396,10819,7396,10426,4242,10426,4242,1081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3080"/>
        <w:gridCol w:w="1105"/>
        <w:gridCol w:w="2106"/>
        <w:gridCol w:w="3278"/>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1,534,629.80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2,568,653.42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82,332,899.18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68,429,501.72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89,780,376.08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66,304,821.95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1,584,209.67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8,154,825.10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5,803,981.12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7,598,394.20</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right="119"/>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1" w:type="dxa"/>
            <w:gridSpan w:val="2"/>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45,389,891.16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73,603,031.79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1,877,138.63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966,895.70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70,793.20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295.95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610,555.49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163,427.49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130,555.49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890.68</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105"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2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42" w:right="0"/>
              <w:jc w:val="left"/>
              <w:rPr>
                <w:rFonts w:ascii="Times New Roman" w:hAnsi="Times New Roman" w:cs="Times New Roman" w:eastAsia="Times New Roman" w:hint="default"/>
                <w:sz w:val="18"/>
                <w:szCs w:val="18"/>
              </w:rPr>
            </w:pPr>
            <w:r>
              <w:rPr>
                <w:rFonts w:ascii="Times New Roman"/>
                <w:sz w:val="18"/>
              </w:rPr>
              <w:t>46,656,474.30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74,406,500.00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5,427,534.84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8,325,612.33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41,228,939.46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66,080,887.67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41,228,939.46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66,080,887.67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3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权益法下在被投资单位不</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87" w:top="1060" w:bottom="144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3057"/>
        <w:gridCol w:w="3222"/>
        <w:gridCol w:w="3278"/>
      </w:tblGrid>
      <w:tr>
        <w:trPr>
          <w:trHeight w:val="67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1" w:right="154"/>
              <w:jc w:val="left"/>
              <w:rPr>
                <w:rFonts w:ascii="宋体" w:hAnsi="宋体" w:cs="宋体" w:eastAsia="宋体" w:hint="default"/>
                <w:sz w:val="18"/>
                <w:szCs w:val="18"/>
              </w:rPr>
            </w:pPr>
            <w:r>
              <w:rPr>
                <w:rFonts w:ascii="宋体" w:hAnsi="宋体" w:cs="宋体" w:eastAsia="宋体" w:hint="default"/>
                <w:sz w:val="18"/>
                <w:szCs w:val="18"/>
              </w:rPr>
              <w:t>能重分类进损益的其他综合收益中享 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41,228,939.46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66,080,887.67</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41,228,939.46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66,080,887.67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4"/>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0.66</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0.66</w:t>
            </w:r>
          </w:p>
        </w:tc>
      </w:tr>
    </w:tbl>
    <w:p>
      <w:pPr>
        <w:pStyle w:val="BodyText"/>
        <w:tabs>
          <w:tab w:pos="4464" w:val="left" w:leader="none"/>
          <w:tab w:pos="8695" w:val="left" w:leader="none"/>
        </w:tabs>
        <w:spacing w:line="624" w:lineRule="auto" w:before="51"/>
        <w:ind w:right="1229"/>
        <w:jc w:val="left"/>
      </w:pPr>
      <w:r>
        <w:rPr/>
        <w:t>本期发生同一控制下企业合并的，被合并方在合并前实现的净利润为：元，上期被合并方实现的净利润为：元。 法定代表人：于伟</w:t>
        <w:tab/>
        <w:t>主管会计工作负责人：武京双</w:t>
        <w:tab/>
        <w:t>会计机构负责人：贾银肖</w:t>
      </w:r>
    </w:p>
    <w:p>
      <w:pPr>
        <w:pStyle w:val="Heading4"/>
        <w:spacing w:line="240" w:lineRule="auto" w:before="63"/>
        <w:ind w:right="0"/>
        <w:jc w:val="left"/>
        <w:rPr>
          <w:b w:val="0"/>
          <w:bCs w:val="0"/>
        </w:rPr>
      </w:pPr>
      <w:bookmarkStart w:name="4、母公司利润表" w:id="152"/>
      <w:bookmarkEnd w:id="152"/>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797,308,908.66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855,044,725.08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602,811,715.41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660,054,983.45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1,060,729.60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2,078,365.33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70,596,419.22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57,396,959.85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78,445,142.56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57,856,267.75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1,581,160.40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8,164,030.89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7" w:top="1060" w:bottom="138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5,877,069.74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7,632,734.19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36,936,671.73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61,861,383.62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1,661,402.53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516,895.70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5,057.10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295.95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608,502.62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160,800.00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128,502.62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37,989,571.64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62,217,479.32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4,121,639.56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6,670,255.87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33,867,932.08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55,547,223.45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87" w:top="1060" w:bottom="138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33,867,932.08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55,547,223.45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1134" w:right="0"/>
        <w:jc w:val="left"/>
        <w:rPr>
          <w:b w:val="0"/>
          <w:bCs w:val="0"/>
        </w:rPr>
      </w:pPr>
      <w:bookmarkStart w:name="5、合并现金流量表" w:id="153"/>
      <w:bookmarkEnd w:id="153"/>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968,652,701.64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1,044,549,618.22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377,618.83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94,967.75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21,395,600.74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28,966,975.87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990,425,921.21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1,073,611,561.84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537,945,148.15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647,964,037.14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334,275,002.97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303,867,864.57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7" w:top="1060" w:bottom="138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26,794,533.14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25,976,957.18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60,732,390.75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56,267,499.02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959,747,075.01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1,034,076,357.91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30,678,846.20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39,535,203.93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203,186.93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3,100.53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203,186.93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3,100.53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30,892,945.61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6,892,914.50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100,392,945.61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6,892,914.50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-100,189,758.68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-6,889,813.97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336,441,642.00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150,590,000.00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418,441,642.00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150,590,000.00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196,700,000.00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98,890,000.00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4,230,682.37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9,823,319.10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7" w:top="1060" w:bottom="138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200,930,682.37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108,713,319.10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217,510,959.63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41,876,680.90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148,000,051.34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74,522,071.03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256,957,260.08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182,435,189.05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404,957,311.42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256,957,260.08</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1134" w:right="0"/>
        <w:jc w:val="left"/>
        <w:rPr>
          <w:b w:val="0"/>
          <w:bCs w:val="0"/>
        </w:rPr>
      </w:pPr>
      <w:bookmarkStart w:name="6、母公司现金流量表" w:id="154"/>
      <w:bookmarkEnd w:id="154"/>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809,826,721.72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887,348,510.23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377,618.83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94,967.75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62,794,546.56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71,592,694.92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872,998,887.11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959,036,172.90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451,819,394.06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543,483,468.24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277,991,996.20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256,888,980.48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20,434,562.01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21,467,736.88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91,757,626.06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92,460,378.37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842,003,578.33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914,300,563.97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30,995,308.78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44,735,608.93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66,200.00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2,465.53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66,200.00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2,465.53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29,847,400.31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5,698,211.00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7" w:top="1060" w:bottom="138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99,347,400.31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5,698,211.00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-99,281,200.31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-5,695,745.47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336,441,642.00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150,590,000.00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418,441,642.00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150,590,000.00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196,700,000.00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98,890,000.00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4,230,682.37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9,823,319.10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200,930,682.37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108,713,319.10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217,510,959.63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41,876,680.90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149,225,072.29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80,916,544.53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252,195,708.58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171,279,164.05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401,420,780.87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252,195,708.58</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7、合并所有者权益变动表" w:id="155"/>
      <w:bookmarkEnd w:id="155"/>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427"/>
        <w:gridCol w:w="563"/>
        <w:gridCol w:w="530"/>
        <w:gridCol w:w="532"/>
        <w:gridCol w:w="530"/>
        <w:gridCol w:w="665"/>
        <w:gridCol w:w="665"/>
        <w:gridCol w:w="665"/>
        <w:gridCol w:w="665"/>
        <w:gridCol w:w="664"/>
        <w:gridCol w:w="666"/>
        <w:gridCol w:w="665"/>
        <w:gridCol w:w="665"/>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563"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3"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40,044,</w:t>
            </w:r>
          </w:p>
          <w:p>
            <w:pPr>
              <w:pStyle w:val="TableParagraph"/>
              <w:spacing w:line="240" w:lineRule="auto" w:before="106"/>
              <w:ind w:left="143" w:right="0"/>
              <w:jc w:val="left"/>
              <w:rPr>
                <w:rFonts w:ascii="Times New Roman" w:hAnsi="Times New Roman" w:cs="Times New Roman" w:eastAsia="Times New Roman" w:hint="default"/>
                <w:sz w:val="18"/>
                <w:szCs w:val="18"/>
              </w:rPr>
            </w:pPr>
            <w:r>
              <w:rPr>
                <w:rFonts w:ascii="Times New Roman"/>
                <w:sz w:val="18"/>
              </w:rPr>
              <w:t>411.05</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19,451,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564.54</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195,919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,552.81</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355,415</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,528.40</w:t>
            </w:r>
          </w:p>
        </w:tc>
      </w:tr>
      <w:tr>
        <w:trPr>
          <w:trHeight w:val="393"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87" w:top="1060" w:bottom="138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40,044,</w:t>
            </w:r>
          </w:p>
          <w:p>
            <w:pPr>
              <w:pStyle w:val="TableParagraph"/>
              <w:spacing w:line="240" w:lineRule="auto" w:before="106"/>
              <w:ind w:left="143" w:right="0"/>
              <w:jc w:val="left"/>
              <w:rPr>
                <w:rFonts w:ascii="Times New Roman" w:hAnsi="Times New Roman" w:cs="Times New Roman" w:eastAsia="Times New Roman" w:hint="default"/>
                <w:sz w:val="18"/>
                <w:szCs w:val="18"/>
              </w:rPr>
            </w:pPr>
            <w:r>
              <w:rPr>
                <w:rFonts w:ascii="Times New Roman"/>
                <w:sz w:val="18"/>
              </w:rPr>
              <w:t>411.05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19,451,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564.54</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195,919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,552.81</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355,415</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,528.40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33,340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315,101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,642.00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3,386,7</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93.21</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37,842,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146.25</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389,670</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,581.46</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41,228,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939.46</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41,228,</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939.46</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33,340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315,101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,642.00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348,441</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,642.00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33,340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303,101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,642.00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336,441</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,642.00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12,000,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12,000,</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000.00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3,386,7</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93.21</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-3,386,7</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93.21</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10"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87" w:top="1060" w:bottom="138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5" w:right="0"/>
              <w:jc w:val="lef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3" w:right="0"/>
              <w:jc w:val="lef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7"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133,34</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355,146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,053.05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22,838,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357.75</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233,761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,699.06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745,086</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,109.86</w:t>
            </w:r>
          </w:p>
        </w:tc>
      </w:tr>
    </w:tbl>
    <w:p>
      <w:pPr>
        <w:pStyle w:val="BodyText"/>
        <w:spacing w:line="240" w:lineRule="auto" w:before="51"/>
        <w:ind w:left="1134" w:right="0"/>
        <w:jc w:val="left"/>
      </w:pPr>
      <w:r>
        <w:rPr/>
        <w:t>上期金额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427"/>
        <w:gridCol w:w="562"/>
        <w:gridCol w:w="530"/>
        <w:gridCol w:w="532"/>
        <w:gridCol w:w="530"/>
        <w:gridCol w:w="665"/>
        <w:gridCol w:w="665"/>
        <w:gridCol w:w="665"/>
        <w:gridCol w:w="665"/>
        <w:gridCol w:w="665"/>
        <w:gridCol w:w="665"/>
        <w:gridCol w:w="678"/>
        <w:gridCol w:w="652"/>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40,044,</w:t>
            </w:r>
          </w:p>
          <w:p>
            <w:pPr>
              <w:pStyle w:val="TableParagraph"/>
              <w:spacing w:line="240" w:lineRule="auto" w:before="106"/>
              <w:ind w:left="144" w:right="0"/>
              <w:jc w:val="left"/>
              <w:rPr>
                <w:rFonts w:ascii="Times New Roman" w:hAnsi="Times New Roman" w:cs="Times New Roman" w:eastAsia="Times New Roman" w:hint="default"/>
                <w:sz w:val="18"/>
                <w:szCs w:val="18"/>
              </w:rPr>
            </w:pPr>
            <w:r>
              <w:rPr>
                <w:rFonts w:ascii="Times New Roman"/>
                <w:sz w:val="18"/>
              </w:rPr>
              <w:t>411.05</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13,896,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842.20</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135,393</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,387.48</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289,334</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,640.73</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40,044,</w:t>
            </w:r>
          </w:p>
          <w:p>
            <w:pPr>
              <w:pStyle w:val="TableParagraph"/>
              <w:spacing w:line="240" w:lineRule="auto" w:before="106"/>
              <w:ind w:left="144" w:right="0"/>
              <w:jc w:val="left"/>
              <w:rPr>
                <w:rFonts w:ascii="Times New Roman" w:hAnsi="Times New Roman" w:cs="Times New Roman" w:eastAsia="Times New Roman" w:hint="default"/>
                <w:sz w:val="18"/>
                <w:szCs w:val="18"/>
              </w:rPr>
            </w:pPr>
            <w:r>
              <w:rPr>
                <w:rFonts w:ascii="Times New Roman"/>
                <w:sz w:val="18"/>
              </w:rPr>
              <w:t>411.05</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13,896,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842.20</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135,393</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,387.48</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289,334</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,640.73</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2"/>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5,554,7</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22.34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60,526,</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165.33</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66,080,</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887.67</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66,080,</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887.67</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66,080,</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887.67</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87" w:top="1060" w:bottom="138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5,554,7</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22.34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-5,554,7</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22.34</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5,554,7</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22.34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-5,554,7</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22.34</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40,044,</w:t>
            </w:r>
          </w:p>
          <w:p>
            <w:pPr>
              <w:pStyle w:val="TableParagraph"/>
              <w:spacing w:line="240" w:lineRule="auto" w:before="106"/>
              <w:ind w:left="144" w:right="0"/>
              <w:jc w:val="left"/>
              <w:rPr>
                <w:rFonts w:ascii="Times New Roman" w:hAnsi="Times New Roman" w:cs="Times New Roman" w:eastAsia="Times New Roman" w:hint="default"/>
                <w:sz w:val="18"/>
                <w:szCs w:val="18"/>
              </w:rPr>
            </w:pPr>
            <w:r>
              <w:rPr>
                <w:rFonts w:ascii="Times New Roman"/>
                <w:sz w:val="18"/>
              </w:rPr>
              <w:t>411.05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19,451,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564.54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195,919</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,552.81</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355,415</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,528.40</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8、母公司所有者权益变动表" w:id="156"/>
      <w:bookmarkEnd w:id="156"/>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t>本期金额</w:t>
      </w:r>
    </w:p>
    <w:p>
      <w:pPr>
        <w:pStyle w:val="BodyText"/>
        <w:spacing w:line="240" w:lineRule="auto" w:before="117"/>
        <w:ind w:left="0" w:right="1130"/>
        <w:jc w:val="right"/>
      </w:pPr>
      <w:r>
        <w:rPr/>
        <w:t>单位：元</w:t>
      </w:r>
    </w:p>
    <w:p>
      <w:pPr>
        <w:spacing w:after="0" w:line="240" w:lineRule="auto"/>
        <w:jc w:val="right"/>
        <w:sectPr>
          <w:pgSz w:w="11910" w:h="16840"/>
          <w:pgMar w:header="877" w:footer="1187" w:top="1060" w:bottom="138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39,988,92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0.68</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18,507,05</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4.91</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8"/>
              <w:ind w:left="58" w:right="0"/>
              <w:jc w:val="left"/>
              <w:rPr>
                <w:rFonts w:ascii="Times New Roman" w:hAnsi="Times New Roman" w:cs="Times New Roman" w:eastAsia="Times New Roman" w:hint="default"/>
                <w:sz w:val="18"/>
                <w:szCs w:val="18"/>
              </w:rPr>
            </w:pPr>
            <w:r>
              <w:rPr>
                <w:rFonts w:ascii="Times New Roman"/>
                <w:sz w:val="18"/>
              </w:rPr>
              <w:t>161,896</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,259.15</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8"/>
              <w:ind w:left="27" w:right="0"/>
              <w:jc w:val="left"/>
              <w:rPr>
                <w:rFonts w:ascii="Times New Roman" w:hAnsi="Times New Roman" w:cs="Times New Roman" w:eastAsia="Times New Roman" w:hint="default"/>
                <w:sz w:val="18"/>
                <w:szCs w:val="18"/>
              </w:rPr>
            </w:pPr>
            <w:r>
              <w:rPr>
                <w:rFonts w:ascii="Times New Roman"/>
                <w:sz w:val="18"/>
              </w:rPr>
              <w:t>320,392,2</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34.74</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39,988,92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0.68</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18,507,05</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4.91</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161,896</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,259.15</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320,392,2</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34.74</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33,340,0</w:t>
            </w:r>
          </w:p>
          <w:p>
            <w:pPr>
              <w:pStyle w:val="TableParagraph"/>
              <w:spacing w:line="240" w:lineRule="auto" w:before="106"/>
              <w:ind w:left="258"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315,101,6</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42.00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3,386,793</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.21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30,481,</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138.87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382,309,5</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74.08</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33,867,</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932.08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33,867,93</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2.08</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33,340,0</w:t>
            </w:r>
          </w:p>
          <w:p>
            <w:pPr>
              <w:pStyle w:val="TableParagraph"/>
              <w:spacing w:line="240" w:lineRule="auto" w:before="106"/>
              <w:ind w:left="258"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315,101,6</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42.00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348,441,6</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42.00</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33,340,0</w:t>
            </w:r>
          </w:p>
          <w:p>
            <w:pPr>
              <w:pStyle w:val="TableParagraph"/>
              <w:spacing w:line="240" w:lineRule="auto" w:before="106"/>
              <w:ind w:left="258"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303,101,6</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42.00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336,441,6</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42.00</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12,000,00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6" w:type="dxa"/>
            <w:vMerge w:val="restart"/>
            <w:tcBorders>
              <w:top w:val="single" w:sz="4" w:space="0" w:color="000000"/>
              <w:left w:val="single" w:sz="4" w:space="0" w:color="000000"/>
              <w:right w:val="single" w:sz="4" w:space="0" w:color="000000"/>
            </w:tcBorders>
          </w:tcPr>
          <w:p>
            <w:pP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12,000,00</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3,386,793</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.21</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-3,386,7</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93.21</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3,386,793</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.21</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-3,386,7</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93.21</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87" w:top="1060" w:bottom="138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133,340,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355,090,5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62.68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21,893,84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8.12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192,377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,398.02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702,701,8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08.82</w:t>
            </w:r>
          </w:p>
        </w:tc>
      </w:tr>
    </w:tbl>
    <w:p>
      <w:pPr>
        <w:pStyle w:val="BodyText"/>
        <w:spacing w:line="240" w:lineRule="auto" w:before="51"/>
        <w:ind w:left="1134" w:right="0"/>
        <w:jc w:val="left"/>
      </w:pPr>
      <w:r>
        <w:rPr/>
        <w:t>上期金额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97"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42"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42"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6"/>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39,988,92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0.68</w:t>
            </w: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12,952,33</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2.57</w:t>
            </w:r>
          </w:p>
        </w:tc>
        <w:tc>
          <w:tcPr>
            <w:tcW w:w="676" w:type="dxa"/>
            <w:vMerge w:val="restart"/>
            <w:tcBorders>
              <w:top w:val="single" w:sz="18" w:space="0" w:color="D2D2D2"/>
              <w:left w:val="single" w:sz="4" w:space="0" w:color="000000"/>
              <w:right w:val="single" w:sz="4" w:space="0" w:color="000000"/>
            </w:tcBorders>
          </w:tcPr>
          <w:p>
            <w:pPr>
              <w:pStyle w:val="TableParagraph"/>
              <w:spacing w:line="240" w:lineRule="auto" w:before="73"/>
              <w:ind w:left="2" w:right="0"/>
              <w:jc w:val="center"/>
              <w:rPr>
                <w:rFonts w:ascii="Times New Roman" w:hAnsi="Times New Roman" w:cs="Times New Roman" w:eastAsia="Times New Roman" w:hint="default"/>
                <w:sz w:val="18"/>
                <w:szCs w:val="18"/>
              </w:rPr>
            </w:pPr>
            <w:r>
              <w:rPr>
                <w:rFonts w:ascii="Times New Roman"/>
                <w:sz w:val="18"/>
              </w:rPr>
              <w:t>111,903,</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758.04</w:t>
            </w:r>
          </w:p>
        </w:tc>
        <w:tc>
          <w:tcPr>
            <w:tcW w:w="781" w:type="dxa"/>
            <w:vMerge w:val="restart"/>
            <w:tcBorders>
              <w:top w:val="single" w:sz="18" w:space="0" w:color="D2D2D2"/>
              <w:left w:val="single" w:sz="4" w:space="0" w:color="000000"/>
              <w:right w:val="single" w:sz="4" w:space="0" w:color="000000"/>
            </w:tcBorders>
          </w:tcPr>
          <w:p>
            <w:pPr>
              <w:pStyle w:val="TableParagraph"/>
              <w:spacing w:line="240" w:lineRule="auto" w:before="73"/>
              <w:ind w:left="27" w:right="0"/>
              <w:jc w:val="left"/>
              <w:rPr>
                <w:rFonts w:ascii="Times New Roman" w:hAnsi="Times New Roman" w:cs="Times New Roman" w:eastAsia="Times New Roman" w:hint="default"/>
                <w:sz w:val="18"/>
                <w:szCs w:val="18"/>
              </w:rPr>
            </w:pPr>
            <w:r>
              <w:rPr>
                <w:rFonts w:ascii="Times New Roman"/>
                <w:sz w:val="18"/>
              </w:rPr>
              <w:t>264,845,0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11.29</w:t>
            </w:r>
          </w:p>
        </w:tc>
      </w:tr>
      <w:tr>
        <w:trPr>
          <w:trHeight w:val="393"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6"/>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39,988,92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0.68</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12,952,33</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2.57</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111,903,</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758.04</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264,845,0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11.29</w:t>
            </w:r>
          </w:p>
        </w:tc>
      </w:tr>
      <w:tr>
        <w:trPr>
          <w:trHeight w:val="392"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5,554,722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.34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49,992,</w:t>
            </w:r>
          </w:p>
          <w:p>
            <w:pPr>
              <w:pStyle w:val="TableParagraph"/>
              <w:spacing w:line="240" w:lineRule="auto" w:before="106"/>
              <w:ind w:left="154" w:right="0"/>
              <w:jc w:val="left"/>
              <w:rPr>
                <w:rFonts w:ascii="Times New Roman" w:hAnsi="Times New Roman" w:cs="Times New Roman" w:eastAsia="Times New Roman" w:hint="default"/>
                <w:sz w:val="18"/>
                <w:szCs w:val="18"/>
              </w:rPr>
            </w:pPr>
            <w:r>
              <w:rPr>
                <w:rFonts w:ascii="Times New Roman"/>
                <w:sz w:val="18"/>
              </w:rPr>
              <w:t>501.11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55,547,22</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3.45</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55,547,</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223.45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55,547,22</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3.45</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87" w:top="1060" w:bottom="138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5,554,722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.34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-5,554,7</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22.34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5,554,722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.34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-5,554,7</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22.34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39,988,92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0.68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18,507,05</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4.91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161,896</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,259.15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320,392,2</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34.74</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both"/>
        <w:rPr>
          <w:b w:val="0"/>
          <w:bCs w:val="0"/>
        </w:rPr>
      </w:pPr>
      <w:bookmarkStart w:name="三、公司基本情况" w:id="157"/>
      <w:bookmarkEnd w:id="157"/>
      <w:r>
        <w:rPr>
          <w:b w:val="0"/>
          <w:bCs w:val="0"/>
        </w:rPr>
      </w:r>
      <w:r>
        <w:rPr/>
        <w:t>三、公司基本情况</w:t>
      </w:r>
      <w:r>
        <w:rPr>
          <w:b w:val="0"/>
          <w:bCs w:val="0"/>
        </w:rPr>
      </w:r>
    </w:p>
    <w:p>
      <w:pPr>
        <w:spacing w:line="240" w:lineRule="auto" w:before="12"/>
        <w:rPr>
          <w:rFonts w:ascii="宋体" w:hAnsi="宋体" w:cs="宋体" w:eastAsia="宋体" w:hint="default"/>
          <w:b/>
          <w:bCs/>
          <w:sz w:val="23"/>
          <w:szCs w:val="23"/>
        </w:rPr>
      </w:pPr>
    </w:p>
    <w:p>
      <w:pPr>
        <w:pStyle w:val="Heading3"/>
        <w:spacing w:line="249" w:lineRule="auto"/>
        <w:ind w:right="1128"/>
        <w:jc w:val="both"/>
      </w:pPr>
      <w:r>
        <w:rPr>
          <w:spacing w:val="-2"/>
        </w:rPr>
        <w:t>高伟达软件股份有限公司（以下简称公司或本公司）前身北京高伟达软件技术有限公司（以下简</w:t>
      </w:r>
      <w:r>
        <w:rPr>
          <w:w w:val="99"/>
        </w:rPr>
        <w:t> </w:t>
      </w:r>
      <w:r>
        <w:rPr>
          <w:spacing w:val="-1"/>
        </w:rPr>
        <w:t>称高伟达有限），原名称为北京高伟达系统集成有限公司，成立于</w:t>
      </w:r>
      <w:r>
        <w:rPr>
          <w:rFonts w:ascii="Times New Roman" w:hAnsi="Times New Roman" w:cs="Times New Roman" w:eastAsia="Times New Roman" w:hint="default"/>
          <w:spacing w:val="-1"/>
        </w:rPr>
        <w:t>1998</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23</w:t>
      </w:r>
      <w:r>
        <w:rPr>
          <w:spacing w:val="-1"/>
        </w:rPr>
        <w:t>日。高伟达有限成立</w:t>
      </w:r>
      <w:r>
        <w:rPr>
          <w:w w:val="99"/>
        </w:rPr>
        <w:t> </w:t>
      </w:r>
      <w:r>
        <w:rPr/>
        <w:t>时注册资本</w:t>
      </w:r>
      <w:r>
        <w:rPr>
          <w:rFonts w:ascii="Times New Roman" w:hAnsi="Times New Roman" w:cs="Times New Roman" w:eastAsia="Times New Roman" w:hint="default"/>
        </w:rPr>
        <w:t>1,000</w:t>
      </w:r>
      <w:r>
        <w:rPr/>
        <w:t>万元，其中深圳市高伟达投资有限公司出资</w:t>
      </w:r>
      <w:r>
        <w:rPr>
          <w:rFonts w:ascii="Times New Roman" w:hAnsi="Times New Roman" w:cs="Times New Roman" w:eastAsia="Times New Roman" w:hint="default"/>
        </w:rPr>
        <w:t>800</w:t>
      </w:r>
      <w:r>
        <w:rPr/>
        <w:t>万元，占注册资本的</w:t>
      </w:r>
      <w:r>
        <w:rPr>
          <w:rFonts w:ascii="Times New Roman" w:hAnsi="Times New Roman" w:cs="Times New Roman" w:eastAsia="Times New Roman" w:hint="default"/>
        </w:rPr>
        <w:t>80%</w:t>
      </w:r>
      <w:r>
        <w:rPr/>
        <w:t>；北京高伟</w:t>
      </w:r>
      <w:r>
        <w:rPr>
          <w:spacing w:val="-94"/>
        </w:rPr>
        <w:t> </w:t>
      </w:r>
      <w:r>
        <w:rPr>
          <w:spacing w:val="-94"/>
        </w:rPr>
      </w:r>
      <w:r>
        <w:rPr>
          <w:spacing w:val="2"/>
        </w:rPr>
        <w:t>达科技发展有限公司出资</w:t>
      </w:r>
      <w:r>
        <w:rPr>
          <w:rFonts w:ascii="Times New Roman" w:hAnsi="Times New Roman" w:cs="Times New Roman" w:eastAsia="Times New Roman" w:hint="default"/>
          <w:spacing w:val="2"/>
        </w:rPr>
        <w:t>200</w:t>
      </w:r>
      <w:r>
        <w:rPr>
          <w:spacing w:val="2"/>
        </w:rPr>
        <w:t>万元，占注册资本的</w:t>
      </w:r>
      <w:r>
        <w:rPr>
          <w:rFonts w:ascii="Times New Roman" w:hAnsi="Times New Roman" w:cs="Times New Roman" w:eastAsia="Times New Roman" w:hint="default"/>
          <w:spacing w:val="2"/>
        </w:rPr>
        <w:t>20%</w:t>
      </w:r>
      <w:r>
        <w:rPr>
          <w:spacing w:val="2"/>
        </w:rPr>
        <w:t>。上述出资业经北京金昊审计师事务所于</w:t>
      </w:r>
      <w:r>
        <w:rPr>
          <w:rFonts w:ascii="Times New Roman" w:hAnsi="Times New Roman" w:cs="Times New Roman" w:eastAsia="Times New Roman" w:hint="default"/>
          <w:spacing w:val="2"/>
        </w:rPr>
        <w:t>1998</w:t>
      </w:r>
      <w:r>
        <w:rPr>
          <w:rFonts w:ascii="Times New Roman" w:hAnsi="Times New Roman" w:cs="Times New Roman" w:eastAsia="Times New Roman" w:hint="default"/>
          <w:w w:val="99"/>
        </w:rPr>
        <w:t> </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16</w:t>
      </w:r>
      <w:r>
        <w:rPr/>
        <w:t>日以（</w:t>
      </w:r>
      <w:r>
        <w:rPr>
          <w:rFonts w:ascii="Times New Roman" w:hAnsi="Times New Roman" w:cs="Times New Roman" w:eastAsia="Times New Roman" w:hint="default"/>
        </w:rPr>
        <w:t>98</w:t>
      </w:r>
      <w:r>
        <w:rPr/>
        <w:t>）金审事验字第</w:t>
      </w:r>
      <w:r>
        <w:rPr>
          <w:rFonts w:ascii="Times New Roman" w:hAnsi="Times New Roman" w:cs="Times New Roman" w:eastAsia="Times New Roman" w:hint="default"/>
        </w:rPr>
        <w:t>101</w:t>
      </w:r>
      <w:r>
        <w:rPr/>
        <w:t>号验资报告予以确认。</w:t>
      </w:r>
    </w:p>
    <w:p>
      <w:pPr>
        <w:pStyle w:val="Heading3"/>
        <w:spacing w:line="240" w:lineRule="auto" w:before="117"/>
        <w:ind w:left="1574" w:right="0" w:firstLine="0"/>
        <w:jc w:val="left"/>
      </w:pPr>
      <w:r>
        <w:rPr>
          <w:rFonts w:ascii="Times New Roman" w:hAnsi="Times New Roman" w:cs="Times New Roman" w:eastAsia="Times New Roman" w:hint="default"/>
        </w:rPr>
        <w:t>2001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日，北京高伟达系统集成有限公司更名为北京高伟达软件技术有限公司。</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5</w:t>
      </w:r>
      <w:r>
        <w:rPr/>
        <w:t>月</w:t>
      </w:r>
    </w:p>
    <w:p>
      <w:pPr>
        <w:pStyle w:val="Heading3"/>
        <w:spacing w:line="244" w:lineRule="auto" w:before="8"/>
        <w:ind w:right="1129" w:firstLine="0"/>
        <w:jc w:val="both"/>
      </w:pPr>
      <w:r>
        <w:rPr>
          <w:rFonts w:ascii="Times New Roman" w:hAnsi="Times New Roman" w:cs="Times New Roman" w:eastAsia="Times New Roman" w:hint="default"/>
        </w:rPr>
        <w:t>21</w:t>
      </w:r>
      <w:r>
        <w:rPr/>
        <w:t>日，高伟达有限召开股东会议，同意增加注册资本</w:t>
      </w:r>
      <w:r>
        <w:rPr>
          <w:rFonts w:ascii="Times New Roman" w:hAnsi="Times New Roman" w:cs="Times New Roman" w:eastAsia="Times New Roman" w:hint="default"/>
        </w:rPr>
        <w:t>3,000</w:t>
      </w:r>
      <w:r>
        <w:rPr/>
        <w:t>万元，增资后的注册资本为</w:t>
      </w:r>
      <w:r>
        <w:rPr>
          <w:rFonts w:ascii="Times New Roman" w:hAnsi="Times New Roman" w:cs="Times New Roman" w:eastAsia="Times New Roman" w:hint="default"/>
        </w:rPr>
        <w:t>4,000</w:t>
      </w:r>
      <w:r>
        <w:rPr/>
        <w:t>万元，其</w:t>
      </w:r>
      <w:r>
        <w:rPr>
          <w:spacing w:val="-61"/>
        </w:rPr>
        <w:t> </w:t>
      </w:r>
      <w:r>
        <w:rPr>
          <w:spacing w:val="-61"/>
        </w:rPr>
      </w:r>
      <w:r>
        <w:rPr/>
        <w:t>中深圳市高伟达投资有限公司持股比例为</w:t>
      </w:r>
      <w:r>
        <w:rPr>
          <w:rFonts w:ascii="Times New Roman" w:hAnsi="Times New Roman" w:cs="Times New Roman" w:eastAsia="Times New Roman" w:hint="default"/>
        </w:rPr>
        <w:t>80%</w:t>
      </w:r>
      <w:r>
        <w:rPr/>
        <w:t>，北京高伟达科技发展有限公司持股比例为</w:t>
      </w:r>
      <w:r>
        <w:rPr>
          <w:rFonts w:ascii="Times New Roman" w:hAnsi="Times New Roman" w:cs="Times New Roman" w:eastAsia="Times New Roman" w:hint="default"/>
        </w:rPr>
        <w:t>20%</w:t>
      </w:r>
      <w:r>
        <w:rPr/>
        <w:t>。上述</w:t>
      </w:r>
      <w:r>
        <w:rPr>
          <w:spacing w:val="-87"/>
        </w:rPr>
        <w:t> </w:t>
      </w:r>
      <w:r>
        <w:rPr/>
        <w:t>出资业经北京全企会计师事务所于</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26</w:t>
      </w:r>
      <w:r>
        <w:rPr/>
        <w:t>日以京全企验字</w:t>
      </w:r>
      <w:r>
        <w:rPr>
          <w:rFonts w:ascii="Times New Roman" w:hAnsi="Times New Roman" w:cs="Times New Roman" w:eastAsia="Times New Roman" w:hint="default"/>
        </w:rPr>
        <w:t>[2001]</w:t>
      </w:r>
      <w:r>
        <w:rPr/>
        <w:t>第</w:t>
      </w:r>
      <w:r>
        <w:rPr>
          <w:rFonts w:ascii="Times New Roman" w:hAnsi="Times New Roman" w:cs="Times New Roman" w:eastAsia="Times New Roman" w:hint="default"/>
        </w:rPr>
        <w:t>165</w:t>
      </w:r>
      <w:r>
        <w:rPr/>
        <w:t>号验资报告予以确认。</w:t>
      </w:r>
    </w:p>
    <w:p>
      <w:pPr>
        <w:pStyle w:val="Heading3"/>
        <w:spacing w:line="240" w:lineRule="auto" w:before="122"/>
        <w:ind w:left="1574" w:right="0" w:firstLine="0"/>
        <w:jc w:val="left"/>
      </w:pPr>
      <w:r>
        <w:rPr/>
        <w:t>根据</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31</w:t>
      </w:r>
      <w:r>
        <w:rPr/>
        <w:t>日高伟达有限的股东会决议，高伟达有限股东北京高伟达科技发展有限公司将</w:t>
      </w:r>
    </w:p>
    <w:p>
      <w:pPr>
        <w:spacing w:after="0" w:line="240" w:lineRule="auto"/>
        <w:jc w:val="left"/>
        <w:sectPr>
          <w:pgSz w:w="11910" w:h="16840"/>
          <w:pgMar w:header="877" w:footer="1187" w:top="1060" w:bottom="1380" w:left="0" w:right="0"/>
        </w:sectPr>
      </w:pPr>
    </w:p>
    <w:p>
      <w:pPr>
        <w:spacing w:line="240" w:lineRule="auto" w:before="4"/>
        <w:rPr>
          <w:rFonts w:ascii="宋体" w:hAnsi="宋体" w:cs="宋体" w:eastAsia="宋体" w:hint="default"/>
          <w:sz w:val="24"/>
          <w:szCs w:val="24"/>
        </w:rPr>
      </w:pPr>
    </w:p>
    <w:p>
      <w:pPr>
        <w:pStyle w:val="Heading3"/>
        <w:spacing w:line="244" w:lineRule="auto" w:before="31"/>
        <w:ind w:right="1129" w:firstLine="0"/>
        <w:jc w:val="both"/>
      </w:pPr>
      <w:r>
        <w:rPr>
          <w:spacing w:val="-3"/>
        </w:rPr>
        <w:t>其持有的高伟达有限全部</w:t>
      </w:r>
      <w:r>
        <w:rPr>
          <w:rFonts w:ascii="Times New Roman" w:hAnsi="Times New Roman" w:cs="Times New Roman" w:eastAsia="Times New Roman" w:hint="default"/>
          <w:spacing w:val="-3"/>
        </w:rPr>
        <w:t>20%</w:t>
      </w:r>
      <w:r>
        <w:rPr>
          <w:spacing w:val="-3"/>
        </w:rPr>
        <w:t>股权转让，其中：</w:t>
      </w:r>
      <w:r>
        <w:rPr>
          <w:rFonts w:ascii="Times New Roman" w:hAnsi="Times New Roman" w:cs="Times New Roman" w:eastAsia="Times New Roman" w:hint="default"/>
          <w:spacing w:val="-3"/>
        </w:rPr>
        <w:t>9.53%</w:t>
      </w:r>
      <w:r>
        <w:rPr>
          <w:spacing w:val="-3"/>
        </w:rPr>
        <w:t>股权转让给深圳市高伟达投资有限公司，</w:t>
      </w:r>
      <w:r>
        <w:rPr>
          <w:rFonts w:ascii="Times New Roman" w:hAnsi="Times New Roman" w:cs="Times New Roman" w:eastAsia="Times New Roman" w:hint="default"/>
          <w:spacing w:val="-3"/>
        </w:rPr>
        <w:t>10.47%</w:t>
      </w:r>
      <w:r>
        <w:rPr>
          <w:rFonts w:ascii="Times New Roman" w:hAnsi="Times New Roman" w:cs="Times New Roman" w:eastAsia="Times New Roman" w:hint="default"/>
          <w:w w:val="99"/>
        </w:rPr>
        <w:t> </w:t>
      </w:r>
      <w:r>
        <w:rPr/>
        <w:t>股权转让给詹滨等</w:t>
      </w:r>
      <w:r>
        <w:rPr>
          <w:rFonts w:ascii="Times New Roman" w:hAnsi="Times New Roman" w:cs="Times New Roman" w:eastAsia="Times New Roman" w:hint="default"/>
        </w:rPr>
        <w:t>11</w:t>
      </w:r>
      <w:r>
        <w:rPr/>
        <w:t>人。</w:t>
      </w:r>
    </w:p>
    <w:p>
      <w:pPr>
        <w:pStyle w:val="Heading3"/>
        <w:spacing w:line="240" w:lineRule="auto" w:before="122"/>
        <w:ind w:left="1574" w:right="0" w:firstLine="0"/>
        <w:jc w:val="left"/>
      </w:pPr>
      <w:r>
        <w:rPr>
          <w:rFonts w:ascii="Times New Roman" w:hAnsi="Times New Roman" w:cs="Times New Roman" w:eastAsia="Times New Roman" w:hint="default"/>
          <w:spacing w:val="6"/>
        </w:rPr>
        <w:t>2003</w:t>
      </w:r>
      <w:r>
        <w:rPr>
          <w:spacing w:val="6"/>
        </w:rPr>
        <w:t>年</w:t>
      </w:r>
      <w:r>
        <w:rPr>
          <w:rFonts w:ascii="Times New Roman" w:hAnsi="Times New Roman" w:cs="Times New Roman" w:eastAsia="Times New Roman" w:hint="default"/>
          <w:spacing w:val="6"/>
        </w:rPr>
        <w:t>1</w:t>
      </w:r>
      <w:r>
        <w:rPr>
          <w:spacing w:val="6"/>
        </w:rPr>
        <w:t>月</w:t>
      </w:r>
      <w:r>
        <w:rPr>
          <w:rFonts w:ascii="Times New Roman" w:hAnsi="Times New Roman" w:cs="Times New Roman" w:eastAsia="Times New Roman" w:hint="default"/>
          <w:spacing w:val="6"/>
        </w:rPr>
        <w:t>20</w:t>
      </w:r>
      <w:r>
        <w:rPr>
          <w:spacing w:val="6"/>
        </w:rPr>
        <w:t>日，高伟达有限所有股东一致同意将公司的股权全部转让给高伟达控股有限公司</w:t>
      </w:r>
    </w:p>
    <w:p>
      <w:pPr>
        <w:pStyle w:val="Heading3"/>
        <w:spacing w:line="244" w:lineRule="auto" w:before="7"/>
        <w:ind w:right="1130" w:firstLine="0"/>
        <w:jc w:val="both"/>
      </w:pPr>
      <w:r>
        <w:rPr/>
        <w:t>（</w:t>
      </w:r>
      <w:r>
        <w:rPr>
          <w:rFonts w:ascii="Times New Roman" w:hAnsi="Times New Roman" w:cs="Times New Roman" w:eastAsia="Times New Roman" w:hint="default"/>
        </w:rPr>
        <w:t>GLOBALINFOTECHHOLDINGS.INC.</w:t>
      </w:r>
      <w:r>
        <w:rPr/>
        <w:t>），公司变更为外商独资企业，高伟达控股有限公司持股比</w:t>
      </w:r>
      <w:r>
        <w:rPr>
          <w:spacing w:val="-29"/>
        </w:rPr>
        <w:t> </w:t>
      </w:r>
      <w:r>
        <w:rPr>
          <w:spacing w:val="-29"/>
        </w:rPr>
      </w:r>
      <w:r>
        <w:rPr>
          <w:w w:val="95"/>
        </w:rPr>
        <w:t>例为</w:t>
      </w:r>
      <w:r>
        <w:rPr>
          <w:rFonts w:ascii="Times New Roman" w:hAnsi="Times New Roman" w:cs="Times New Roman" w:eastAsia="Times New Roman" w:hint="default"/>
          <w:w w:val="95"/>
        </w:rPr>
        <w:t>100%</w:t>
      </w:r>
      <w:r>
        <w:rPr>
          <w:w w:val="95"/>
        </w:rPr>
        <w:t>。</w:t>
      </w:r>
      <w:r>
        <w:rPr>
          <w:rFonts w:ascii="Times New Roman" w:hAnsi="Times New Roman" w:cs="Times New Roman" w:eastAsia="Times New Roman" w:hint="default"/>
          <w:w w:val="95"/>
        </w:rPr>
        <w:t>2003</w:t>
      </w:r>
      <w:r>
        <w:rPr>
          <w:w w:val="95"/>
        </w:rPr>
        <w:t>年</w:t>
      </w:r>
      <w:r>
        <w:rPr>
          <w:rFonts w:ascii="Times New Roman" w:hAnsi="Times New Roman" w:cs="Times New Roman" w:eastAsia="Times New Roman" w:hint="default"/>
          <w:w w:val="95"/>
        </w:rPr>
        <w:t>4</w:t>
      </w:r>
      <w:r>
        <w:rPr>
          <w:w w:val="95"/>
        </w:rPr>
        <w:t>月</w:t>
      </w:r>
      <w:r>
        <w:rPr>
          <w:rFonts w:ascii="Times New Roman" w:hAnsi="Times New Roman" w:cs="Times New Roman" w:eastAsia="Times New Roman" w:hint="default"/>
          <w:w w:val="95"/>
        </w:rPr>
        <w:t>25</w:t>
      </w:r>
      <w:r>
        <w:rPr>
          <w:w w:val="95"/>
        </w:rPr>
        <w:t>日，高伟达有限董事会决议决定同意高伟达控股以现金出资将高伟达有限注</w:t>
      </w:r>
      <w:r>
        <w:rPr>
          <w:spacing w:val="37"/>
          <w:w w:val="95"/>
        </w:rPr>
        <w:t> </w:t>
      </w:r>
      <w:r>
        <w:rPr>
          <w:spacing w:val="37"/>
          <w:w w:val="95"/>
        </w:rPr>
      </w:r>
      <w:r>
        <w:rPr/>
        <w:t>册资本增加至</w:t>
      </w:r>
      <w:r>
        <w:rPr>
          <w:rFonts w:ascii="Times New Roman" w:hAnsi="Times New Roman" w:cs="Times New Roman" w:eastAsia="Times New Roman" w:hint="default"/>
        </w:rPr>
        <w:t>5,600</w:t>
      </w:r>
      <w:r>
        <w:rPr/>
        <w:t>万元人民币。上述出资业经北京全企会计师事务所有限责任公司于</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21</w:t>
      </w:r>
      <w:r>
        <w:rPr/>
        <w:t>日</w:t>
      </w:r>
      <w:r>
        <w:rPr>
          <w:w w:val="99"/>
        </w:rPr>
        <w:t> </w:t>
      </w:r>
      <w:r>
        <w:rPr>
          <w:spacing w:val="-2"/>
        </w:rPr>
        <w:t>以京全企验字</w:t>
      </w:r>
      <w:r>
        <w:rPr>
          <w:rFonts w:ascii="Times New Roman" w:hAnsi="Times New Roman" w:cs="Times New Roman" w:eastAsia="Times New Roman" w:hint="default"/>
          <w:spacing w:val="-2"/>
        </w:rPr>
        <w:t>[2003]</w:t>
      </w:r>
      <w:r>
        <w:rPr>
          <w:spacing w:val="-2"/>
        </w:rPr>
        <w:t>第</w:t>
      </w:r>
      <w:r>
        <w:rPr>
          <w:rFonts w:ascii="Times New Roman" w:hAnsi="Times New Roman" w:cs="Times New Roman" w:eastAsia="Times New Roman" w:hint="default"/>
          <w:spacing w:val="-2"/>
        </w:rPr>
        <w:t>Z-137</w:t>
      </w:r>
      <w:r>
        <w:rPr>
          <w:spacing w:val="-2"/>
        </w:rPr>
        <w:t>号验资报告予以确认。</w:t>
      </w:r>
      <w:r>
        <w:rPr>
          <w:rFonts w:ascii="Times New Roman" w:hAnsi="Times New Roman" w:cs="Times New Roman" w:eastAsia="Times New Roman" w:hint="default"/>
          <w:spacing w:val="-2"/>
        </w:rPr>
        <w:t>2003</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4</w:t>
      </w:r>
      <w:r>
        <w:rPr>
          <w:spacing w:val="-2"/>
        </w:rPr>
        <w:t>日，高伟达有限取得变更后的企独京总</w:t>
      </w:r>
      <w:r>
        <w:rPr>
          <w:spacing w:val="-89"/>
        </w:rPr>
        <w:t> </w:t>
      </w:r>
      <w:r>
        <w:rPr>
          <w:spacing w:val="-89"/>
        </w:rPr>
      </w:r>
      <w:r>
        <w:rPr/>
        <w:t>字第</w:t>
      </w:r>
      <w:r>
        <w:rPr>
          <w:rFonts w:ascii="Times New Roman" w:hAnsi="Times New Roman" w:cs="Times New Roman" w:eastAsia="Times New Roman" w:hint="default"/>
        </w:rPr>
        <w:t>018282</w:t>
      </w:r>
      <w:r>
        <w:rPr/>
        <w:t>号营业执照。</w:t>
      </w:r>
    </w:p>
    <w:p>
      <w:pPr>
        <w:pStyle w:val="Heading3"/>
        <w:spacing w:line="244" w:lineRule="auto" w:before="122"/>
        <w:ind w:right="1131"/>
        <w:jc w:val="both"/>
      </w:pPr>
      <w:r>
        <w:rPr>
          <w:rFonts w:ascii="Times New Roman" w:hAnsi="Times New Roman" w:cs="Times New Roman" w:eastAsia="Times New Roman" w:hint="default"/>
        </w:rPr>
        <w:t>2004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16</w:t>
      </w:r>
      <w:r>
        <w:rPr/>
        <w:t>日，高伟达有限董事会决议决定同意高伟达控股以现金出资将高伟达有限注册资本</w:t>
      </w:r>
      <w:r>
        <w:rPr>
          <w:w w:val="99"/>
        </w:rPr>
        <w:t> </w:t>
      </w:r>
      <w:r>
        <w:rPr>
          <w:spacing w:val="-1"/>
        </w:rPr>
        <w:t>增加至</w:t>
      </w:r>
      <w:r>
        <w:rPr>
          <w:rFonts w:ascii="Times New Roman" w:hAnsi="Times New Roman" w:cs="Times New Roman" w:eastAsia="Times New Roman" w:hint="default"/>
          <w:spacing w:val="-1"/>
        </w:rPr>
        <w:t>6,500</w:t>
      </w:r>
      <w:r>
        <w:rPr>
          <w:spacing w:val="-1"/>
        </w:rPr>
        <w:t>万元人民币。</w:t>
      </w:r>
      <w:r>
        <w:rPr>
          <w:rFonts w:ascii="Times New Roman" w:hAnsi="Times New Roman" w:cs="Times New Roman" w:eastAsia="Times New Roman" w:hint="default"/>
          <w:spacing w:val="-1"/>
        </w:rPr>
        <w:t>2004</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24</w:t>
      </w:r>
      <w:r>
        <w:rPr>
          <w:spacing w:val="-1"/>
        </w:rPr>
        <w:t>日，北京华安东会计师事务所出具华验字</w:t>
      </w:r>
      <w:r>
        <w:rPr>
          <w:rFonts w:ascii="Times New Roman" w:hAnsi="Times New Roman" w:cs="Times New Roman" w:eastAsia="Times New Roman" w:hint="default"/>
          <w:spacing w:val="-1"/>
        </w:rPr>
        <w:t>[2004]</w:t>
      </w:r>
      <w:r>
        <w:rPr>
          <w:spacing w:val="-1"/>
        </w:rPr>
        <w:t>第</w:t>
      </w:r>
      <w:r>
        <w:rPr>
          <w:rFonts w:ascii="Times New Roman" w:hAnsi="Times New Roman" w:cs="Times New Roman" w:eastAsia="Times New Roman" w:hint="default"/>
          <w:spacing w:val="-1"/>
        </w:rPr>
        <w:t>039</w:t>
      </w:r>
      <w:r>
        <w:rPr>
          <w:spacing w:val="-1"/>
        </w:rPr>
        <w:t>号《验资</w:t>
      </w:r>
      <w:r>
        <w:rPr>
          <w:spacing w:val="-97"/>
        </w:rPr>
        <w:t> </w:t>
      </w:r>
      <w:r>
        <w:rPr>
          <w:spacing w:val="-97"/>
        </w:rPr>
      </w:r>
      <w:r>
        <w:rPr/>
        <w:t>报告》对本次增资予以验证。</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18</w:t>
      </w:r>
      <w:r>
        <w:rPr/>
        <w:t>日，公司于北京市工商行政管理局完成了本次增资的工商</w:t>
      </w:r>
      <w:r>
        <w:rPr>
          <w:spacing w:val="-72"/>
        </w:rPr>
        <w:t> </w:t>
      </w:r>
      <w:r>
        <w:rPr>
          <w:spacing w:val="-72"/>
        </w:rPr>
      </w:r>
      <w:r>
        <w:rPr/>
        <w:t>登记变更手续。</w:t>
      </w:r>
    </w:p>
    <w:p>
      <w:pPr>
        <w:pStyle w:val="Heading3"/>
        <w:spacing w:line="244" w:lineRule="auto" w:before="139"/>
        <w:ind w:right="1130"/>
        <w:jc w:val="both"/>
      </w:pP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15</w:t>
      </w:r>
      <w:r>
        <w:rPr>
          <w:spacing w:val="-2"/>
        </w:rPr>
        <w:t>日，高伟达有限董事会决议决定同意高伟达控股转让其所持有的高伟达有限</w:t>
      </w:r>
      <w:r>
        <w:rPr>
          <w:rFonts w:ascii="Times New Roman" w:hAnsi="Times New Roman" w:cs="Times New Roman" w:eastAsia="Times New Roman" w:hint="default"/>
          <w:spacing w:val="-2"/>
        </w:rPr>
        <w:t>53.945%</w:t>
      </w:r>
      <w:r>
        <w:rPr>
          <w:rFonts w:ascii="Times New Roman" w:hAnsi="Times New Roman" w:cs="Times New Roman" w:eastAsia="Times New Roman" w:hint="default"/>
          <w:w w:val="99"/>
        </w:rPr>
        <w:t> </w:t>
      </w:r>
      <w:r>
        <w:rPr>
          <w:spacing w:val="-1"/>
        </w:rPr>
        <w:t>的股权，其中</w:t>
      </w:r>
      <w:r>
        <w:rPr>
          <w:rFonts w:ascii="Times New Roman" w:hAnsi="Times New Roman" w:cs="Times New Roman" w:eastAsia="Times New Roman" w:hint="default"/>
          <w:spacing w:val="-1"/>
        </w:rPr>
        <w:t>48.032%</w:t>
      </w:r>
      <w:r>
        <w:rPr>
          <w:spacing w:val="-1"/>
        </w:rPr>
        <w:t>的股权以</w:t>
      </w:r>
      <w:r>
        <w:rPr>
          <w:rFonts w:ascii="Times New Roman" w:hAnsi="Times New Roman" w:cs="Times New Roman" w:eastAsia="Times New Roman" w:hint="default"/>
          <w:spacing w:val="-1"/>
        </w:rPr>
        <w:t>890,400</w:t>
      </w:r>
      <w:r>
        <w:rPr>
          <w:spacing w:val="-1"/>
        </w:rPr>
        <w:t>元的价格转让给鹰潭市鹰高投资咨询有限公司；</w:t>
      </w:r>
      <w:r>
        <w:rPr>
          <w:rFonts w:ascii="Times New Roman" w:hAnsi="Times New Roman" w:cs="Times New Roman" w:eastAsia="Times New Roman" w:hint="default"/>
          <w:spacing w:val="-1"/>
        </w:rPr>
        <w:t>2.034%</w:t>
      </w:r>
      <w:r>
        <w:rPr>
          <w:spacing w:val="-1"/>
        </w:rPr>
        <w:t>的股权</w:t>
      </w:r>
      <w:r>
        <w:rPr>
          <w:spacing w:val="-95"/>
        </w:rPr>
        <w:t> </w:t>
      </w:r>
      <w:r>
        <w:rPr/>
        <w:t>以</w:t>
      </w:r>
      <w:r>
        <w:rPr>
          <w:rFonts w:ascii="Times New Roman" w:hAnsi="Times New Roman" w:cs="Times New Roman" w:eastAsia="Times New Roman" w:hint="default"/>
        </w:rPr>
        <w:t>37,700</w:t>
      </w:r>
      <w:r>
        <w:rPr/>
        <w:t>元的价格转让给鹰潭市鹰伟投资咨询有限公司；</w:t>
      </w:r>
      <w:r>
        <w:rPr>
          <w:rFonts w:ascii="Times New Roman" w:hAnsi="Times New Roman" w:cs="Times New Roman" w:eastAsia="Times New Roman" w:hint="default"/>
        </w:rPr>
        <w:t>1.629%</w:t>
      </w:r>
      <w:r>
        <w:rPr/>
        <w:t>的股权以</w:t>
      </w:r>
      <w:r>
        <w:rPr>
          <w:rFonts w:ascii="Times New Roman" w:hAnsi="Times New Roman" w:cs="Times New Roman" w:eastAsia="Times New Roman" w:hint="default"/>
        </w:rPr>
        <w:t>30,200</w:t>
      </w:r>
      <w:r>
        <w:rPr/>
        <w:t>元的价格转让给鹰潭</w:t>
      </w:r>
      <w:r>
        <w:rPr>
          <w:spacing w:val="-91"/>
        </w:rPr>
        <w:t> </w:t>
      </w:r>
      <w:r>
        <w:rPr>
          <w:spacing w:val="-91"/>
        </w:rPr>
      </w:r>
      <w:r>
        <w:rPr>
          <w:spacing w:val="4"/>
        </w:rPr>
        <w:t>市鹰达投资咨询有限公司；</w:t>
      </w:r>
      <w:r>
        <w:rPr>
          <w:rFonts w:ascii="Times New Roman" w:hAnsi="Times New Roman" w:cs="Times New Roman" w:eastAsia="Times New Roman" w:hint="default"/>
          <w:spacing w:val="4"/>
        </w:rPr>
        <w:t>1.387%</w:t>
      </w:r>
      <w:r>
        <w:rPr>
          <w:spacing w:val="4"/>
        </w:rPr>
        <w:t>的股权以</w:t>
      </w:r>
      <w:r>
        <w:rPr>
          <w:rFonts w:ascii="Times New Roman" w:hAnsi="Times New Roman" w:cs="Times New Roman" w:eastAsia="Times New Roman" w:hint="default"/>
          <w:spacing w:val="4"/>
        </w:rPr>
        <w:t>25,700</w:t>
      </w:r>
      <w:r>
        <w:rPr>
          <w:spacing w:val="4"/>
        </w:rPr>
        <w:t>元的价格转让给鹰潭市鹰杰投资咨询有限公司；</w:t>
      </w:r>
      <w:r>
        <w:rPr>
          <w:w w:val="99"/>
        </w:rPr>
        <w:t> </w:t>
      </w:r>
      <w:r>
        <w:rPr>
          <w:rFonts w:ascii="Times New Roman" w:hAnsi="Times New Roman" w:cs="Times New Roman" w:eastAsia="Times New Roman" w:hint="default"/>
          <w:w w:val="95"/>
        </w:rPr>
        <w:t>0.863%</w:t>
      </w:r>
      <w:r>
        <w:rPr>
          <w:w w:val="95"/>
        </w:rPr>
        <w:t>的股权以</w:t>
      </w:r>
      <w:r>
        <w:rPr>
          <w:rFonts w:ascii="Times New Roman" w:hAnsi="Times New Roman" w:cs="Times New Roman" w:eastAsia="Times New Roman" w:hint="default"/>
          <w:w w:val="95"/>
        </w:rPr>
        <w:t>16,000</w:t>
      </w:r>
      <w:r>
        <w:rPr>
          <w:w w:val="95"/>
        </w:rPr>
        <w:t>的价格转让给鹰潭市鹰飞投资咨询有限公司，此次五个股权转让方均为境内公</w:t>
      </w:r>
      <w:r>
        <w:rPr>
          <w:spacing w:val="42"/>
          <w:w w:val="95"/>
        </w:rPr>
        <w:t> </w:t>
      </w:r>
      <w:r>
        <w:rPr>
          <w:spacing w:val="42"/>
          <w:w w:val="95"/>
        </w:rPr>
      </w:r>
      <w:r>
        <w:rPr>
          <w:spacing w:val="-3"/>
        </w:rPr>
        <w:t>司</w:t>
      </w:r>
      <w:r>
        <w:rPr>
          <w:rFonts w:ascii="Times New Roman" w:hAnsi="Times New Roman" w:cs="Times New Roman" w:eastAsia="Times New Roman" w:hint="default"/>
          <w:spacing w:val="-3"/>
        </w:rPr>
        <w:t>,</w:t>
      </w:r>
      <w:r>
        <w:rPr>
          <w:spacing w:val="-3"/>
        </w:rPr>
        <w:t>转让后公司变更为中外合资企业。</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w:t>
      </w:r>
      <w:r>
        <w:rPr>
          <w:spacing w:val="-3"/>
        </w:rPr>
        <w:t>日，公司于北京市工商行政管理局完成了本次股权转</w:t>
      </w:r>
      <w:r>
        <w:rPr>
          <w:spacing w:val="-80"/>
        </w:rPr>
        <w:t> </w:t>
      </w:r>
      <w:r>
        <w:rPr>
          <w:spacing w:val="-80"/>
        </w:rPr>
      </w:r>
      <w:r>
        <w:rPr/>
        <w:t>让的工商登记变更手续。本次股权转让前后的股东构成及出资情况如下：</w:t>
      </w:r>
    </w:p>
    <w:p>
      <w:pPr>
        <w:spacing w:line="240" w:lineRule="auto" w:before="3"/>
        <w:rPr>
          <w:rFonts w:ascii="宋体" w:hAnsi="宋体" w:cs="宋体" w:eastAsia="宋体" w:hint="default"/>
          <w:sz w:val="3"/>
          <w:szCs w:val="3"/>
        </w:rPr>
      </w:pPr>
    </w:p>
    <w:tbl>
      <w:tblPr>
        <w:tblW w:w="0" w:type="auto"/>
        <w:jc w:val="left"/>
        <w:tblInd w:w="1021" w:type="dxa"/>
        <w:tblLayout w:type="fixed"/>
        <w:tblCellMar>
          <w:top w:w="0" w:type="dxa"/>
          <w:left w:w="0" w:type="dxa"/>
          <w:bottom w:w="0" w:type="dxa"/>
          <w:right w:w="0" w:type="dxa"/>
        </w:tblCellMar>
        <w:tblLook w:val="01E0"/>
      </w:tblPr>
      <w:tblGrid>
        <w:gridCol w:w="1991"/>
        <w:gridCol w:w="1718"/>
        <w:gridCol w:w="1251"/>
        <w:gridCol w:w="1714"/>
        <w:gridCol w:w="1719"/>
        <w:gridCol w:w="1248"/>
      </w:tblGrid>
      <w:tr>
        <w:trPr>
          <w:trHeight w:val="322" w:hRule="exact"/>
        </w:trPr>
        <w:tc>
          <w:tcPr>
            <w:tcW w:w="1991" w:type="dxa"/>
            <w:vMerge w:val="restart"/>
            <w:tcBorders>
              <w:top w:val="single" w:sz="4" w:space="0" w:color="000000"/>
              <w:left w:val="single" w:sz="4" w:space="0" w:color="000000"/>
              <w:right w:val="single" w:sz="4" w:space="0" w:color="000000"/>
            </w:tcBorders>
          </w:tcPr>
          <w:p>
            <w:pPr>
              <w:pStyle w:val="TableParagraph"/>
              <w:spacing w:line="256" w:lineRule="exact"/>
              <w:ind w:left="589" w:right="0"/>
              <w:jc w:val="left"/>
              <w:rPr>
                <w:rFonts w:ascii="宋体" w:hAnsi="宋体" w:cs="宋体" w:eastAsia="宋体" w:hint="default"/>
                <w:sz w:val="20"/>
                <w:szCs w:val="20"/>
              </w:rPr>
            </w:pPr>
            <w:r>
              <w:rPr>
                <w:rFonts w:ascii="宋体" w:hAnsi="宋体" w:cs="宋体" w:eastAsia="宋体" w:hint="default"/>
                <w:b/>
                <w:bCs/>
                <w:sz w:val="20"/>
                <w:szCs w:val="20"/>
              </w:rPr>
              <w:t>股东名称</w:t>
            </w:r>
            <w:r>
              <w:rPr>
                <w:rFonts w:ascii="宋体" w:hAnsi="宋体" w:cs="宋体" w:eastAsia="宋体" w:hint="default"/>
                <w:sz w:val="20"/>
                <w:szCs w:val="20"/>
              </w:rPr>
            </w:r>
          </w:p>
        </w:tc>
        <w:tc>
          <w:tcPr>
            <w:tcW w:w="29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976" w:right="0"/>
              <w:jc w:val="left"/>
              <w:rPr>
                <w:rFonts w:ascii="宋体" w:hAnsi="宋体" w:cs="宋体" w:eastAsia="宋体" w:hint="default"/>
                <w:sz w:val="20"/>
                <w:szCs w:val="20"/>
              </w:rPr>
            </w:pPr>
            <w:r>
              <w:rPr>
                <w:rFonts w:ascii="宋体" w:hAnsi="宋体" w:cs="宋体" w:eastAsia="宋体" w:hint="default"/>
                <w:b/>
                <w:bCs/>
                <w:sz w:val="20"/>
                <w:szCs w:val="20"/>
              </w:rPr>
              <w:t>股权变更前</w:t>
            </w:r>
            <w:r>
              <w:rPr>
                <w:rFonts w:ascii="宋体" w:hAnsi="宋体" w:cs="宋体" w:eastAsia="宋体" w:hint="default"/>
                <w:sz w:val="20"/>
                <w:szCs w:val="20"/>
              </w:rPr>
            </w:r>
          </w:p>
        </w:tc>
        <w:tc>
          <w:tcPr>
            <w:tcW w:w="1714" w:type="dxa"/>
            <w:vMerge w:val="restart"/>
            <w:tcBorders>
              <w:top w:val="single" w:sz="4" w:space="0" w:color="000000"/>
              <w:left w:val="single" w:sz="4" w:space="0" w:color="000000"/>
              <w:right w:val="single" w:sz="4" w:space="0" w:color="000000"/>
            </w:tcBorders>
          </w:tcPr>
          <w:p>
            <w:pPr>
              <w:pStyle w:val="TableParagraph"/>
              <w:spacing w:line="256" w:lineRule="exact"/>
              <w:ind w:left="448" w:right="0"/>
              <w:jc w:val="left"/>
              <w:rPr>
                <w:rFonts w:ascii="宋体" w:hAnsi="宋体" w:cs="宋体" w:eastAsia="宋体" w:hint="default"/>
                <w:sz w:val="20"/>
                <w:szCs w:val="20"/>
              </w:rPr>
            </w:pPr>
            <w:r>
              <w:rPr>
                <w:rFonts w:ascii="宋体" w:hAnsi="宋体" w:cs="宋体" w:eastAsia="宋体" w:hint="default"/>
                <w:b/>
                <w:bCs/>
                <w:sz w:val="20"/>
                <w:szCs w:val="20"/>
              </w:rPr>
              <w:t>出资变动</w:t>
            </w:r>
            <w:r>
              <w:rPr>
                <w:rFonts w:ascii="宋体" w:hAnsi="宋体" w:cs="宋体" w:eastAsia="宋体" w:hint="default"/>
                <w:sz w:val="20"/>
                <w:szCs w:val="20"/>
              </w:rPr>
            </w:r>
          </w:p>
        </w:tc>
        <w:tc>
          <w:tcPr>
            <w:tcW w:w="29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976" w:right="0"/>
              <w:jc w:val="left"/>
              <w:rPr>
                <w:rFonts w:ascii="宋体" w:hAnsi="宋体" w:cs="宋体" w:eastAsia="宋体" w:hint="default"/>
                <w:sz w:val="20"/>
                <w:szCs w:val="20"/>
              </w:rPr>
            </w:pPr>
            <w:r>
              <w:rPr>
                <w:rFonts w:ascii="宋体" w:hAnsi="宋体" w:cs="宋体" w:eastAsia="宋体" w:hint="default"/>
                <w:b/>
                <w:bCs/>
                <w:sz w:val="20"/>
                <w:szCs w:val="20"/>
              </w:rPr>
              <w:t>股权变更后</w:t>
            </w:r>
            <w:r>
              <w:rPr>
                <w:rFonts w:ascii="宋体" w:hAnsi="宋体" w:cs="宋体" w:eastAsia="宋体" w:hint="default"/>
                <w:sz w:val="20"/>
                <w:szCs w:val="20"/>
              </w:rPr>
            </w:r>
          </w:p>
        </w:tc>
      </w:tr>
      <w:tr>
        <w:trPr>
          <w:trHeight w:val="323" w:hRule="exact"/>
        </w:trPr>
        <w:tc>
          <w:tcPr>
            <w:tcW w:w="1991" w:type="dxa"/>
            <w:vMerge/>
            <w:tcBorders>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52" w:right="0"/>
              <w:jc w:val="left"/>
              <w:rPr>
                <w:rFonts w:ascii="宋体" w:hAnsi="宋体" w:cs="宋体" w:eastAsia="宋体" w:hint="default"/>
                <w:sz w:val="20"/>
                <w:szCs w:val="20"/>
              </w:rPr>
            </w:pPr>
            <w:r>
              <w:rPr>
                <w:rFonts w:ascii="宋体" w:hAnsi="宋体" w:cs="宋体" w:eastAsia="宋体" w:hint="default"/>
                <w:b/>
                <w:bCs/>
                <w:sz w:val="20"/>
                <w:szCs w:val="20"/>
              </w:rPr>
              <w:t>出资金额</w:t>
            </w:r>
            <w:r>
              <w:rPr>
                <w:rFonts w:ascii="宋体" w:hAnsi="宋体" w:cs="宋体" w:eastAsia="宋体" w:hint="default"/>
                <w:sz w:val="20"/>
                <w:szCs w:val="20"/>
              </w:rPr>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18" w:right="0"/>
              <w:jc w:val="left"/>
              <w:rPr>
                <w:rFonts w:ascii="宋体" w:hAnsi="宋体" w:cs="宋体" w:eastAsia="宋体" w:hint="default"/>
                <w:sz w:val="20"/>
                <w:szCs w:val="20"/>
              </w:rPr>
            </w:pPr>
            <w:r>
              <w:rPr>
                <w:rFonts w:ascii="宋体" w:hAnsi="宋体" w:cs="宋体" w:eastAsia="宋体" w:hint="default"/>
                <w:b/>
                <w:bCs/>
                <w:sz w:val="20"/>
                <w:szCs w:val="20"/>
              </w:rPr>
              <w:t>出资比例</w:t>
            </w:r>
            <w:r>
              <w:rPr>
                <w:rFonts w:ascii="宋体" w:hAnsi="宋体" w:cs="宋体" w:eastAsia="宋体" w:hint="default"/>
                <w:sz w:val="20"/>
                <w:szCs w:val="20"/>
              </w:rPr>
            </w:r>
          </w:p>
        </w:tc>
        <w:tc>
          <w:tcPr>
            <w:tcW w:w="1714" w:type="dxa"/>
            <w:vMerge/>
            <w:tcBorders>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52" w:right="0"/>
              <w:jc w:val="left"/>
              <w:rPr>
                <w:rFonts w:ascii="宋体" w:hAnsi="宋体" w:cs="宋体" w:eastAsia="宋体" w:hint="default"/>
                <w:sz w:val="20"/>
                <w:szCs w:val="20"/>
              </w:rPr>
            </w:pPr>
            <w:r>
              <w:rPr>
                <w:rFonts w:ascii="宋体" w:hAnsi="宋体" w:cs="宋体" w:eastAsia="宋体" w:hint="default"/>
                <w:b/>
                <w:bCs/>
                <w:sz w:val="20"/>
                <w:szCs w:val="20"/>
              </w:rPr>
              <w:t>出资金额</w:t>
            </w:r>
            <w:r>
              <w:rPr>
                <w:rFonts w:ascii="宋体" w:hAnsi="宋体" w:cs="宋体" w:eastAsia="宋体" w:hint="default"/>
                <w:sz w:val="20"/>
                <w:szCs w:val="20"/>
              </w:rPr>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16" w:right="0"/>
              <w:jc w:val="left"/>
              <w:rPr>
                <w:rFonts w:ascii="宋体" w:hAnsi="宋体" w:cs="宋体" w:eastAsia="宋体" w:hint="default"/>
                <w:sz w:val="20"/>
                <w:szCs w:val="20"/>
              </w:rPr>
            </w:pPr>
            <w:r>
              <w:rPr>
                <w:rFonts w:ascii="宋体" w:hAnsi="宋体" w:cs="宋体" w:eastAsia="宋体" w:hint="default"/>
                <w:b/>
                <w:bCs/>
                <w:sz w:val="20"/>
                <w:szCs w:val="20"/>
              </w:rPr>
              <w:t>出资比例</w:t>
            </w:r>
            <w:r>
              <w:rPr>
                <w:rFonts w:ascii="宋体" w:hAnsi="宋体" w:cs="宋体" w:eastAsia="宋体" w:hint="default"/>
                <w:sz w:val="20"/>
                <w:szCs w:val="20"/>
              </w:rPr>
            </w:r>
          </w:p>
        </w:tc>
      </w:tr>
      <w:tr>
        <w:trPr>
          <w:trHeight w:val="634" w:hRule="exact"/>
        </w:trPr>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75"/>
              <w:jc w:val="left"/>
              <w:rPr>
                <w:rFonts w:ascii="宋体" w:hAnsi="宋体" w:cs="宋体" w:eastAsia="宋体" w:hint="default"/>
                <w:sz w:val="20"/>
                <w:szCs w:val="20"/>
              </w:rPr>
            </w:pPr>
            <w:r>
              <w:rPr>
                <w:rFonts w:ascii="宋体" w:hAnsi="宋体" w:cs="宋体" w:eastAsia="宋体" w:hint="default"/>
                <w:sz w:val="20"/>
                <w:szCs w:val="20"/>
              </w:rPr>
              <w:t>高伟达控股有限公</w:t>
            </w:r>
            <w:r>
              <w:rPr>
                <w:rFonts w:ascii="宋体" w:hAnsi="宋体" w:cs="宋体" w:eastAsia="宋体" w:hint="default"/>
                <w:w w:val="100"/>
                <w:sz w:val="20"/>
                <w:szCs w:val="20"/>
              </w:rPr>
              <w:t> </w:t>
            </w:r>
            <w:r>
              <w:rPr>
                <w:rFonts w:ascii="宋体" w:hAnsi="宋体" w:cs="宋体" w:eastAsia="宋体" w:hint="default"/>
                <w:sz w:val="20"/>
                <w:szCs w:val="20"/>
              </w:rPr>
              <w:t>司</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65,000,000.00</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100.000%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-35,064,250.00</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29,935,750.00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46.055%</w:t>
            </w:r>
          </w:p>
        </w:tc>
      </w:tr>
      <w:tr>
        <w:trPr>
          <w:trHeight w:val="634" w:hRule="exact"/>
        </w:trPr>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75"/>
              <w:jc w:val="left"/>
              <w:rPr>
                <w:rFonts w:ascii="宋体" w:hAnsi="宋体" w:cs="宋体" w:eastAsia="宋体" w:hint="default"/>
                <w:sz w:val="20"/>
                <w:szCs w:val="20"/>
              </w:rPr>
            </w:pPr>
            <w:r>
              <w:rPr>
                <w:rFonts w:ascii="宋体" w:hAnsi="宋体" w:cs="宋体" w:eastAsia="宋体" w:hint="default"/>
                <w:sz w:val="20"/>
                <w:szCs w:val="20"/>
              </w:rPr>
              <w:t>鹰潭市鹰高投资咨</w:t>
            </w:r>
            <w:r>
              <w:rPr>
                <w:rFonts w:ascii="宋体" w:hAnsi="宋体" w:cs="宋体" w:eastAsia="宋体" w:hint="default"/>
                <w:w w:val="100"/>
                <w:sz w:val="20"/>
                <w:szCs w:val="20"/>
              </w:rPr>
              <w:t> </w:t>
            </w:r>
            <w:r>
              <w:rPr>
                <w:rFonts w:ascii="宋体" w:hAnsi="宋体" w:cs="宋体" w:eastAsia="宋体" w:hint="default"/>
                <w:sz w:val="20"/>
                <w:szCs w:val="20"/>
              </w:rPr>
              <w:t>询有限公司</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0.00</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0.000%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31,220,800.00</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31,220,800.00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48.032%</w:t>
            </w:r>
          </w:p>
        </w:tc>
      </w:tr>
      <w:tr>
        <w:trPr>
          <w:trHeight w:val="635" w:hRule="exact"/>
        </w:trPr>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75"/>
              <w:jc w:val="left"/>
              <w:rPr>
                <w:rFonts w:ascii="宋体" w:hAnsi="宋体" w:cs="宋体" w:eastAsia="宋体" w:hint="default"/>
                <w:sz w:val="20"/>
                <w:szCs w:val="20"/>
              </w:rPr>
            </w:pPr>
            <w:r>
              <w:rPr>
                <w:rFonts w:ascii="宋体" w:hAnsi="宋体" w:cs="宋体" w:eastAsia="宋体" w:hint="default"/>
                <w:sz w:val="20"/>
                <w:szCs w:val="20"/>
              </w:rPr>
              <w:t>鹰潭市鹰伟投资咨</w:t>
            </w:r>
            <w:r>
              <w:rPr>
                <w:rFonts w:ascii="宋体" w:hAnsi="宋体" w:cs="宋体" w:eastAsia="宋体" w:hint="default"/>
                <w:w w:val="100"/>
                <w:sz w:val="20"/>
                <w:szCs w:val="20"/>
              </w:rPr>
              <w:t> </w:t>
            </w:r>
            <w:r>
              <w:rPr>
                <w:rFonts w:ascii="宋体" w:hAnsi="宋体" w:cs="宋体" w:eastAsia="宋体" w:hint="default"/>
                <w:sz w:val="20"/>
                <w:szCs w:val="20"/>
              </w:rPr>
              <w:t>询有限公司</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0.00</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0.000%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1,322,100.00</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1,322,100.00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2.034%</w:t>
            </w:r>
          </w:p>
        </w:tc>
      </w:tr>
      <w:tr>
        <w:trPr>
          <w:trHeight w:val="634" w:hRule="exact"/>
        </w:trPr>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75"/>
              <w:jc w:val="left"/>
              <w:rPr>
                <w:rFonts w:ascii="宋体" w:hAnsi="宋体" w:cs="宋体" w:eastAsia="宋体" w:hint="default"/>
                <w:sz w:val="20"/>
                <w:szCs w:val="20"/>
              </w:rPr>
            </w:pPr>
            <w:r>
              <w:rPr>
                <w:rFonts w:ascii="宋体" w:hAnsi="宋体" w:cs="宋体" w:eastAsia="宋体" w:hint="default"/>
                <w:sz w:val="20"/>
                <w:szCs w:val="20"/>
              </w:rPr>
              <w:t>鹰潭市鹰飞投资咨</w:t>
            </w:r>
            <w:r>
              <w:rPr>
                <w:rFonts w:ascii="宋体" w:hAnsi="宋体" w:cs="宋体" w:eastAsia="宋体" w:hint="default"/>
                <w:w w:val="100"/>
                <w:sz w:val="20"/>
                <w:szCs w:val="20"/>
              </w:rPr>
              <w:t> </w:t>
            </w:r>
            <w:r>
              <w:rPr>
                <w:rFonts w:ascii="宋体" w:hAnsi="宋体" w:cs="宋体" w:eastAsia="宋体" w:hint="default"/>
                <w:sz w:val="20"/>
                <w:szCs w:val="20"/>
              </w:rPr>
              <w:t>询有限公司</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0.00</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0.000%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560,950.00</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560,950.00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0.863%</w:t>
            </w:r>
          </w:p>
        </w:tc>
      </w:tr>
      <w:tr>
        <w:trPr>
          <w:trHeight w:val="634" w:hRule="exact"/>
        </w:trPr>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75"/>
              <w:jc w:val="left"/>
              <w:rPr>
                <w:rFonts w:ascii="宋体" w:hAnsi="宋体" w:cs="宋体" w:eastAsia="宋体" w:hint="default"/>
                <w:sz w:val="20"/>
                <w:szCs w:val="20"/>
              </w:rPr>
            </w:pPr>
            <w:r>
              <w:rPr>
                <w:rFonts w:ascii="宋体" w:hAnsi="宋体" w:cs="宋体" w:eastAsia="宋体" w:hint="default"/>
                <w:sz w:val="20"/>
                <w:szCs w:val="20"/>
              </w:rPr>
              <w:t>鹰潭市鹰杰投资咨</w:t>
            </w:r>
            <w:r>
              <w:rPr>
                <w:rFonts w:ascii="宋体" w:hAnsi="宋体" w:cs="宋体" w:eastAsia="宋体" w:hint="default"/>
                <w:w w:val="100"/>
                <w:sz w:val="20"/>
                <w:szCs w:val="20"/>
              </w:rPr>
              <w:t> </w:t>
            </w:r>
            <w:r>
              <w:rPr>
                <w:rFonts w:ascii="宋体" w:hAnsi="宋体" w:cs="宋体" w:eastAsia="宋体" w:hint="default"/>
                <w:sz w:val="20"/>
                <w:szCs w:val="20"/>
              </w:rPr>
              <w:t>询有限公司</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0.00</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0.000%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901,550.00</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901,550.00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1.387%</w:t>
            </w:r>
          </w:p>
        </w:tc>
      </w:tr>
      <w:tr>
        <w:trPr>
          <w:trHeight w:val="635" w:hRule="exact"/>
        </w:trPr>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75"/>
              <w:jc w:val="left"/>
              <w:rPr>
                <w:rFonts w:ascii="宋体" w:hAnsi="宋体" w:cs="宋体" w:eastAsia="宋体" w:hint="default"/>
                <w:sz w:val="20"/>
                <w:szCs w:val="20"/>
              </w:rPr>
            </w:pPr>
            <w:r>
              <w:rPr>
                <w:rFonts w:ascii="宋体" w:hAnsi="宋体" w:cs="宋体" w:eastAsia="宋体" w:hint="default"/>
                <w:sz w:val="20"/>
                <w:szCs w:val="20"/>
              </w:rPr>
              <w:t>鹰潭市鹰达投资咨</w:t>
            </w:r>
            <w:r>
              <w:rPr>
                <w:rFonts w:ascii="宋体" w:hAnsi="宋体" w:cs="宋体" w:eastAsia="宋体" w:hint="default"/>
                <w:w w:val="100"/>
                <w:sz w:val="20"/>
                <w:szCs w:val="20"/>
              </w:rPr>
              <w:t> </w:t>
            </w:r>
            <w:r>
              <w:rPr>
                <w:rFonts w:ascii="宋体" w:hAnsi="宋体" w:cs="宋体" w:eastAsia="宋体" w:hint="default"/>
                <w:sz w:val="20"/>
                <w:szCs w:val="20"/>
              </w:rPr>
              <w:t>询有限公司</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0.00</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0.000%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1,058,850.00</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1,058,850.00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1.629%</w:t>
            </w:r>
          </w:p>
        </w:tc>
      </w:tr>
      <w:tr>
        <w:trPr>
          <w:trHeight w:val="322" w:hRule="exact"/>
        </w:trPr>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b/>
                <w:spacing w:val="-1"/>
                <w:sz w:val="18"/>
              </w:rPr>
              <w:t>65,000,000.00</w:t>
            </w:r>
            <w:r>
              <w:rPr>
                <w:rFonts w:ascii="Times New Roman"/>
                <w:spacing w:val="-1"/>
                <w:sz w:val="18"/>
              </w:rPr>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b/>
                <w:sz w:val="18"/>
              </w:rPr>
              <w:t>100.000%</w:t>
            </w:r>
            <w:r>
              <w:rPr>
                <w:rFonts w:ascii="Times New Roman"/>
                <w:sz w:val="18"/>
              </w:rPr>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b/>
                <w:spacing w:val="-1"/>
                <w:sz w:val="18"/>
              </w:rPr>
              <w:t>65,000,000.00</w:t>
            </w:r>
            <w:r>
              <w:rPr>
                <w:rFonts w:ascii="Times New Roman"/>
                <w:spacing w:val="-1"/>
                <w:sz w:val="18"/>
              </w:rPr>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b/>
                <w:sz w:val="18"/>
              </w:rPr>
              <w:t>100.000%</w:t>
            </w:r>
            <w:r>
              <w:rPr>
                <w:rFonts w:ascii="Times New Roman"/>
                <w:sz w:val="18"/>
              </w:rPr>
            </w:r>
          </w:p>
        </w:tc>
      </w:tr>
    </w:tbl>
    <w:p>
      <w:pPr>
        <w:spacing w:line="240" w:lineRule="auto" w:before="13"/>
        <w:rPr>
          <w:rFonts w:ascii="宋体" w:hAnsi="宋体" w:cs="宋体" w:eastAsia="宋体" w:hint="default"/>
          <w:sz w:val="4"/>
          <w:szCs w:val="4"/>
        </w:rPr>
      </w:pPr>
    </w:p>
    <w:p>
      <w:pPr>
        <w:pStyle w:val="Heading3"/>
        <w:spacing w:line="244" w:lineRule="auto" w:before="31"/>
        <w:ind w:right="1129"/>
        <w:jc w:val="both"/>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日，高伟达有限全体股东一致同意股东高伟达控股有限公司将所持公司</w:t>
      </w:r>
      <w:r>
        <w:rPr>
          <w:rFonts w:ascii="Times New Roman" w:hAnsi="Times New Roman" w:cs="Times New Roman" w:eastAsia="Times New Roman" w:hint="default"/>
        </w:rPr>
        <w:t>1,043.575</w:t>
      </w:r>
      <w:r>
        <w:rPr/>
        <w:t>万</w:t>
      </w:r>
      <w:r>
        <w:rPr>
          <w:w w:val="99"/>
        </w:rPr>
        <w:t> </w:t>
      </w:r>
      <w:r>
        <w:rPr>
          <w:w w:val="95"/>
        </w:rPr>
        <w:t>元、占变更前注册资本</w:t>
      </w:r>
      <w:r>
        <w:rPr>
          <w:rFonts w:ascii="Times New Roman" w:hAnsi="Times New Roman" w:cs="Times New Roman" w:eastAsia="Times New Roman" w:hint="default"/>
          <w:w w:val="95"/>
        </w:rPr>
        <w:t>16.055%</w:t>
      </w:r>
      <w:r>
        <w:rPr>
          <w:w w:val="95"/>
        </w:rPr>
        <w:t>的股权转让给贵昌有限公司（</w:t>
      </w:r>
      <w:r>
        <w:rPr>
          <w:rFonts w:ascii="Times New Roman" w:hAnsi="Times New Roman" w:cs="Times New Roman" w:eastAsia="Times New Roman" w:hint="default"/>
          <w:w w:val="95"/>
        </w:rPr>
        <w:t>NobleEffortLimited</w:t>
      </w:r>
      <w:r>
        <w:rPr>
          <w:w w:val="95"/>
        </w:rPr>
        <w:t>）；将所持公司</w:t>
      </w:r>
      <w:r>
        <w:rPr>
          <w:rFonts w:ascii="Times New Roman" w:hAnsi="Times New Roman" w:cs="Times New Roman" w:eastAsia="Times New Roman" w:hint="default"/>
          <w:w w:val="95"/>
        </w:rPr>
        <w:t>1,950</w:t>
      </w:r>
      <w:r>
        <w:rPr>
          <w:rFonts w:ascii="Times New Roman" w:hAnsi="Times New Roman" w:cs="Times New Roman" w:eastAsia="Times New Roman" w:hint="default"/>
          <w:spacing w:val="45"/>
          <w:w w:val="95"/>
        </w:rPr>
        <w:t> </w:t>
      </w:r>
      <w:r>
        <w:rPr/>
        <w:t>万元、占变更前注册资本</w:t>
      </w:r>
      <w:r>
        <w:rPr>
          <w:rFonts w:ascii="Times New Roman" w:hAnsi="Times New Roman" w:cs="Times New Roman" w:eastAsia="Times New Roman" w:hint="default"/>
        </w:rPr>
        <w:t>30%</w:t>
      </w:r>
      <w:r>
        <w:rPr/>
        <w:t>的股权转让给银联科技有限公司（</w:t>
      </w:r>
      <w:r>
        <w:rPr>
          <w:rFonts w:ascii="Times New Roman" w:hAnsi="Times New Roman" w:cs="Times New Roman" w:eastAsia="Times New Roman" w:hint="default"/>
        </w:rPr>
        <w:t>SilverTeamTechnologyLimited</w:t>
      </w:r>
      <w:r>
        <w:rPr/>
        <w:t>）。同</w:t>
      </w:r>
      <w:r>
        <w:rPr>
          <w:spacing w:val="-44"/>
        </w:rPr>
        <w:t> </w:t>
      </w:r>
      <w:r>
        <w:rPr/>
        <w:t>时，申请增加注册资本人民币</w:t>
      </w:r>
      <w:r>
        <w:rPr>
          <w:rFonts w:ascii="Times New Roman" w:hAnsi="Times New Roman" w:cs="Times New Roman" w:eastAsia="Times New Roman" w:hint="default"/>
        </w:rPr>
        <w:t>722.2222</w:t>
      </w:r>
      <w:r>
        <w:rPr/>
        <w:t>万元，其中：由股东鹰潭市鹰伟投资咨询有限公司以货币方式</w:t>
      </w:r>
      <w:r>
        <w:rPr>
          <w:w w:val="99"/>
        </w:rPr>
        <w:t> </w:t>
      </w:r>
      <w:r>
        <w:rPr/>
        <w:t>增资</w:t>
      </w:r>
      <w:r>
        <w:rPr>
          <w:rFonts w:ascii="Times New Roman" w:hAnsi="Times New Roman" w:cs="Times New Roman" w:eastAsia="Times New Roman" w:hint="default"/>
        </w:rPr>
        <w:t>67.9178</w:t>
      </w:r>
      <w:r>
        <w:rPr/>
        <w:t>万元；由股东鹰潭市鹰飞投资咨询有限公司以货币方式增资</w:t>
      </w:r>
      <w:r>
        <w:rPr>
          <w:rFonts w:ascii="Times New Roman" w:hAnsi="Times New Roman" w:cs="Times New Roman" w:eastAsia="Times New Roman" w:hint="default"/>
        </w:rPr>
        <w:t>70.5828</w:t>
      </w:r>
      <w:r>
        <w:rPr/>
        <w:t>万元；由股东鹰潭市</w:t>
      </w:r>
      <w:r>
        <w:rPr>
          <w:spacing w:val="-64"/>
        </w:rPr>
        <w:t> </w:t>
      </w:r>
      <w:r>
        <w:rPr>
          <w:spacing w:val="-64"/>
        </w:rPr>
      </w:r>
      <w:r>
        <w:rPr/>
        <w:t>鹰杰投资咨询有限公司以货币方式增资</w:t>
      </w:r>
      <w:r>
        <w:rPr>
          <w:rFonts w:ascii="Times New Roman" w:hAnsi="Times New Roman" w:cs="Times New Roman" w:eastAsia="Times New Roman" w:hint="default"/>
        </w:rPr>
        <w:t>50.895</w:t>
      </w:r>
      <w:r>
        <w:rPr/>
        <w:t>万元；由股东鹰潭市鹰达投资咨询有限公司以货币方式</w:t>
      </w:r>
      <w:r>
        <w:rPr>
          <w:w w:val="99"/>
        </w:rPr>
        <w:t> </w:t>
      </w:r>
      <w:r>
        <w:rPr>
          <w:spacing w:val="-1"/>
        </w:rPr>
        <w:t>增资</w:t>
      </w:r>
      <w:r>
        <w:rPr>
          <w:rFonts w:ascii="Times New Roman" w:hAnsi="Times New Roman" w:cs="Times New Roman" w:eastAsia="Times New Roman" w:hint="default"/>
          <w:spacing w:val="-1"/>
        </w:rPr>
        <w:t>95.0372</w:t>
      </w:r>
      <w:r>
        <w:rPr>
          <w:spacing w:val="-1"/>
        </w:rPr>
        <w:t>万元；由新增股东鹰潭市华鹰投资咨询有限公司以货币方式增资</w:t>
      </w:r>
      <w:r>
        <w:rPr>
          <w:rFonts w:ascii="Times New Roman" w:hAnsi="Times New Roman" w:cs="Times New Roman" w:eastAsia="Times New Roman" w:hint="default"/>
          <w:spacing w:val="-1"/>
        </w:rPr>
        <w:t>217.5116</w:t>
      </w:r>
      <w:r>
        <w:rPr>
          <w:spacing w:val="-1"/>
        </w:rPr>
        <w:t>万元；由新增股</w:t>
      </w:r>
      <w:r>
        <w:rPr>
          <w:w w:val="99"/>
        </w:rPr>
        <w:t> </w:t>
      </w:r>
      <w:r>
        <w:rPr/>
        <w:t>东鹰潭市锐鹰投资咨询有限公司以货币方式增资</w:t>
      </w:r>
      <w:r>
        <w:rPr>
          <w:rFonts w:ascii="Times New Roman" w:hAnsi="Times New Roman" w:cs="Times New Roman" w:eastAsia="Times New Roman" w:hint="default"/>
        </w:rPr>
        <w:t>220.2778</w:t>
      </w:r>
      <w:r>
        <w:rPr/>
        <w:t>万元。高伟达有限增资后的注册资本变更为</w:t>
      </w:r>
    </w:p>
    <w:p>
      <w:pPr>
        <w:spacing w:after="0" w:line="244" w:lineRule="auto"/>
        <w:jc w:val="both"/>
        <w:sectPr>
          <w:pgSz w:w="11910" w:h="16840"/>
          <w:pgMar w:header="877" w:footer="1187" w:top="1060" w:bottom="1380" w:left="0" w:right="0"/>
        </w:sectPr>
      </w:pPr>
    </w:p>
    <w:p>
      <w:pPr>
        <w:spacing w:line="240" w:lineRule="auto" w:before="4"/>
        <w:rPr>
          <w:rFonts w:ascii="宋体" w:hAnsi="宋体" w:cs="宋体" w:eastAsia="宋体" w:hint="default"/>
          <w:sz w:val="24"/>
          <w:szCs w:val="24"/>
        </w:rPr>
      </w:pPr>
    </w:p>
    <w:p>
      <w:pPr>
        <w:pStyle w:val="Heading3"/>
        <w:spacing w:line="249" w:lineRule="auto" w:before="31"/>
        <w:ind w:right="1112" w:firstLine="0"/>
        <w:jc w:val="both"/>
      </w:pPr>
      <w:r>
        <w:rPr>
          <w:spacing w:val="12"/>
        </w:rPr>
        <w:t>人民币</w:t>
      </w:r>
      <w:r>
        <w:rPr>
          <w:rFonts w:ascii="Times New Roman" w:hAnsi="Times New Roman" w:cs="Times New Roman" w:eastAsia="Times New Roman" w:hint="default"/>
          <w:spacing w:val="12"/>
        </w:rPr>
        <w:t>7,222.2222</w:t>
      </w:r>
      <w:r>
        <w:rPr>
          <w:spacing w:val="12"/>
        </w:rPr>
        <w:t>万元。上述变更业经信永中和会计师事务所有限责任公司于</w:t>
      </w:r>
      <w:r>
        <w:rPr>
          <w:spacing w:val="-90"/>
        </w:rPr>
        <w:t> </w:t>
      </w:r>
      <w:r>
        <w:rPr>
          <w:rFonts w:ascii="Times New Roman" w:hAnsi="Times New Roman" w:cs="Times New Roman" w:eastAsia="Times New Roman" w:hint="default"/>
          <w:spacing w:val="11"/>
        </w:rPr>
        <w:t>2011</w:t>
      </w:r>
      <w:r>
        <w:rPr>
          <w:spacing w:val="11"/>
        </w:rPr>
        <w:t>年</w:t>
      </w:r>
      <w:r>
        <w:rPr>
          <w:rFonts w:ascii="Times New Roman" w:hAnsi="Times New Roman" w:cs="Times New Roman" w:eastAsia="Times New Roman" w:hint="default"/>
          <w:spacing w:val="11"/>
        </w:rPr>
        <w:t>5</w:t>
      </w:r>
      <w:r>
        <w:rPr>
          <w:spacing w:val="11"/>
        </w:rPr>
        <w:t>月</w:t>
      </w:r>
      <w:r>
        <w:rPr>
          <w:rFonts w:ascii="Times New Roman" w:hAnsi="Times New Roman" w:cs="Times New Roman" w:eastAsia="Times New Roman" w:hint="default"/>
          <w:spacing w:val="11"/>
        </w:rPr>
        <w:t>20</w:t>
      </w:r>
      <w:r>
        <w:rPr>
          <w:spacing w:val="11"/>
        </w:rPr>
        <w:t>日以</w:t>
      </w:r>
      <w:r>
        <w:rPr>
          <w:spacing w:val="19"/>
          <w:w w:val="99"/>
        </w:rPr>
        <w:t> </w:t>
      </w:r>
      <w:r>
        <w:rPr>
          <w:rFonts w:ascii="Times New Roman" w:hAnsi="Times New Roman" w:cs="Times New Roman" w:eastAsia="Times New Roman" w:hint="default"/>
          <w:spacing w:val="-2"/>
        </w:rPr>
        <w:t>XYZH/2010A8023-1</w:t>
      </w:r>
      <w:r>
        <w:rPr>
          <w:spacing w:val="-2"/>
        </w:rPr>
        <w:t>号验资报告予以确认。</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25</w:t>
      </w:r>
      <w:r>
        <w:rPr>
          <w:spacing w:val="-2"/>
        </w:rPr>
        <w:t>日，公司于北京市工商行政管理局完成了本次</w:t>
      </w:r>
      <w:r>
        <w:rPr>
          <w:spacing w:val="-84"/>
        </w:rPr>
        <w:t> </w:t>
      </w:r>
      <w:r>
        <w:rPr>
          <w:spacing w:val="-84"/>
        </w:rPr>
      </w:r>
      <w:r>
        <w:rPr>
          <w:spacing w:val="-1"/>
        </w:rPr>
        <w:t>股权转让及增资的工商登记变更手续，并领取了本次工商变更后的营业执照。本次股权转让及新增注</w:t>
      </w:r>
      <w:r>
        <w:rPr>
          <w:w w:val="99"/>
        </w:rPr>
        <w:t> </w:t>
      </w:r>
      <w:r>
        <w:rPr/>
        <w:t>册资本前后的股东构成及出资情况如下：</w:t>
      </w:r>
    </w:p>
    <w:p>
      <w:pPr>
        <w:spacing w:line="240" w:lineRule="auto" w:before="12"/>
        <w:rPr>
          <w:rFonts w:ascii="宋体" w:hAnsi="宋体" w:cs="宋体" w:eastAsia="宋体" w:hint="default"/>
          <w:sz w:val="2"/>
          <w:szCs w:val="2"/>
        </w:rPr>
      </w:pPr>
    </w:p>
    <w:tbl>
      <w:tblPr>
        <w:tblW w:w="0" w:type="auto"/>
        <w:jc w:val="left"/>
        <w:tblInd w:w="1129" w:type="dxa"/>
        <w:tblLayout w:type="fixed"/>
        <w:tblCellMar>
          <w:top w:w="0" w:type="dxa"/>
          <w:left w:w="0" w:type="dxa"/>
          <w:bottom w:w="0" w:type="dxa"/>
          <w:right w:w="0" w:type="dxa"/>
        </w:tblCellMar>
        <w:tblLook w:val="01E0"/>
      </w:tblPr>
      <w:tblGrid>
        <w:gridCol w:w="1853"/>
        <w:gridCol w:w="1853"/>
        <w:gridCol w:w="1248"/>
        <w:gridCol w:w="1796"/>
        <w:gridCol w:w="1697"/>
        <w:gridCol w:w="1248"/>
      </w:tblGrid>
      <w:tr>
        <w:trPr>
          <w:trHeight w:val="342" w:hRule="exact"/>
        </w:trPr>
        <w:tc>
          <w:tcPr>
            <w:tcW w:w="1853" w:type="dxa"/>
            <w:vMerge w:val="restart"/>
            <w:tcBorders>
              <w:top w:val="single" w:sz="4" w:space="0" w:color="000000"/>
              <w:left w:val="single" w:sz="4" w:space="0" w:color="000000"/>
              <w:right w:val="single" w:sz="4" w:space="0" w:color="000000"/>
            </w:tcBorders>
          </w:tcPr>
          <w:p>
            <w:pPr>
              <w:pStyle w:val="TableParagraph"/>
              <w:spacing w:line="240" w:lineRule="auto" w:before="5"/>
              <w:ind w:left="520" w:right="0"/>
              <w:jc w:val="left"/>
              <w:rPr>
                <w:rFonts w:ascii="宋体" w:hAnsi="宋体" w:cs="宋体" w:eastAsia="宋体" w:hint="default"/>
                <w:sz w:val="20"/>
                <w:szCs w:val="20"/>
              </w:rPr>
            </w:pPr>
            <w:r>
              <w:rPr>
                <w:rFonts w:ascii="宋体" w:hAnsi="宋体" w:cs="宋体" w:eastAsia="宋体" w:hint="default"/>
                <w:b/>
                <w:bCs/>
                <w:sz w:val="20"/>
                <w:szCs w:val="20"/>
              </w:rPr>
              <w:t>股东名称</w:t>
            </w:r>
            <w:r>
              <w:rPr>
                <w:rFonts w:ascii="宋体" w:hAnsi="宋体" w:cs="宋体" w:eastAsia="宋体" w:hint="default"/>
                <w:sz w:val="20"/>
                <w:szCs w:val="20"/>
              </w:rPr>
            </w:r>
          </w:p>
        </w:tc>
        <w:tc>
          <w:tcPr>
            <w:tcW w:w="31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b/>
                <w:bCs/>
                <w:sz w:val="20"/>
                <w:szCs w:val="20"/>
              </w:rPr>
              <w:t>股权变更前</w:t>
            </w:r>
            <w:r>
              <w:rPr>
                <w:rFonts w:ascii="宋体" w:hAnsi="宋体" w:cs="宋体" w:eastAsia="宋体" w:hint="default"/>
                <w:sz w:val="20"/>
                <w:szCs w:val="20"/>
              </w:rPr>
            </w:r>
          </w:p>
        </w:tc>
        <w:tc>
          <w:tcPr>
            <w:tcW w:w="1796" w:type="dxa"/>
            <w:vMerge w:val="restart"/>
            <w:tcBorders>
              <w:top w:val="single" w:sz="4" w:space="0" w:color="000000"/>
              <w:left w:val="single" w:sz="4" w:space="0" w:color="000000"/>
              <w:right w:val="single" w:sz="4" w:space="0" w:color="000000"/>
            </w:tcBorders>
          </w:tcPr>
          <w:p>
            <w:pPr>
              <w:pStyle w:val="TableParagraph"/>
              <w:spacing w:line="240" w:lineRule="auto" w:before="5"/>
              <w:ind w:left="491" w:right="0"/>
              <w:jc w:val="left"/>
              <w:rPr>
                <w:rFonts w:ascii="宋体" w:hAnsi="宋体" w:cs="宋体" w:eastAsia="宋体" w:hint="default"/>
                <w:sz w:val="20"/>
                <w:szCs w:val="20"/>
              </w:rPr>
            </w:pPr>
            <w:r>
              <w:rPr>
                <w:rFonts w:ascii="宋体" w:hAnsi="宋体" w:cs="宋体" w:eastAsia="宋体" w:hint="default"/>
                <w:b/>
                <w:bCs/>
                <w:sz w:val="20"/>
                <w:szCs w:val="20"/>
              </w:rPr>
              <w:t>出资变动</w:t>
            </w:r>
            <w:r>
              <w:rPr>
                <w:rFonts w:ascii="宋体" w:hAnsi="宋体" w:cs="宋体" w:eastAsia="宋体" w:hint="default"/>
                <w:sz w:val="20"/>
                <w:szCs w:val="20"/>
              </w:rPr>
            </w:r>
          </w:p>
        </w:tc>
        <w:tc>
          <w:tcPr>
            <w:tcW w:w="29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965" w:right="0"/>
              <w:jc w:val="left"/>
              <w:rPr>
                <w:rFonts w:ascii="宋体" w:hAnsi="宋体" w:cs="宋体" w:eastAsia="宋体" w:hint="default"/>
                <w:sz w:val="20"/>
                <w:szCs w:val="20"/>
              </w:rPr>
            </w:pPr>
            <w:r>
              <w:rPr>
                <w:rFonts w:ascii="宋体" w:hAnsi="宋体" w:cs="宋体" w:eastAsia="宋体" w:hint="default"/>
                <w:b/>
                <w:bCs/>
                <w:sz w:val="20"/>
                <w:szCs w:val="20"/>
              </w:rPr>
              <w:t>股权变更后</w:t>
            </w:r>
            <w:r>
              <w:rPr>
                <w:rFonts w:ascii="宋体" w:hAnsi="宋体" w:cs="宋体" w:eastAsia="宋体" w:hint="default"/>
                <w:sz w:val="20"/>
                <w:szCs w:val="20"/>
              </w:rPr>
            </w:r>
          </w:p>
        </w:tc>
      </w:tr>
      <w:tr>
        <w:trPr>
          <w:trHeight w:val="342" w:hRule="exact"/>
        </w:trPr>
        <w:tc>
          <w:tcPr>
            <w:tcW w:w="1853" w:type="dxa"/>
            <w:vMerge/>
            <w:tcBorders>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519" w:right="0"/>
              <w:jc w:val="left"/>
              <w:rPr>
                <w:rFonts w:ascii="宋体" w:hAnsi="宋体" w:cs="宋体" w:eastAsia="宋体" w:hint="default"/>
                <w:sz w:val="20"/>
                <w:szCs w:val="20"/>
              </w:rPr>
            </w:pPr>
            <w:r>
              <w:rPr>
                <w:rFonts w:ascii="宋体" w:hAnsi="宋体" w:cs="宋体" w:eastAsia="宋体" w:hint="default"/>
                <w:b/>
                <w:bCs/>
                <w:sz w:val="20"/>
                <w:szCs w:val="20"/>
              </w:rPr>
              <w:t>出资金额</w:t>
            </w:r>
            <w:r>
              <w:rPr>
                <w:rFonts w:ascii="宋体" w:hAnsi="宋体" w:cs="宋体" w:eastAsia="宋体" w:hint="default"/>
                <w:sz w:val="20"/>
                <w:szCs w:val="20"/>
              </w:rPr>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18" w:right="0"/>
              <w:jc w:val="left"/>
              <w:rPr>
                <w:rFonts w:ascii="宋体" w:hAnsi="宋体" w:cs="宋体" w:eastAsia="宋体" w:hint="default"/>
                <w:sz w:val="20"/>
                <w:szCs w:val="20"/>
              </w:rPr>
            </w:pPr>
            <w:r>
              <w:rPr>
                <w:rFonts w:ascii="宋体" w:hAnsi="宋体" w:cs="宋体" w:eastAsia="宋体" w:hint="default"/>
                <w:b/>
                <w:bCs/>
                <w:sz w:val="20"/>
                <w:szCs w:val="20"/>
              </w:rPr>
              <w:t>出资比例</w:t>
            </w:r>
            <w:r>
              <w:rPr>
                <w:rFonts w:ascii="宋体" w:hAnsi="宋体" w:cs="宋体" w:eastAsia="宋体" w:hint="default"/>
                <w:sz w:val="20"/>
                <w:szCs w:val="20"/>
              </w:rPr>
            </w:r>
          </w:p>
        </w:tc>
        <w:tc>
          <w:tcPr>
            <w:tcW w:w="1796" w:type="dxa"/>
            <w:vMerge/>
            <w:tcBorders>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41" w:right="0"/>
              <w:jc w:val="left"/>
              <w:rPr>
                <w:rFonts w:ascii="宋体" w:hAnsi="宋体" w:cs="宋体" w:eastAsia="宋体" w:hint="default"/>
                <w:sz w:val="20"/>
                <w:szCs w:val="20"/>
              </w:rPr>
            </w:pPr>
            <w:r>
              <w:rPr>
                <w:rFonts w:ascii="宋体" w:hAnsi="宋体" w:cs="宋体" w:eastAsia="宋体" w:hint="default"/>
                <w:b/>
                <w:bCs/>
                <w:sz w:val="20"/>
                <w:szCs w:val="20"/>
              </w:rPr>
              <w:t>出资金额</w:t>
            </w:r>
            <w:r>
              <w:rPr>
                <w:rFonts w:ascii="宋体" w:hAnsi="宋体" w:cs="宋体" w:eastAsia="宋体" w:hint="default"/>
                <w:sz w:val="20"/>
                <w:szCs w:val="20"/>
              </w:rPr>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18" w:right="0"/>
              <w:jc w:val="left"/>
              <w:rPr>
                <w:rFonts w:ascii="宋体" w:hAnsi="宋体" w:cs="宋体" w:eastAsia="宋体" w:hint="default"/>
                <w:sz w:val="20"/>
                <w:szCs w:val="20"/>
              </w:rPr>
            </w:pPr>
            <w:r>
              <w:rPr>
                <w:rFonts w:ascii="宋体" w:hAnsi="宋体" w:cs="宋体" w:eastAsia="宋体" w:hint="default"/>
                <w:b/>
                <w:bCs/>
                <w:sz w:val="20"/>
                <w:szCs w:val="20"/>
              </w:rPr>
              <w:t>出资比例</w:t>
            </w:r>
            <w:r>
              <w:rPr>
                <w:rFonts w:ascii="宋体" w:hAnsi="宋体" w:cs="宋体" w:eastAsia="宋体" w:hint="default"/>
                <w:sz w:val="20"/>
                <w:szCs w:val="20"/>
              </w:rPr>
            </w:r>
          </w:p>
        </w:tc>
      </w:tr>
      <w:tr>
        <w:trPr>
          <w:trHeight w:val="342" w:hRule="exact"/>
        </w:trPr>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高伟达控股有限公司</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29,935,750.00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46.055%</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-29,935,750.00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z w:val="20"/>
              </w:rPr>
              <w:t>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z w:val="20"/>
              </w:rPr>
              <w:t>0.000%</w:t>
            </w:r>
          </w:p>
        </w:tc>
      </w:tr>
      <w:tr>
        <w:trPr>
          <w:trHeight w:val="654" w:hRule="exact"/>
        </w:trPr>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4" w:right="35"/>
              <w:jc w:val="left"/>
              <w:rPr>
                <w:rFonts w:ascii="宋体" w:hAnsi="宋体" w:cs="宋体" w:eastAsia="宋体" w:hint="default"/>
                <w:sz w:val="20"/>
                <w:szCs w:val="20"/>
              </w:rPr>
            </w:pPr>
            <w:r>
              <w:rPr>
                <w:rFonts w:ascii="宋体" w:hAnsi="宋体" w:cs="宋体" w:eastAsia="宋体" w:hint="default"/>
                <w:sz w:val="20"/>
                <w:szCs w:val="20"/>
              </w:rPr>
              <w:t>鹰潭市鹰高投资咨询</w:t>
            </w:r>
            <w:r>
              <w:rPr>
                <w:rFonts w:ascii="宋体" w:hAnsi="宋体" w:cs="宋体" w:eastAsia="宋体" w:hint="default"/>
                <w:w w:val="100"/>
                <w:sz w:val="20"/>
                <w:szCs w:val="20"/>
              </w:rPr>
              <w:t> </w:t>
            </w:r>
            <w:r>
              <w:rPr>
                <w:rFonts w:ascii="宋体" w:hAnsi="宋体" w:cs="宋体" w:eastAsia="宋体" w:hint="default"/>
                <w:sz w:val="20"/>
                <w:szCs w:val="20"/>
              </w:rPr>
              <w:t>有限公司</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31,220,800.00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48.032%</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z w:val="20"/>
              </w:rPr>
              <w:t>0.00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31,220,800.00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43.228%</w:t>
            </w:r>
          </w:p>
        </w:tc>
      </w:tr>
      <w:tr>
        <w:trPr>
          <w:trHeight w:val="654" w:hRule="exact"/>
        </w:trPr>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4" w:right="35"/>
              <w:jc w:val="left"/>
              <w:rPr>
                <w:rFonts w:ascii="宋体" w:hAnsi="宋体" w:cs="宋体" w:eastAsia="宋体" w:hint="default"/>
                <w:sz w:val="20"/>
                <w:szCs w:val="20"/>
              </w:rPr>
            </w:pPr>
            <w:r>
              <w:rPr>
                <w:rFonts w:ascii="宋体" w:hAnsi="宋体" w:cs="宋体" w:eastAsia="宋体" w:hint="default"/>
                <w:sz w:val="20"/>
                <w:szCs w:val="20"/>
              </w:rPr>
              <w:t>鹰潭市鹰伟投资咨询</w:t>
            </w:r>
            <w:r>
              <w:rPr>
                <w:rFonts w:ascii="宋体" w:hAnsi="宋体" w:cs="宋体" w:eastAsia="宋体" w:hint="default"/>
                <w:w w:val="100"/>
                <w:sz w:val="20"/>
                <w:szCs w:val="20"/>
              </w:rPr>
              <w:t> </w:t>
            </w:r>
            <w:r>
              <w:rPr>
                <w:rFonts w:ascii="宋体" w:hAnsi="宋体" w:cs="宋体" w:eastAsia="宋体" w:hint="default"/>
                <w:sz w:val="20"/>
                <w:szCs w:val="20"/>
              </w:rPr>
              <w:t>有限公司</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1,322,100.00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z w:val="20"/>
              </w:rPr>
              <w:t>2.034%</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679,178.00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2,001,278.00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z w:val="20"/>
              </w:rPr>
              <w:t>2.771%</w:t>
            </w:r>
          </w:p>
        </w:tc>
      </w:tr>
      <w:tr>
        <w:trPr>
          <w:trHeight w:val="654" w:hRule="exact"/>
        </w:trPr>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4" w:right="35"/>
              <w:jc w:val="left"/>
              <w:rPr>
                <w:rFonts w:ascii="宋体" w:hAnsi="宋体" w:cs="宋体" w:eastAsia="宋体" w:hint="default"/>
                <w:sz w:val="20"/>
                <w:szCs w:val="20"/>
              </w:rPr>
            </w:pPr>
            <w:r>
              <w:rPr>
                <w:rFonts w:ascii="宋体" w:hAnsi="宋体" w:cs="宋体" w:eastAsia="宋体" w:hint="default"/>
                <w:sz w:val="20"/>
                <w:szCs w:val="20"/>
              </w:rPr>
              <w:t>鹰潭市鹰飞投资咨询</w:t>
            </w:r>
            <w:r>
              <w:rPr>
                <w:rFonts w:ascii="宋体" w:hAnsi="宋体" w:cs="宋体" w:eastAsia="宋体" w:hint="default"/>
                <w:w w:val="100"/>
                <w:sz w:val="20"/>
                <w:szCs w:val="20"/>
              </w:rPr>
              <w:t> </w:t>
            </w:r>
            <w:r>
              <w:rPr>
                <w:rFonts w:ascii="宋体" w:hAnsi="宋体" w:cs="宋体" w:eastAsia="宋体" w:hint="default"/>
                <w:sz w:val="20"/>
                <w:szCs w:val="20"/>
              </w:rPr>
              <w:t>有限公司</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560,950.00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z w:val="20"/>
              </w:rPr>
              <w:t>0.863%</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705,828.00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1,266,778.00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z w:val="20"/>
              </w:rPr>
              <w:t>1.754%</w:t>
            </w:r>
          </w:p>
        </w:tc>
      </w:tr>
      <w:tr>
        <w:trPr>
          <w:trHeight w:val="654" w:hRule="exact"/>
        </w:trPr>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4" w:right="35"/>
              <w:jc w:val="left"/>
              <w:rPr>
                <w:rFonts w:ascii="宋体" w:hAnsi="宋体" w:cs="宋体" w:eastAsia="宋体" w:hint="default"/>
                <w:sz w:val="20"/>
                <w:szCs w:val="20"/>
              </w:rPr>
            </w:pPr>
            <w:r>
              <w:rPr>
                <w:rFonts w:ascii="宋体" w:hAnsi="宋体" w:cs="宋体" w:eastAsia="宋体" w:hint="default"/>
                <w:sz w:val="20"/>
                <w:szCs w:val="20"/>
              </w:rPr>
              <w:t>鹰潭市鹰杰投资咨询</w:t>
            </w:r>
            <w:r>
              <w:rPr>
                <w:rFonts w:ascii="宋体" w:hAnsi="宋体" w:cs="宋体" w:eastAsia="宋体" w:hint="default"/>
                <w:w w:val="100"/>
                <w:sz w:val="20"/>
                <w:szCs w:val="20"/>
              </w:rPr>
              <w:t> </w:t>
            </w:r>
            <w:r>
              <w:rPr>
                <w:rFonts w:ascii="宋体" w:hAnsi="宋体" w:cs="宋体" w:eastAsia="宋体" w:hint="default"/>
                <w:sz w:val="20"/>
                <w:szCs w:val="20"/>
              </w:rPr>
              <w:t>有限公司</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901,550.00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z w:val="20"/>
              </w:rPr>
              <w:t>1.387%</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508,950.00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1,410,500.00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z w:val="20"/>
              </w:rPr>
              <w:t>1.953%</w:t>
            </w:r>
          </w:p>
        </w:tc>
      </w:tr>
      <w:tr>
        <w:trPr>
          <w:trHeight w:val="654" w:hRule="exact"/>
        </w:trPr>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4" w:right="35"/>
              <w:jc w:val="left"/>
              <w:rPr>
                <w:rFonts w:ascii="宋体" w:hAnsi="宋体" w:cs="宋体" w:eastAsia="宋体" w:hint="default"/>
                <w:sz w:val="20"/>
                <w:szCs w:val="20"/>
              </w:rPr>
            </w:pPr>
            <w:r>
              <w:rPr>
                <w:rFonts w:ascii="宋体" w:hAnsi="宋体" w:cs="宋体" w:eastAsia="宋体" w:hint="default"/>
                <w:sz w:val="20"/>
                <w:szCs w:val="20"/>
              </w:rPr>
              <w:t>鹰潭市鹰达投资咨询</w:t>
            </w:r>
            <w:r>
              <w:rPr>
                <w:rFonts w:ascii="宋体" w:hAnsi="宋体" w:cs="宋体" w:eastAsia="宋体" w:hint="default"/>
                <w:w w:val="100"/>
                <w:sz w:val="20"/>
                <w:szCs w:val="20"/>
              </w:rPr>
              <w:t> </w:t>
            </w:r>
            <w:r>
              <w:rPr>
                <w:rFonts w:ascii="宋体" w:hAnsi="宋体" w:cs="宋体" w:eastAsia="宋体" w:hint="default"/>
                <w:sz w:val="20"/>
                <w:szCs w:val="20"/>
              </w:rPr>
              <w:t>有限公司</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1,058,850.00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z w:val="20"/>
              </w:rPr>
              <w:t>1.629%</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950,372.00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2,009,222.00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z w:val="20"/>
              </w:rPr>
              <w:t>2.782%</w:t>
            </w:r>
          </w:p>
        </w:tc>
      </w:tr>
      <w:tr>
        <w:trPr>
          <w:trHeight w:val="342" w:hRule="exact"/>
        </w:trPr>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贵昌有限公司</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z w:val="20"/>
              </w:rPr>
              <w:t>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z w:val="20"/>
              </w:rPr>
              <w:t>0.000%</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10,435,750.00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10,435,750.00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14.450%</w:t>
            </w:r>
          </w:p>
        </w:tc>
      </w:tr>
      <w:tr>
        <w:trPr>
          <w:trHeight w:val="342" w:hRule="exact"/>
        </w:trPr>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银联科技有限公司</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z w:val="20"/>
              </w:rPr>
              <w:t>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z w:val="20"/>
              </w:rPr>
              <w:t>0.000%</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19,500,000.00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19,500,000.00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27.000%</w:t>
            </w:r>
          </w:p>
        </w:tc>
      </w:tr>
      <w:tr>
        <w:trPr>
          <w:trHeight w:val="654" w:hRule="exact"/>
        </w:trPr>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4" w:right="35"/>
              <w:jc w:val="left"/>
              <w:rPr>
                <w:rFonts w:ascii="宋体" w:hAnsi="宋体" w:cs="宋体" w:eastAsia="宋体" w:hint="default"/>
                <w:sz w:val="20"/>
                <w:szCs w:val="20"/>
              </w:rPr>
            </w:pPr>
            <w:r>
              <w:rPr>
                <w:rFonts w:ascii="宋体" w:hAnsi="宋体" w:cs="宋体" w:eastAsia="宋体" w:hint="default"/>
                <w:sz w:val="20"/>
                <w:szCs w:val="20"/>
              </w:rPr>
              <w:t>鹰潭市华鹰投资咨询</w:t>
            </w:r>
            <w:r>
              <w:rPr>
                <w:rFonts w:ascii="宋体" w:hAnsi="宋体" w:cs="宋体" w:eastAsia="宋体" w:hint="default"/>
                <w:w w:val="100"/>
                <w:sz w:val="20"/>
                <w:szCs w:val="20"/>
              </w:rPr>
              <w:t> </w:t>
            </w:r>
            <w:r>
              <w:rPr>
                <w:rFonts w:ascii="宋体" w:hAnsi="宋体" w:cs="宋体" w:eastAsia="宋体" w:hint="default"/>
                <w:sz w:val="20"/>
                <w:szCs w:val="20"/>
              </w:rPr>
              <w:t>有限公司</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z w:val="20"/>
              </w:rPr>
              <w:t>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z w:val="20"/>
              </w:rPr>
              <w:t>0.000%</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2,175,116.00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2,175,116.00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z w:val="20"/>
              </w:rPr>
              <w:t>3.012%</w:t>
            </w:r>
          </w:p>
        </w:tc>
      </w:tr>
      <w:tr>
        <w:trPr>
          <w:trHeight w:val="654" w:hRule="exact"/>
        </w:trPr>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4" w:right="35"/>
              <w:jc w:val="left"/>
              <w:rPr>
                <w:rFonts w:ascii="宋体" w:hAnsi="宋体" w:cs="宋体" w:eastAsia="宋体" w:hint="default"/>
                <w:sz w:val="20"/>
                <w:szCs w:val="20"/>
              </w:rPr>
            </w:pPr>
            <w:r>
              <w:rPr>
                <w:rFonts w:ascii="宋体" w:hAnsi="宋体" w:cs="宋体" w:eastAsia="宋体" w:hint="default"/>
                <w:sz w:val="20"/>
                <w:szCs w:val="20"/>
              </w:rPr>
              <w:t>鹰潭市锐鹰投资咨询</w:t>
            </w:r>
            <w:r>
              <w:rPr>
                <w:rFonts w:ascii="宋体" w:hAnsi="宋体" w:cs="宋体" w:eastAsia="宋体" w:hint="default"/>
                <w:w w:val="100"/>
                <w:sz w:val="20"/>
                <w:szCs w:val="20"/>
              </w:rPr>
              <w:t> </w:t>
            </w:r>
            <w:r>
              <w:rPr>
                <w:rFonts w:ascii="宋体" w:hAnsi="宋体" w:cs="宋体" w:eastAsia="宋体" w:hint="default"/>
                <w:sz w:val="20"/>
                <w:szCs w:val="20"/>
              </w:rPr>
              <w:t>有限公司</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z w:val="20"/>
              </w:rPr>
              <w:t>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z w:val="20"/>
              </w:rPr>
              <w:t>0.000%</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2,202,778.00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2,202,778.00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z w:val="20"/>
              </w:rPr>
              <w:t>3.050%</w:t>
            </w:r>
          </w:p>
        </w:tc>
      </w:tr>
      <w:tr>
        <w:trPr>
          <w:trHeight w:val="342" w:hRule="exact"/>
        </w:trPr>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3"/>
              <w:jc w:val="right"/>
              <w:rPr>
                <w:rFonts w:ascii="Times New Roman" w:hAnsi="Times New Roman" w:cs="Times New Roman" w:eastAsia="Times New Roman" w:hint="default"/>
                <w:sz w:val="20"/>
                <w:szCs w:val="20"/>
              </w:rPr>
            </w:pPr>
            <w:r>
              <w:rPr>
                <w:rFonts w:ascii="Times New Roman"/>
                <w:b/>
                <w:spacing w:val="-1"/>
                <w:sz w:val="20"/>
              </w:rPr>
              <w:t>65,000,000.00</w:t>
            </w:r>
            <w:r>
              <w:rPr>
                <w:rFonts w:ascii="Times New Roman"/>
                <w:spacing w:val="-1"/>
                <w:sz w:val="20"/>
              </w:rPr>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right"/>
              <w:rPr>
                <w:rFonts w:ascii="Times New Roman" w:hAnsi="Times New Roman" w:cs="Times New Roman" w:eastAsia="Times New Roman" w:hint="default"/>
                <w:sz w:val="20"/>
                <w:szCs w:val="20"/>
              </w:rPr>
            </w:pPr>
            <w:r>
              <w:rPr>
                <w:rFonts w:ascii="Times New Roman"/>
                <w:b/>
                <w:sz w:val="20"/>
              </w:rPr>
              <w:t>100.000%</w:t>
            </w:r>
            <w:r>
              <w:rPr>
                <w:rFonts w:ascii="Times New Roman"/>
                <w:sz w:val="20"/>
              </w:rPr>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right"/>
              <w:rPr>
                <w:rFonts w:ascii="Times New Roman" w:hAnsi="Times New Roman" w:cs="Times New Roman" w:eastAsia="Times New Roman" w:hint="default"/>
                <w:sz w:val="20"/>
                <w:szCs w:val="20"/>
              </w:rPr>
            </w:pPr>
            <w:r>
              <w:rPr>
                <w:rFonts w:ascii="Times New Roman"/>
                <w:b/>
                <w:spacing w:val="-1"/>
                <w:sz w:val="20"/>
              </w:rPr>
              <w:t>7,222,222.00</w:t>
            </w:r>
            <w:r>
              <w:rPr>
                <w:rFonts w:ascii="Times New Roman"/>
                <w:spacing w:val="-1"/>
                <w:sz w:val="20"/>
              </w:rPr>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
              <w:jc w:val="right"/>
              <w:rPr>
                <w:rFonts w:ascii="Times New Roman" w:hAnsi="Times New Roman" w:cs="Times New Roman" w:eastAsia="Times New Roman" w:hint="default"/>
                <w:sz w:val="20"/>
                <w:szCs w:val="20"/>
              </w:rPr>
            </w:pPr>
            <w:r>
              <w:rPr>
                <w:rFonts w:ascii="Times New Roman"/>
                <w:b/>
                <w:spacing w:val="-1"/>
                <w:sz w:val="20"/>
              </w:rPr>
              <w:t>72,222,222.00</w:t>
            </w:r>
            <w:r>
              <w:rPr>
                <w:rFonts w:ascii="Times New Roman"/>
                <w:spacing w:val="-1"/>
                <w:sz w:val="20"/>
              </w:rPr>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right"/>
              <w:rPr>
                <w:rFonts w:ascii="Times New Roman" w:hAnsi="Times New Roman" w:cs="Times New Roman" w:eastAsia="Times New Roman" w:hint="default"/>
                <w:sz w:val="20"/>
                <w:szCs w:val="20"/>
              </w:rPr>
            </w:pPr>
            <w:r>
              <w:rPr>
                <w:rFonts w:ascii="Times New Roman"/>
                <w:b/>
                <w:sz w:val="20"/>
              </w:rPr>
              <w:t>100.000%</w:t>
            </w:r>
            <w:r>
              <w:rPr>
                <w:rFonts w:ascii="Times New Roman"/>
                <w:sz w:val="20"/>
              </w:rPr>
            </w:r>
          </w:p>
        </w:tc>
      </w:tr>
    </w:tbl>
    <w:p>
      <w:pPr>
        <w:spacing w:line="240" w:lineRule="auto" w:before="13"/>
        <w:rPr>
          <w:rFonts w:ascii="宋体" w:hAnsi="宋体" w:cs="宋体" w:eastAsia="宋体" w:hint="default"/>
          <w:sz w:val="4"/>
          <w:szCs w:val="4"/>
        </w:rPr>
      </w:pPr>
    </w:p>
    <w:p>
      <w:pPr>
        <w:pStyle w:val="Heading3"/>
        <w:spacing w:line="249" w:lineRule="auto" w:before="31"/>
        <w:ind w:right="1091"/>
        <w:jc w:val="both"/>
      </w:pPr>
      <w:r>
        <w:rPr>
          <w:rFonts w:ascii="Times New Roman" w:hAnsi="Times New Roman" w:cs="Times New Roman" w:eastAsia="Times New Roman" w:hint="default"/>
          <w:w w:val="95"/>
        </w:rPr>
        <w:t>2011</w:t>
      </w:r>
      <w:r>
        <w:rPr>
          <w:w w:val="95"/>
        </w:rPr>
        <w:t>年</w:t>
      </w:r>
      <w:r>
        <w:rPr>
          <w:rFonts w:ascii="Times New Roman" w:hAnsi="Times New Roman" w:cs="Times New Roman" w:eastAsia="Times New Roman" w:hint="default"/>
          <w:w w:val="95"/>
        </w:rPr>
        <w:t>7</w:t>
      </w:r>
      <w:r>
        <w:rPr>
          <w:w w:val="95"/>
        </w:rPr>
        <w:t>月</w:t>
      </w:r>
      <w:r>
        <w:rPr>
          <w:rFonts w:ascii="Times New Roman" w:hAnsi="Times New Roman" w:cs="Times New Roman" w:eastAsia="Times New Roman" w:hint="default"/>
          <w:w w:val="95"/>
        </w:rPr>
        <w:t>4</w:t>
      </w:r>
      <w:r>
        <w:rPr>
          <w:w w:val="95"/>
        </w:rPr>
        <w:t>日，北京高伟达软件技术有限公司召开第十四届董事会第四次会议，一致同意高伟达</w:t>
      </w:r>
      <w:r>
        <w:rPr>
          <w:w w:val="99"/>
        </w:rPr>
        <w:t> </w:t>
      </w:r>
      <w:r>
        <w:rPr/>
        <w:t>有限以截至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日经审计的净资产折股整体变更为中外合资股份有限公司，变更后的总股本</w:t>
      </w:r>
      <w:r>
        <w:rPr>
          <w:spacing w:val="-74"/>
        </w:rPr>
        <w:t> </w:t>
      </w:r>
      <w:r>
        <w:rPr>
          <w:spacing w:val="-74"/>
        </w:rPr>
      </w:r>
      <w:r>
        <w:rPr/>
        <w:t>为</w:t>
      </w:r>
      <w:r>
        <w:rPr>
          <w:spacing w:val="-72"/>
        </w:rPr>
        <w:t> </w:t>
      </w:r>
      <w:r>
        <w:rPr>
          <w:rFonts w:ascii="Times New Roman" w:hAnsi="Times New Roman" w:cs="Times New Roman" w:eastAsia="Times New Roman" w:hint="default"/>
        </w:rPr>
        <w:t>10,000</w:t>
      </w:r>
      <w:r>
        <w:rPr>
          <w:rFonts w:ascii="Times New Roman" w:hAnsi="Times New Roman" w:cs="Times New Roman" w:eastAsia="Times New Roman" w:hint="default"/>
          <w:spacing w:val="-15"/>
        </w:rPr>
        <w:t> </w:t>
      </w:r>
      <w:r>
        <w:rPr/>
        <w:t>万</w:t>
      </w:r>
      <w:r>
        <w:rPr>
          <w:spacing w:val="-73"/>
        </w:rPr>
        <w:t> </w:t>
      </w:r>
      <w:r>
        <w:rPr/>
        <w:t>元</w:t>
      </w:r>
      <w:r>
        <w:rPr>
          <w:spacing w:val="-72"/>
        </w:rPr>
        <w:t> </w:t>
      </w:r>
      <w:r>
        <w:rPr/>
        <w:t>。</w:t>
      </w:r>
      <w:r>
        <w:rPr>
          <w:spacing w:val="-72"/>
        </w:rPr>
        <w:t> </w:t>
      </w:r>
      <w:r>
        <w:rPr/>
        <w:t>上</w:t>
      </w:r>
      <w:r>
        <w:rPr>
          <w:spacing w:val="-72"/>
        </w:rPr>
        <w:t> </w:t>
      </w:r>
      <w:r>
        <w:rPr/>
        <w:t>述</w:t>
      </w:r>
      <w:r>
        <w:rPr>
          <w:spacing w:val="-72"/>
        </w:rPr>
        <w:t> </w:t>
      </w:r>
      <w:r>
        <w:rPr/>
        <w:t>变</w:t>
      </w:r>
      <w:r>
        <w:rPr>
          <w:spacing w:val="-72"/>
        </w:rPr>
        <w:t> </w:t>
      </w:r>
      <w:r>
        <w:rPr/>
        <w:t>更</w:t>
      </w:r>
      <w:r>
        <w:rPr>
          <w:spacing w:val="-72"/>
        </w:rPr>
        <w:t> </w:t>
      </w:r>
      <w:r>
        <w:rPr/>
        <w:t>业</w:t>
      </w:r>
      <w:r>
        <w:rPr>
          <w:spacing w:val="-72"/>
        </w:rPr>
        <w:t> </w:t>
      </w:r>
      <w:r>
        <w:rPr/>
        <w:t>经</w:t>
      </w:r>
      <w:r>
        <w:rPr>
          <w:spacing w:val="-72"/>
        </w:rPr>
        <w:t> </w:t>
      </w:r>
      <w:r>
        <w:rPr/>
        <w:t>信</w:t>
      </w:r>
      <w:r>
        <w:rPr>
          <w:spacing w:val="-72"/>
        </w:rPr>
        <w:t> </w:t>
      </w:r>
      <w:r>
        <w:rPr/>
        <w:t>永</w:t>
      </w:r>
      <w:r>
        <w:rPr>
          <w:spacing w:val="-72"/>
        </w:rPr>
        <w:t> </w:t>
      </w:r>
      <w:r>
        <w:rPr/>
        <w:t>中</w:t>
      </w:r>
      <w:r>
        <w:rPr>
          <w:spacing w:val="-72"/>
        </w:rPr>
        <w:t> </w:t>
      </w:r>
      <w:r>
        <w:rPr/>
        <w:t>和</w:t>
      </w:r>
      <w:r>
        <w:rPr>
          <w:spacing w:val="-72"/>
        </w:rPr>
        <w:t> </w:t>
      </w:r>
      <w:r>
        <w:rPr/>
        <w:t>会</w:t>
      </w:r>
      <w:r>
        <w:rPr>
          <w:spacing w:val="-72"/>
        </w:rPr>
        <w:t> </w:t>
      </w:r>
      <w:r>
        <w:rPr/>
        <w:t>计</w:t>
      </w:r>
      <w:r>
        <w:rPr>
          <w:spacing w:val="-72"/>
        </w:rPr>
        <w:t> </w:t>
      </w:r>
      <w:r>
        <w:rPr/>
        <w:t>师</w:t>
      </w:r>
      <w:r>
        <w:rPr>
          <w:spacing w:val="-72"/>
        </w:rPr>
        <w:t> </w:t>
      </w:r>
      <w:r>
        <w:rPr/>
        <w:t>事</w:t>
      </w:r>
      <w:r>
        <w:rPr>
          <w:spacing w:val="-72"/>
        </w:rPr>
        <w:t> </w:t>
      </w:r>
      <w:r>
        <w:rPr/>
        <w:t>务</w:t>
      </w:r>
      <w:r>
        <w:rPr>
          <w:spacing w:val="-72"/>
        </w:rPr>
        <w:t> </w:t>
      </w:r>
      <w:r>
        <w:rPr/>
        <w:t>所</w:t>
      </w:r>
      <w:r>
        <w:rPr>
          <w:spacing w:val="-72"/>
        </w:rPr>
        <w:t> </w:t>
      </w:r>
      <w:r>
        <w:rPr/>
        <w:t>有</w:t>
      </w:r>
      <w:r>
        <w:rPr>
          <w:spacing w:val="-72"/>
        </w:rPr>
        <w:t> </w:t>
      </w:r>
      <w:r>
        <w:rPr/>
        <w:t>限</w:t>
      </w:r>
      <w:r>
        <w:rPr>
          <w:spacing w:val="-72"/>
        </w:rPr>
        <w:t> </w:t>
      </w:r>
      <w:r>
        <w:rPr/>
        <w:t>责</w:t>
      </w:r>
      <w:r>
        <w:rPr>
          <w:spacing w:val="-72"/>
        </w:rPr>
        <w:t> </w:t>
      </w:r>
      <w:r>
        <w:rPr/>
        <w:t>任</w:t>
      </w:r>
      <w:r>
        <w:rPr>
          <w:spacing w:val="-72"/>
        </w:rPr>
        <w:t> </w:t>
      </w:r>
      <w:r>
        <w:rPr/>
        <w:t>公</w:t>
      </w:r>
      <w:r>
        <w:rPr>
          <w:spacing w:val="-72"/>
        </w:rPr>
        <w:t> </w:t>
      </w:r>
      <w:r>
        <w:rPr/>
        <w:t>司</w:t>
      </w:r>
      <w:r>
        <w:rPr>
          <w:spacing w:val="-72"/>
        </w:rPr>
        <w:t> </w:t>
      </w:r>
      <w:r>
        <w:rPr/>
        <w:t>于</w:t>
      </w:r>
      <w:r>
        <w:rPr>
          <w:spacing w:val="-64"/>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7"/>
        </w:rPr>
        <w:t> </w:t>
      </w:r>
      <w:r>
        <w:rPr/>
        <w:t>年</w:t>
      </w:r>
      <w:r>
        <w:rPr>
          <w:spacing w:val="-72"/>
        </w:rPr>
        <w:t> </w:t>
      </w:r>
      <w:r>
        <w:rPr>
          <w:rFonts w:ascii="Times New Roman" w:hAnsi="Times New Roman" w:cs="Times New Roman" w:eastAsia="Times New Roman" w:hint="default"/>
        </w:rPr>
        <w:t>11</w:t>
      </w:r>
      <w:r>
        <w:rPr>
          <w:rFonts w:ascii="Times New Roman" w:hAnsi="Times New Roman" w:cs="Times New Roman" w:eastAsia="Times New Roman" w:hint="default"/>
          <w:spacing w:val="-16"/>
        </w:rPr>
        <w:t> </w:t>
      </w:r>
      <w:r>
        <w:rPr/>
        <w:t>月</w:t>
      </w:r>
      <w:r>
        <w:rPr>
          <w:spacing w:val="-72"/>
        </w:rPr>
        <w:t> </w:t>
      </w:r>
      <w:r>
        <w:rPr>
          <w:rFonts w:ascii="Times New Roman" w:hAnsi="Times New Roman" w:cs="Times New Roman" w:eastAsia="Times New Roman" w:hint="default"/>
        </w:rPr>
        <w:t>18</w:t>
      </w:r>
      <w:r>
        <w:rPr>
          <w:rFonts w:ascii="Times New Roman" w:hAnsi="Times New Roman" w:cs="Times New Roman" w:eastAsia="Times New Roman" w:hint="default"/>
          <w:spacing w:val="-16"/>
        </w:rPr>
        <w:t> </w:t>
      </w:r>
      <w:r>
        <w:rPr>
          <w:spacing w:val="19"/>
        </w:rPr>
        <w:t>日以</w:t>
      </w:r>
      <w:r>
        <w:rPr>
          <w:spacing w:val="-71"/>
        </w:rPr>
        <w:t> </w:t>
      </w:r>
      <w:r>
        <w:rPr>
          <w:rFonts w:ascii="Times New Roman" w:hAnsi="Times New Roman" w:cs="Times New Roman" w:eastAsia="Times New Roman" w:hint="default"/>
        </w:rPr>
        <w:t>XYZH/2011A8020-1</w:t>
      </w:r>
      <w:r>
        <w:rPr/>
        <w:t>号验资报告予以确认。</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21</w:t>
      </w:r>
      <w:r>
        <w:rPr/>
        <w:t>日，本公司于北京市工商行政管理局完成了</w:t>
      </w:r>
      <w:r>
        <w:rPr>
          <w:spacing w:val="-100"/>
        </w:rPr>
        <w:t> </w:t>
      </w:r>
      <w:r>
        <w:rPr>
          <w:spacing w:val="-100"/>
        </w:rPr>
      </w:r>
      <w:r>
        <w:rPr>
          <w:w w:val="95"/>
        </w:rPr>
        <w:t>工商登记变更手续，并领取了本次工商变更后的营业执照。本次整体变更为中外合资股份有限公司后</w:t>
      </w:r>
      <w:r>
        <w:rPr>
          <w:spacing w:val="6"/>
          <w:w w:val="95"/>
        </w:rPr>
        <w:t> </w:t>
      </w:r>
      <w:r>
        <w:rPr>
          <w:spacing w:val="6"/>
          <w:w w:val="95"/>
        </w:rPr>
      </w:r>
      <w:r>
        <w:rPr/>
        <w:t>公司的股本结构如下：</w:t>
      </w:r>
    </w:p>
    <w:p>
      <w:pPr>
        <w:spacing w:line="240" w:lineRule="auto" w:before="12"/>
        <w:rPr>
          <w:rFonts w:ascii="宋体" w:hAnsi="宋体" w:cs="宋体" w:eastAsia="宋体" w:hint="default"/>
          <w:sz w:val="2"/>
          <w:szCs w:val="2"/>
        </w:rPr>
      </w:pPr>
    </w:p>
    <w:tbl>
      <w:tblPr>
        <w:tblW w:w="0" w:type="auto"/>
        <w:jc w:val="left"/>
        <w:tblInd w:w="1129" w:type="dxa"/>
        <w:tblLayout w:type="fixed"/>
        <w:tblCellMar>
          <w:top w:w="0" w:type="dxa"/>
          <w:left w:w="0" w:type="dxa"/>
          <w:bottom w:w="0" w:type="dxa"/>
          <w:right w:w="0" w:type="dxa"/>
        </w:tblCellMar>
        <w:tblLook w:val="01E0"/>
      </w:tblPr>
      <w:tblGrid>
        <w:gridCol w:w="5348"/>
        <w:gridCol w:w="2202"/>
        <w:gridCol w:w="2203"/>
      </w:tblGrid>
      <w:tr>
        <w:trPr>
          <w:trHeight w:val="342" w:hRule="exact"/>
        </w:trPr>
        <w:tc>
          <w:tcPr>
            <w:tcW w:w="5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b/>
                <w:bCs/>
                <w:sz w:val="20"/>
                <w:szCs w:val="20"/>
              </w:rPr>
              <w:t>股东名称</w:t>
            </w:r>
            <w:r>
              <w:rPr>
                <w:rFonts w:ascii="宋体" w:hAnsi="宋体" w:cs="宋体" w:eastAsia="宋体" w:hint="default"/>
                <w:sz w:val="20"/>
                <w:szCs w:val="20"/>
              </w:rPr>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392" w:right="0"/>
              <w:jc w:val="left"/>
              <w:rPr>
                <w:rFonts w:ascii="宋体" w:hAnsi="宋体" w:cs="宋体" w:eastAsia="宋体" w:hint="default"/>
                <w:sz w:val="20"/>
                <w:szCs w:val="20"/>
              </w:rPr>
            </w:pPr>
            <w:r>
              <w:rPr>
                <w:rFonts w:ascii="宋体" w:hAnsi="宋体" w:cs="宋体" w:eastAsia="宋体" w:hint="default"/>
                <w:b/>
                <w:bCs/>
                <w:sz w:val="20"/>
                <w:szCs w:val="20"/>
              </w:rPr>
              <w:t>所持股份（股）</w:t>
            </w:r>
            <w:r>
              <w:rPr>
                <w:rFonts w:ascii="宋体" w:hAnsi="宋体" w:cs="宋体" w:eastAsia="宋体" w:hint="default"/>
                <w:sz w:val="20"/>
                <w:szCs w:val="20"/>
              </w:rPr>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94" w:right="0"/>
              <w:jc w:val="left"/>
              <w:rPr>
                <w:rFonts w:ascii="宋体" w:hAnsi="宋体" w:cs="宋体" w:eastAsia="宋体" w:hint="default"/>
                <w:sz w:val="20"/>
                <w:szCs w:val="20"/>
              </w:rPr>
            </w:pPr>
            <w:r>
              <w:rPr>
                <w:rFonts w:ascii="宋体" w:hAnsi="宋体" w:cs="宋体" w:eastAsia="宋体" w:hint="default"/>
                <w:b/>
                <w:bCs/>
                <w:sz w:val="20"/>
                <w:szCs w:val="20"/>
              </w:rPr>
              <w:t>股权比例</w:t>
            </w:r>
            <w:r>
              <w:rPr>
                <w:rFonts w:ascii="宋体" w:hAnsi="宋体" w:cs="宋体" w:eastAsia="宋体" w:hint="default"/>
                <w:sz w:val="20"/>
                <w:szCs w:val="20"/>
              </w:rPr>
            </w:r>
          </w:p>
        </w:tc>
      </w:tr>
      <w:tr>
        <w:trPr>
          <w:trHeight w:val="342" w:hRule="exact"/>
        </w:trPr>
        <w:tc>
          <w:tcPr>
            <w:tcW w:w="5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鹰潭市鹰高投资咨询有限公司</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43,228,000.00</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43.228%</w:t>
            </w:r>
          </w:p>
        </w:tc>
      </w:tr>
      <w:tr>
        <w:trPr>
          <w:trHeight w:val="342" w:hRule="exact"/>
        </w:trPr>
        <w:tc>
          <w:tcPr>
            <w:tcW w:w="5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鹰潭市鹰飞投资咨询有限公司</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1,754,000.00</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z w:val="20"/>
              </w:rPr>
              <w:t>1.754%</w:t>
            </w:r>
          </w:p>
        </w:tc>
      </w:tr>
      <w:tr>
        <w:trPr>
          <w:trHeight w:val="342" w:hRule="exact"/>
        </w:trPr>
        <w:tc>
          <w:tcPr>
            <w:tcW w:w="5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鹰潭市鹰伟投资咨询有限公司</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2,771,000.00</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z w:val="20"/>
              </w:rPr>
              <w:t>2.771%</w:t>
            </w:r>
          </w:p>
        </w:tc>
      </w:tr>
      <w:tr>
        <w:trPr>
          <w:trHeight w:val="342" w:hRule="exact"/>
        </w:trPr>
        <w:tc>
          <w:tcPr>
            <w:tcW w:w="5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鹰潭市鹰达投资咨询有限公司</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2,782,000.00</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z w:val="20"/>
              </w:rPr>
              <w:t>2.782%</w:t>
            </w:r>
          </w:p>
        </w:tc>
      </w:tr>
      <w:tr>
        <w:trPr>
          <w:trHeight w:val="342" w:hRule="exact"/>
        </w:trPr>
        <w:tc>
          <w:tcPr>
            <w:tcW w:w="5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鹰潭市鹰杰投资咨询有限公司</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1,953,000.00</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z w:val="20"/>
              </w:rPr>
              <w:t>1.953%</w:t>
            </w:r>
          </w:p>
        </w:tc>
      </w:tr>
      <w:tr>
        <w:trPr>
          <w:trHeight w:val="342" w:hRule="exact"/>
        </w:trPr>
        <w:tc>
          <w:tcPr>
            <w:tcW w:w="5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鹰潭市华鹰投资咨询有限公司</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3,012,000.00</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z w:val="20"/>
              </w:rPr>
              <w:t>3.012%</w:t>
            </w:r>
          </w:p>
        </w:tc>
      </w:tr>
      <w:tr>
        <w:trPr>
          <w:trHeight w:val="342" w:hRule="exact"/>
        </w:trPr>
        <w:tc>
          <w:tcPr>
            <w:tcW w:w="5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鹰潭市锐鹰投资咨询有限公司</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3,050,000.00</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z w:val="20"/>
              </w:rPr>
              <w:t>3.050%</w:t>
            </w:r>
          </w:p>
        </w:tc>
      </w:tr>
      <w:tr>
        <w:trPr>
          <w:trHeight w:val="342" w:hRule="exact"/>
        </w:trPr>
        <w:tc>
          <w:tcPr>
            <w:tcW w:w="5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贵昌有限公司（</w:t>
            </w:r>
            <w:r>
              <w:rPr>
                <w:rFonts w:ascii="Times New Roman" w:hAnsi="Times New Roman" w:cs="Times New Roman" w:eastAsia="Times New Roman" w:hint="default"/>
                <w:sz w:val="20"/>
                <w:szCs w:val="20"/>
              </w:rPr>
              <w:t>NobleEffortLimited</w:t>
            </w:r>
            <w:r>
              <w:rPr>
                <w:rFonts w:ascii="宋体" w:hAnsi="宋体" w:cs="宋体" w:eastAsia="宋体" w:hint="default"/>
                <w:sz w:val="20"/>
                <w:szCs w:val="20"/>
              </w:rPr>
              <w:t>）</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14,450,000.00</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14.450%</w:t>
            </w:r>
          </w:p>
        </w:tc>
      </w:tr>
      <w:tr>
        <w:trPr>
          <w:trHeight w:val="342" w:hRule="exact"/>
        </w:trPr>
        <w:tc>
          <w:tcPr>
            <w:tcW w:w="5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银联科技有限公司（</w:t>
            </w:r>
            <w:r>
              <w:rPr>
                <w:rFonts w:ascii="Times New Roman" w:hAnsi="Times New Roman" w:cs="Times New Roman" w:eastAsia="Times New Roman" w:hint="default"/>
                <w:sz w:val="20"/>
                <w:szCs w:val="20"/>
              </w:rPr>
              <w:t>SilverTeamTechnologyLimited</w:t>
            </w:r>
            <w:r>
              <w:rPr>
                <w:rFonts w:ascii="宋体" w:hAnsi="宋体" w:cs="宋体" w:eastAsia="宋体" w:hint="default"/>
                <w:sz w:val="20"/>
                <w:szCs w:val="20"/>
              </w:rPr>
              <w:t>）</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27,000,000.00</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27.000%</w:t>
            </w:r>
          </w:p>
        </w:tc>
      </w:tr>
      <w:tr>
        <w:trPr>
          <w:trHeight w:val="343" w:hRule="exact"/>
        </w:trPr>
        <w:tc>
          <w:tcPr>
            <w:tcW w:w="5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3"/>
              <w:jc w:val="right"/>
              <w:rPr>
                <w:rFonts w:ascii="Times New Roman" w:hAnsi="Times New Roman" w:cs="Times New Roman" w:eastAsia="Times New Roman" w:hint="default"/>
                <w:sz w:val="20"/>
                <w:szCs w:val="20"/>
              </w:rPr>
            </w:pPr>
            <w:r>
              <w:rPr>
                <w:rFonts w:ascii="Times New Roman"/>
                <w:b/>
                <w:spacing w:val="-1"/>
                <w:sz w:val="20"/>
              </w:rPr>
              <w:t>100,000,000.00</w:t>
            </w:r>
            <w:r>
              <w:rPr>
                <w:rFonts w:ascii="Times New Roman"/>
                <w:spacing w:val="-1"/>
                <w:sz w:val="20"/>
              </w:rPr>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right"/>
              <w:rPr>
                <w:rFonts w:ascii="Times New Roman" w:hAnsi="Times New Roman" w:cs="Times New Roman" w:eastAsia="Times New Roman" w:hint="default"/>
                <w:sz w:val="20"/>
                <w:szCs w:val="20"/>
              </w:rPr>
            </w:pPr>
            <w:r>
              <w:rPr>
                <w:rFonts w:ascii="Times New Roman"/>
                <w:b/>
                <w:sz w:val="20"/>
              </w:rPr>
              <w:t>100.000%</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877" w:footer="1187" w:top="1060" w:bottom="1380" w:left="0" w:right="0"/>
        </w:sectPr>
      </w:pPr>
    </w:p>
    <w:p>
      <w:pPr>
        <w:spacing w:line="240" w:lineRule="auto" w:before="4"/>
        <w:rPr>
          <w:rFonts w:ascii="宋体" w:hAnsi="宋体" w:cs="宋体" w:eastAsia="宋体" w:hint="default"/>
          <w:sz w:val="24"/>
          <w:szCs w:val="24"/>
        </w:rPr>
      </w:pPr>
    </w:p>
    <w:p>
      <w:pPr>
        <w:pStyle w:val="Heading3"/>
        <w:spacing w:line="244" w:lineRule="auto" w:before="31"/>
        <w:ind w:right="1131"/>
        <w:jc w:val="both"/>
      </w:pPr>
      <w:r>
        <w:rPr>
          <w:spacing w:val="-1"/>
        </w:rPr>
        <w:t>本公司因业务发展需要，增加了营业范围，于</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25</w:t>
      </w:r>
      <w:r>
        <w:rPr>
          <w:spacing w:val="-1"/>
        </w:rPr>
        <w:t>日取得了变更后北京市工商行政管理</w:t>
      </w:r>
      <w:r>
        <w:rPr>
          <w:w w:val="99"/>
        </w:rPr>
        <w:t> </w:t>
      </w:r>
      <w:r>
        <w:rPr/>
        <w:t>局颁发的</w:t>
      </w:r>
      <w:r>
        <w:rPr>
          <w:rFonts w:ascii="Times New Roman" w:hAnsi="Times New Roman" w:cs="Times New Roman" w:eastAsia="Times New Roman" w:hint="default"/>
        </w:rPr>
        <w:t>110000410182828</w:t>
      </w:r>
      <w:r>
        <w:rPr/>
        <w:t>号企业法人营业执照。</w:t>
      </w:r>
    </w:p>
    <w:p>
      <w:pPr>
        <w:pStyle w:val="Heading3"/>
        <w:spacing w:line="244" w:lineRule="auto" w:before="122"/>
        <w:ind w:right="1092"/>
        <w:jc w:val="both"/>
      </w:pP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8</w:t>
      </w:r>
      <w:r>
        <w:rPr>
          <w:spacing w:val="-1"/>
        </w:rPr>
        <w:t>日，经中国证券监督管理委员会《关于核准高伟达软件股份有限公司首次公开发行股</w:t>
      </w:r>
      <w:r>
        <w:rPr>
          <w:w w:val="99"/>
        </w:rPr>
        <w:t> </w:t>
      </w:r>
      <w:r>
        <w:rPr/>
        <w:t>票的批复》（证监许可</w:t>
      </w:r>
      <w:r>
        <w:rPr>
          <w:rFonts w:ascii="Times New Roman" w:hAnsi="Times New Roman" w:cs="Times New Roman" w:eastAsia="Times New Roman" w:hint="default"/>
        </w:rPr>
        <w:t>[2015]833</w:t>
      </w:r>
      <w:r>
        <w:rPr/>
        <w:t>号）核准，本公司公开发行人民币普通股股票</w:t>
      </w:r>
      <w:r>
        <w:rPr>
          <w:rFonts w:ascii="Times New Roman" w:hAnsi="Times New Roman" w:cs="Times New Roman" w:eastAsia="Times New Roman" w:hint="default"/>
        </w:rPr>
        <w:t>33,340,000</w:t>
      </w:r>
      <w:r>
        <w:rPr/>
        <w:t>股，公开发</w:t>
      </w:r>
      <w:r>
        <w:rPr>
          <w:spacing w:val="-106"/>
        </w:rPr>
        <w:t> </w:t>
      </w:r>
      <w:r>
        <w:rPr>
          <w:spacing w:val="-106"/>
        </w:rPr>
      </w:r>
      <w:r>
        <w:rPr>
          <w:w w:val="95"/>
        </w:rPr>
        <w:t>行后股份总额为</w:t>
      </w:r>
      <w:r>
        <w:rPr>
          <w:rFonts w:ascii="Times New Roman" w:hAnsi="Times New Roman" w:cs="Times New Roman" w:eastAsia="Times New Roman" w:hint="default"/>
          <w:w w:val="95"/>
        </w:rPr>
        <w:t>133,340,000</w:t>
      </w:r>
      <w:r>
        <w:rPr>
          <w:w w:val="95"/>
        </w:rPr>
        <w:t>股。上述公开发行募集资金业经信用中和会计师事务所（特殊普通合伙）</w:t>
      </w:r>
      <w:r>
        <w:rPr>
          <w:spacing w:val="50"/>
          <w:w w:val="95"/>
        </w:rPr>
        <w:t> </w:t>
      </w:r>
      <w:r>
        <w:rPr/>
        <w:t>出具</w:t>
      </w:r>
      <w:r>
        <w:rPr>
          <w:rFonts w:ascii="Times New Roman" w:hAnsi="Times New Roman" w:cs="Times New Roman" w:eastAsia="Times New Roman" w:hint="default"/>
        </w:rPr>
        <w:t>XYZH/2015BJA80052-1</w:t>
      </w:r>
      <w:r>
        <w:rPr/>
        <w:t>号验资报告审验。本次公开发行后的股本结构如下：</w:t>
      </w:r>
    </w:p>
    <w:p>
      <w:pPr>
        <w:spacing w:line="240" w:lineRule="auto" w:before="0"/>
        <w:rPr>
          <w:rFonts w:ascii="宋体" w:hAnsi="宋体" w:cs="宋体" w:eastAsia="宋体" w:hint="default"/>
          <w:sz w:val="2"/>
          <w:szCs w:val="2"/>
        </w:rPr>
      </w:pPr>
    </w:p>
    <w:tbl>
      <w:tblPr>
        <w:tblW w:w="0" w:type="auto"/>
        <w:jc w:val="left"/>
        <w:tblInd w:w="1129" w:type="dxa"/>
        <w:tblLayout w:type="fixed"/>
        <w:tblCellMar>
          <w:top w:w="0" w:type="dxa"/>
          <w:left w:w="0" w:type="dxa"/>
          <w:bottom w:w="0" w:type="dxa"/>
          <w:right w:w="0" w:type="dxa"/>
        </w:tblCellMar>
        <w:tblLook w:val="01E0"/>
      </w:tblPr>
      <w:tblGrid>
        <w:gridCol w:w="5282"/>
        <w:gridCol w:w="2175"/>
        <w:gridCol w:w="2177"/>
      </w:tblGrid>
      <w:tr>
        <w:trPr>
          <w:trHeight w:val="342" w:hRule="exact"/>
        </w:trPr>
        <w:tc>
          <w:tcPr>
            <w:tcW w:w="5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b/>
                <w:bCs/>
                <w:sz w:val="20"/>
                <w:szCs w:val="20"/>
              </w:rPr>
              <w:t>股东名称</w:t>
            </w:r>
            <w:r>
              <w:rPr>
                <w:rFonts w:ascii="宋体" w:hAnsi="宋体" w:cs="宋体" w:eastAsia="宋体" w:hint="default"/>
                <w:sz w:val="20"/>
                <w:szCs w:val="20"/>
              </w:rPr>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379" w:right="0"/>
              <w:jc w:val="left"/>
              <w:rPr>
                <w:rFonts w:ascii="宋体" w:hAnsi="宋体" w:cs="宋体" w:eastAsia="宋体" w:hint="default"/>
                <w:sz w:val="20"/>
                <w:szCs w:val="20"/>
              </w:rPr>
            </w:pPr>
            <w:r>
              <w:rPr>
                <w:rFonts w:ascii="宋体" w:hAnsi="宋体" w:cs="宋体" w:eastAsia="宋体" w:hint="default"/>
                <w:b/>
                <w:bCs/>
                <w:sz w:val="20"/>
                <w:szCs w:val="20"/>
              </w:rPr>
              <w:t>所持股份（股）</w:t>
            </w:r>
            <w:r>
              <w:rPr>
                <w:rFonts w:ascii="宋体" w:hAnsi="宋体" w:cs="宋体" w:eastAsia="宋体" w:hint="default"/>
                <w:sz w:val="20"/>
                <w:szCs w:val="20"/>
              </w:rPr>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82" w:right="0"/>
              <w:jc w:val="left"/>
              <w:rPr>
                <w:rFonts w:ascii="宋体" w:hAnsi="宋体" w:cs="宋体" w:eastAsia="宋体" w:hint="default"/>
                <w:sz w:val="20"/>
                <w:szCs w:val="20"/>
              </w:rPr>
            </w:pPr>
            <w:r>
              <w:rPr>
                <w:rFonts w:ascii="宋体" w:hAnsi="宋体" w:cs="宋体" w:eastAsia="宋体" w:hint="default"/>
                <w:b/>
                <w:bCs/>
                <w:sz w:val="20"/>
                <w:szCs w:val="20"/>
              </w:rPr>
              <w:t>股权比例</w:t>
            </w:r>
            <w:r>
              <w:rPr>
                <w:rFonts w:ascii="宋体" w:hAnsi="宋体" w:cs="宋体" w:eastAsia="宋体" w:hint="default"/>
                <w:sz w:val="20"/>
                <w:szCs w:val="20"/>
              </w:rPr>
            </w:r>
          </w:p>
        </w:tc>
      </w:tr>
      <w:tr>
        <w:trPr>
          <w:trHeight w:val="342" w:hRule="exact"/>
        </w:trPr>
        <w:tc>
          <w:tcPr>
            <w:tcW w:w="5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鹰潭市鹰高投资咨询有限公司</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43,228,000.00</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32.419%</w:t>
            </w:r>
          </w:p>
        </w:tc>
      </w:tr>
      <w:tr>
        <w:trPr>
          <w:trHeight w:val="342" w:hRule="exact"/>
        </w:trPr>
        <w:tc>
          <w:tcPr>
            <w:tcW w:w="5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鹰潭市鹰飞投资咨询有限公司</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1,754,000.00</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z w:val="20"/>
              </w:rPr>
              <w:t>1.316%</w:t>
            </w:r>
          </w:p>
        </w:tc>
      </w:tr>
      <w:tr>
        <w:trPr>
          <w:trHeight w:val="342" w:hRule="exact"/>
        </w:trPr>
        <w:tc>
          <w:tcPr>
            <w:tcW w:w="5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鹰潭市鹰伟投资咨询有限公司</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2,771,000.00</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z w:val="20"/>
              </w:rPr>
              <w:t>2.078%</w:t>
            </w:r>
          </w:p>
        </w:tc>
      </w:tr>
      <w:tr>
        <w:trPr>
          <w:trHeight w:val="342" w:hRule="exact"/>
        </w:trPr>
        <w:tc>
          <w:tcPr>
            <w:tcW w:w="5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鹰潭市鹰达投资咨询有限公司</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2,782,000.00</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z w:val="20"/>
              </w:rPr>
              <w:t>2.086%</w:t>
            </w:r>
          </w:p>
        </w:tc>
      </w:tr>
      <w:tr>
        <w:trPr>
          <w:trHeight w:val="342" w:hRule="exact"/>
        </w:trPr>
        <w:tc>
          <w:tcPr>
            <w:tcW w:w="5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鹰潭市鹰杰投资咨询有限公司</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1,953,000.00</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z w:val="20"/>
              </w:rPr>
              <w:t>1.465%</w:t>
            </w:r>
          </w:p>
        </w:tc>
      </w:tr>
      <w:tr>
        <w:trPr>
          <w:trHeight w:val="342" w:hRule="exact"/>
        </w:trPr>
        <w:tc>
          <w:tcPr>
            <w:tcW w:w="5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鹰潭市华鹰投资咨询有限公司</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3,012,000.00</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z w:val="20"/>
              </w:rPr>
              <w:t>2.259%</w:t>
            </w:r>
          </w:p>
        </w:tc>
      </w:tr>
      <w:tr>
        <w:trPr>
          <w:trHeight w:val="342" w:hRule="exact"/>
        </w:trPr>
        <w:tc>
          <w:tcPr>
            <w:tcW w:w="5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鹰潭市锐鹰投资咨询有限公司</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3,050,000.00</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z w:val="20"/>
              </w:rPr>
              <w:t>2.287%</w:t>
            </w:r>
          </w:p>
        </w:tc>
      </w:tr>
      <w:tr>
        <w:trPr>
          <w:trHeight w:val="342" w:hRule="exact"/>
        </w:trPr>
        <w:tc>
          <w:tcPr>
            <w:tcW w:w="5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贵昌有限公司（</w:t>
            </w:r>
            <w:r>
              <w:rPr>
                <w:rFonts w:ascii="Times New Roman" w:hAnsi="Times New Roman" w:cs="Times New Roman" w:eastAsia="Times New Roman" w:hint="default"/>
                <w:sz w:val="20"/>
                <w:szCs w:val="20"/>
              </w:rPr>
              <w:t>NobleEffortLimited</w:t>
            </w:r>
            <w:r>
              <w:rPr>
                <w:rFonts w:ascii="宋体" w:hAnsi="宋体" w:cs="宋体" w:eastAsia="宋体" w:hint="default"/>
                <w:sz w:val="20"/>
                <w:szCs w:val="20"/>
              </w:rPr>
              <w:t>）</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14,450,000.00</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10.837%</w:t>
            </w:r>
          </w:p>
        </w:tc>
      </w:tr>
      <w:tr>
        <w:trPr>
          <w:trHeight w:val="342" w:hRule="exact"/>
        </w:trPr>
        <w:tc>
          <w:tcPr>
            <w:tcW w:w="5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银联科技有限公司（</w:t>
            </w:r>
            <w:r>
              <w:rPr>
                <w:rFonts w:ascii="Times New Roman" w:hAnsi="Times New Roman" w:cs="Times New Roman" w:eastAsia="Times New Roman" w:hint="default"/>
                <w:sz w:val="20"/>
                <w:szCs w:val="20"/>
              </w:rPr>
              <w:t>SilverTeamTechnologyLimited</w:t>
            </w:r>
            <w:r>
              <w:rPr>
                <w:rFonts w:ascii="宋体" w:hAnsi="宋体" w:cs="宋体" w:eastAsia="宋体" w:hint="default"/>
                <w:sz w:val="20"/>
                <w:szCs w:val="20"/>
              </w:rPr>
              <w:t>）</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27,000,000.00</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20.249%</w:t>
            </w:r>
          </w:p>
        </w:tc>
      </w:tr>
      <w:tr>
        <w:trPr>
          <w:trHeight w:val="342" w:hRule="exact"/>
        </w:trPr>
        <w:tc>
          <w:tcPr>
            <w:tcW w:w="5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普通股</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33,340,000.00</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25.004%</w:t>
            </w:r>
          </w:p>
        </w:tc>
      </w:tr>
      <w:tr>
        <w:trPr>
          <w:trHeight w:val="342" w:hRule="exact"/>
        </w:trPr>
        <w:tc>
          <w:tcPr>
            <w:tcW w:w="5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
              <w:jc w:val="right"/>
              <w:rPr>
                <w:rFonts w:ascii="Times New Roman" w:hAnsi="Times New Roman" w:cs="Times New Roman" w:eastAsia="Times New Roman" w:hint="default"/>
                <w:sz w:val="20"/>
                <w:szCs w:val="20"/>
              </w:rPr>
            </w:pPr>
            <w:r>
              <w:rPr>
                <w:rFonts w:ascii="Times New Roman"/>
                <w:b/>
                <w:spacing w:val="-1"/>
                <w:sz w:val="20"/>
              </w:rPr>
              <w:t>133,340,000.00</w:t>
            </w:r>
            <w:r>
              <w:rPr>
                <w:rFonts w:ascii="Times New Roman"/>
                <w:spacing w:val="-1"/>
                <w:sz w:val="20"/>
              </w:rPr>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right"/>
              <w:rPr>
                <w:rFonts w:ascii="Times New Roman" w:hAnsi="Times New Roman" w:cs="Times New Roman" w:eastAsia="Times New Roman" w:hint="default"/>
                <w:sz w:val="20"/>
                <w:szCs w:val="20"/>
              </w:rPr>
            </w:pPr>
            <w:r>
              <w:rPr>
                <w:rFonts w:ascii="Times New Roman"/>
                <w:b/>
                <w:sz w:val="20"/>
              </w:rPr>
              <w:t>100.000%</w:t>
            </w:r>
            <w:r>
              <w:rPr>
                <w:rFonts w:ascii="Times New Roman"/>
                <w:sz w:val="20"/>
              </w:rPr>
            </w:r>
          </w:p>
        </w:tc>
      </w:tr>
    </w:tbl>
    <w:p>
      <w:pPr>
        <w:pStyle w:val="Heading3"/>
        <w:spacing w:line="281" w:lineRule="exact"/>
        <w:ind w:right="0" w:firstLine="0"/>
        <w:jc w:val="both"/>
      </w:pPr>
      <w:r>
        <w:rPr>
          <w:spacing w:val="-4"/>
        </w:rPr>
        <w:t>公司注册地址：北京市海淀区大慧寺</w:t>
      </w:r>
      <w:r>
        <w:rPr>
          <w:rFonts w:ascii="Times New Roman" w:hAnsi="Times New Roman" w:cs="Times New Roman" w:eastAsia="Times New Roman" w:hint="default"/>
          <w:spacing w:val="-4"/>
        </w:rPr>
        <w:t>8</w:t>
      </w:r>
      <w:r>
        <w:rPr>
          <w:spacing w:val="-4"/>
        </w:rPr>
        <w:t>号北区</w:t>
      </w:r>
      <w:r>
        <w:rPr>
          <w:rFonts w:ascii="Times New Roman" w:hAnsi="Times New Roman" w:cs="Times New Roman" w:eastAsia="Times New Roman" w:hint="default"/>
          <w:spacing w:val="-4"/>
        </w:rPr>
        <w:t>20</w:t>
      </w:r>
      <w:r>
        <w:rPr>
          <w:spacing w:val="-4"/>
        </w:rPr>
        <w:t>栋</w:t>
      </w:r>
      <w:r>
        <w:rPr>
          <w:rFonts w:ascii="Times New Roman" w:hAnsi="Times New Roman" w:cs="Times New Roman" w:eastAsia="Times New Roman" w:hint="default"/>
          <w:spacing w:val="-4"/>
        </w:rPr>
        <w:t>604</w:t>
      </w:r>
      <w:r>
        <w:rPr>
          <w:spacing w:val="-4"/>
        </w:rPr>
        <w:t>房间。公司法定代表人：于伟。公司的经营范围：</w:t>
      </w:r>
    </w:p>
    <w:p>
      <w:pPr>
        <w:pStyle w:val="Heading3"/>
        <w:spacing w:line="259" w:lineRule="auto" w:before="7"/>
        <w:ind w:right="1132" w:firstLine="0"/>
        <w:jc w:val="both"/>
      </w:pPr>
      <w:r>
        <w:rPr>
          <w:spacing w:val="-2"/>
        </w:rPr>
        <w:t>开发计算机软件及配套硬件、系统集成；销售自产产品、批发机电设备产品；售后技术服务、技术咨</w:t>
      </w:r>
      <w:r>
        <w:rPr>
          <w:spacing w:val="-85"/>
        </w:rPr>
        <w:t> </w:t>
      </w:r>
      <w:r>
        <w:rPr>
          <w:spacing w:val="-85"/>
        </w:rPr>
      </w:r>
      <w:r>
        <w:rPr>
          <w:spacing w:val="-1"/>
        </w:rPr>
        <w:t>询；承接计算机网络工程安装。（上述经营范围不涉及国营贸易管理商品；涉及配额、许可证管理商</w:t>
      </w:r>
      <w:r>
        <w:rPr>
          <w:w w:val="99"/>
        </w:rPr>
        <w:t> </w:t>
      </w:r>
      <w:r>
        <w:rPr/>
        <w:t>品的按照国家有关规定办理申请。）</w:t>
      </w:r>
    </w:p>
    <w:p>
      <w:pPr>
        <w:pStyle w:val="Heading3"/>
        <w:spacing w:line="259" w:lineRule="auto" w:before="126"/>
        <w:ind w:left="1134" w:right="0"/>
        <w:jc w:val="left"/>
      </w:pPr>
      <w:r>
        <w:rPr>
          <w:spacing w:val="-2"/>
        </w:rPr>
        <w:t>本公司合并财务报表范围包括上海高伟达计算机系统工程有限公司、江苏高伟达信息技术有限公</w:t>
      </w:r>
      <w:r>
        <w:rPr>
          <w:w w:val="99"/>
        </w:rPr>
        <w:t> </w:t>
      </w:r>
      <w:r>
        <w:rPr/>
        <w:t>司</w:t>
      </w:r>
      <w:r>
        <w:rPr>
          <w:rFonts w:ascii="Times New Roman" w:hAnsi="Times New Roman" w:cs="Times New Roman" w:eastAsia="Times New Roman" w:hint="default"/>
        </w:rPr>
        <w:t>2</w:t>
      </w:r>
      <w:r>
        <w:rPr/>
        <w:t>家公司。</w:t>
      </w:r>
    </w:p>
    <w:p>
      <w:pPr>
        <w:spacing w:line="240" w:lineRule="auto" w:before="12"/>
        <w:rPr>
          <w:rFonts w:ascii="宋体" w:hAnsi="宋体" w:cs="宋体" w:eastAsia="宋体" w:hint="default"/>
          <w:sz w:val="20"/>
          <w:szCs w:val="20"/>
        </w:rPr>
      </w:pPr>
    </w:p>
    <w:p>
      <w:pPr>
        <w:pStyle w:val="Heading2"/>
        <w:spacing w:line="240" w:lineRule="auto"/>
        <w:ind w:left="1134" w:right="0"/>
        <w:jc w:val="both"/>
        <w:rPr>
          <w:b w:val="0"/>
          <w:bCs w:val="0"/>
        </w:rPr>
      </w:pPr>
      <w:bookmarkStart w:name="四、财务报表的编制基础" w:id="158"/>
      <w:bookmarkEnd w:id="158"/>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编制基础" w:id="159"/>
      <w:bookmarkEnd w:id="159"/>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12"/>
        <w:rPr>
          <w:rFonts w:ascii="宋体" w:hAnsi="宋体" w:cs="宋体" w:eastAsia="宋体" w:hint="default"/>
          <w:b/>
          <w:bCs/>
          <w:sz w:val="23"/>
          <w:szCs w:val="23"/>
        </w:rPr>
      </w:pPr>
    </w:p>
    <w:p>
      <w:pPr>
        <w:pStyle w:val="Heading3"/>
        <w:spacing w:line="259" w:lineRule="auto"/>
        <w:ind w:left="1134" w:right="0" w:firstLine="441"/>
        <w:jc w:val="left"/>
      </w:pPr>
      <w:r>
        <w:rPr>
          <w:spacing w:val="-2"/>
        </w:rPr>
        <w:t>本公司财务报表以持续经营为基础，根据实际发生的交易和事项，按照财政部颁布的《企业会计</w:t>
      </w:r>
      <w:r>
        <w:rPr>
          <w:w w:val="99"/>
        </w:rPr>
        <w:t> </w:t>
      </w:r>
      <w:r>
        <w:rPr/>
        <w:t>准则》及相关规定，并基于</w:t>
      </w:r>
      <w:r>
        <w:rPr>
          <w:rFonts w:ascii="Times New Roman" w:hAnsi="Times New Roman" w:cs="Times New Roman" w:eastAsia="Times New Roman" w:hint="default"/>
        </w:rPr>
        <w:t>“</w:t>
      </w:r>
      <w:r>
        <w:rPr/>
        <w:t>重要会计政策及会计估计</w:t>
      </w:r>
      <w:r>
        <w:rPr>
          <w:rFonts w:ascii="Times New Roman" w:hAnsi="Times New Roman" w:cs="Times New Roman" w:eastAsia="Times New Roman" w:hint="default"/>
        </w:rPr>
        <w:t>”</w:t>
      </w:r>
      <w:r>
        <w:rPr/>
        <w:t>所述会计政策和会计估计编制。</w:t>
      </w:r>
    </w:p>
    <w:p>
      <w:pPr>
        <w:spacing w:line="240" w:lineRule="auto" w:before="9"/>
        <w:rPr>
          <w:rFonts w:ascii="宋体" w:hAnsi="宋体" w:cs="宋体" w:eastAsia="宋体" w:hint="default"/>
          <w:sz w:val="22"/>
          <w:szCs w:val="22"/>
        </w:rPr>
      </w:pPr>
    </w:p>
    <w:p>
      <w:pPr>
        <w:pStyle w:val="Heading4"/>
        <w:spacing w:line="240" w:lineRule="auto"/>
        <w:ind w:left="1134" w:right="0"/>
        <w:jc w:val="both"/>
        <w:rPr>
          <w:b w:val="0"/>
          <w:bCs w:val="0"/>
        </w:rPr>
      </w:pPr>
      <w:bookmarkStart w:name="2、持续经营" w:id="160"/>
      <w:bookmarkEnd w:id="160"/>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0"/>
        <w:rPr>
          <w:rFonts w:ascii="宋体" w:hAnsi="宋体" w:cs="宋体" w:eastAsia="宋体" w:hint="default"/>
          <w:b/>
          <w:bCs/>
          <w:sz w:val="24"/>
          <w:szCs w:val="24"/>
        </w:rPr>
      </w:pPr>
    </w:p>
    <w:p>
      <w:pPr>
        <w:pStyle w:val="Heading3"/>
        <w:spacing w:line="252" w:lineRule="auto"/>
        <w:ind w:left="1134" w:right="1023" w:firstLine="441"/>
        <w:jc w:val="left"/>
      </w:pPr>
      <w:r>
        <w:rPr>
          <w:spacing w:val="-4"/>
        </w:rPr>
        <w:t>本公司管理层综合考虑了宏观政策风险、市场经营风险、公司目前和长期的盈利能力、偿债能力、</w:t>
      </w:r>
      <w:r>
        <w:rPr>
          <w:w w:val="99"/>
        </w:rPr>
        <w:t> </w:t>
      </w:r>
      <w:r>
        <w:rPr/>
        <w:t>财务弹性以及管理层改变经营政策的意向等因素，认为本公司自报告期末起</w:t>
      </w:r>
      <w:r>
        <w:rPr>
          <w:rFonts w:ascii="Times New Roman" w:hAnsi="Times New Roman" w:cs="Times New Roman" w:eastAsia="Times New Roman" w:hint="default"/>
        </w:rPr>
        <w:t>12</w:t>
      </w:r>
      <w:r>
        <w:rPr/>
        <w:t>个月内不存在影响持续</w:t>
      </w:r>
      <w:r>
        <w:rPr>
          <w:w w:val="99"/>
        </w:rPr>
        <w:t> </w:t>
      </w:r>
      <w:r>
        <w:rPr/>
        <w:t>经营能力的事项。</w:t>
      </w:r>
    </w:p>
    <w:p>
      <w:pPr>
        <w:spacing w:line="240" w:lineRule="auto" w:before="12"/>
        <w:rPr>
          <w:rFonts w:ascii="宋体" w:hAnsi="宋体" w:cs="宋体" w:eastAsia="宋体" w:hint="default"/>
          <w:sz w:val="22"/>
          <w:szCs w:val="22"/>
        </w:rPr>
      </w:pPr>
    </w:p>
    <w:p>
      <w:pPr>
        <w:pStyle w:val="Heading2"/>
        <w:spacing w:line="240" w:lineRule="auto"/>
        <w:ind w:left="1134" w:right="0"/>
        <w:jc w:val="both"/>
        <w:rPr>
          <w:b w:val="0"/>
          <w:bCs w:val="0"/>
        </w:rPr>
      </w:pPr>
      <w:bookmarkStart w:name="五、重要会计政策及会计估计" w:id="161"/>
      <w:bookmarkEnd w:id="161"/>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439" w:lineRule="auto"/>
        <w:ind w:left="1574" w:right="1132" w:hanging="441"/>
        <w:jc w:val="left"/>
      </w:pPr>
      <w:r>
        <w:rPr/>
        <w:t>具体会计政策和会计估计提示： 编制财务报表时，本公司管理层需要运用估计和假设，包括对未来事项的合理预期，这些估计和假设会对会计政策的</w:t>
      </w:r>
    </w:p>
    <w:p>
      <w:pPr>
        <w:spacing w:after="0" w:line="439" w:lineRule="auto"/>
        <w:jc w:val="left"/>
        <w:sectPr>
          <w:pgSz w:w="11910" w:h="16840"/>
          <w:pgMar w:header="877" w:footer="1187" w:top="1060" w:bottom="1380" w:left="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应用及资产、负债、收入及费用的金额产生影响。实际情况可能与这些估计不同；本公司管理层对估计涉及的关键假设和不</w:t>
      </w:r>
      <w:r>
        <w:rPr>
          <w:spacing w:val="-66"/>
        </w:rPr>
        <w:t> </w:t>
      </w:r>
      <w:r>
        <w:rPr>
          <w:spacing w:val="-66"/>
        </w:rPr>
      </w:r>
      <w:r>
        <w:rPr/>
        <w:t>确定性因素的判断进行持续评估。会计估计变更的影响在变更当期和未来期间予以确认。</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1、遵循企业会计准则的声明" w:id="162"/>
      <w:bookmarkEnd w:id="162"/>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13"/>
        <w:rPr>
          <w:rFonts w:ascii="宋体" w:hAnsi="宋体" w:cs="宋体" w:eastAsia="宋体" w:hint="default"/>
          <w:b/>
          <w:bCs/>
          <w:sz w:val="23"/>
          <w:szCs w:val="23"/>
        </w:rPr>
      </w:pPr>
    </w:p>
    <w:p>
      <w:pPr>
        <w:pStyle w:val="Heading3"/>
        <w:spacing w:line="259" w:lineRule="auto"/>
        <w:ind w:right="1132"/>
        <w:jc w:val="both"/>
      </w:pPr>
      <w:r>
        <w:rPr>
          <w:spacing w:val="-1"/>
          <w:w w:val="95"/>
        </w:rPr>
        <w:t>本公司编制的财务报表符合企业会计准则的要求，真实、完整地反映了本公司的财务状况、经营</w:t>
      </w:r>
      <w:r>
        <w:rPr>
          <w:spacing w:val="-100"/>
          <w:w w:val="95"/>
        </w:rPr>
        <w:t> </w:t>
      </w:r>
      <w:r>
        <w:rPr>
          <w:spacing w:val="-100"/>
          <w:w w:val="95"/>
        </w:rPr>
      </w:r>
      <w:r>
        <w:rPr/>
        <w:t>成果和现金流量等有关信息。</w:t>
      </w:r>
    </w:p>
    <w:p>
      <w:pPr>
        <w:spacing w:line="240" w:lineRule="auto" w:before="2"/>
        <w:rPr>
          <w:rFonts w:ascii="宋体" w:hAnsi="宋体" w:cs="宋体" w:eastAsia="宋体" w:hint="default"/>
          <w:sz w:val="24"/>
          <w:szCs w:val="24"/>
        </w:rPr>
      </w:pPr>
    </w:p>
    <w:p>
      <w:pPr>
        <w:pStyle w:val="Heading4"/>
        <w:spacing w:line="240" w:lineRule="auto"/>
        <w:ind w:right="0"/>
        <w:jc w:val="left"/>
        <w:rPr>
          <w:b w:val="0"/>
          <w:bCs w:val="0"/>
        </w:rPr>
      </w:pPr>
      <w:bookmarkStart w:name="2、会计期间" w:id="163"/>
      <w:bookmarkEnd w:id="163"/>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12"/>
        <w:rPr>
          <w:rFonts w:ascii="宋体" w:hAnsi="宋体" w:cs="宋体" w:eastAsia="宋体" w:hint="default"/>
          <w:b/>
          <w:bCs/>
          <w:sz w:val="23"/>
          <w:szCs w:val="23"/>
        </w:rPr>
      </w:pPr>
    </w:p>
    <w:p>
      <w:pPr>
        <w:pStyle w:val="Heading3"/>
        <w:spacing w:line="240" w:lineRule="auto"/>
        <w:ind w:left="1574" w:right="0" w:firstLine="0"/>
        <w:jc w:val="left"/>
      </w:pPr>
      <w:r>
        <w:rPr/>
        <w:t>本公司的会计期间为公历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spacing w:line="240" w:lineRule="auto" w:before="3"/>
        <w:rPr>
          <w:rFonts w:ascii="宋体" w:hAnsi="宋体" w:cs="宋体" w:eastAsia="宋体" w:hint="default"/>
          <w:sz w:val="24"/>
          <w:szCs w:val="24"/>
        </w:rPr>
      </w:pPr>
    </w:p>
    <w:p>
      <w:pPr>
        <w:pStyle w:val="Heading4"/>
        <w:spacing w:line="240" w:lineRule="auto"/>
        <w:ind w:right="0"/>
        <w:jc w:val="left"/>
        <w:rPr>
          <w:b w:val="0"/>
          <w:bCs w:val="0"/>
        </w:rPr>
      </w:pPr>
      <w:bookmarkStart w:name="3、营业周期" w:id="164"/>
      <w:bookmarkEnd w:id="164"/>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74" w:right="0"/>
        <w:jc w:val="left"/>
      </w:pPr>
      <w:r>
        <w:rPr/>
        <w:t>本公司的营业周期为公历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4、记账本位币" w:id="165"/>
      <w:bookmarkEnd w:id="165"/>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12"/>
        <w:rPr>
          <w:rFonts w:ascii="宋体" w:hAnsi="宋体" w:cs="宋体" w:eastAsia="宋体" w:hint="default"/>
          <w:b/>
          <w:bCs/>
          <w:sz w:val="23"/>
          <w:szCs w:val="23"/>
        </w:rPr>
      </w:pPr>
    </w:p>
    <w:p>
      <w:pPr>
        <w:pStyle w:val="Heading3"/>
        <w:spacing w:line="240" w:lineRule="auto"/>
        <w:ind w:left="1574" w:right="0" w:firstLine="0"/>
        <w:jc w:val="left"/>
      </w:pPr>
      <w:r>
        <w:rPr/>
        <w:t>本公司以人民币为记账本位币。</w:t>
      </w:r>
    </w:p>
    <w:p>
      <w:pPr>
        <w:spacing w:line="240" w:lineRule="auto" w:before="6"/>
        <w:rPr>
          <w:rFonts w:ascii="宋体" w:hAnsi="宋体" w:cs="宋体" w:eastAsia="宋体" w:hint="default"/>
          <w:sz w:val="25"/>
          <w:szCs w:val="25"/>
        </w:rPr>
      </w:pPr>
    </w:p>
    <w:p>
      <w:pPr>
        <w:pStyle w:val="Heading4"/>
        <w:spacing w:line="240" w:lineRule="auto"/>
        <w:ind w:right="0"/>
        <w:jc w:val="left"/>
        <w:rPr>
          <w:b w:val="0"/>
          <w:bCs w:val="0"/>
        </w:rPr>
      </w:pPr>
      <w:bookmarkStart w:name="5、同一控制下和非同一控制下企业合并的会计处理方法" w:id="166"/>
      <w:bookmarkEnd w:id="166"/>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13"/>
        <w:rPr>
          <w:rFonts w:ascii="宋体" w:hAnsi="宋体" w:cs="宋体" w:eastAsia="宋体" w:hint="default"/>
          <w:b/>
          <w:bCs/>
          <w:sz w:val="23"/>
          <w:szCs w:val="23"/>
        </w:rPr>
      </w:pPr>
    </w:p>
    <w:p>
      <w:pPr>
        <w:pStyle w:val="Heading3"/>
        <w:spacing w:line="259" w:lineRule="auto"/>
        <w:ind w:right="1136"/>
        <w:jc w:val="both"/>
      </w:pPr>
      <w:r>
        <w:rPr>
          <w:spacing w:val="-2"/>
        </w:rPr>
        <w:t>本公司作为合并方，在同一控制下企业合并中取得的资产和负债，在合并日按被合并方在最终控</w:t>
      </w:r>
      <w:r>
        <w:rPr>
          <w:w w:val="99"/>
        </w:rPr>
        <w:t> </w:t>
      </w:r>
      <w:r>
        <w:rPr>
          <w:spacing w:val="-1"/>
          <w:w w:val="95"/>
        </w:rPr>
        <w:t>制方合并报表中的账面价值计量。取得的净资产账面价值与支付的合并对价账面价值的差额，调整资</w:t>
      </w:r>
      <w:r>
        <w:rPr>
          <w:spacing w:val="49"/>
          <w:w w:val="95"/>
        </w:rPr>
        <w:t> </w:t>
      </w:r>
      <w:r>
        <w:rPr>
          <w:spacing w:val="49"/>
          <w:w w:val="95"/>
        </w:rPr>
      </w:r>
      <w:r>
        <w:rPr/>
        <w:t>本公积；资本公积不足冲减的，调整留存收益。</w:t>
      </w:r>
    </w:p>
    <w:p>
      <w:pPr>
        <w:pStyle w:val="Heading3"/>
        <w:spacing w:line="259" w:lineRule="auto" w:before="126"/>
        <w:ind w:right="1130"/>
        <w:jc w:val="both"/>
      </w:pPr>
      <w:r>
        <w:rPr>
          <w:spacing w:val="-1"/>
        </w:rPr>
        <w:t>在非同一控制下企业合并中取得的被购买方可辨认资产、负债及或有负债在收购日以公允价值计</w:t>
      </w:r>
      <w:r>
        <w:rPr>
          <w:w w:val="99"/>
        </w:rPr>
        <w:t> </w:t>
      </w:r>
      <w:r>
        <w:rPr>
          <w:spacing w:val="-1"/>
        </w:rPr>
        <w:t>量。合并成本为本公司在购买日为取得对被购买方的控制权而支付的现金或非现金资产、发行或承担</w:t>
      </w:r>
      <w:r>
        <w:rPr>
          <w:w w:val="99"/>
        </w:rPr>
        <w:t> </w:t>
      </w:r>
      <w:r>
        <w:rPr>
          <w:spacing w:val="-1"/>
        </w:rPr>
        <w:t>的负债、发行的权益性证券等的公允价值以及在企业合并中发生的各项直接相关费用之和（通过多次</w:t>
      </w:r>
      <w:r>
        <w:rPr>
          <w:w w:val="99"/>
        </w:rPr>
        <w:t> </w:t>
      </w:r>
      <w:r>
        <w:rPr>
          <w:spacing w:val="-1"/>
        </w:rPr>
        <w:t>交易分步实现的企业合并，其合并成本为每一单项交易的成本之和）。合并成本大于合并中取得的被</w:t>
      </w:r>
      <w:r>
        <w:rPr>
          <w:w w:val="99"/>
        </w:rPr>
        <w:t> </w:t>
      </w:r>
      <w:r>
        <w:rPr>
          <w:spacing w:val="-1"/>
        </w:rPr>
        <w:t>购买方可辨认净资产公允价值份额的差额，确认为商誉；合并成本小于合并中取得的被购买方可辨认</w:t>
      </w:r>
      <w:r>
        <w:rPr>
          <w:w w:val="99"/>
        </w:rPr>
        <w:t> </w:t>
      </w:r>
      <w:r>
        <w:rPr>
          <w:spacing w:val="-1"/>
        </w:rPr>
        <w:t>净资产公允价值份额的，首先对合并中取得的各项可辨认资产、负债及或有负债的公允价值、以及合</w:t>
      </w:r>
      <w:r>
        <w:rPr>
          <w:w w:val="99"/>
        </w:rPr>
        <w:t> </w:t>
      </w:r>
      <w:r>
        <w:rPr>
          <w:spacing w:val="-1"/>
        </w:rPr>
        <w:t>并对价的非现金资产或发行的权益性证券等的公允价值进行复核，经复核后，合并成本仍小于合并中</w:t>
      </w:r>
      <w:r>
        <w:rPr>
          <w:w w:val="99"/>
        </w:rPr>
        <w:t> </w:t>
      </w:r>
      <w:r>
        <w:rPr/>
        <w:t>取得的被购买方可辨认净资产公允价值份额的，将其差额计入合并当期营业外收入。</w:t>
      </w:r>
    </w:p>
    <w:p>
      <w:pPr>
        <w:spacing w:line="240" w:lineRule="auto" w:before="2"/>
        <w:rPr>
          <w:rFonts w:ascii="宋体" w:hAnsi="宋体" w:cs="宋体" w:eastAsia="宋体" w:hint="default"/>
          <w:sz w:val="24"/>
          <w:szCs w:val="24"/>
        </w:rPr>
      </w:pPr>
    </w:p>
    <w:p>
      <w:pPr>
        <w:pStyle w:val="Heading4"/>
        <w:spacing w:line="240" w:lineRule="auto"/>
        <w:ind w:right="0"/>
        <w:jc w:val="left"/>
        <w:rPr>
          <w:b w:val="0"/>
          <w:bCs w:val="0"/>
        </w:rPr>
      </w:pPr>
      <w:bookmarkStart w:name="6、合并财务报表的编制方法" w:id="167"/>
      <w:bookmarkEnd w:id="167"/>
      <w:r>
        <w:rPr>
          <w:b w:val="0"/>
          <w:bCs w:val="0"/>
        </w:rPr>
      </w:r>
      <w:r>
        <w:rPr>
          <w:rFonts w:ascii="Times New Roman" w:hAnsi="Times New Roman" w:cs="Times New Roman" w:eastAsia="Times New Roman" w:hint="default"/>
        </w:rPr>
        <w:t>6</w:t>
      </w:r>
      <w:r>
        <w:rPr/>
        <w:t>、合并财务报表的编制方法</w:t>
      </w:r>
      <w:r>
        <w:rPr>
          <w:b w:val="0"/>
          <w:bCs w:val="0"/>
        </w:rPr>
      </w:r>
    </w:p>
    <w:p>
      <w:pPr>
        <w:pStyle w:val="Heading3"/>
        <w:spacing w:line="430" w:lineRule="atLeast" w:before="171"/>
        <w:ind w:left="1574" w:right="0" w:firstLine="0"/>
        <w:jc w:val="left"/>
      </w:pPr>
      <w:r>
        <w:rPr/>
        <w:t>本公司将所有控制的子公司纳入合并财务报表范围。</w:t>
      </w:r>
      <w:r>
        <w:rPr>
          <w:w w:val="99"/>
        </w:rPr>
        <w:t> </w:t>
      </w:r>
      <w:r>
        <w:rPr>
          <w:spacing w:val="-2"/>
        </w:rPr>
        <w:t>在编制合并财务报表时，子公司与本公司采用的会计政策或会计期间不一致的，按照本公司的会</w:t>
      </w:r>
    </w:p>
    <w:p>
      <w:pPr>
        <w:pStyle w:val="Heading3"/>
        <w:spacing w:line="240" w:lineRule="auto" w:before="24"/>
        <w:ind w:right="0" w:firstLine="0"/>
        <w:jc w:val="left"/>
      </w:pPr>
      <w:r>
        <w:rPr/>
        <w:t>计政策或会计期间对子公司财务报表进行必要的调整。</w:t>
      </w:r>
    </w:p>
    <w:p>
      <w:pPr>
        <w:pStyle w:val="Heading3"/>
        <w:spacing w:line="254" w:lineRule="auto" w:before="144"/>
        <w:ind w:right="1133"/>
        <w:jc w:val="both"/>
      </w:pPr>
      <w:r>
        <w:rPr>
          <w:spacing w:val="-2"/>
        </w:rPr>
        <w:t>合并范围内的所有重大内部交易、往来余额及未实现利润在合并报表编制时予以抵销。子公司的</w:t>
      </w:r>
      <w:r>
        <w:rPr>
          <w:w w:val="99"/>
        </w:rPr>
        <w:t> </w:t>
      </w:r>
      <w:r>
        <w:rPr>
          <w:spacing w:val="-1"/>
        </w:rPr>
        <w:t>所有者权益中不属于母公司的份额以及当期净损益、其他综合收益及综合收益总额中属于少数股东权</w:t>
      </w:r>
      <w:r>
        <w:rPr>
          <w:w w:val="99"/>
        </w:rPr>
        <w:t> </w:t>
      </w:r>
      <w:r>
        <w:rPr/>
        <w:t>益的份额，分别在合并财务报表</w:t>
      </w:r>
      <w:r>
        <w:rPr>
          <w:rFonts w:ascii="Times New Roman" w:hAnsi="Times New Roman" w:cs="Times New Roman" w:eastAsia="Times New Roman" w:hint="default"/>
        </w:rPr>
        <w:t>“</w:t>
      </w:r>
      <w:r>
        <w:rPr/>
        <w:t>少数股东权益、少数股东损益、归属于少数股东的其他综合收益及</w:t>
      </w:r>
      <w:r>
        <w:rPr>
          <w:spacing w:val="-51"/>
        </w:rPr>
        <w:t> </w:t>
      </w:r>
      <w:r>
        <w:rPr>
          <w:spacing w:val="-51"/>
        </w:rPr>
      </w:r>
      <w:r>
        <w:rPr/>
        <w:t>归属于少数股东的综合收益总额</w:t>
      </w:r>
      <w:r>
        <w:rPr>
          <w:rFonts w:ascii="Times New Roman" w:hAnsi="Times New Roman" w:cs="Times New Roman" w:eastAsia="Times New Roman" w:hint="default"/>
        </w:rPr>
        <w:t>”</w:t>
      </w:r>
      <w:r>
        <w:rPr/>
        <w:t>项目列示。</w:t>
      </w:r>
    </w:p>
    <w:p>
      <w:pPr>
        <w:spacing w:after="0" w:line="254" w:lineRule="auto"/>
        <w:jc w:val="both"/>
        <w:sectPr>
          <w:pgSz w:w="11910" w:h="16840"/>
          <w:pgMar w:header="877" w:footer="1187" w:top="1060" w:bottom="1380" w:left="0" w:right="0"/>
        </w:sectPr>
      </w:pPr>
    </w:p>
    <w:p>
      <w:pPr>
        <w:spacing w:line="240" w:lineRule="auto" w:before="4"/>
        <w:rPr>
          <w:rFonts w:ascii="宋体" w:hAnsi="宋体" w:cs="宋体" w:eastAsia="宋体" w:hint="default"/>
          <w:sz w:val="24"/>
          <w:szCs w:val="24"/>
        </w:rPr>
      </w:pPr>
    </w:p>
    <w:p>
      <w:pPr>
        <w:pStyle w:val="Heading3"/>
        <w:spacing w:line="259" w:lineRule="auto" w:before="31"/>
        <w:ind w:right="1136"/>
        <w:jc w:val="both"/>
      </w:pPr>
      <w:r>
        <w:rPr>
          <w:spacing w:val="-2"/>
        </w:rPr>
        <w:t>对于同一控制下企业合并取得的子公司，其经营成果和现金流量自合并当期期初纳入合并财务报</w:t>
      </w:r>
      <w:r>
        <w:rPr>
          <w:w w:val="99"/>
        </w:rPr>
        <w:t> </w:t>
      </w:r>
      <w:r>
        <w:rPr>
          <w:spacing w:val="-2"/>
        </w:rPr>
        <w:t>表。编制比较合并财务报表时，对上年财务报表的相关项目进行调整，视同合并后形成的报告主体自</w:t>
      </w:r>
      <w:r>
        <w:rPr>
          <w:spacing w:val="-85"/>
        </w:rPr>
        <w:t> </w:t>
      </w:r>
      <w:r>
        <w:rPr>
          <w:spacing w:val="-85"/>
        </w:rPr>
      </w:r>
      <w:r>
        <w:rPr/>
        <w:t>最终控制方开始控制时点起一直存在。</w:t>
      </w:r>
    </w:p>
    <w:p>
      <w:pPr>
        <w:pStyle w:val="Heading3"/>
        <w:spacing w:line="259" w:lineRule="auto" w:before="126"/>
        <w:ind w:left="1134" w:right="0"/>
        <w:jc w:val="left"/>
      </w:pPr>
      <w:r>
        <w:rPr/>
        <w:t>通过多次交易分步取得同一控制下被投资单位的股权，最终形成企业合并的，应在取得控制权的</w:t>
      </w:r>
      <w:r>
        <w:rPr>
          <w:w w:val="99"/>
        </w:rPr>
        <w:t> </w:t>
      </w:r>
      <w:r>
        <w:rPr/>
        <w:t>报告期，补充披露在合并财务报表中的处理方法。例如：通过多次交易分步取得同一控制下被投资单</w:t>
      </w:r>
      <w:r>
        <w:rPr>
          <w:w w:val="99"/>
        </w:rPr>
        <w:t> </w:t>
      </w:r>
      <w:r>
        <w:rPr/>
        <w:t>位的股权，最终形成企业合并，编制合并报表时，视同在最终控制方开始控制时即以目前的状态存在</w:t>
      </w:r>
      <w:r>
        <w:rPr>
          <w:w w:val="99"/>
        </w:rPr>
        <w:t> </w:t>
      </w:r>
      <w:r>
        <w:rPr>
          <w:spacing w:val="-4"/>
        </w:rPr>
        <w:t>进行调整，在编制比较报表时，以不早于本公司和被合并方同处于最终控制方的控制之下的时点为限，</w:t>
      </w:r>
      <w:r>
        <w:rPr>
          <w:spacing w:val="-100"/>
        </w:rPr>
        <w:t> </w:t>
      </w:r>
      <w:r>
        <w:rPr>
          <w:spacing w:val="-100"/>
        </w:rPr>
      </w:r>
      <w:r>
        <w:rPr/>
        <w:t>将被合并方的有关资产、负债并入本公司合并财务报表的比较报表中，并将合并而增加的净资产在比</w:t>
      </w:r>
      <w:r>
        <w:rPr>
          <w:w w:val="99"/>
        </w:rPr>
        <w:t> </w:t>
      </w:r>
      <w:r>
        <w:rPr/>
        <w:t>较报表中调整所有者权益项下的相关项目。为避免对被合并方净资产的价值进行重复计算，本公司在</w:t>
      </w:r>
      <w:r>
        <w:rPr>
          <w:w w:val="99"/>
        </w:rPr>
        <w:t> </w:t>
      </w:r>
      <w:r>
        <w:rPr/>
        <w:t>达到合并之前持有的长期股权投资，在取得原股权之日与本公司和被合并方处于同一方最终控制之日</w:t>
      </w:r>
      <w:r>
        <w:rPr>
          <w:w w:val="99"/>
        </w:rPr>
        <w:t> </w:t>
      </w:r>
      <w:r>
        <w:rPr/>
        <w:t>孰晚日起至合并日之间已确认有关损益、其他综合收益和其他净资产变动，应分别冲减比较报表期间</w:t>
      </w:r>
      <w:r>
        <w:rPr>
          <w:w w:val="99"/>
        </w:rPr>
        <w:t> </w:t>
      </w:r>
      <w:r>
        <w:rPr/>
        <w:t>的期初留存收益和当期损益。</w:t>
      </w:r>
    </w:p>
    <w:p>
      <w:pPr>
        <w:pStyle w:val="Heading3"/>
        <w:spacing w:line="259" w:lineRule="auto" w:before="126"/>
        <w:ind w:right="1136"/>
        <w:jc w:val="both"/>
      </w:pPr>
      <w:r>
        <w:rPr>
          <w:spacing w:val="-2"/>
        </w:rPr>
        <w:t>对于非同一控制下企业合并取得子公司，经营成果和现金流量自本公司取得控制权之日起纳入合</w:t>
      </w:r>
      <w:r>
        <w:rPr>
          <w:w w:val="99"/>
        </w:rPr>
        <w:t> </w:t>
      </w:r>
      <w:r>
        <w:rPr>
          <w:spacing w:val="-2"/>
        </w:rPr>
        <w:t>并财务报表。在编制合并财务报表时，以购买日确定的各项可辨认资产、负债及或有负债的公允价值</w:t>
      </w:r>
      <w:r>
        <w:rPr>
          <w:spacing w:val="-85"/>
        </w:rPr>
        <w:t> </w:t>
      </w:r>
      <w:r>
        <w:rPr>
          <w:spacing w:val="-85"/>
        </w:rPr>
      </w:r>
      <w:r>
        <w:rPr/>
        <w:t>为基础对子公司的财务报表进行调整。</w:t>
      </w:r>
    </w:p>
    <w:p>
      <w:pPr>
        <w:pStyle w:val="Heading3"/>
        <w:spacing w:line="259" w:lineRule="auto" w:before="126"/>
        <w:ind w:left="1134" w:right="1133"/>
        <w:jc w:val="both"/>
      </w:pPr>
      <w:r>
        <w:rPr>
          <w:spacing w:val="-2"/>
        </w:rPr>
        <w:t>通过多次交易分步取得非同一控制下被投资单位的股权，最终形成企业合并的，应在取得控制权</w:t>
      </w:r>
      <w:r>
        <w:rPr>
          <w:w w:val="99"/>
        </w:rPr>
        <w:t> </w:t>
      </w:r>
      <w:r>
        <w:rPr>
          <w:spacing w:val="-1"/>
          <w:w w:val="95"/>
        </w:rPr>
        <w:t>的报告期，补充披露在合并财务报表中的处理方法。例如：通过多次交易分步取得非同一控制下被投</w:t>
      </w:r>
      <w:r>
        <w:rPr>
          <w:spacing w:val="49"/>
          <w:w w:val="95"/>
        </w:rPr>
        <w:t> </w:t>
      </w:r>
      <w:r>
        <w:rPr>
          <w:spacing w:val="49"/>
          <w:w w:val="95"/>
        </w:rPr>
      </w:r>
      <w:r>
        <w:rPr>
          <w:spacing w:val="-1"/>
          <w:w w:val="95"/>
        </w:rPr>
        <w:t>资单位的股权，最终形成企业合并，编制合并报表时，对于购买日之前持有的被购买方的股权，按照</w:t>
      </w:r>
      <w:r>
        <w:rPr>
          <w:spacing w:val="51"/>
          <w:w w:val="95"/>
        </w:rPr>
        <w:t> </w:t>
      </w:r>
      <w:r>
        <w:rPr>
          <w:spacing w:val="51"/>
          <w:w w:val="95"/>
        </w:rPr>
      </w:r>
      <w:r>
        <w:rPr>
          <w:spacing w:val="-1"/>
          <w:w w:val="95"/>
        </w:rPr>
        <w:t>该股权在购买日的公允价值进行重新计量，公允价值与其账面价值的差额计入当期投资收益；与其相</w:t>
      </w:r>
      <w:r>
        <w:rPr>
          <w:spacing w:val="48"/>
          <w:w w:val="95"/>
        </w:rPr>
        <w:t> </w:t>
      </w:r>
      <w:r>
        <w:rPr>
          <w:spacing w:val="48"/>
          <w:w w:val="95"/>
        </w:rPr>
      </w:r>
      <w:r>
        <w:rPr>
          <w:spacing w:val="-1"/>
          <w:w w:val="95"/>
        </w:rPr>
        <w:t>关的购买日之前持有的被购买方的股权涉及权益法核算下的其他综合收益以及除净损益、其他综合收</w:t>
      </w:r>
      <w:r>
        <w:rPr>
          <w:spacing w:val="49"/>
          <w:w w:val="95"/>
        </w:rPr>
        <w:t> </w:t>
      </w:r>
      <w:r>
        <w:rPr>
          <w:spacing w:val="49"/>
          <w:w w:val="95"/>
        </w:rPr>
      </w:r>
      <w:r>
        <w:rPr>
          <w:spacing w:val="-1"/>
          <w:w w:val="95"/>
        </w:rPr>
        <w:t>益和利润分配外的其他所有者权益变动，在购买日所属当期转为投资损益，由于被投资方重新计量设</w:t>
      </w:r>
      <w:r>
        <w:rPr>
          <w:spacing w:val="50"/>
          <w:w w:val="95"/>
        </w:rPr>
        <w:t> </w:t>
      </w:r>
      <w:r>
        <w:rPr>
          <w:spacing w:val="50"/>
          <w:w w:val="95"/>
        </w:rPr>
      </w:r>
      <w:r>
        <w:rPr/>
        <w:t>定受益计划净负债或净资产变动而产生的其他综合收益除外。</w:t>
      </w:r>
    </w:p>
    <w:p>
      <w:pPr>
        <w:pStyle w:val="Heading3"/>
        <w:spacing w:line="259" w:lineRule="auto" w:before="126"/>
        <w:ind w:left="1134" w:right="1089"/>
        <w:jc w:val="both"/>
      </w:pPr>
      <w:r>
        <w:rPr>
          <w:w w:val="95"/>
        </w:rPr>
        <w:t>本公司在不丧失控制权的情况下部分处置对子公司的长期股权投资，在合并财务报表中，处置价</w:t>
      </w:r>
      <w:r>
        <w:rPr>
          <w:w w:val="99"/>
        </w:rPr>
        <w:t> </w:t>
      </w:r>
      <w:r>
        <w:rPr>
          <w:w w:val="95"/>
        </w:rPr>
        <w:t>款与处置长期股权投资相对应享有子公司自购买日或合并日开始持续计算的净资产份额之间的差额，</w:t>
      </w:r>
      <w:r>
        <w:rPr>
          <w:spacing w:val="51"/>
          <w:w w:val="95"/>
        </w:rPr>
        <w:t> </w:t>
      </w:r>
      <w:r>
        <w:rPr>
          <w:spacing w:val="51"/>
          <w:w w:val="95"/>
        </w:rPr>
      </w:r>
      <w:r>
        <w:rPr/>
        <w:t>调整资本溢价或股本溢价，资本公积不足冲减的，调整留存收益。</w:t>
      </w:r>
    </w:p>
    <w:p>
      <w:pPr>
        <w:pStyle w:val="Heading3"/>
        <w:spacing w:line="259" w:lineRule="auto" w:before="126"/>
        <w:ind w:left="1134" w:right="1133"/>
        <w:jc w:val="left"/>
      </w:pPr>
      <w:r>
        <w:rPr>
          <w:spacing w:val="-2"/>
        </w:rPr>
        <w:t>本公司因处置部分股权投资等原因丧失了对被投资方的控制权的，在编制合并财务报表时，对于</w:t>
      </w:r>
      <w:r>
        <w:rPr>
          <w:w w:val="99"/>
        </w:rPr>
        <w:t> </w:t>
      </w:r>
      <w:r>
        <w:rPr>
          <w:spacing w:val="-1"/>
          <w:w w:val="95"/>
        </w:rPr>
        <w:t>剩余股权，按照其在丧失控制权日的公允价值进行重新计量。处置股权取得的对价与剩余股权公允价</w:t>
      </w:r>
      <w:r>
        <w:rPr>
          <w:spacing w:val="49"/>
          <w:w w:val="95"/>
        </w:rPr>
        <w:t> </w:t>
      </w:r>
      <w:r>
        <w:rPr>
          <w:spacing w:val="49"/>
          <w:w w:val="95"/>
        </w:rPr>
      </w:r>
      <w:r>
        <w:rPr>
          <w:spacing w:val="-1"/>
          <w:w w:val="95"/>
        </w:rPr>
        <w:t>值之和，减去按原持股比例计算应享有原有子公司自购买日或合并日开始持续计算的净资产的份额之</w:t>
      </w:r>
      <w:r>
        <w:rPr>
          <w:spacing w:val="49"/>
          <w:w w:val="95"/>
        </w:rPr>
        <w:t> </w:t>
      </w:r>
      <w:r>
        <w:rPr>
          <w:spacing w:val="49"/>
          <w:w w:val="95"/>
        </w:rPr>
      </w:r>
      <w:r>
        <w:rPr>
          <w:spacing w:val="-1"/>
          <w:w w:val="95"/>
        </w:rPr>
        <w:t>间的差额，计入丧失控制权当期的投资损益，同时冲减商誉。与原有子公司股权投资相关的其他综合</w:t>
      </w:r>
      <w:r>
        <w:rPr>
          <w:spacing w:val="49"/>
          <w:w w:val="95"/>
        </w:rPr>
        <w:t> </w:t>
      </w:r>
      <w:r>
        <w:rPr>
          <w:spacing w:val="49"/>
          <w:w w:val="95"/>
        </w:rPr>
      </w:r>
      <w:r>
        <w:rPr/>
        <w:t>收益等，在丧失控制权时转为当期投资损益</w:t>
      </w:r>
      <w:r>
        <w:rPr>
          <w:spacing w:val="-20"/>
        </w:rPr>
        <w:t> </w:t>
      </w:r>
      <w:r>
        <w:rPr/>
        <w:t>。</w:t>
      </w:r>
      <w:r>
        <w:rPr>
          <w:w w:val="99"/>
        </w:rPr>
        <w:t> </w:t>
      </w:r>
      <w:r>
        <w:rPr>
          <w:spacing w:val="-1"/>
        </w:rPr>
        <w:t>本公司通过多次交易分步处置对子公司股权投资直至丧失控制权的，如果处置对子公司股权投资直至</w:t>
      </w:r>
      <w:r>
        <w:rPr>
          <w:w w:val="99"/>
        </w:rPr>
        <w:t> </w:t>
      </w:r>
      <w:r>
        <w:rPr>
          <w:spacing w:val="-1"/>
          <w:w w:val="95"/>
        </w:rPr>
        <w:t>丧失控制权的各项交易属于一揽子交易的，应当将各项交易作为一项处置子公司并丧失控制权的交易</w:t>
      </w:r>
      <w:r>
        <w:rPr>
          <w:spacing w:val="49"/>
          <w:w w:val="95"/>
        </w:rPr>
        <w:t> </w:t>
      </w:r>
      <w:r>
        <w:rPr>
          <w:spacing w:val="49"/>
          <w:w w:val="95"/>
        </w:rPr>
      </w:r>
      <w:r>
        <w:rPr>
          <w:spacing w:val="-2"/>
        </w:rPr>
        <w:t>进行会计处理；但是，在丧失控制权之前每一次处置价款与处置投资对应的享有该子公司净资产份额</w:t>
      </w:r>
      <w:r>
        <w:rPr>
          <w:spacing w:val="-85"/>
        </w:rPr>
        <w:t> </w:t>
      </w:r>
      <w:r>
        <w:rPr>
          <w:spacing w:val="-85"/>
        </w:rPr>
      </w:r>
      <w:r>
        <w:rPr>
          <w:spacing w:val="-1"/>
          <w:w w:val="95"/>
        </w:rPr>
        <w:t>的差额，在合并财务报表中确认为其他综合收益，在丧失控制权时一并转入丧失控制权当期的投资损</w:t>
      </w:r>
      <w:r>
        <w:rPr>
          <w:w w:val="95"/>
        </w:rPr>
        <w:t>   </w:t>
      </w:r>
      <w:r>
        <w:rPr>
          <w:spacing w:val="48"/>
          <w:w w:val="95"/>
        </w:rPr>
        <w:t> </w:t>
      </w:r>
      <w:r>
        <w:rPr>
          <w:spacing w:val="48"/>
          <w:w w:val="95"/>
        </w:rPr>
      </w:r>
      <w:r>
        <w:rPr/>
        <w:t>益。</w:t>
      </w:r>
    </w:p>
    <w:p>
      <w:pPr>
        <w:spacing w:line="240" w:lineRule="auto" w:before="2"/>
        <w:rPr>
          <w:rFonts w:ascii="宋体" w:hAnsi="宋体" w:cs="宋体" w:eastAsia="宋体" w:hint="default"/>
          <w:sz w:val="24"/>
          <w:szCs w:val="24"/>
        </w:rPr>
      </w:pPr>
    </w:p>
    <w:p>
      <w:pPr>
        <w:pStyle w:val="Heading4"/>
        <w:spacing w:line="240" w:lineRule="auto"/>
        <w:ind w:left="1134" w:right="0"/>
        <w:jc w:val="left"/>
        <w:rPr>
          <w:b w:val="0"/>
          <w:bCs w:val="0"/>
        </w:rPr>
      </w:pPr>
      <w:bookmarkStart w:name="7、合营安排分类及共同经营会计处理方法" w:id="168"/>
      <w:bookmarkEnd w:id="168"/>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134" w:right="0"/>
        <w:jc w:val="left"/>
        <w:rPr>
          <w:b w:val="0"/>
          <w:bCs w:val="0"/>
        </w:rPr>
      </w:pPr>
      <w:bookmarkStart w:name="8、现金及现金等价物的确定标准" w:id="169"/>
      <w:bookmarkEnd w:id="169"/>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12"/>
        <w:rPr>
          <w:rFonts w:ascii="宋体" w:hAnsi="宋体" w:cs="宋体" w:eastAsia="宋体" w:hint="default"/>
          <w:b/>
          <w:bCs/>
          <w:sz w:val="23"/>
          <w:szCs w:val="23"/>
        </w:rPr>
      </w:pPr>
    </w:p>
    <w:p>
      <w:pPr>
        <w:pStyle w:val="Heading3"/>
        <w:spacing w:line="259" w:lineRule="auto"/>
        <w:ind w:left="1134" w:right="1133"/>
        <w:jc w:val="both"/>
      </w:pPr>
      <w:r>
        <w:rPr>
          <w:spacing w:val="-2"/>
        </w:rPr>
        <w:t>本公司现金流量表之现金指库存现金以及可以随时用于支付的存款。现金流量表之现金等价物指</w:t>
      </w:r>
      <w:r>
        <w:rPr>
          <w:w w:val="99"/>
        </w:rPr>
        <w:t> </w:t>
      </w:r>
      <w:r>
        <w:rPr>
          <w:spacing w:val="-1"/>
        </w:rPr>
        <w:t>持有期限短（一般是指从购买日起三个月内到期）、流动性强、易于转换为已知金额现金且价值变动</w:t>
      </w:r>
    </w:p>
    <w:p>
      <w:pPr>
        <w:spacing w:after="0" w:line="259" w:lineRule="auto"/>
        <w:jc w:val="both"/>
        <w:sectPr>
          <w:pgSz w:w="11910" w:h="16840"/>
          <w:pgMar w:header="877" w:footer="1187" w:top="1060" w:bottom="1380" w:left="0" w:right="0"/>
        </w:sectPr>
      </w:pPr>
    </w:p>
    <w:p>
      <w:pPr>
        <w:spacing w:line="240" w:lineRule="auto" w:before="4"/>
        <w:rPr>
          <w:rFonts w:ascii="宋体" w:hAnsi="宋体" w:cs="宋体" w:eastAsia="宋体" w:hint="default"/>
          <w:sz w:val="24"/>
          <w:szCs w:val="24"/>
        </w:rPr>
      </w:pPr>
    </w:p>
    <w:p>
      <w:pPr>
        <w:pStyle w:val="Heading3"/>
        <w:spacing w:line="240" w:lineRule="auto" w:before="31"/>
        <w:ind w:right="0" w:firstLine="0"/>
        <w:jc w:val="left"/>
      </w:pPr>
      <w:r>
        <w:rPr/>
        <w:t>风险很小的投资。</w:t>
      </w:r>
    </w:p>
    <w:p>
      <w:pPr>
        <w:spacing w:line="240" w:lineRule="auto" w:before="6"/>
        <w:rPr>
          <w:rFonts w:ascii="宋体" w:hAnsi="宋体" w:cs="宋体" w:eastAsia="宋体" w:hint="default"/>
          <w:sz w:val="25"/>
          <w:szCs w:val="25"/>
        </w:rPr>
      </w:pPr>
    </w:p>
    <w:p>
      <w:pPr>
        <w:pStyle w:val="Heading4"/>
        <w:spacing w:line="240" w:lineRule="auto"/>
        <w:ind w:right="0"/>
        <w:jc w:val="left"/>
        <w:rPr>
          <w:b w:val="0"/>
          <w:bCs w:val="0"/>
        </w:rPr>
      </w:pPr>
      <w:bookmarkStart w:name="9、外币业务和外币报表折算" w:id="170"/>
      <w:bookmarkEnd w:id="170"/>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13"/>
        <w:rPr>
          <w:rFonts w:ascii="宋体" w:hAnsi="宋体" w:cs="宋体" w:eastAsia="宋体" w:hint="default"/>
          <w:b/>
          <w:bCs/>
          <w:sz w:val="23"/>
          <w:szCs w:val="23"/>
        </w:rPr>
      </w:pPr>
    </w:p>
    <w:p>
      <w:pPr>
        <w:pStyle w:val="Heading3"/>
        <w:spacing w:line="259" w:lineRule="auto"/>
        <w:ind w:right="1095"/>
        <w:jc w:val="both"/>
      </w:pPr>
      <w:r>
        <w:rPr>
          <w:spacing w:val="-2"/>
        </w:rPr>
        <w:t>本公司外币交易按交易发生日的即期汇率将外币金额折算为人民币金额。于资产负债表日，外币</w:t>
      </w:r>
      <w:r>
        <w:rPr>
          <w:w w:val="99"/>
        </w:rPr>
        <w:t> </w:t>
      </w:r>
      <w:r>
        <w:rPr>
          <w:spacing w:val="-1"/>
        </w:rPr>
        <w:t>货币性项目采用资产负债表日的即期汇率折算为人民币，所产生的折算差额除了为购建或生产符合资</w:t>
      </w:r>
      <w:r>
        <w:rPr>
          <w:w w:val="99"/>
        </w:rPr>
        <w:t> </w:t>
      </w:r>
      <w:r>
        <w:rPr>
          <w:w w:val="95"/>
        </w:rPr>
        <w:t>本化条件的资产而借入的外币专门借款产生的汇兑差额按资本化的原则处理外，直接计入当期损益。</w:t>
      </w:r>
      <w:r>
        <w:rPr/>
      </w:r>
    </w:p>
    <w:p>
      <w:pPr>
        <w:spacing w:line="240" w:lineRule="auto" w:before="2"/>
        <w:rPr>
          <w:rFonts w:ascii="宋体" w:hAnsi="宋体" w:cs="宋体" w:eastAsia="宋体" w:hint="default"/>
          <w:sz w:val="24"/>
          <w:szCs w:val="24"/>
        </w:rPr>
      </w:pPr>
    </w:p>
    <w:p>
      <w:pPr>
        <w:pStyle w:val="Heading4"/>
        <w:spacing w:line="240" w:lineRule="auto"/>
        <w:ind w:right="0"/>
        <w:jc w:val="left"/>
        <w:rPr>
          <w:b w:val="0"/>
          <w:bCs w:val="0"/>
        </w:rPr>
      </w:pPr>
      <w:bookmarkStart w:name="10、金融工具" w:id="171"/>
      <w:bookmarkEnd w:id="171"/>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12"/>
        <w:rPr>
          <w:rFonts w:ascii="宋体" w:hAnsi="宋体" w:cs="宋体" w:eastAsia="宋体" w:hint="default"/>
          <w:b/>
          <w:bCs/>
          <w:sz w:val="23"/>
          <w:szCs w:val="23"/>
        </w:rPr>
      </w:pPr>
    </w:p>
    <w:p>
      <w:pPr>
        <w:pStyle w:val="Heading3"/>
        <w:spacing w:line="360" w:lineRule="auto"/>
        <w:ind w:left="1134" w:right="3553"/>
        <w:jc w:val="left"/>
      </w:pPr>
      <w:r>
        <w:rPr>
          <w:w w:val="95"/>
        </w:rPr>
        <w:t>本公司成为金融工具合同的一方时确认一项金融资产或金融负债。</w:t>
      </w:r>
      <w:r>
        <w:rPr>
          <w:w w:val="99"/>
        </w:rPr>
        <w:t> </w:t>
      </w:r>
      <w:r>
        <w:rPr/>
        <w:t>一、金融资产</w:t>
      </w:r>
    </w:p>
    <w:p>
      <w:pPr>
        <w:pStyle w:val="Heading3"/>
        <w:spacing w:line="340" w:lineRule="auto" w:before="34"/>
        <w:ind w:left="1574" w:right="0" w:hanging="441"/>
        <w:jc w:val="left"/>
      </w:pPr>
      <w:r>
        <w:rPr>
          <w:rFonts w:ascii="Times New Roman" w:hAnsi="Times New Roman" w:cs="Times New Roman" w:eastAsia="Times New Roman" w:hint="default"/>
        </w:rPr>
        <w:t>1.</w:t>
      </w:r>
      <w:r>
        <w:rPr/>
        <w:t>金融资产分类、确认依据和计量方法</w:t>
      </w:r>
      <w:r>
        <w:rPr>
          <w:w w:val="99"/>
        </w:rPr>
        <w:t> </w:t>
      </w:r>
      <w:r>
        <w:rPr>
          <w:spacing w:val="3"/>
        </w:rPr>
        <w:t>本公司按投资目的和经济实质对拥有的金融资产分为以公允价值计量且其变动计入当期损益的</w:t>
      </w:r>
    </w:p>
    <w:p>
      <w:pPr>
        <w:pStyle w:val="Heading3"/>
        <w:spacing w:line="220" w:lineRule="exact"/>
        <w:ind w:left="1134" w:right="0" w:firstLine="0"/>
        <w:jc w:val="left"/>
      </w:pPr>
      <w:r>
        <w:rPr/>
        <w:t>金融资产、持有至到期投资、应收款项及可供出售金融资产。</w:t>
      </w:r>
    </w:p>
    <w:p>
      <w:pPr>
        <w:pStyle w:val="Heading3"/>
        <w:spacing w:line="259" w:lineRule="auto" w:before="144"/>
        <w:ind w:left="1134" w:right="0"/>
        <w:jc w:val="left"/>
      </w:pPr>
      <w:r>
        <w:rPr/>
        <w:t>以公允价值计量且其变动计入当期损益的金融资产，包括交易性金融资产和在初始确认时指定为</w:t>
      </w:r>
      <w:r>
        <w:rPr>
          <w:w w:val="99"/>
        </w:rPr>
        <w:t> </w:t>
      </w:r>
      <w:r>
        <w:rPr/>
        <w:t>以公允价值计量且其变动计入当期损益的金融资产。本公司将满足下列条件之一的金融资产归类为交</w:t>
      </w:r>
      <w:r>
        <w:rPr>
          <w:w w:val="99"/>
        </w:rPr>
        <w:t> </w:t>
      </w:r>
      <w:r>
        <w:rPr/>
        <w:t>易性金融资产：取得该金融资产的目的是为了在短期内出售；属于进行集中管理的可辨认金融工具组</w:t>
      </w:r>
      <w:r>
        <w:rPr>
          <w:w w:val="99"/>
        </w:rPr>
        <w:t> </w:t>
      </w:r>
      <w:r>
        <w:rPr>
          <w:spacing w:val="-4"/>
        </w:rPr>
        <w:t>合的一部分，且有客观证据表明公司近期采用短期获利方式对该组合进行管理；属于衍生工具，但是，</w:t>
      </w:r>
      <w:r>
        <w:rPr>
          <w:spacing w:val="-101"/>
        </w:rPr>
        <w:t> </w:t>
      </w:r>
      <w:r>
        <w:rPr>
          <w:spacing w:val="-101"/>
        </w:rPr>
      </w:r>
      <w:r>
        <w:rPr/>
        <w:t>被指定且为有效套期工具的衍生工具、属于财务担保合同的衍生工具、与在活跃市场中没有报价且其</w:t>
      </w:r>
      <w:r>
        <w:rPr>
          <w:w w:val="99"/>
        </w:rPr>
        <w:t> </w:t>
      </w:r>
      <w:r>
        <w:rPr/>
        <w:t>公允价值不能可靠计量的权益工具投资挂钩并须通过交付该权益工具结算的衍生工具除外。本公司将</w:t>
      </w:r>
      <w:r>
        <w:rPr>
          <w:w w:val="99"/>
        </w:rPr>
        <w:t> </w:t>
      </w:r>
      <w:r>
        <w:rPr/>
        <w:t>只有符合下列条件之一的金融工具，才可在初始确认时指定为以公允价值计量且其变动计入当期损益</w:t>
      </w:r>
      <w:r>
        <w:rPr>
          <w:w w:val="99"/>
        </w:rPr>
        <w:t> </w:t>
      </w:r>
      <w:r>
        <w:rPr/>
        <w:t>的金融资产：该指定可以消除或明显减少由于该金融工具的计量基础不同所导致的相关利得或损失在</w:t>
      </w:r>
      <w:r>
        <w:rPr>
          <w:w w:val="99"/>
        </w:rPr>
        <w:t> </w:t>
      </w:r>
      <w:r>
        <w:rPr/>
        <w:t>确认或计量方面不一致的情况；公司风险管理或投资策略的正式书面文件已载明，该金融工具组合以</w:t>
      </w:r>
      <w:r>
        <w:rPr>
          <w:w w:val="99"/>
        </w:rPr>
        <w:t> </w:t>
      </w:r>
      <w:r>
        <w:rPr/>
        <w:t>公允价值为基础进行管理、评价并向关键管理人员报告；包含一项或多项嵌入衍生工具的混合工具，</w:t>
      </w:r>
      <w:r>
        <w:rPr>
          <w:w w:val="99"/>
        </w:rPr>
        <w:t> </w:t>
      </w:r>
      <w:r>
        <w:rPr/>
        <w:t>除非嵌入衍生工具对混合工具的现金流量没有重大改变，或所嵌入的衍生工具明显不应当从相关混合</w:t>
      </w:r>
      <w:r>
        <w:rPr>
          <w:w w:val="99"/>
        </w:rPr>
        <w:t> </w:t>
      </w:r>
      <w:r>
        <w:rPr/>
        <w:t>工具中分拆；包含需要分拆但无法在取得时或后续的资产负债表日对其进行单独计量的嵌入衍生工具</w:t>
      </w:r>
      <w:r>
        <w:rPr>
          <w:w w:val="99"/>
        </w:rPr>
        <w:t> </w:t>
      </w:r>
      <w:r>
        <w:rPr/>
        <w:t>的混合工具。对此类金融资产，采用公允价值进行后续计量。公允价值变动计入公允价值变动损益；</w:t>
      </w:r>
      <w:r>
        <w:rPr>
          <w:w w:val="99"/>
        </w:rPr>
        <w:t> </w:t>
      </w:r>
      <w:r>
        <w:rPr/>
        <w:t>在资产持有期间所取得的利息或现金股利，确认为投资收益；处置时，其公允价值与初始入账金额之</w:t>
      </w:r>
      <w:r>
        <w:rPr>
          <w:w w:val="99"/>
        </w:rPr>
        <w:t> </w:t>
      </w:r>
      <w:r>
        <w:rPr/>
        <w:t>间的差额确认为投资损益，同时调整公允价值变动损益。</w:t>
      </w:r>
    </w:p>
    <w:p>
      <w:pPr>
        <w:pStyle w:val="Heading3"/>
        <w:spacing w:line="259" w:lineRule="auto" w:before="126"/>
        <w:ind w:left="1134" w:right="1132"/>
        <w:jc w:val="both"/>
      </w:pPr>
      <w:r>
        <w:rPr>
          <w:spacing w:val="-2"/>
        </w:rPr>
        <w:t>持有至到期投资是指到期日固定、回收金额固定或可确定，且本公司有明确意图和能力持有至到</w:t>
      </w:r>
      <w:r>
        <w:rPr>
          <w:w w:val="99"/>
        </w:rPr>
        <w:t> </w:t>
      </w:r>
      <w:r>
        <w:rPr>
          <w:spacing w:val="-1"/>
        </w:rPr>
        <w:t>期的非衍生金融资产。持有至到期投资采用实际利率法，按照摊余成本进行后续计量，其摊销或减值</w:t>
      </w:r>
      <w:r>
        <w:rPr>
          <w:w w:val="99"/>
        </w:rPr>
        <w:t> </w:t>
      </w:r>
      <w:r>
        <w:rPr/>
        <w:t>以及终止确认产生的利得或损失，均计入当期损益。</w:t>
      </w:r>
    </w:p>
    <w:p>
      <w:pPr>
        <w:pStyle w:val="Heading3"/>
        <w:spacing w:line="259" w:lineRule="auto" w:before="126"/>
        <w:ind w:left="1134" w:right="1095"/>
        <w:jc w:val="right"/>
      </w:pPr>
      <w:r>
        <w:rPr>
          <w:spacing w:val="-2"/>
        </w:rPr>
        <w:t>应收款项是指在活跃市场中没有报价，回收金额固定或可确定的非衍生金融资产。采用实际利率</w:t>
      </w:r>
      <w:r>
        <w:rPr>
          <w:w w:val="99"/>
        </w:rPr>
        <w:t> </w:t>
      </w:r>
      <w:r>
        <w:rPr>
          <w:spacing w:val="-1"/>
        </w:rPr>
        <w:t>法，按照摊余成本进行后续计量，其摊销或减值以及终止确认产生的利得或损失，均计入当期损益。</w:t>
      </w:r>
    </w:p>
    <w:p>
      <w:pPr>
        <w:pStyle w:val="Heading3"/>
        <w:spacing w:line="259" w:lineRule="auto" w:before="126"/>
        <w:ind w:left="1134" w:right="1133"/>
        <w:jc w:val="both"/>
      </w:pPr>
      <w:r>
        <w:rPr>
          <w:spacing w:val="3"/>
        </w:rPr>
        <w:t>可供出售金融资产包括初始确认时即被指定为可供出售的非衍生金融资产及未被划分为其他类</w:t>
      </w:r>
      <w:r>
        <w:rPr>
          <w:w w:val="99"/>
        </w:rPr>
        <w:t> </w:t>
      </w:r>
      <w:r>
        <w:rPr>
          <w:spacing w:val="-1"/>
          <w:w w:val="95"/>
        </w:rPr>
        <w:t>的金融资产。这类资产中，在活跃市场中没有报价且其公允价值不能可靠计量的权益工具投资以及与</w:t>
      </w:r>
      <w:r>
        <w:rPr>
          <w:spacing w:val="48"/>
          <w:w w:val="95"/>
        </w:rPr>
        <w:t> </w:t>
      </w:r>
      <w:r>
        <w:rPr>
          <w:spacing w:val="48"/>
          <w:w w:val="95"/>
        </w:rPr>
      </w:r>
      <w:r>
        <w:rPr>
          <w:spacing w:val="-1"/>
          <w:w w:val="95"/>
        </w:rPr>
        <w:t>该权益工具挂钩并须通过交付该权益工具结算的衍生金融资产，按成本进行后续计量；其他存在活跃</w:t>
      </w:r>
      <w:r>
        <w:rPr>
          <w:spacing w:val="50"/>
          <w:w w:val="95"/>
        </w:rPr>
        <w:t> </w:t>
      </w:r>
      <w:r>
        <w:rPr>
          <w:spacing w:val="50"/>
          <w:w w:val="95"/>
        </w:rPr>
      </w:r>
      <w:r>
        <w:rPr>
          <w:spacing w:val="-1"/>
          <w:w w:val="95"/>
        </w:rPr>
        <w:t>市场报价或虽没有活跃市场报价但公允价值能够可靠计量的，按公允价值计量，公允价值变动计入其</w:t>
      </w:r>
      <w:r>
        <w:rPr>
          <w:spacing w:val="49"/>
          <w:w w:val="95"/>
        </w:rPr>
        <w:t> </w:t>
      </w:r>
      <w:r>
        <w:rPr>
          <w:spacing w:val="49"/>
          <w:w w:val="95"/>
        </w:rPr>
      </w:r>
      <w:r>
        <w:rPr>
          <w:spacing w:val="-1"/>
          <w:w w:val="95"/>
        </w:rPr>
        <w:t>他综合收益。对于此类金融资产采用公允价值进行后续计量，除减值损失及外币货币性金融资产形成</w:t>
      </w:r>
      <w:r>
        <w:rPr>
          <w:spacing w:val="48"/>
          <w:w w:val="95"/>
        </w:rPr>
        <w:t> </w:t>
      </w:r>
      <w:r>
        <w:rPr>
          <w:spacing w:val="48"/>
          <w:w w:val="95"/>
        </w:rPr>
      </w:r>
      <w:r>
        <w:rPr>
          <w:spacing w:val="-1"/>
          <w:w w:val="95"/>
        </w:rPr>
        <w:t>的汇兑损益外，可供出售金融资产公允价值变动直接计入股东权益，待该金融资产终止确认时，原直</w:t>
      </w:r>
      <w:r>
        <w:rPr>
          <w:spacing w:val="48"/>
          <w:w w:val="95"/>
        </w:rPr>
        <w:t> </w:t>
      </w:r>
      <w:r>
        <w:rPr>
          <w:spacing w:val="48"/>
          <w:w w:val="95"/>
        </w:rPr>
      </w:r>
      <w:r>
        <w:rPr>
          <w:spacing w:val="-1"/>
          <w:w w:val="95"/>
        </w:rPr>
        <w:t>接计入权益的公允价值变动累计额转入当期损益。可供出售债务工具投资在持有期间按实际利率法计</w:t>
      </w:r>
      <w:r>
        <w:rPr>
          <w:spacing w:val="-1"/>
        </w:rPr>
      </w:r>
    </w:p>
    <w:p>
      <w:pPr>
        <w:spacing w:after="0" w:line="259" w:lineRule="auto"/>
        <w:jc w:val="both"/>
        <w:sectPr>
          <w:pgSz w:w="11910" w:h="16840"/>
          <w:pgMar w:header="877" w:footer="1187" w:top="1060" w:bottom="1380" w:left="0" w:right="0"/>
        </w:sectPr>
      </w:pPr>
    </w:p>
    <w:p>
      <w:pPr>
        <w:spacing w:line="240" w:lineRule="auto" w:before="4"/>
        <w:rPr>
          <w:rFonts w:ascii="宋体" w:hAnsi="宋体" w:cs="宋体" w:eastAsia="宋体" w:hint="default"/>
          <w:sz w:val="24"/>
          <w:szCs w:val="24"/>
        </w:rPr>
      </w:pPr>
    </w:p>
    <w:p>
      <w:pPr>
        <w:pStyle w:val="Heading3"/>
        <w:spacing w:line="259" w:lineRule="auto" w:before="31"/>
        <w:ind w:right="0" w:firstLine="0"/>
        <w:jc w:val="left"/>
      </w:pPr>
      <w:r>
        <w:rPr>
          <w:spacing w:val="-1"/>
          <w:w w:val="95"/>
        </w:rPr>
        <w:t>算的利息，以及被投资单位宣告发放的与可供出售权益工具投资相关的现金股利，作为投资收益计入</w:t>
      </w:r>
      <w:r>
        <w:rPr>
          <w:spacing w:val="49"/>
          <w:w w:val="95"/>
        </w:rPr>
        <w:t> </w:t>
      </w:r>
      <w:r>
        <w:rPr>
          <w:spacing w:val="49"/>
          <w:w w:val="95"/>
        </w:rPr>
      </w:r>
      <w:r>
        <w:rPr/>
        <w:t>当期损益。对于在活跃市场中没有报价且其公允价值不能可靠计量的权益工具投资，按成本计量。</w:t>
      </w:r>
    </w:p>
    <w:p>
      <w:pPr>
        <w:pStyle w:val="Heading3"/>
        <w:spacing w:line="340" w:lineRule="auto" w:before="126"/>
        <w:ind w:left="1574" w:right="1114" w:hanging="441"/>
        <w:jc w:val="left"/>
      </w:pPr>
      <w:r>
        <w:rPr>
          <w:rFonts w:ascii="Times New Roman" w:hAnsi="Times New Roman" w:cs="Times New Roman" w:eastAsia="Times New Roman" w:hint="default"/>
        </w:rPr>
        <w:t>2.</w:t>
      </w:r>
      <w:r>
        <w:rPr/>
        <w:t>金融资产转移的确认依据和计量方法</w:t>
      </w:r>
      <w:r>
        <w:rPr>
          <w:w w:val="99"/>
        </w:rPr>
        <w:t> </w:t>
      </w:r>
      <w:r>
        <w:rPr>
          <w:spacing w:val="-1"/>
        </w:rPr>
        <w:t>金融资产满足下列条件之一的，予以终止确认：①收取该金融资产现金流量的合同权利终止；②</w:t>
      </w:r>
    </w:p>
    <w:p>
      <w:pPr>
        <w:pStyle w:val="Heading3"/>
        <w:spacing w:line="220" w:lineRule="exact"/>
        <w:ind w:right="0" w:firstLine="0"/>
        <w:jc w:val="left"/>
      </w:pPr>
      <w:r>
        <w:rPr/>
        <w:t>该金融资产已转移，且本公司将金融资产所有权上几乎所有的风险和报酬转移给转入方；</w:t>
      </w:r>
      <w:r>
        <w:rPr>
          <w:spacing w:val="41"/>
        </w:rPr>
        <w:t> </w:t>
      </w:r>
      <w:r>
        <w:rPr>
          <w:spacing w:val="3"/>
        </w:rPr>
        <w:t>③该金融</w:t>
      </w:r>
      <w:r>
        <w:rPr/>
      </w:r>
    </w:p>
    <w:p>
      <w:pPr>
        <w:pStyle w:val="Heading3"/>
        <w:spacing w:line="259" w:lineRule="auto" w:before="24"/>
        <w:ind w:right="0" w:firstLine="0"/>
        <w:jc w:val="left"/>
      </w:pPr>
      <w:r>
        <w:rPr>
          <w:spacing w:val="-1"/>
          <w:w w:val="95"/>
        </w:rPr>
        <w:t>资产已转移，虽然本公司既没有转移也没有保留金融资产所有权上几乎所有的风险和报酬，但是放弃</w:t>
      </w:r>
      <w:r>
        <w:rPr>
          <w:spacing w:val="49"/>
          <w:w w:val="95"/>
        </w:rPr>
        <w:t> </w:t>
      </w:r>
      <w:r>
        <w:rPr>
          <w:spacing w:val="49"/>
          <w:w w:val="95"/>
        </w:rPr>
      </w:r>
      <w:r>
        <w:rPr/>
        <w:t>了对该金融资产控制。</w:t>
      </w:r>
    </w:p>
    <w:p>
      <w:pPr>
        <w:pStyle w:val="Heading3"/>
        <w:spacing w:line="259" w:lineRule="auto" w:before="126"/>
        <w:ind w:right="1136"/>
        <w:jc w:val="both"/>
      </w:pPr>
      <w:r>
        <w:rPr>
          <w:spacing w:val="-2"/>
        </w:rPr>
        <w:t>企业既没有转移也没有保留金融资产所有权上几乎所有的风险和报酬，且未放弃对该金融资产控</w:t>
      </w:r>
      <w:r>
        <w:rPr>
          <w:w w:val="99"/>
        </w:rPr>
        <w:t> </w:t>
      </w:r>
      <w:r>
        <w:rPr/>
        <w:t>制的，则按照其继续涉入所转移金融资产的程度确认有关金融资产，并相应确认有关负债。</w:t>
      </w:r>
    </w:p>
    <w:p>
      <w:pPr>
        <w:pStyle w:val="Heading3"/>
        <w:spacing w:line="259" w:lineRule="auto" w:before="126"/>
        <w:ind w:right="1135"/>
        <w:jc w:val="both"/>
      </w:pPr>
      <w:r>
        <w:rPr>
          <w:spacing w:val="-2"/>
        </w:rPr>
        <w:t>金融资产整体转移满足终止确认条件的，将所转移金融资产的账面价值，与因转移而收到的对价</w:t>
      </w:r>
      <w:r>
        <w:rPr>
          <w:w w:val="99"/>
        </w:rPr>
        <w:t> </w:t>
      </w:r>
      <w:r>
        <w:rPr/>
        <w:t>及原计入其他综合收益的公允价值变动累计额之和的差额计入当期损益。</w:t>
      </w:r>
    </w:p>
    <w:p>
      <w:pPr>
        <w:pStyle w:val="Heading3"/>
        <w:spacing w:line="259" w:lineRule="auto" w:before="126"/>
        <w:ind w:right="1136"/>
        <w:jc w:val="both"/>
      </w:pPr>
      <w:r>
        <w:rPr>
          <w:spacing w:val="-2"/>
        </w:rPr>
        <w:t>金融资产部分转移满足终止确认条件的，将所转移金融资产整体的账面价值，在终止确认部分和</w:t>
      </w:r>
      <w:r>
        <w:rPr>
          <w:w w:val="99"/>
        </w:rPr>
        <w:t> </w:t>
      </w:r>
      <w:r>
        <w:rPr>
          <w:spacing w:val="-1"/>
          <w:w w:val="95"/>
        </w:rPr>
        <w:t>未终止确认部分之间，按照各自的相对公允价值进行分摊，并将因转移而收到的对价及应分摊至终止</w:t>
      </w:r>
      <w:r>
        <w:rPr>
          <w:spacing w:val="49"/>
          <w:w w:val="95"/>
        </w:rPr>
        <w:t> </w:t>
      </w:r>
      <w:r>
        <w:rPr>
          <w:spacing w:val="49"/>
          <w:w w:val="95"/>
        </w:rPr>
      </w:r>
      <w:r>
        <w:rPr>
          <w:spacing w:val="-1"/>
          <w:w w:val="95"/>
        </w:rPr>
        <w:t>确认部分的原计入其他综合收益的公允价值变动累计额之和，与分摊的前述账面金额的差额计入当期</w:t>
      </w:r>
      <w:r>
        <w:rPr>
          <w:w w:val="95"/>
        </w:rPr>
        <w:t>  </w:t>
      </w:r>
      <w:r>
        <w:rPr>
          <w:spacing w:val="48"/>
          <w:w w:val="95"/>
        </w:rPr>
        <w:t> </w:t>
      </w:r>
      <w:r>
        <w:rPr>
          <w:spacing w:val="48"/>
          <w:w w:val="95"/>
        </w:rPr>
      </w:r>
      <w:r>
        <w:rPr/>
        <w:t>损益。</w:t>
      </w:r>
    </w:p>
    <w:p>
      <w:pPr>
        <w:pStyle w:val="Heading3"/>
        <w:spacing w:line="340" w:lineRule="auto" w:before="126"/>
        <w:ind w:left="1574" w:right="1114" w:hanging="441"/>
        <w:jc w:val="left"/>
      </w:pPr>
      <w:r>
        <w:rPr>
          <w:rFonts w:ascii="Times New Roman" w:hAnsi="Times New Roman" w:cs="Times New Roman" w:eastAsia="Times New Roman" w:hint="default"/>
        </w:rPr>
        <w:t>3.</w:t>
      </w:r>
      <w:r>
        <w:rPr/>
        <w:t>金融资产减值的测试方法及会计处理方法</w:t>
      </w:r>
      <w:r>
        <w:rPr>
          <w:w w:val="99"/>
        </w:rPr>
        <w:t> </w:t>
      </w:r>
      <w:r>
        <w:rPr>
          <w:spacing w:val="-1"/>
        </w:rPr>
        <w:t>除以公允价值计量且其变动计入当期损益的金融资产外，本公司于资产负债表日对其他金融资产</w:t>
      </w:r>
    </w:p>
    <w:p>
      <w:pPr>
        <w:pStyle w:val="Heading3"/>
        <w:spacing w:line="220" w:lineRule="exact"/>
        <w:ind w:right="0" w:firstLine="0"/>
        <w:jc w:val="left"/>
      </w:pPr>
      <w:r>
        <w:rPr/>
        <w:t>的账面价值进行检查，如果有客观证据表明某项金融资产发生减值的，计提减值准备。</w:t>
      </w:r>
    </w:p>
    <w:p>
      <w:pPr>
        <w:pStyle w:val="Heading3"/>
        <w:spacing w:line="252" w:lineRule="auto" w:before="144"/>
        <w:ind w:left="1134" w:right="1129"/>
        <w:jc w:val="both"/>
      </w:pPr>
      <w:r>
        <w:rPr/>
        <w:t>以摊余成本计量的金融资产发生减值时，按预计未来现金流量</w:t>
      </w:r>
      <w:r>
        <w:rPr>
          <w:rFonts w:ascii="Times New Roman" w:hAnsi="Times New Roman" w:cs="Times New Roman" w:eastAsia="Times New Roman" w:hint="default"/>
        </w:rPr>
        <w:t>(</w:t>
      </w:r>
      <w:r>
        <w:rPr/>
        <w:t>不包括尚未发生的未来信用损失</w:t>
      </w:r>
      <w:r>
        <w:rPr>
          <w:rFonts w:ascii="Times New Roman" w:hAnsi="Times New Roman" w:cs="Times New Roman" w:eastAsia="Times New Roman" w:hint="default"/>
        </w:rPr>
        <w:t>)</w:t>
      </w:r>
      <w:r>
        <w:rPr>
          <w:rFonts w:ascii="Times New Roman" w:hAnsi="Times New Roman" w:cs="Times New Roman" w:eastAsia="Times New Roman" w:hint="default"/>
          <w:w w:val="99"/>
        </w:rPr>
        <w:t> </w:t>
      </w:r>
      <w:r>
        <w:rPr>
          <w:spacing w:val="-2"/>
        </w:rPr>
        <w:t>现值低于账面价值的差额，计提减值准备。如果有客观证据表明该金融资产价值已恢复，且客观上与</w:t>
      </w:r>
      <w:r>
        <w:rPr>
          <w:spacing w:val="-85"/>
        </w:rPr>
        <w:t> </w:t>
      </w:r>
      <w:r>
        <w:rPr>
          <w:spacing w:val="-85"/>
        </w:rPr>
      </w:r>
      <w:r>
        <w:rPr/>
        <w:t>确认该损失后发生的事项有关，原确认的减值损失予以转回，计入当期损益。</w:t>
      </w:r>
    </w:p>
    <w:p>
      <w:pPr>
        <w:pStyle w:val="Heading3"/>
        <w:spacing w:line="259" w:lineRule="auto" w:before="133"/>
        <w:ind w:left="1134" w:right="1136"/>
        <w:jc w:val="both"/>
      </w:pPr>
      <w:r>
        <w:rPr>
          <w:spacing w:val="-2"/>
        </w:rPr>
        <w:t>当可供出售金融资产的公允价值发生较大幅度或非暂时性下降，原直接计入股东权益的因公允价</w:t>
      </w:r>
      <w:r>
        <w:rPr>
          <w:w w:val="99"/>
        </w:rPr>
        <w:t> </w:t>
      </w:r>
      <w:r>
        <w:rPr>
          <w:spacing w:val="-1"/>
          <w:w w:val="95"/>
        </w:rPr>
        <w:t>值下降形成的累计损失予以转出并计入减值损失。对已确认减值损失的可供出售债务工具投资，在期</w:t>
      </w:r>
      <w:r>
        <w:rPr>
          <w:spacing w:val="48"/>
          <w:w w:val="95"/>
        </w:rPr>
        <w:t> </w:t>
      </w:r>
      <w:r>
        <w:rPr>
          <w:spacing w:val="48"/>
          <w:w w:val="95"/>
        </w:rPr>
      </w:r>
      <w:r>
        <w:rPr>
          <w:spacing w:val="-1"/>
          <w:w w:val="95"/>
        </w:rPr>
        <w:t>后公允价值上升且客观上与确认原减值损失后发生的事项有关的，原确认的减值损失予以转回并计入</w:t>
      </w:r>
      <w:r>
        <w:rPr>
          <w:spacing w:val="49"/>
          <w:w w:val="95"/>
        </w:rPr>
        <w:t> </w:t>
      </w:r>
      <w:r>
        <w:rPr>
          <w:spacing w:val="49"/>
          <w:w w:val="95"/>
        </w:rPr>
      </w:r>
      <w:r>
        <w:rPr/>
        <w:t>当期损益。对已确认减值损失的可供出售权益工具投资，期后公允价值上升直接计入股东权益。</w:t>
      </w:r>
    </w:p>
    <w:p>
      <w:pPr>
        <w:pStyle w:val="Heading3"/>
        <w:spacing w:line="240" w:lineRule="auto" w:before="126"/>
        <w:ind w:left="1134" w:right="0" w:firstLine="0"/>
        <w:jc w:val="left"/>
      </w:pPr>
      <w:r>
        <w:rPr/>
        <w:t>二、金融负债</w:t>
      </w:r>
    </w:p>
    <w:p>
      <w:pPr>
        <w:pStyle w:val="Heading3"/>
        <w:spacing w:line="340" w:lineRule="auto" w:before="144"/>
        <w:ind w:left="1574" w:right="0" w:hanging="441"/>
        <w:jc w:val="left"/>
      </w:pPr>
      <w:r>
        <w:rPr>
          <w:rFonts w:ascii="Times New Roman" w:hAnsi="Times New Roman" w:cs="Times New Roman" w:eastAsia="Times New Roman" w:hint="default"/>
        </w:rPr>
        <w:t>1.</w:t>
      </w:r>
      <w:r>
        <w:rPr/>
        <w:t>金融负债分类、确认依据和计量方法</w:t>
      </w:r>
      <w:r>
        <w:rPr>
          <w:w w:val="99"/>
        </w:rPr>
        <w:t> </w:t>
      </w:r>
      <w:r>
        <w:rPr>
          <w:spacing w:val="3"/>
        </w:rPr>
        <w:t>本公司的金融负债于初始确认时分类为以公允价值计量且其变动计入当期损益的金融负债和其</w:t>
      </w:r>
    </w:p>
    <w:p>
      <w:pPr>
        <w:pStyle w:val="Heading3"/>
        <w:spacing w:line="220" w:lineRule="exact"/>
        <w:ind w:left="1134" w:right="0" w:firstLine="0"/>
        <w:jc w:val="left"/>
      </w:pPr>
      <w:r>
        <w:rPr/>
        <w:t>他金融负债。</w:t>
      </w:r>
    </w:p>
    <w:p>
      <w:pPr>
        <w:pStyle w:val="Heading3"/>
        <w:spacing w:line="259" w:lineRule="auto" w:before="144"/>
        <w:ind w:left="1134" w:right="1136"/>
        <w:jc w:val="both"/>
      </w:pPr>
      <w:r>
        <w:rPr>
          <w:spacing w:val="-2"/>
        </w:rPr>
        <w:t>以公允价值计量且其变动计入当期损益的金融负债，包括交易性金融负债和初始确认时指定为以</w:t>
      </w:r>
      <w:r>
        <w:rPr>
          <w:w w:val="99"/>
        </w:rPr>
        <w:t> </w:t>
      </w:r>
      <w:r>
        <w:rPr>
          <w:spacing w:val="-1"/>
          <w:w w:val="95"/>
        </w:rPr>
        <w:t>公允价值计量且其变动计入当期损益的金融负债，按照公允价值进行后续计量，公允价值变动形成的</w:t>
      </w:r>
      <w:r>
        <w:rPr>
          <w:spacing w:val="49"/>
          <w:w w:val="95"/>
        </w:rPr>
        <w:t> </w:t>
      </w:r>
      <w:r>
        <w:rPr>
          <w:spacing w:val="49"/>
          <w:w w:val="95"/>
        </w:rPr>
      </w:r>
      <w:r>
        <w:rPr/>
        <w:t>利得或损失以及与该金融负债相关的股利和利息支出计入当期损益。</w:t>
      </w:r>
    </w:p>
    <w:p>
      <w:pPr>
        <w:pStyle w:val="Heading3"/>
        <w:spacing w:line="240" w:lineRule="auto" w:before="126"/>
        <w:ind w:left="1574" w:right="0" w:firstLine="0"/>
        <w:jc w:val="left"/>
      </w:pPr>
      <w:r>
        <w:rPr/>
        <w:t>其他金融负债采用实际利率法，按照摊余成本进行后续计量。</w:t>
      </w:r>
    </w:p>
    <w:p>
      <w:pPr>
        <w:pStyle w:val="Heading3"/>
        <w:spacing w:line="340" w:lineRule="auto" w:before="144"/>
        <w:ind w:left="1574" w:right="0" w:hanging="441"/>
        <w:jc w:val="left"/>
      </w:pPr>
      <w:r>
        <w:rPr>
          <w:rFonts w:ascii="Times New Roman" w:hAnsi="Times New Roman" w:cs="Times New Roman" w:eastAsia="Times New Roman" w:hint="default"/>
        </w:rPr>
        <w:t>2.</w:t>
      </w:r>
      <w:r>
        <w:rPr/>
        <w:t>金融负债终止确认条件</w:t>
      </w:r>
      <w:r>
        <w:rPr>
          <w:w w:val="99"/>
        </w:rPr>
        <w:t> </w:t>
      </w:r>
      <w:r>
        <w:rPr>
          <w:spacing w:val="-2"/>
        </w:rPr>
        <w:t>当金融负债的现时义务全部或部分已经解除时，终止确认该金融负债或义务已解除的部分。公司</w:t>
      </w:r>
    </w:p>
    <w:p>
      <w:pPr>
        <w:pStyle w:val="Heading3"/>
        <w:spacing w:line="220" w:lineRule="exact"/>
        <w:ind w:left="1134" w:right="0" w:firstLine="0"/>
        <w:jc w:val="left"/>
      </w:pPr>
      <w:r>
        <w:rPr/>
        <w:t>与债权人之间签订协议，以承担新金融负债方式替换现存金融负债，且新金融负债与现存金融负债的</w:t>
      </w:r>
    </w:p>
    <w:p>
      <w:pPr>
        <w:pStyle w:val="Heading3"/>
        <w:spacing w:line="259" w:lineRule="auto" w:before="24"/>
        <w:ind w:left="1134" w:right="0" w:firstLine="0"/>
        <w:jc w:val="left"/>
      </w:pPr>
      <w:r>
        <w:rPr>
          <w:spacing w:val="-1"/>
          <w:w w:val="95"/>
        </w:rPr>
        <w:t>合同条款实质上不同的，终止确认现存金融负债，并同时确认新金融负债。公司对现存金融负债全部</w:t>
      </w:r>
      <w:r>
        <w:rPr>
          <w:spacing w:val="48"/>
          <w:w w:val="95"/>
        </w:rPr>
        <w:t> </w:t>
      </w:r>
      <w:r>
        <w:rPr>
          <w:spacing w:val="48"/>
          <w:w w:val="95"/>
        </w:rPr>
      </w:r>
      <w:r>
        <w:rPr>
          <w:spacing w:val="-1"/>
          <w:w w:val="95"/>
        </w:rPr>
        <w:t>或部分的合同条款作出实质性修改的，终止确认现存金融负债或其一部分，同时将修改条款后的金融</w:t>
      </w:r>
      <w:r>
        <w:rPr>
          <w:spacing w:val="-1"/>
        </w:rPr>
      </w:r>
    </w:p>
    <w:p>
      <w:pPr>
        <w:spacing w:after="0" w:line="259" w:lineRule="auto"/>
        <w:jc w:val="left"/>
        <w:sectPr>
          <w:pgSz w:w="11910" w:h="16840"/>
          <w:pgMar w:header="877" w:footer="1187" w:top="1060" w:bottom="1380" w:left="0" w:right="0"/>
        </w:sectPr>
      </w:pPr>
    </w:p>
    <w:p>
      <w:pPr>
        <w:spacing w:line="240" w:lineRule="auto" w:before="4"/>
        <w:rPr>
          <w:rFonts w:ascii="宋体" w:hAnsi="宋体" w:cs="宋体" w:eastAsia="宋体" w:hint="default"/>
          <w:sz w:val="24"/>
          <w:szCs w:val="24"/>
        </w:rPr>
      </w:pPr>
    </w:p>
    <w:p>
      <w:pPr>
        <w:pStyle w:val="Heading3"/>
        <w:spacing w:line="240" w:lineRule="auto" w:before="31"/>
        <w:ind w:right="0" w:firstLine="0"/>
        <w:jc w:val="both"/>
      </w:pPr>
      <w:r>
        <w:rPr/>
        <w:t>负债确认为一项新金融负债。终止确认部分的账面价值与支付的对价之间的差额，计入当期损益。</w:t>
      </w:r>
    </w:p>
    <w:p>
      <w:pPr>
        <w:pStyle w:val="Heading3"/>
        <w:spacing w:line="340" w:lineRule="auto" w:before="144"/>
        <w:ind w:left="1574" w:right="0" w:hanging="441"/>
        <w:jc w:val="left"/>
      </w:pPr>
      <w:r>
        <w:rPr>
          <w:rFonts w:ascii="Times New Roman" w:hAnsi="Times New Roman" w:cs="Times New Roman" w:eastAsia="Times New Roman" w:hint="default"/>
        </w:rPr>
        <w:t>3.</w:t>
      </w:r>
      <w:r>
        <w:rPr/>
        <w:t>金融资产和金融负债的公允价值确定方法</w:t>
      </w:r>
      <w:r>
        <w:rPr>
          <w:w w:val="99"/>
        </w:rPr>
        <w:t> </w:t>
      </w:r>
      <w:r>
        <w:rPr>
          <w:spacing w:val="-2"/>
        </w:rPr>
        <w:t>本公司以主要市场的价格计量金融资产和金融负债的公允价值，不存在主要市场的，以最有利市</w:t>
      </w:r>
    </w:p>
    <w:p>
      <w:pPr>
        <w:pStyle w:val="Heading3"/>
        <w:spacing w:line="220" w:lineRule="exact"/>
        <w:ind w:right="0" w:firstLine="0"/>
        <w:jc w:val="both"/>
      </w:pPr>
      <w:r>
        <w:rPr/>
        <w:t>场的价格计量金融资产和金融负债的公允价值，并且采用当时适用并且有足够可利用数据和其他信息</w:t>
      </w:r>
    </w:p>
    <w:p>
      <w:pPr>
        <w:pStyle w:val="Heading3"/>
        <w:spacing w:line="259" w:lineRule="auto" w:before="24"/>
        <w:ind w:right="1131" w:firstLine="0"/>
        <w:jc w:val="both"/>
      </w:pPr>
      <w:r>
        <w:rPr>
          <w:spacing w:val="-1"/>
        </w:rPr>
        <w:t>支持的估值技术。公允价值计量所使用的输入值分为三个层次，即第一层次输入值是计量日能够取得</w:t>
      </w:r>
      <w:r>
        <w:rPr>
          <w:w w:val="99"/>
        </w:rPr>
        <w:t> </w:t>
      </w:r>
      <w:r>
        <w:rPr>
          <w:spacing w:val="-1"/>
        </w:rPr>
        <w:t>的相同资产或负债在活跃市场上未经调整的报价；第二层次输入值是除第一层次输入值外相关资产或</w:t>
      </w:r>
      <w:r>
        <w:rPr>
          <w:w w:val="99"/>
        </w:rPr>
        <w:t> </w:t>
      </w:r>
      <w:r>
        <w:rPr>
          <w:spacing w:val="-1"/>
        </w:rPr>
        <w:t>负债直接或间接可观察的输入值；第三层次输入值是相关资产或负债的不可观察输入值。本公司优先</w:t>
      </w:r>
      <w:r>
        <w:rPr>
          <w:w w:val="99"/>
        </w:rPr>
        <w:t> </w:t>
      </w:r>
      <w:r>
        <w:rPr>
          <w:spacing w:val="-1"/>
        </w:rPr>
        <w:t>使用第一层次输入值，最后再使用第三层次输入值。公允价值计量结果所属的层次，由对公允价值计</w:t>
      </w:r>
      <w:r>
        <w:rPr>
          <w:w w:val="99"/>
        </w:rPr>
        <w:t> </w:t>
      </w:r>
      <w:r>
        <w:rPr/>
        <w:t>量整体而言具有重大意义的输入值所属的最低层次决定。</w:t>
      </w:r>
    </w:p>
    <w:p>
      <w:pPr>
        <w:spacing w:line="240" w:lineRule="auto" w:before="2"/>
        <w:rPr>
          <w:rFonts w:ascii="宋体" w:hAnsi="宋体" w:cs="宋体" w:eastAsia="宋体" w:hint="default"/>
          <w:sz w:val="24"/>
          <w:szCs w:val="24"/>
        </w:rPr>
      </w:pPr>
    </w:p>
    <w:p>
      <w:pPr>
        <w:pStyle w:val="Heading4"/>
        <w:spacing w:line="240" w:lineRule="auto"/>
        <w:ind w:right="0"/>
        <w:jc w:val="both"/>
        <w:rPr>
          <w:b w:val="0"/>
          <w:bCs w:val="0"/>
        </w:rPr>
      </w:pPr>
      <w:bookmarkStart w:name="11、应收款项" w:id="172"/>
      <w:bookmarkEnd w:id="172"/>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both"/>
        <w:rPr>
          <w:b w:val="0"/>
          <w:bCs w:val="0"/>
        </w:rPr>
      </w:pPr>
      <w:bookmarkStart w:name="（1）单项金额重大并单独计提坏账准备的应收款项" w:id="173"/>
      <w:bookmarkEnd w:id="173"/>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将单项金额超过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万元的应收款项视为重大应收款项</w:t>
            </w:r>
          </w:p>
        </w:tc>
      </w:tr>
      <w:tr>
        <w:trPr>
          <w:trHeight w:val="1338"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2" w:lineRule="auto" w:before="51"/>
              <w:ind w:left="23" w:right="20"/>
              <w:jc w:val="both"/>
              <w:rPr>
                <w:rFonts w:ascii="宋体" w:hAnsi="宋体" w:cs="宋体" w:eastAsia="宋体" w:hint="default"/>
                <w:sz w:val="18"/>
                <w:szCs w:val="18"/>
              </w:rPr>
            </w:pPr>
            <w:r>
              <w:rPr>
                <w:rFonts w:ascii="宋体" w:hAnsi="宋体" w:cs="宋体" w:eastAsia="宋体" w:hint="default"/>
                <w:sz w:val="18"/>
                <w:szCs w:val="18"/>
              </w:rPr>
              <w:t>本公司将单项金额超过</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万元的应收款项视为重大应收款 项，对其单独进行减值测试，当存在客观证据表明发生了减 值，根据其未来现金流量现值低于其账面价值的差额计提坏 账准备。</w:t>
            </w:r>
          </w:p>
        </w:tc>
      </w:tr>
    </w:tbl>
    <w:p>
      <w:pPr>
        <w:spacing w:line="240" w:lineRule="auto" w:before="2"/>
        <w:rPr>
          <w:rFonts w:ascii="宋体" w:hAnsi="宋体" w:cs="宋体" w:eastAsia="宋体" w:hint="default"/>
          <w:b/>
          <w:bCs/>
          <w:sz w:val="19"/>
          <w:szCs w:val="19"/>
        </w:rPr>
      </w:pPr>
    </w:p>
    <w:p>
      <w:pPr>
        <w:pStyle w:val="Heading4"/>
        <w:spacing w:line="240" w:lineRule="auto" w:before="35"/>
        <w:ind w:left="1134" w:right="0"/>
        <w:jc w:val="left"/>
        <w:rPr>
          <w:b w:val="0"/>
          <w:bCs w:val="0"/>
        </w:rPr>
      </w:pPr>
      <w:bookmarkStart w:name="（2）按信用风险特征组合计提坏账准备的应收款项" w:id="174"/>
      <w:bookmarkEnd w:id="174"/>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1"/>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39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51"/>
        <w:ind w:left="1134" w:right="0"/>
        <w:jc w:val="left"/>
      </w:pPr>
      <w:r>
        <w:rPr/>
        <w:t>组合中，采用账龄分析法计提坏账准备的：</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1134" w:right="0"/>
        <w:jc w:val="left"/>
      </w:pPr>
      <w:r>
        <w:rPr/>
        <w:t>组合中，采用余额百分比法计提坏账准备的：</w:t>
      </w:r>
    </w:p>
    <w:p>
      <w:pPr>
        <w:pStyle w:val="BodyText"/>
        <w:spacing w:line="338" w:lineRule="auto" w:before="117"/>
        <w:ind w:right="75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单项金额不重大但单独计提坏账准备的应收款项" w:id="175"/>
      <w:bookmarkEnd w:id="175"/>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1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存在涉及诉讼、客户信用状况恶化等明显减值迹象</w:t>
            </w:r>
          </w:p>
        </w:tc>
      </w:tr>
      <w:tr>
        <w:trPr>
          <w:trHeight w:val="38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根据其未来现金流量现值低于其账面价值的差额计提坏账准</w:t>
            </w:r>
          </w:p>
        </w:tc>
      </w:tr>
    </w:tbl>
    <w:p>
      <w:pPr>
        <w:spacing w:after="0" w:line="240" w:lineRule="auto"/>
        <w:jc w:val="left"/>
        <w:rPr>
          <w:rFonts w:ascii="宋体" w:hAnsi="宋体" w:cs="宋体" w:eastAsia="宋体" w:hint="default"/>
          <w:sz w:val="18"/>
          <w:szCs w:val="18"/>
        </w:rPr>
        <w:sectPr>
          <w:pgSz w:w="11910" w:h="16840"/>
          <w:pgMar w:header="877" w:footer="1187" w:top="1060" w:bottom="1380" w:left="0" w:right="0"/>
        </w:sectPr>
      </w:pPr>
    </w:p>
    <w:p>
      <w:pPr>
        <w:spacing w:line="240" w:lineRule="auto" w:before="2"/>
        <w:rPr>
          <w:rFonts w:ascii="宋体" w:hAnsi="宋体" w:cs="宋体" w:eastAsia="宋体" w:hint="default"/>
          <w:b/>
          <w:bCs/>
          <w:sz w:val="28"/>
          <w:szCs w:val="28"/>
        </w:rPr>
      </w:pPr>
    </w:p>
    <w:p>
      <w:pPr>
        <w:spacing w:line="381" w:lineRule="exact"/>
        <w:ind w:left="112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19.1pt;mso-position-horizontal-relative:char;mso-position-vertical-relative:line" coordorigin="0,0" coordsize="9579,382">
            <v:group style="position:absolute;left:10;top:14;width:4775;height:353" coordorigin="10,14" coordsize="4775,353">
              <v:shape style="position:absolute;left:10;top:14;width:4775;height:353" coordorigin="10,14" coordsize="4775,353" path="m10,367l4784,367,4784,14,10,14,10,367xe" filled="true" fillcolor="#d2d2d2" stroked="false">
                <v:path arrowok="t"/>
                <v:fill type="solid"/>
              </v:shape>
            </v:group>
            <v:group style="position:absolute;left:4806;top:14;width:2;height:353" coordorigin="4806,14" coordsize="2,353">
              <v:shape style="position:absolute;left:4806;top:14;width:2;height:353" coordorigin="4806,14" coordsize="0,353" path="m4806,14l4806,367e" filled="false" stroked="true" strokeweight="1.140pt" strokecolor="#c6eccc">
                <v:path arrowok="t"/>
              </v:shape>
            </v:group>
            <v:group style="position:absolute;left:9557;top:14;width:2;height:353" coordorigin="9557,14" coordsize="2,353">
              <v:shape style="position:absolute;left:9557;top:14;width:2;height:353" coordorigin="9557,14" coordsize="0,353" path="m9557,14l9557,367e" filled="false" stroked="true" strokeweight="1.140pt" strokecolor="#c6eccc">
                <v:path arrowok="t"/>
              </v:shape>
            </v:group>
            <v:group style="position:absolute;left:4818;top:14;width:4729;height:353" coordorigin="4818,14" coordsize="4729,353">
              <v:shape style="position:absolute;left:4818;top:14;width:4729;height:353" coordorigin="4818,14" coordsize="4729,353" path="m4818,367l9546,367,9546,14,4818,14,4818,367xe" filled="true" fillcolor="#c6eccc"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372" coordorigin="5,5" coordsize="2,372">
              <v:shape style="position:absolute;left:5;top:5;width:2;height:372" coordorigin="5,5" coordsize="0,372" path="m5,5l5,377e" filled="false" stroked="true" strokeweight=".48pt" strokecolor="#000000">
                <v:path arrowok="t"/>
              </v:shape>
            </v:group>
            <v:group style="position:absolute;left:10;top:372;width:4776;height:2" coordorigin="10,372" coordsize="4776,2">
              <v:shape style="position:absolute;left:10;top:372;width:4776;height:2" coordorigin="10,372" coordsize="4776,0" path="m10,372l4785,372e" filled="false" stroked="true" strokeweight=".48pt" strokecolor="#000000">
                <v:path arrowok="t"/>
              </v:shape>
            </v:group>
            <v:group style="position:absolute;left:4790;top:5;width:2;height:372" coordorigin="4790,5" coordsize="2,372">
              <v:shape style="position:absolute;left:4790;top:5;width:2;height:372" coordorigin="4790,5" coordsize="0,372" path="m4790,5l4790,377e" filled="false" stroked="true" strokeweight=".48pt" strokecolor="#000000">
                <v:path arrowok="t"/>
              </v:shape>
            </v:group>
            <v:group style="position:absolute;left:4795;top:372;width:4774;height:2" coordorigin="4795,372" coordsize="4774,2">
              <v:shape style="position:absolute;left:4795;top:372;width:4774;height:2" coordorigin="4795,372" coordsize="4774,0" path="m4795,372l9569,372e" filled="false" stroked="true" strokeweight=".48pt" strokecolor="#000000">
                <v:path arrowok="t"/>
              </v:shape>
            </v:group>
            <v:group style="position:absolute;left:9574;top:5;width:2;height:372" coordorigin="9574,5" coordsize="2,372">
              <v:shape style="position:absolute;left:9574;top:5;width:2;height:372" coordorigin="9574,5" coordsize="0,372" path="m9574,5l9574,377e" filled="false" stroked="true" strokeweight=".48pt" strokecolor="#000000">
                <v:path arrowok="t"/>
              </v:shape>
              <v:shape style="position:absolute;left:4818;top:82;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备</w:t>
                      </w:r>
                    </w:p>
                  </w:txbxContent>
                </v:textbox>
                <w10:wrap type="none"/>
              </v:shape>
            </v:group>
          </v:group>
        </w:pict>
      </w:r>
      <w:r>
        <w:rPr>
          <w:rFonts w:ascii="宋体" w:hAnsi="宋体" w:cs="宋体" w:eastAsia="宋体" w:hint="default"/>
          <w:position w:val="-7"/>
          <w:sz w:val="20"/>
          <w:szCs w:val="20"/>
        </w:rPr>
      </w:r>
    </w:p>
    <w:p>
      <w:pPr>
        <w:spacing w:line="240" w:lineRule="auto" w:before="11"/>
        <w:rPr>
          <w:rFonts w:ascii="宋体" w:hAnsi="宋体" w:cs="宋体" w:eastAsia="宋体" w:hint="default"/>
          <w:b/>
          <w:bCs/>
          <w:sz w:val="18"/>
          <w:szCs w:val="18"/>
        </w:rPr>
      </w:pPr>
    </w:p>
    <w:p>
      <w:pPr>
        <w:pStyle w:val="Heading4"/>
        <w:spacing w:line="240" w:lineRule="auto" w:before="35"/>
        <w:ind w:left="1134" w:right="0"/>
        <w:jc w:val="both"/>
        <w:rPr>
          <w:b w:val="0"/>
          <w:bCs w:val="0"/>
        </w:rPr>
      </w:pPr>
      <w:bookmarkStart w:name="12、存货" w:id="176"/>
      <w:bookmarkEnd w:id="176"/>
      <w:r>
        <w:rPr>
          <w:b w:val="0"/>
          <w:bCs w:val="0"/>
        </w:rPr>
      </w:r>
      <w:r>
        <w:rPr>
          <w:rFonts w:ascii="Times New Roman" w:hAnsi="Times New Roman" w:cs="Times New Roman" w:eastAsia="Times New Roman" w:hint="default"/>
        </w:rPr>
        <w:t>12</w:t>
      </w:r>
      <w:r>
        <w:rPr/>
        <w:t>、存货</w:t>
      </w:r>
      <w:r>
        <w:rPr>
          <w:b w:val="0"/>
          <w:bCs w:val="0"/>
        </w:rPr>
      </w:r>
    </w:p>
    <w:p>
      <w:pPr>
        <w:spacing w:line="240" w:lineRule="auto" w:before="13"/>
        <w:rPr>
          <w:rFonts w:ascii="宋体" w:hAnsi="宋体" w:cs="宋体" w:eastAsia="宋体" w:hint="default"/>
          <w:b/>
          <w:bCs/>
          <w:sz w:val="23"/>
          <w:szCs w:val="23"/>
        </w:rPr>
      </w:pPr>
    </w:p>
    <w:p>
      <w:pPr>
        <w:pStyle w:val="Heading3"/>
        <w:spacing w:line="259" w:lineRule="auto"/>
        <w:ind w:left="1134" w:right="1136"/>
        <w:jc w:val="both"/>
      </w:pPr>
      <w:r>
        <w:rPr>
          <w:spacing w:val="-2"/>
        </w:rPr>
        <w:t>本公司存货主要包括为持有以备出售的商品和处在生产过程中的在产品等，按成本与可变现净值</w:t>
      </w:r>
      <w:r>
        <w:rPr>
          <w:w w:val="99"/>
        </w:rPr>
        <w:t> </w:t>
      </w:r>
      <w:r>
        <w:rPr/>
        <w:t>孰低列示。</w:t>
      </w:r>
    </w:p>
    <w:p>
      <w:pPr>
        <w:pStyle w:val="Heading3"/>
        <w:spacing w:line="259" w:lineRule="auto" w:before="126"/>
        <w:ind w:left="1134" w:right="1136"/>
        <w:jc w:val="both"/>
      </w:pPr>
      <w:r>
        <w:rPr>
          <w:spacing w:val="-2"/>
        </w:rPr>
        <w:t>存货取得和发出的计价方法：公司存货在取得时，按实际成本入账，实行永续盘存制。领用和发</w:t>
      </w:r>
      <w:r>
        <w:rPr>
          <w:w w:val="99"/>
        </w:rPr>
        <w:t> </w:t>
      </w:r>
      <w:r>
        <w:rPr/>
        <w:t>出时，采用个别认定法确定其实际成本。</w:t>
      </w:r>
    </w:p>
    <w:p>
      <w:pPr>
        <w:pStyle w:val="Heading3"/>
        <w:spacing w:line="259" w:lineRule="auto" w:before="126"/>
        <w:ind w:left="1134" w:right="1130"/>
        <w:jc w:val="both"/>
      </w:pPr>
      <w:r>
        <w:rPr>
          <w:spacing w:val="-1"/>
        </w:rPr>
        <w:t>年末存货计价原则及存货跌价准备确认标准和计提方法：年末存货按成本与可变现净值孰低原则</w:t>
      </w:r>
      <w:r>
        <w:rPr>
          <w:w w:val="99"/>
        </w:rPr>
        <w:t> </w:t>
      </w:r>
      <w:r>
        <w:rPr/>
        <w:t>计价。</w:t>
      </w:r>
    </w:p>
    <w:p>
      <w:pPr>
        <w:pStyle w:val="Heading3"/>
        <w:spacing w:line="259" w:lineRule="auto" w:before="126"/>
        <w:ind w:left="1134" w:right="1136"/>
        <w:jc w:val="both"/>
      </w:pPr>
      <w:r>
        <w:rPr>
          <w:spacing w:val="-2"/>
        </w:rPr>
        <w:t>存货可变现净值确定方法：为执行销售合同或者劳务合同而持有的存货，其可变现净值以合同价</w:t>
      </w:r>
      <w:r>
        <w:rPr>
          <w:w w:val="99"/>
        </w:rPr>
        <w:t> </w:t>
      </w:r>
      <w:r>
        <w:rPr>
          <w:spacing w:val="-1"/>
          <w:w w:val="95"/>
        </w:rPr>
        <w:t>格为基础计算；持有存货的数量多于销售合同订购数量的，超出部分的存货可变现净值以一般销售价</w:t>
      </w:r>
      <w:r>
        <w:rPr>
          <w:spacing w:val="48"/>
          <w:w w:val="95"/>
        </w:rPr>
        <w:t> </w:t>
      </w:r>
      <w:r>
        <w:rPr>
          <w:spacing w:val="48"/>
          <w:w w:val="95"/>
        </w:rPr>
      </w:r>
      <w:r>
        <w:rPr/>
        <w:t>格为基础计算。</w:t>
      </w:r>
    </w:p>
    <w:p>
      <w:pPr>
        <w:spacing w:line="240" w:lineRule="auto" w:before="2"/>
        <w:rPr>
          <w:rFonts w:ascii="宋体" w:hAnsi="宋体" w:cs="宋体" w:eastAsia="宋体" w:hint="default"/>
          <w:sz w:val="24"/>
          <w:szCs w:val="24"/>
        </w:rPr>
      </w:pPr>
    </w:p>
    <w:p>
      <w:pPr>
        <w:pStyle w:val="Heading4"/>
        <w:spacing w:line="240" w:lineRule="auto"/>
        <w:ind w:right="0"/>
        <w:jc w:val="both"/>
        <w:rPr>
          <w:b w:val="0"/>
          <w:bCs w:val="0"/>
        </w:rPr>
      </w:pPr>
      <w:bookmarkStart w:name="13、长期股权投资" w:id="177"/>
      <w:bookmarkEnd w:id="177"/>
      <w:r>
        <w:rPr>
          <w:b w:val="0"/>
          <w:bCs w:val="0"/>
        </w:rPr>
      </w:r>
      <w:r>
        <w:rPr>
          <w:rFonts w:ascii="Times New Roman" w:hAnsi="Times New Roman" w:cs="Times New Roman" w:eastAsia="Times New Roman" w:hint="default"/>
        </w:rPr>
        <w:t>13</w:t>
      </w:r>
      <w:r>
        <w:rPr/>
        <w:t>、长期股权投资</w:t>
      </w:r>
      <w:r>
        <w:rPr>
          <w:b w:val="0"/>
          <w:bCs w:val="0"/>
        </w:rPr>
      </w:r>
    </w:p>
    <w:p>
      <w:pPr>
        <w:pStyle w:val="Heading3"/>
        <w:spacing w:line="430" w:lineRule="atLeast" w:before="171"/>
        <w:ind w:left="1574" w:right="0" w:firstLine="0"/>
        <w:jc w:val="left"/>
      </w:pPr>
      <w:r>
        <w:rPr/>
        <w:t>本公司长期股权投资主要是对子公司的投资、对联营企业的投资和对合营企业的投资。</w:t>
      </w:r>
      <w:r>
        <w:rPr>
          <w:w w:val="99"/>
        </w:rPr>
        <w:t> </w:t>
      </w:r>
      <w:r>
        <w:rPr>
          <w:spacing w:val="-2"/>
        </w:rPr>
        <w:t>本公司对共同控制的判断依据是所有参与方或参与方组合集体控制该安排，并且该安排相关活动</w:t>
      </w:r>
    </w:p>
    <w:p>
      <w:pPr>
        <w:pStyle w:val="Heading3"/>
        <w:spacing w:line="240" w:lineRule="auto" w:before="24"/>
        <w:ind w:left="1134" w:right="0" w:firstLine="0"/>
        <w:jc w:val="both"/>
      </w:pPr>
      <w:r>
        <w:rPr/>
        <w:t>的政策必须经过这些集体控制该安排的参与方一致同意。</w:t>
      </w:r>
    </w:p>
    <w:p>
      <w:pPr>
        <w:pStyle w:val="Heading3"/>
        <w:spacing w:line="252" w:lineRule="auto" w:before="144"/>
        <w:ind w:left="1134" w:right="1130"/>
        <w:jc w:val="both"/>
      </w:pPr>
      <w:r>
        <w:rPr/>
        <w:t>本公司直接或通过子公司间接拥有被投资单位</w:t>
      </w:r>
      <w:r>
        <w:rPr>
          <w:rFonts w:ascii="Times New Roman" w:hAnsi="Times New Roman" w:cs="Times New Roman" w:eastAsia="Times New Roman" w:hint="default"/>
        </w:rPr>
        <w:t>20%</w:t>
      </w:r>
      <w:r>
        <w:rPr/>
        <w:t>（含）以上但低于</w:t>
      </w:r>
      <w:r>
        <w:rPr>
          <w:rFonts w:ascii="Times New Roman" w:hAnsi="Times New Roman" w:cs="Times New Roman" w:eastAsia="Times New Roman" w:hint="default"/>
        </w:rPr>
        <w:t>50%</w:t>
      </w:r>
      <w:r>
        <w:rPr/>
        <w:t>的表决权时，通常认为</w:t>
      </w:r>
      <w:r>
        <w:rPr>
          <w:spacing w:val="1"/>
          <w:w w:val="99"/>
        </w:rPr>
        <w:t> </w:t>
      </w:r>
      <w:r>
        <w:rPr>
          <w:w w:val="95"/>
        </w:rPr>
        <w:t>对被投资单位具有重大影响。持有被投资单位</w:t>
      </w:r>
      <w:r>
        <w:rPr>
          <w:rFonts w:ascii="Times New Roman" w:hAnsi="Times New Roman" w:cs="Times New Roman" w:eastAsia="Times New Roman" w:hint="default"/>
          <w:w w:val="95"/>
        </w:rPr>
        <w:t>20%</w:t>
      </w:r>
      <w:r>
        <w:rPr>
          <w:w w:val="95"/>
        </w:rPr>
        <w:t>以下表决权的，还需要综合考虑在被投资单位的董</w:t>
      </w:r>
      <w:r>
        <w:rPr>
          <w:spacing w:val="41"/>
          <w:w w:val="95"/>
        </w:rPr>
        <w:t> </w:t>
      </w:r>
      <w:r>
        <w:rPr>
          <w:spacing w:val="41"/>
          <w:w w:val="95"/>
        </w:rPr>
      </w:r>
      <w:r>
        <w:rPr>
          <w:spacing w:val="-1"/>
        </w:rPr>
        <w:t>事会或类似权力机构中派有代表、或参与被投资单位财务和经营政策制定过程、或与被投资单位之间</w:t>
      </w:r>
      <w:r>
        <w:rPr>
          <w:w w:val="99"/>
        </w:rPr>
        <w:t> </w:t>
      </w:r>
      <w:r>
        <w:rPr>
          <w:spacing w:val="-1"/>
        </w:rPr>
        <w:t>发生重要交易、或向被投资单位派出管理人员、或向被投资单位提供关键技术资料等事实和情况判断</w:t>
      </w:r>
      <w:r>
        <w:rPr>
          <w:w w:val="99"/>
        </w:rPr>
        <w:t> </w:t>
      </w:r>
      <w:r>
        <w:rPr/>
        <w:t>对被投资单位具有重大影响。</w:t>
      </w:r>
    </w:p>
    <w:p>
      <w:pPr>
        <w:pStyle w:val="Heading3"/>
        <w:spacing w:line="259" w:lineRule="auto" w:before="133"/>
        <w:ind w:left="1134" w:right="1024"/>
        <w:jc w:val="left"/>
      </w:pPr>
      <w:r>
        <w:rPr>
          <w:spacing w:val="-4"/>
        </w:rPr>
        <w:t>对被投资单位形成控制的，为本公司的子公司。通过同一控制下的企业合并取得的长期股权投资，</w:t>
      </w:r>
      <w:r>
        <w:rPr>
          <w:w w:val="99"/>
        </w:rPr>
        <w:t> </w:t>
      </w:r>
      <w:r>
        <w:rPr>
          <w:spacing w:val="3"/>
        </w:rPr>
        <w:t>在合并日按照取得被合并方在最终控制方合并报表中净资产的账面价值的份额作为长期股权投资的</w:t>
      </w:r>
      <w:r>
        <w:rPr>
          <w:spacing w:val="-95"/>
        </w:rPr>
        <w:t> </w:t>
      </w:r>
      <w:r>
        <w:rPr>
          <w:spacing w:val="-95"/>
        </w:rPr>
      </w:r>
      <w:r>
        <w:rPr/>
        <w:t>初始投资成本。被合并方在合并日的净资产账面价值为负数的，长期股权投资成本按零确定。</w:t>
      </w:r>
    </w:p>
    <w:p>
      <w:pPr>
        <w:pStyle w:val="Heading3"/>
        <w:spacing w:line="259" w:lineRule="auto" w:before="126"/>
        <w:ind w:left="1134" w:right="1092"/>
        <w:jc w:val="both"/>
      </w:pPr>
      <w:r>
        <w:rPr>
          <w:spacing w:val="-2"/>
        </w:rPr>
        <w:t>通过多次交易分步取得同一控制下被投资单位的股权，最终形成企业合并的，应在取得控制权的</w:t>
      </w:r>
      <w:r>
        <w:rPr>
          <w:w w:val="99"/>
        </w:rPr>
        <w:t> </w:t>
      </w:r>
      <w:r>
        <w:rPr>
          <w:w w:val="95"/>
        </w:rPr>
        <w:t>报告期，补充披露在母公司财务报表中的长期股权投资的处理方法。例如：通过多次交易分步取得同</w:t>
      </w:r>
      <w:r>
        <w:rPr>
          <w:spacing w:val="5"/>
          <w:w w:val="95"/>
        </w:rPr>
        <w:t> </w:t>
      </w:r>
      <w:r>
        <w:rPr>
          <w:spacing w:val="5"/>
          <w:w w:val="95"/>
        </w:rPr>
      </w:r>
      <w:r>
        <w:rPr>
          <w:spacing w:val="-1"/>
        </w:rPr>
        <w:t>一控制下被投资单位的股权，最终形成企业合并，属于一揽子交易的，本公司将各项交易作为一项取</w:t>
      </w:r>
      <w:r>
        <w:rPr>
          <w:w w:val="99"/>
        </w:rPr>
        <w:t> </w:t>
      </w:r>
      <w:r>
        <w:rPr>
          <w:spacing w:val="-2"/>
        </w:rPr>
        <w:t>得控制权的交易进行会计处理。不属于一揽子交易的，在合并日，根据合并后享有被合并方净资产在</w:t>
      </w:r>
      <w:r>
        <w:rPr>
          <w:spacing w:val="-85"/>
        </w:rPr>
        <w:t> </w:t>
      </w:r>
      <w:r>
        <w:rPr>
          <w:spacing w:val="-85"/>
        </w:rPr>
      </w:r>
      <w:r>
        <w:rPr>
          <w:spacing w:val="-1"/>
        </w:rPr>
        <w:t>最终控制方合并财务报表中的账面价值的份额作为长期股权投资的的初始投资成本。初始投资成本与</w:t>
      </w:r>
      <w:r>
        <w:rPr>
          <w:w w:val="99"/>
        </w:rPr>
        <w:t> </w:t>
      </w:r>
      <w:r>
        <w:rPr>
          <w:w w:val="95"/>
        </w:rPr>
        <w:t>达到合并前的长期股权投资账面价值加上合并日进一步取得股份新支付对价的账面价值之和的差额，</w:t>
      </w:r>
      <w:r>
        <w:rPr>
          <w:spacing w:val="49"/>
          <w:w w:val="95"/>
        </w:rPr>
        <w:t> </w:t>
      </w:r>
      <w:r>
        <w:rPr>
          <w:spacing w:val="49"/>
          <w:w w:val="95"/>
        </w:rPr>
      </w:r>
      <w:r>
        <w:rPr/>
        <w:t>调整资本公积，资本公积不足冲减的，冲减留存收益。</w:t>
      </w:r>
    </w:p>
    <w:p>
      <w:pPr>
        <w:pStyle w:val="Heading3"/>
        <w:spacing w:line="432" w:lineRule="exact" w:before="38"/>
        <w:ind w:left="1574" w:right="0" w:firstLine="0"/>
        <w:jc w:val="left"/>
      </w:pPr>
      <w:r>
        <w:rPr/>
        <w:t>通过非同一控制下的企业合并取得的长期股权投资，以合并成本作为初始投资成本。</w:t>
      </w:r>
      <w:r>
        <w:rPr>
          <w:w w:val="99"/>
        </w:rPr>
        <w:t> </w:t>
      </w:r>
      <w:r>
        <w:rPr>
          <w:spacing w:val="-2"/>
        </w:rPr>
        <w:t>通过多次交易分步取得非同一控制下被投资单位的股权，最终形成企业合并的，应在取得控制权</w:t>
      </w:r>
    </w:p>
    <w:p>
      <w:pPr>
        <w:pStyle w:val="Heading3"/>
        <w:spacing w:line="257" w:lineRule="exact"/>
        <w:ind w:left="1134" w:right="0" w:firstLine="0"/>
        <w:jc w:val="both"/>
      </w:pPr>
      <w:r>
        <w:rPr/>
        <w:t>的报告期，补充披露在母公司财务报表中的长期股权投资成本处理方法。例如：通过多次交易分步取</w:t>
      </w:r>
    </w:p>
    <w:p>
      <w:pPr>
        <w:pStyle w:val="Heading3"/>
        <w:spacing w:line="259" w:lineRule="auto" w:before="24"/>
        <w:ind w:left="1134" w:right="1095" w:firstLine="0"/>
        <w:jc w:val="both"/>
      </w:pPr>
      <w:r>
        <w:rPr>
          <w:spacing w:val="-1"/>
        </w:rPr>
        <w:t>得非同一控制下被投资单位的股权，最终形成企业合并，属于一揽子交易的，本公司将各项交易作为</w:t>
      </w:r>
      <w:r>
        <w:rPr>
          <w:w w:val="99"/>
        </w:rPr>
        <w:t> </w:t>
      </w:r>
      <w:r>
        <w:rPr>
          <w:spacing w:val="-1"/>
        </w:rPr>
        <w:t>一项取得控制权的交易进行会计处理。不属于一揽子交易的，按照原持有的股权投资账面价值加上新</w:t>
      </w:r>
      <w:r>
        <w:rPr>
          <w:w w:val="99"/>
        </w:rPr>
        <w:t> </w:t>
      </w:r>
      <w:r>
        <w:rPr>
          <w:w w:val="95"/>
        </w:rPr>
        <w:t>增投资成本之和，作为改按成本法核算的初始投资成本。购买日之前持有的股权采用权益法核算的，</w:t>
      </w:r>
      <w:r>
        <w:rPr>
          <w:spacing w:val="46"/>
          <w:w w:val="95"/>
        </w:rPr>
        <w:t> </w:t>
      </w:r>
      <w:r>
        <w:rPr>
          <w:spacing w:val="46"/>
          <w:w w:val="95"/>
        </w:rPr>
      </w:r>
      <w:r>
        <w:rPr>
          <w:spacing w:val="-1"/>
        </w:rPr>
        <w:t>原权益法核算的相关其他综合收益暂不做调整，在处置该项投资时采用与被投资单位直接处置相关资</w:t>
      </w:r>
    </w:p>
    <w:p>
      <w:pPr>
        <w:spacing w:after="0" w:line="259" w:lineRule="auto"/>
        <w:jc w:val="both"/>
        <w:sectPr>
          <w:pgSz w:w="11910" w:h="16840"/>
          <w:pgMar w:header="877" w:footer="1187" w:top="1060" w:bottom="1380" w:left="0" w:right="0"/>
        </w:sectPr>
      </w:pPr>
    </w:p>
    <w:p>
      <w:pPr>
        <w:spacing w:line="240" w:lineRule="auto" w:before="4"/>
        <w:rPr>
          <w:rFonts w:ascii="宋体" w:hAnsi="宋体" w:cs="宋体" w:eastAsia="宋体" w:hint="default"/>
          <w:sz w:val="24"/>
          <w:szCs w:val="24"/>
        </w:rPr>
      </w:pPr>
    </w:p>
    <w:p>
      <w:pPr>
        <w:pStyle w:val="Heading3"/>
        <w:spacing w:line="259" w:lineRule="auto" w:before="31"/>
        <w:ind w:right="0" w:firstLine="0"/>
        <w:jc w:val="left"/>
      </w:pPr>
      <w:r>
        <w:rPr>
          <w:spacing w:val="-1"/>
          <w:w w:val="95"/>
        </w:rPr>
        <w:t>产或负债相同的基础进行会计处理。购买日之前持有的股权在可供出售金融资产中采用公允价值核算</w:t>
      </w:r>
      <w:r>
        <w:rPr>
          <w:spacing w:val="48"/>
          <w:w w:val="95"/>
        </w:rPr>
        <w:t> </w:t>
      </w:r>
      <w:r>
        <w:rPr>
          <w:spacing w:val="48"/>
          <w:w w:val="95"/>
        </w:rPr>
      </w:r>
      <w:r>
        <w:rPr/>
        <w:t>的，原计入其他综合收益的累计公允价值变动在合并日转入当期投资损益。</w:t>
      </w:r>
    </w:p>
    <w:p>
      <w:pPr>
        <w:pStyle w:val="Heading3"/>
        <w:spacing w:line="256" w:lineRule="auto" w:before="126"/>
        <w:ind w:right="1128"/>
        <w:jc w:val="both"/>
      </w:pPr>
      <w:r>
        <w:rPr>
          <w:spacing w:val="-2"/>
        </w:rPr>
        <w:t>除上述通过企业合并取得的长期股权投资外，以支付现金取得的长期股权投资，按照实际支付的</w:t>
      </w:r>
      <w:r>
        <w:rPr>
          <w:w w:val="99"/>
        </w:rPr>
        <w:t> </w:t>
      </w:r>
      <w:r>
        <w:rPr>
          <w:spacing w:val="-1"/>
        </w:rPr>
        <w:t>购买价款作为投资成本；以发行权益性证券取得的长期股权投资，按照发行权益性证券的公允价值作</w:t>
      </w:r>
      <w:r>
        <w:rPr>
          <w:w w:val="99"/>
        </w:rPr>
        <w:t> </w:t>
      </w:r>
      <w:r>
        <w:rPr>
          <w:spacing w:val="2"/>
        </w:rPr>
        <w:t>为投资成本；投资者投入的长期股权投资，按照投资合同或协议约定的价值作为投资成本；</w:t>
      </w:r>
      <w:r>
        <w:rPr>
          <w:rFonts w:ascii="Times New Roman" w:hAnsi="Times New Roman" w:cs="Times New Roman" w:eastAsia="Times New Roman" w:hint="default"/>
          <w:spacing w:val="2"/>
        </w:rPr>
        <w:t>[</w:t>
      </w:r>
      <w:r>
        <w:rPr>
          <w:spacing w:val="2"/>
        </w:rPr>
        <w:t>公司如</w:t>
      </w:r>
      <w:r>
        <w:rPr>
          <w:spacing w:val="-101"/>
        </w:rPr>
        <w:t> </w:t>
      </w:r>
      <w:r>
        <w:rPr>
          <w:spacing w:val="-1"/>
        </w:rPr>
        <w:t>有以债务重组、非货币性资产交换等方式取得的长期股权投资，应根据相关企业会计准则的规定并结</w:t>
      </w:r>
      <w:r>
        <w:rPr>
          <w:w w:val="99"/>
        </w:rPr>
        <w:t> </w:t>
      </w:r>
      <w:r>
        <w:rPr/>
        <w:t>合公司的实际情况披露确定投资成本的方法。</w:t>
      </w:r>
    </w:p>
    <w:p>
      <w:pPr>
        <w:pStyle w:val="Heading3"/>
        <w:spacing w:line="432" w:lineRule="exact" w:before="40"/>
        <w:ind w:left="1574" w:right="0" w:firstLine="0"/>
        <w:jc w:val="left"/>
      </w:pPr>
      <w:r>
        <w:rPr/>
        <w:t>本公司对子公司投资采用成本法核算，对合营企业及联营企业投资采用权益法核算。</w:t>
      </w:r>
      <w:r>
        <w:rPr>
          <w:w w:val="99"/>
        </w:rPr>
        <w:t> </w:t>
      </w:r>
      <w:r>
        <w:rPr>
          <w:spacing w:val="-2"/>
        </w:rPr>
        <w:t>后续计量采用成本法核算的长期股权投资，在追加投资时，按照追加投资支付的成本额公允价值</w:t>
      </w:r>
    </w:p>
    <w:p>
      <w:pPr>
        <w:pStyle w:val="Heading3"/>
        <w:spacing w:line="257" w:lineRule="exact"/>
        <w:ind w:right="0" w:firstLine="0"/>
        <w:jc w:val="left"/>
      </w:pPr>
      <w:r>
        <w:rPr/>
        <w:t>及发生的相关交易费用增加长期股权投资成本的账面价值。被投资单位宣告分派的现金股利或利润，</w:t>
      </w:r>
    </w:p>
    <w:p>
      <w:pPr>
        <w:pStyle w:val="Heading3"/>
        <w:spacing w:line="240" w:lineRule="auto" w:before="24"/>
        <w:ind w:right="0" w:firstLine="0"/>
        <w:jc w:val="left"/>
      </w:pPr>
      <w:r>
        <w:rPr/>
        <w:t>按照应享有的金额确认为当期投资收益。</w:t>
      </w:r>
    </w:p>
    <w:p>
      <w:pPr>
        <w:pStyle w:val="Heading3"/>
        <w:spacing w:line="259" w:lineRule="auto" w:before="144"/>
        <w:ind w:right="1136"/>
        <w:jc w:val="both"/>
      </w:pPr>
      <w:r>
        <w:rPr>
          <w:spacing w:val="-2"/>
        </w:rPr>
        <w:t>后续计量采用权益法核算的长期股权投资，随着被他投资单位所有者权益的变动相应调整增加或</w:t>
      </w:r>
      <w:r>
        <w:rPr>
          <w:w w:val="99"/>
        </w:rPr>
        <w:t> </w:t>
      </w:r>
      <w:r>
        <w:rPr>
          <w:spacing w:val="-1"/>
          <w:w w:val="95"/>
        </w:rPr>
        <w:t>减少长期股权投资的账面价值。其中在确认应享有被投资单位净损益的份额时，以取得投资时被投资</w:t>
      </w:r>
      <w:r>
        <w:rPr>
          <w:spacing w:val="49"/>
          <w:w w:val="95"/>
        </w:rPr>
        <w:t> </w:t>
      </w:r>
      <w:r>
        <w:rPr>
          <w:spacing w:val="49"/>
          <w:w w:val="95"/>
        </w:rPr>
      </w:r>
      <w:r>
        <w:rPr>
          <w:spacing w:val="-1"/>
          <w:w w:val="95"/>
        </w:rPr>
        <w:t>单位各项可辨认资产等的公允价值为基础，按照本公司的会计政策及会计期间，并抵销与联营企业及</w:t>
      </w:r>
      <w:r>
        <w:rPr>
          <w:spacing w:val="49"/>
          <w:w w:val="95"/>
        </w:rPr>
        <w:t> </w:t>
      </w:r>
      <w:r>
        <w:rPr>
          <w:spacing w:val="49"/>
          <w:w w:val="95"/>
        </w:rPr>
      </w:r>
      <w:r>
        <w:rPr>
          <w:spacing w:val="-1"/>
          <w:w w:val="95"/>
        </w:rPr>
        <w:t>合营企业之间发生的内部交易损益按照持股比例计算归属于投资企业的部分，对被投资单位的净利润</w:t>
      </w:r>
      <w:r>
        <w:rPr>
          <w:spacing w:val="49"/>
          <w:w w:val="95"/>
        </w:rPr>
        <w:t> </w:t>
      </w:r>
      <w:r>
        <w:rPr>
          <w:spacing w:val="49"/>
          <w:w w:val="95"/>
        </w:rPr>
      </w:r>
      <w:r>
        <w:rPr/>
        <w:t>进行调整后确认。</w:t>
      </w:r>
    </w:p>
    <w:p>
      <w:pPr>
        <w:pStyle w:val="Heading3"/>
        <w:spacing w:line="259" w:lineRule="auto" w:before="126"/>
        <w:ind w:right="1132"/>
        <w:jc w:val="both"/>
      </w:pPr>
      <w:r>
        <w:rPr>
          <w:spacing w:val="-2"/>
        </w:rPr>
        <w:t>处置长期股权投资，其账面价值与实际取得价款的差额，计入当期投资收益。采用权益法核算的</w:t>
      </w:r>
      <w:r>
        <w:rPr>
          <w:w w:val="99"/>
        </w:rPr>
        <w:t> </w:t>
      </w:r>
      <w:r>
        <w:rPr>
          <w:spacing w:val="-1"/>
        </w:rPr>
        <w:t>长期股权投资，因被投资单位除净损益以外所有者权益的其他变动而计入所有者权益的，处置该项投</w:t>
      </w:r>
      <w:r>
        <w:rPr>
          <w:w w:val="99"/>
        </w:rPr>
        <w:t> </w:t>
      </w:r>
      <w:r>
        <w:rPr/>
        <w:t>资时将原计入所有者权益的部分按相应比例转入当期投资损益。</w:t>
      </w:r>
    </w:p>
    <w:p>
      <w:pPr>
        <w:pStyle w:val="Heading3"/>
        <w:spacing w:line="259" w:lineRule="auto" w:before="126"/>
        <w:ind w:right="1136"/>
        <w:jc w:val="both"/>
      </w:pPr>
      <w:r>
        <w:rPr>
          <w:spacing w:val="-2"/>
        </w:rPr>
        <w:t>因处置部分股权投资等原因丧失了对被投资单位的共同控制或重大影响的，处置后的剩余股权改</w:t>
      </w:r>
      <w:r>
        <w:rPr>
          <w:w w:val="99"/>
        </w:rPr>
        <w:t> </w:t>
      </w:r>
      <w:r>
        <w:rPr>
          <w:spacing w:val="-1"/>
          <w:w w:val="95"/>
        </w:rPr>
        <w:t>按可供出售金融资产核算，剩余股权在丧失共同控制或重大影响之日的公允价值与账面价值之间的差</w:t>
      </w:r>
      <w:r>
        <w:rPr>
          <w:spacing w:val="48"/>
          <w:w w:val="95"/>
        </w:rPr>
        <w:t> </w:t>
      </w:r>
      <w:r>
        <w:rPr>
          <w:spacing w:val="48"/>
          <w:w w:val="95"/>
        </w:rPr>
      </w:r>
      <w:r>
        <w:rPr>
          <w:spacing w:val="-1"/>
          <w:w w:val="95"/>
        </w:rPr>
        <w:t>额计入当期损益。原股权投资因采用权益法核算而确认的其他综合收益，在终止采用权益法核算时采</w:t>
      </w:r>
      <w:r>
        <w:rPr>
          <w:spacing w:val="49"/>
          <w:w w:val="95"/>
        </w:rPr>
        <w:t> </w:t>
      </w:r>
      <w:r>
        <w:rPr>
          <w:spacing w:val="49"/>
          <w:w w:val="95"/>
        </w:rPr>
      </w:r>
      <w:r>
        <w:rPr/>
        <w:t>用与被投资单位直接处置相关资产或负债相同的基础进行会计处理。</w:t>
      </w:r>
    </w:p>
    <w:p>
      <w:pPr>
        <w:pStyle w:val="Heading3"/>
        <w:spacing w:line="259" w:lineRule="auto" w:before="126"/>
        <w:ind w:right="1093"/>
        <w:jc w:val="both"/>
      </w:pPr>
      <w:r>
        <w:rPr>
          <w:spacing w:val="-2"/>
        </w:rPr>
        <w:t>因处置部分长期股权投资丧失了对被投资单位控制的，处置后的剩余股权能够对被投资单位实施</w:t>
      </w:r>
      <w:r>
        <w:rPr>
          <w:w w:val="99"/>
        </w:rPr>
        <w:t> </w:t>
      </w:r>
      <w:r>
        <w:rPr>
          <w:w w:val="95"/>
        </w:rPr>
        <w:t>共同控制或施加重大影响的，改按权益法核算，处置股权账面价值和处置对价的差额计入投资收益，</w:t>
      </w:r>
      <w:r>
        <w:rPr>
          <w:spacing w:val="48"/>
          <w:w w:val="95"/>
        </w:rPr>
        <w:t> </w:t>
      </w:r>
      <w:r>
        <w:rPr>
          <w:spacing w:val="48"/>
          <w:w w:val="95"/>
        </w:rPr>
      </w:r>
      <w:r>
        <w:rPr>
          <w:spacing w:val="-1"/>
        </w:rPr>
        <w:t>并对该剩余股权视同自取得时即采用权益法核算进行调整；处置后的剩余股权不能对被投资单位实施</w:t>
      </w:r>
      <w:r>
        <w:rPr>
          <w:w w:val="99"/>
        </w:rPr>
        <w:t> </w:t>
      </w:r>
      <w:r>
        <w:rPr>
          <w:w w:val="95"/>
        </w:rPr>
        <w:t>共同控制或施加重大影响的，改按可供出售金融资产的有关规定进行会计处理，处置股权账面价值和</w:t>
      </w:r>
      <w:r>
        <w:rPr>
          <w:spacing w:val="6"/>
          <w:w w:val="95"/>
        </w:rPr>
        <w:t> </w:t>
      </w:r>
      <w:r>
        <w:rPr>
          <w:spacing w:val="6"/>
          <w:w w:val="95"/>
        </w:rPr>
      </w:r>
      <w:r>
        <w:rPr>
          <w:w w:val="95"/>
        </w:rPr>
        <w:t>处置对价的差额计入投资收益，剩余股权在丧失控制之日的公允价值与账面价值间的差额计入当期投</w:t>
      </w:r>
      <w:r>
        <w:rPr>
          <w:spacing w:val="5"/>
          <w:w w:val="95"/>
        </w:rPr>
        <w:t> </w:t>
      </w:r>
      <w:r>
        <w:rPr>
          <w:spacing w:val="5"/>
          <w:w w:val="95"/>
        </w:rPr>
      </w:r>
      <w:r>
        <w:rPr/>
        <w:t>资损益。</w:t>
      </w:r>
    </w:p>
    <w:p>
      <w:pPr>
        <w:pStyle w:val="Heading3"/>
        <w:spacing w:line="259" w:lineRule="auto" w:before="126"/>
        <w:ind w:right="1090"/>
        <w:jc w:val="both"/>
      </w:pPr>
      <w:r>
        <w:rPr>
          <w:w w:val="95"/>
        </w:rPr>
        <w:t>本公司对于分步处置股权至丧失控股权的各项交易不属于一揽子交易的，对每一项交易分别进行</w:t>
      </w:r>
      <w:r>
        <w:rPr>
          <w:w w:val="99"/>
        </w:rPr>
        <w:t> </w:t>
      </w:r>
      <w:r>
        <w:rPr>
          <w:w w:val="95"/>
        </w:rPr>
        <w:t>会计处理。属于一揽子交易的，将各项交易作为一项处置子公司并丧失控制权的交易进行会计处理，</w:t>
      </w:r>
      <w:r>
        <w:rPr>
          <w:spacing w:val="50"/>
          <w:w w:val="95"/>
        </w:rPr>
        <w:t> </w:t>
      </w:r>
      <w:r>
        <w:rPr>
          <w:spacing w:val="50"/>
          <w:w w:val="95"/>
        </w:rPr>
      </w:r>
      <w:r>
        <w:rPr>
          <w:w w:val="95"/>
        </w:rPr>
        <w:t>但是，在丧失控制权之前每一次交易处置价款与所处置的股权对应的长期股权投资账面价值之间的差</w:t>
      </w:r>
      <w:r>
        <w:rPr>
          <w:spacing w:val="4"/>
          <w:w w:val="95"/>
        </w:rPr>
        <w:t> </w:t>
      </w:r>
      <w:r>
        <w:rPr>
          <w:spacing w:val="4"/>
          <w:w w:val="95"/>
        </w:rPr>
      </w:r>
      <w:r>
        <w:rPr/>
        <w:t>额，确认为其他综合收益，到丧失控制权时再一并转入丧失控制权的当期损益。</w:t>
      </w:r>
    </w:p>
    <w:p>
      <w:pPr>
        <w:spacing w:line="240" w:lineRule="auto" w:before="2"/>
        <w:rPr>
          <w:rFonts w:ascii="宋体" w:hAnsi="宋体" w:cs="宋体" w:eastAsia="宋体" w:hint="default"/>
          <w:sz w:val="24"/>
          <w:szCs w:val="24"/>
        </w:rPr>
      </w:pPr>
    </w:p>
    <w:p>
      <w:pPr>
        <w:pStyle w:val="Heading4"/>
        <w:spacing w:line="240" w:lineRule="auto"/>
        <w:ind w:right="0"/>
        <w:jc w:val="left"/>
        <w:rPr>
          <w:b w:val="0"/>
          <w:bCs w:val="0"/>
        </w:rPr>
      </w:pPr>
      <w:bookmarkStart w:name="14、投资性房地产" w:id="178"/>
      <w:bookmarkEnd w:id="178"/>
      <w:r>
        <w:rPr>
          <w:b w:val="0"/>
          <w:bCs w:val="0"/>
        </w:rPr>
      </w:r>
      <w:r>
        <w:rPr>
          <w:rFonts w:ascii="Times New Roman" w:hAnsi="Times New Roman" w:cs="Times New Roman" w:eastAsia="Times New Roman" w:hint="default"/>
        </w:rPr>
        <w:t>14</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134" w:right="8952"/>
        <w:jc w:val="left"/>
      </w:pPr>
      <w:r>
        <w:rPr/>
        <w:t>投资性房地产计量模式 成本法计量 折旧或摊销方法</w:t>
      </w:r>
    </w:p>
    <w:p>
      <w:pPr>
        <w:pStyle w:val="Heading3"/>
        <w:spacing w:line="240" w:lineRule="auto" w:before="71"/>
        <w:ind w:left="1574" w:right="0" w:firstLine="0"/>
        <w:jc w:val="left"/>
      </w:pPr>
      <w:r>
        <w:rPr/>
        <w:t>本公司投资性房地产为已出租的房屋建筑物，采用成本模式进行计量。</w:t>
      </w:r>
    </w:p>
    <w:p>
      <w:pPr>
        <w:spacing w:after="0" w:line="240" w:lineRule="auto"/>
        <w:jc w:val="left"/>
        <w:sectPr>
          <w:pgSz w:w="11910" w:h="16840"/>
          <w:pgMar w:header="877" w:footer="1187" w:top="1060" w:bottom="1380" w:left="0" w:right="0"/>
        </w:sectPr>
      </w:pPr>
    </w:p>
    <w:p>
      <w:pPr>
        <w:spacing w:line="240" w:lineRule="auto" w:before="4"/>
        <w:rPr>
          <w:rFonts w:ascii="宋体" w:hAnsi="宋体" w:cs="宋体" w:eastAsia="宋体" w:hint="default"/>
          <w:sz w:val="24"/>
          <w:szCs w:val="24"/>
        </w:rPr>
      </w:pPr>
    </w:p>
    <w:p>
      <w:pPr>
        <w:pStyle w:val="Heading3"/>
        <w:spacing w:line="259" w:lineRule="auto" w:before="31"/>
        <w:ind w:right="0"/>
        <w:jc w:val="left"/>
      </w:pPr>
      <w:r>
        <w:rPr>
          <w:spacing w:val="-2"/>
        </w:rPr>
        <w:t>本公司对投资性房地产按其预计使用寿命及净残值率采用平均年限法计提折旧或摊销。投资性房</w:t>
      </w:r>
      <w:r>
        <w:rPr>
          <w:w w:val="99"/>
        </w:rPr>
        <w:t> </w:t>
      </w:r>
      <w:r>
        <w:rPr/>
        <w:t>地产的预计使用寿命、净残值率及年折旧率如下：</w:t>
      </w:r>
    </w:p>
    <w:p>
      <w:pPr>
        <w:spacing w:line="240" w:lineRule="auto" w:before="3"/>
        <w:rPr>
          <w:rFonts w:ascii="宋体" w:hAnsi="宋体" w:cs="宋体" w:eastAsia="宋体" w:hint="default"/>
          <w:sz w:val="2"/>
          <w:szCs w:val="2"/>
        </w:rPr>
      </w:pPr>
    </w:p>
    <w:tbl>
      <w:tblPr>
        <w:tblW w:w="0" w:type="auto"/>
        <w:jc w:val="left"/>
        <w:tblInd w:w="1129" w:type="dxa"/>
        <w:tblLayout w:type="fixed"/>
        <w:tblCellMar>
          <w:top w:w="0" w:type="dxa"/>
          <w:left w:w="0" w:type="dxa"/>
          <w:bottom w:w="0" w:type="dxa"/>
          <w:right w:w="0" w:type="dxa"/>
        </w:tblCellMar>
        <w:tblLook w:val="01E0"/>
      </w:tblPr>
      <w:tblGrid>
        <w:gridCol w:w="2340"/>
        <w:gridCol w:w="2339"/>
        <w:gridCol w:w="2339"/>
        <w:gridCol w:w="2340"/>
      </w:tblGrid>
      <w:tr>
        <w:trPr>
          <w:trHeight w:val="34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b/>
                <w:bCs/>
                <w:sz w:val="20"/>
                <w:szCs w:val="20"/>
              </w:rPr>
              <w:t>类别</w:t>
            </w:r>
            <w:r>
              <w:rPr>
                <w:rFonts w:ascii="宋体" w:hAnsi="宋体" w:cs="宋体" w:eastAsia="宋体" w:hint="default"/>
                <w:sz w:val="20"/>
                <w:szCs w:val="20"/>
              </w:rPr>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b/>
                <w:bCs/>
                <w:sz w:val="20"/>
                <w:szCs w:val="20"/>
              </w:rPr>
              <w:t>折旧年限（年）</w:t>
            </w:r>
            <w:r>
              <w:rPr>
                <w:rFonts w:ascii="宋体" w:hAnsi="宋体" w:cs="宋体" w:eastAsia="宋体" w:hint="default"/>
                <w:sz w:val="20"/>
                <w:szCs w:val="20"/>
              </w:rPr>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
              <w:jc w:val="center"/>
              <w:rPr>
                <w:rFonts w:ascii="宋体" w:hAnsi="宋体" w:cs="宋体" w:eastAsia="宋体" w:hint="default"/>
                <w:sz w:val="20"/>
                <w:szCs w:val="20"/>
              </w:rPr>
            </w:pPr>
            <w:r>
              <w:rPr>
                <w:rFonts w:ascii="宋体" w:hAnsi="宋体" w:cs="宋体" w:eastAsia="宋体" w:hint="default"/>
                <w:b/>
                <w:bCs/>
                <w:sz w:val="20"/>
                <w:szCs w:val="20"/>
              </w:rPr>
              <w:t>预计残值率（</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w:t>
            </w:r>
            <w:r>
              <w:rPr>
                <w:rFonts w:ascii="宋体" w:hAnsi="宋体" w:cs="宋体" w:eastAsia="宋体" w:hint="default"/>
                <w:sz w:val="20"/>
                <w:szCs w:val="20"/>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b/>
                <w:bCs/>
                <w:sz w:val="20"/>
                <w:szCs w:val="20"/>
              </w:rPr>
              <w:t>年折旧率（</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w:t>
            </w:r>
            <w:r>
              <w:rPr>
                <w:rFonts w:ascii="宋体" w:hAnsi="宋体" w:cs="宋体" w:eastAsia="宋体" w:hint="default"/>
                <w:sz w:val="20"/>
                <w:szCs w:val="20"/>
              </w:rPr>
            </w:r>
          </w:p>
        </w:tc>
      </w:tr>
      <w:tr>
        <w:trPr>
          <w:trHeight w:val="34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房屋建筑物</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30</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10%</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sz w:val="20"/>
              </w:rPr>
              <w:t>3%</w:t>
            </w:r>
          </w:p>
        </w:tc>
      </w:tr>
    </w:tbl>
    <w:p>
      <w:pPr>
        <w:spacing w:line="240" w:lineRule="auto" w:before="3"/>
        <w:rPr>
          <w:rFonts w:ascii="宋体" w:hAnsi="宋体" w:cs="宋体" w:eastAsia="宋体" w:hint="default"/>
          <w:sz w:val="19"/>
          <w:szCs w:val="19"/>
        </w:rPr>
      </w:pPr>
    </w:p>
    <w:p>
      <w:pPr>
        <w:pStyle w:val="Heading4"/>
        <w:spacing w:line="240" w:lineRule="auto" w:before="35"/>
        <w:ind w:left="1134" w:right="0"/>
        <w:jc w:val="left"/>
        <w:rPr>
          <w:b w:val="0"/>
          <w:bCs w:val="0"/>
        </w:rPr>
      </w:pPr>
      <w:bookmarkStart w:name="15、固定资产" w:id="179"/>
      <w:bookmarkEnd w:id="179"/>
      <w:r>
        <w:rPr>
          <w:b w:val="0"/>
          <w:bCs w:val="0"/>
        </w:rPr>
      </w:r>
      <w:r>
        <w:rPr>
          <w:rFonts w:ascii="Times New Roman" w:hAnsi="Times New Roman" w:cs="Times New Roman" w:eastAsia="Times New Roman" w:hint="default"/>
        </w:rPr>
        <w:t>15</w:t>
      </w:r>
      <w:r>
        <w:rPr/>
        <w:t>、固定资产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1）确认条件" w:id="180"/>
      <w:bookmarkEnd w:id="180"/>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134" w:right="0"/>
        <w:jc w:val="left"/>
      </w:pPr>
      <w:r>
        <w:rPr>
          <w:spacing w:val="-2"/>
        </w:rPr>
        <w:t>固定资产的确认标准：固定资产是指为生产商品、提供劳务、出租（不包括出租的房屋建筑物）或经营管理而持有的，使用</w:t>
      </w:r>
      <w:r>
        <w:rPr>
          <w:spacing w:val="-68"/>
        </w:rPr>
        <w:t> </w:t>
      </w:r>
      <w:r>
        <w:rPr>
          <w:spacing w:val="-68"/>
        </w:rPr>
      </w:r>
      <w:r>
        <w:rPr>
          <w:spacing w:val="-4"/>
        </w:rPr>
        <w:t>年限超过一个会计年度的有形资产。固定资产在与其有关的经济利益很可能流入本公司、且其成本能够可靠计量时予以确认。</w:t>
      </w:r>
      <w:r>
        <w:rPr>
          <w:spacing w:val="-44"/>
        </w:rPr>
        <w:t> </w:t>
      </w:r>
      <w:r>
        <w:rPr>
          <w:spacing w:val="-44"/>
        </w:rPr>
      </w:r>
      <w:r>
        <w:rPr/>
        <w:t>本公司的固定资产包括房屋建筑物、办公设备、运输设备、电子设备。</w:t>
      </w:r>
    </w:p>
    <w:p>
      <w:pPr>
        <w:spacing w:line="240" w:lineRule="auto" w:before="4"/>
        <w:rPr>
          <w:rFonts w:ascii="宋体" w:hAnsi="宋体" w:cs="宋体" w:eastAsia="宋体" w:hint="default"/>
          <w:sz w:val="22"/>
          <w:szCs w:val="22"/>
        </w:rPr>
      </w:pPr>
    </w:p>
    <w:p>
      <w:pPr>
        <w:pStyle w:val="Heading4"/>
        <w:spacing w:line="240" w:lineRule="auto"/>
        <w:ind w:right="0"/>
        <w:jc w:val="left"/>
        <w:rPr>
          <w:b w:val="0"/>
          <w:bCs w:val="0"/>
        </w:rPr>
      </w:pPr>
      <w:bookmarkStart w:name="（2）折旧方法" w:id="181"/>
      <w:bookmarkEnd w:id="181"/>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914"/>
        <w:gridCol w:w="1926"/>
        <w:gridCol w:w="1903"/>
        <w:gridCol w:w="1914"/>
        <w:gridCol w:w="1903"/>
      </w:tblGrid>
      <w:tr>
        <w:trPr>
          <w:trHeight w:val="397"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0"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7"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26" w:type="dxa"/>
            <w:tcBorders>
              <w:top w:val="single" w:sz="4" w:space="0" w:color="000000"/>
              <w:left w:val="single" w:sz="4" w:space="0" w:color="000000"/>
              <w:bottom w:val="single" w:sz="4" w:space="0" w:color="000000"/>
              <w:right w:val="single" w:sz="13" w:space="0" w:color="C6ECCC"/>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0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sz w:val="18"/>
              </w:rPr>
              <w:t>30</w:t>
            </w:r>
          </w:p>
        </w:tc>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6"/>
              <w:ind w:left="22" w:right="0"/>
              <w:jc w:val="left"/>
              <w:rPr>
                <w:rFonts w:ascii="Times New Roman" w:hAnsi="Times New Roman" w:cs="Times New Roman" w:eastAsia="Times New Roman" w:hint="default"/>
                <w:sz w:val="18"/>
                <w:szCs w:val="18"/>
              </w:rPr>
            </w:pPr>
            <w:r>
              <w:rPr>
                <w:rFonts w:ascii="Times New Roman"/>
                <w:sz w:val="18"/>
              </w:rPr>
              <w:t>10%</w:t>
            </w:r>
          </w:p>
        </w:tc>
        <w:tc>
          <w:tcPr>
            <w:tcW w:w="190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6"/>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26" w:type="dxa"/>
            <w:tcBorders>
              <w:top w:val="single" w:sz="4" w:space="0" w:color="000000"/>
              <w:left w:val="single" w:sz="4" w:space="0" w:color="000000"/>
              <w:bottom w:val="single" w:sz="4" w:space="0" w:color="000000"/>
              <w:right w:val="single" w:sz="13" w:space="0" w:color="C6ECCC"/>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0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3-5</w:t>
            </w:r>
          </w:p>
        </w:tc>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190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19.2%-32%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26" w:type="dxa"/>
            <w:tcBorders>
              <w:top w:val="single" w:sz="4" w:space="0" w:color="000000"/>
              <w:left w:val="single" w:sz="4" w:space="0" w:color="000000"/>
              <w:bottom w:val="single" w:sz="4" w:space="0" w:color="000000"/>
              <w:right w:val="single" w:sz="13" w:space="0" w:color="C6ECCC"/>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0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190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26" w:type="dxa"/>
            <w:tcBorders>
              <w:top w:val="single" w:sz="4" w:space="0" w:color="000000"/>
              <w:left w:val="single" w:sz="4" w:space="0" w:color="000000"/>
              <w:bottom w:val="single" w:sz="4" w:space="0" w:color="000000"/>
              <w:right w:val="single" w:sz="13" w:space="0" w:color="C6ECCC"/>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0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w:t>
            </w:r>
          </w:p>
        </w:tc>
        <w:tc>
          <w:tcPr>
            <w:tcW w:w="190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22.5%</w:t>
            </w:r>
          </w:p>
        </w:tc>
      </w:tr>
    </w:tbl>
    <w:p>
      <w:pPr>
        <w:spacing w:line="240" w:lineRule="auto" w:before="3"/>
        <w:rPr>
          <w:rFonts w:ascii="宋体" w:hAnsi="宋体" w:cs="宋体" w:eastAsia="宋体" w:hint="default"/>
          <w:b/>
          <w:bCs/>
          <w:sz w:val="19"/>
          <w:szCs w:val="19"/>
        </w:rPr>
      </w:pPr>
    </w:p>
    <w:p>
      <w:pPr>
        <w:pStyle w:val="Heading4"/>
        <w:spacing w:line="240" w:lineRule="auto" w:before="35"/>
        <w:ind w:left="1134" w:right="0"/>
        <w:jc w:val="both"/>
        <w:rPr>
          <w:b w:val="0"/>
          <w:bCs w:val="0"/>
        </w:rPr>
      </w:pPr>
      <w:bookmarkStart w:name="（3）融资租入固定资产的认定依据、计价和折旧方法" w:id="182"/>
      <w:bookmarkEnd w:id="182"/>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134" w:right="1131"/>
        <w:jc w:val="both"/>
      </w:pPr>
      <w:r>
        <w:rPr>
          <w:spacing w:val="-2"/>
        </w:rPr>
        <w:t>融资租入固定资产以租赁资产的公允价值与最低租赁付款额的现值两者中的较低者作为租入资产的入账价值。租入资产的入</w:t>
      </w:r>
      <w:r>
        <w:rPr>
          <w:spacing w:val="-64"/>
        </w:rPr>
        <w:t> </w:t>
      </w:r>
      <w:r>
        <w:rPr>
          <w:spacing w:val="-64"/>
        </w:rPr>
      </w:r>
      <w:r>
        <w:rPr>
          <w:spacing w:val="-2"/>
        </w:rPr>
        <w:t>账价值与最低租赁付款额之间的差额作为未确认融资费用。融资租入的固定资产采用与自有固定资产相一致的折旧政策。能</w:t>
      </w:r>
      <w:r>
        <w:rPr>
          <w:spacing w:val="-64"/>
        </w:rPr>
        <w:t> </w:t>
      </w:r>
      <w:r>
        <w:rPr>
          <w:spacing w:val="-64"/>
        </w:rPr>
      </w:r>
      <w:r>
        <w:rPr>
          <w:spacing w:val="-2"/>
        </w:rPr>
        <w:t>够合理确定租赁期届满时将取得租入资产所有权的，租入固定资产在其预计使用寿命内计提折旧；否则，租入固定资产在租</w:t>
      </w:r>
      <w:r>
        <w:rPr>
          <w:spacing w:val="-66"/>
        </w:rPr>
        <w:t> </w:t>
      </w:r>
      <w:r>
        <w:rPr>
          <w:spacing w:val="-66"/>
        </w:rPr>
      </w:r>
      <w:r>
        <w:rPr/>
        <w:t>赁期与该资产预计使用寿命两者中较短的期间内计提折旧。</w:t>
      </w:r>
    </w:p>
    <w:p>
      <w:pPr>
        <w:spacing w:line="240" w:lineRule="auto" w:before="3"/>
        <w:rPr>
          <w:rFonts w:ascii="宋体" w:hAnsi="宋体" w:cs="宋体" w:eastAsia="宋体" w:hint="default"/>
          <w:sz w:val="22"/>
          <w:szCs w:val="22"/>
        </w:rPr>
      </w:pPr>
    </w:p>
    <w:p>
      <w:pPr>
        <w:pStyle w:val="Heading4"/>
        <w:spacing w:line="240" w:lineRule="auto"/>
        <w:ind w:left="1134" w:right="0"/>
        <w:jc w:val="both"/>
        <w:rPr>
          <w:b w:val="0"/>
          <w:bCs w:val="0"/>
        </w:rPr>
      </w:pPr>
      <w:bookmarkStart w:name="16、借款费用" w:id="183"/>
      <w:bookmarkEnd w:id="183"/>
      <w:r>
        <w:rPr>
          <w:b w:val="0"/>
          <w:bCs w:val="0"/>
        </w:rPr>
      </w:r>
      <w:r>
        <w:rPr>
          <w:rFonts w:ascii="Times New Roman" w:hAnsi="Times New Roman" w:cs="Times New Roman" w:eastAsia="Times New Roman" w:hint="default"/>
        </w:rPr>
        <w:t>16</w:t>
      </w:r>
      <w:r>
        <w:rPr/>
        <w:t>、借款费用</w:t>
      </w:r>
      <w:r>
        <w:rPr>
          <w:b w:val="0"/>
          <w:bCs w:val="0"/>
        </w:rPr>
      </w:r>
    </w:p>
    <w:p>
      <w:pPr>
        <w:spacing w:line="240" w:lineRule="auto" w:before="0"/>
        <w:rPr>
          <w:rFonts w:ascii="宋体" w:hAnsi="宋体" w:cs="宋体" w:eastAsia="宋体" w:hint="default"/>
          <w:b/>
          <w:bCs/>
          <w:sz w:val="24"/>
          <w:szCs w:val="24"/>
        </w:rPr>
      </w:pPr>
    </w:p>
    <w:p>
      <w:pPr>
        <w:pStyle w:val="Heading3"/>
        <w:spacing w:line="254" w:lineRule="auto"/>
        <w:ind w:right="1008"/>
        <w:jc w:val="left"/>
      </w:pPr>
      <w:r>
        <w:rPr/>
        <w:t>发生的可直接归属于需要经过</w:t>
      </w:r>
      <w:r>
        <w:rPr>
          <w:rFonts w:ascii="Times New Roman" w:hAnsi="Times New Roman" w:cs="Times New Roman" w:eastAsia="Times New Roman" w:hint="default"/>
        </w:rPr>
        <w:t>1</w:t>
      </w:r>
      <w:r>
        <w:rPr/>
        <w:t>年以上的购建或者生产活动才能达到预定可使用或者可销售状态</w:t>
      </w:r>
      <w:r>
        <w:rPr>
          <w:w w:val="99"/>
        </w:rPr>
        <w:t> </w:t>
      </w:r>
      <w:r>
        <w:rPr/>
        <w:t>的固定资产、投资性房地产和存货等的借款费用，在资产支出已经发生、借款费用已经发生、为使资</w:t>
      </w:r>
      <w:r>
        <w:rPr>
          <w:w w:val="99"/>
        </w:rPr>
        <w:t> </w:t>
      </w:r>
      <w:r>
        <w:rPr/>
        <w:t>产达到预定可使用或可销售状态所必要的购建或生产活动已经开始时，开始资本化；当购建或生产符</w:t>
      </w:r>
      <w:r>
        <w:rPr>
          <w:w w:val="99"/>
        </w:rPr>
        <w:t> </w:t>
      </w:r>
      <w:r>
        <w:rPr/>
        <w:t>合资本化条件的资产达到预定可使用或可销售状态时，停止资本化，其后发生的借款费用计入当期损</w:t>
      </w:r>
      <w:r>
        <w:rPr>
          <w:w w:val="99"/>
        </w:rPr>
        <w:t> </w:t>
      </w:r>
      <w:r>
        <w:rPr>
          <w:spacing w:val="-1"/>
        </w:rPr>
        <w:t>益。如果符合资本化条件的资产在购建或者生产过程中发生非正常中断、且中断时间连续超过</w:t>
      </w:r>
      <w:r>
        <w:rPr>
          <w:rFonts w:ascii="Times New Roman" w:hAnsi="Times New Roman" w:cs="Times New Roman" w:eastAsia="Times New Roman" w:hint="default"/>
          <w:spacing w:val="-1"/>
        </w:rPr>
        <w:t>3</w:t>
      </w:r>
      <w:r>
        <w:rPr>
          <w:spacing w:val="-1"/>
        </w:rPr>
        <w:t>个月，</w:t>
      </w:r>
      <w:r>
        <w:rPr>
          <w:w w:val="99"/>
        </w:rPr>
        <w:t> </w:t>
      </w:r>
      <w:r>
        <w:rPr/>
        <w:t>暂停借款费用的资本化，直至资产的购建或生产活动重新开始。</w:t>
      </w:r>
    </w:p>
    <w:p>
      <w:pPr>
        <w:pStyle w:val="Heading3"/>
        <w:spacing w:line="259" w:lineRule="auto" w:before="131"/>
        <w:ind w:right="1135"/>
        <w:jc w:val="both"/>
      </w:pPr>
      <w:r>
        <w:rPr>
          <w:spacing w:val="-2"/>
        </w:rPr>
        <w:t>专门借款当期实际发生的利息费用，扣除尚未动用的借款资金存入银行取得的利息收入或进行暂</w:t>
      </w:r>
      <w:r>
        <w:rPr>
          <w:w w:val="99"/>
        </w:rPr>
        <w:t> </w:t>
      </w:r>
      <w:r>
        <w:rPr>
          <w:spacing w:val="-1"/>
          <w:w w:val="95"/>
        </w:rPr>
        <w:t>时性投资取得的投资收益后的金额予以资本化；一般借款根据累计资产支出超过专门借款部分的资产</w:t>
      </w:r>
      <w:r>
        <w:rPr>
          <w:spacing w:val="48"/>
          <w:w w:val="95"/>
        </w:rPr>
        <w:t> </w:t>
      </w:r>
      <w:r>
        <w:rPr>
          <w:spacing w:val="48"/>
          <w:w w:val="95"/>
        </w:rPr>
      </w:r>
      <w:r>
        <w:rPr>
          <w:spacing w:val="-1"/>
          <w:w w:val="95"/>
        </w:rPr>
        <w:t>支出加权平均数乘以所占用一般借款的资本化率，确定资本化金额。资本化率根据一般借款加权平均</w:t>
      </w:r>
      <w:r>
        <w:rPr>
          <w:spacing w:val="49"/>
          <w:w w:val="95"/>
        </w:rPr>
        <w:t> </w:t>
      </w:r>
      <w:r>
        <w:rPr>
          <w:spacing w:val="49"/>
          <w:w w:val="95"/>
        </w:rPr>
      </w:r>
      <w:r>
        <w:rPr/>
        <w:t>利率计算确定。</w:t>
      </w:r>
    </w:p>
    <w:p>
      <w:pPr>
        <w:spacing w:after="0" w:line="259" w:lineRule="auto"/>
        <w:jc w:val="both"/>
        <w:sectPr>
          <w:pgSz w:w="11910" w:h="16840"/>
          <w:pgMar w:header="877" w:footer="1187" w:top="1060" w:bottom="1380" w:left="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17、无形资产" w:id="184"/>
      <w:bookmarkEnd w:id="184"/>
      <w:r>
        <w:rPr>
          <w:b w:val="0"/>
          <w:bCs w:val="0"/>
        </w:rPr>
      </w:r>
      <w:r>
        <w:rPr>
          <w:rFonts w:ascii="Times New Roman" w:hAnsi="Times New Roman" w:cs="Times New Roman" w:eastAsia="Times New Roman" w:hint="default"/>
        </w:rPr>
        <w:t>17</w:t>
      </w:r>
      <w:r>
        <w:rPr/>
        <w:t>、无形资产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1）计价方法、使用寿命、减值测试" w:id="185"/>
      <w:bookmarkEnd w:id="185"/>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13"/>
        <w:rPr>
          <w:rFonts w:ascii="宋体" w:hAnsi="宋体" w:cs="宋体" w:eastAsia="宋体" w:hint="default"/>
          <w:b/>
          <w:bCs/>
          <w:sz w:val="23"/>
          <w:szCs w:val="23"/>
        </w:rPr>
      </w:pPr>
    </w:p>
    <w:p>
      <w:pPr>
        <w:pStyle w:val="Heading3"/>
        <w:spacing w:line="259" w:lineRule="auto"/>
        <w:ind w:left="1134" w:right="0"/>
        <w:jc w:val="left"/>
      </w:pPr>
      <w:r>
        <w:rPr/>
        <w:t>本公司无形资产包括软件著作权及外购软件等，按取得时的实际成本计量，其中，自行研究开发</w:t>
      </w:r>
      <w:r>
        <w:rPr>
          <w:w w:val="99"/>
        </w:rPr>
        <w:t> </w:t>
      </w:r>
      <w:r>
        <w:rPr>
          <w:spacing w:val="-4"/>
        </w:rPr>
        <w:t>的无形资产，按实际成本计量；购入的无形资产，按实际支付的价款和相关的其他支出作为实际成本；</w:t>
      </w:r>
      <w:r>
        <w:rPr>
          <w:spacing w:val="-102"/>
        </w:rPr>
        <w:t> </w:t>
      </w:r>
      <w:r>
        <w:rPr>
          <w:spacing w:val="-102"/>
        </w:rPr>
      </w:r>
      <w:r>
        <w:rPr/>
        <w:t>投资者投入的无形资产，按投资合同或协议约定的价值确定实际成本，但合同或协议约定价值不公允</w:t>
      </w:r>
      <w:r>
        <w:rPr>
          <w:w w:val="99"/>
        </w:rPr>
        <w:t> </w:t>
      </w:r>
      <w:r>
        <w:rPr/>
        <w:t>的，按公允价值确定实际成本；对非同一控制下合并中取得被购买方拥有的但在其财务报表中未确认</w:t>
      </w:r>
      <w:r>
        <w:rPr>
          <w:w w:val="99"/>
        </w:rPr>
        <w:t> </w:t>
      </w:r>
      <w:r>
        <w:rPr/>
        <w:t>的无形资产，在对被购买方资产进行初始确认时，按公允价值确认为无形资产。</w:t>
      </w:r>
    </w:p>
    <w:p>
      <w:pPr>
        <w:pStyle w:val="Heading3"/>
        <w:spacing w:line="254" w:lineRule="auto" w:before="126"/>
        <w:ind w:right="1135"/>
        <w:jc w:val="both"/>
      </w:pPr>
      <w:r>
        <w:rPr>
          <w:spacing w:val="-2"/>
        </w:rPr>
        <w:t>软件著作权及外购软件按预计使用年限、合同规定的受益年限和法律规定的有效年限三者中最短</w:t>
      </w:r>
      <w:r>
        <w:rPr>
          <w:w w:val="99"/>
        </w:rPr>
        <w:t> </w:t>
      </w:r>
      <w:r>
        <w:rPr>
          <w:spacing w:val="-1"/>
          <w:w w:val="95"/>
        </w:rPr>
        <w:t>者分期平均摊销，摊销年限为</w:t>
      </w:r>
      <w:r>
        <w:rPr>
          <w:rFonts w:ascii="Times New Roman" w:hAnsi="Times New Roman" w:cs="Times New Roman" w:eastAsia="Times New Roman" w:hint="default"/>
          <w:spacing w:val="-1"/>
          <w:w w:val="95"/>
        </w:rPr>
        <w:t>3</w:t>
      </w:r>
      <w:r>
        <w:rPr>
          <w:spacing w:val="-1"/>
          <w:w w:val="95"/>
        </w:rPr>
        <w:t>至</w:t>
      </w:r>
      <w:r>
        <w:rPr>
          <w:rFonts w:ascii="Times New Roman" w:hAnsi="Times New Roman" w:cs="Times New Roman" w:eastAsia="Times New Roman" w:hint="default"/>
          <w:spacing w:val="-1"/>
          <w:w w:val="95"/>
        </w:rPr>
        <w:t>5</w:t>
      </w:r>
      <w:r>
        <w:rPr>
          <w:spacing w:val="-1"/>
          <w:w w:val="95"/>
        </w:rPr>
        <w:t>年。摊销金额按其受益对象计入相关资产成本和当期损益。对使用</w:t>
      </w:r>
      <w:r>
        <w:rPr>
          <w:spacing w:val="51"/>
          <w:w w:val="95"/>
        </w:rPr>
        <w:t> </w:t>
      </w:r>
      <w:r>
        <w:rPr>
          <w:spacing w:val="51"/>
          <w:w w:val="95"/>
        </w:rPr>
      </w:r>
      <w:r>
        <w:rPr>
          <w:spacing w:val="-1"/>
          <w:w w:val="95"/>
        </w:rPr>
        <w:t>寿命有限的无形资产的预计使用寿命及摊销方法于每年年度终了进行复核，如发生改变，则作为会计</w:t>
      </w:r>
      <w:r>
        <w:rPr>
          <w:spacing w:val="49"/>
          <w:w w:val="95"/>
        </w:rPr>
        <w:t> </w:t>
      </w:r>
      <w:r>
        <w:rPr>
          <w:spacing w:val="49"/>
          <w:w w:val="95"/>
        </w:rPr>
      </w:r>
      <w:r>
        <w:rPr/>
        <w:t>估计变更处理。</w:t>
      </w:r>
    </w:p>
    <w:p>
      <w:pPr>
        <w:pStyle w:val="Heading3"/>
        <w:spacing w:line="259" w:lineRule="auto" w:before="131"/>
        <w:ind w:left="1134" w:right="1136"/>
        <w:jc w:val="both"/>
      </w:pPr>
      <w:r>
        <w:rPr>
          <w:spacing w:val="-2"/>
        </w:rPr>
        <w:t>在每个会计期间，本公司对使用寿命不确定的无形资产的预计使用寿命进行复核，如有证据表明</w:t>
      </w:r>
      <w:r>
        <w:rPr>
          <w:w w:val="99"/>
        </w:rPr>
        <w:t> </w:t>
      </w:r>
      <w:r>
        <w:rPr/>
        <w:t>无形资产的使用寿命是有限的，则估计其使用寿命并在预计使用寿命内摊销。</w:t>
      </w:r>
    </w:p>
    <w:p>
      <w:pPr>
        <w:spacing w:line="240" w:lineRule="auto" w:before="2"/>
        <w:rPr>
          <w:rFonts w:ascii="宋体" w:hAnsi="宋体" w:cs="宋体" w:eastAsia="宋体" w:hint="default"/>
          <w:sz w:val="24"/>
          <w:szCs w:val="24"/>
        </w:rPr>
      </w:pPr>
    </w:p>
    <w:p>
      <w:pPr>
        <w:pStyle w:val="Heading4"/>
        <w:spacing w:line="240" w:lineRule="auto"/>
        <w:ind w:right="0"/>
        <w:jc w:val="left"/>
        <w:rPr>
          <w:b w:val="0"/>
          <w:bCs w:val="0"/>
        </w:rPr>
      </w:pPr>
      <w:bookmarkStart w:name="（2）内部研究开发支出会计政策" w:id="186"/>
      <w:bookmarkEnd w:id="186"/>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12"/>
        <w:rPr>
          <w:rFonts w:ascii="宋体" w:hAnsi="宋体" w:cs="宋体" w:eastAsia="宋体" w:hint="default"/>
          <w:b/>
          <w:bCs/>
          <w:sz w:val="23"/>
          <w:szCs w:val="23"/>
        </w:rPr>
      </w:pPr>
    </w:p>
    <w:p>
      <w:pPr>
        <w:pStyle w:val="Heading3"/>
        <w:spacing w:line="259" w:lineRule="auto"/>
        <w:ind w:left="1134" w:right="1133"/>
        <w:jc w:val="both"/>
      </w:pPr>
      <w:r>
        <w:rPr>
          <w:spacing w:val="3"/>
        </w:rPr>
        <w:t>本公司内部研究开发项目支出根据其性质以及研发活动最终形成无形资产是否具有较大不确定</w:t>
      </w:r>
      <w:r>
        <w:rPr>
          <w:w w:val="99"/>
        </w:rPr>
        <w:t> </w:t>
      </w:r>
      <w:r>
        <w:rPr/>
        <w:t>性，分为研究阶段支出和开发阶段支出。</w:t>
      </w:r>
    </w:p>
    <w:p>
      <w:pPr>
        <w:pStyle w:val="Heading3"/>
        <w:spacing w:line="261" w:lineRule="auto" w:before="126"/>
        <w:ind w:left="1134" w:right="1137"/>
        <w:jc w:val="both"/>
      </w:pPr>
      <w:r>
        <w:rPr>
          <w:spacing w:val="-2"/>
        </w:rPr>
        <w:t>自行研究开发的无形资产，其研究阶段的支出，于发生时计入当期损益；其开发阶段的支出，同</w:t>
      </w:r>
      <w:r>
        <w:rPr>
          <w:w w:val="99"/>
        </w:rPr>
        <w:t> </w:t>
      </w:r>
      <w:r>
        <w:rPr/>
        <w:t>时满足下列条件的，确认为无形资产：</w:t>
      </w:r>
    </w:p>
    <w:p>
      <w:pPr>
        <w:pStyle w:val="Heading3"/>
        <w:spacing w:line="240" w:lineRule="auto" w:before="124"/>
        <w:ind w:right="0" w:firstLine="0"/>
        <w:jc w:val="left"/>
      </w:pPr>
      <w:r>
        <w:rPr>
          <w:rFonts w:ascii="宋体" w:hAnsi="宋体" w:cs="宋体" w:eastAsia="宋体" w:hint="default"/>
        </w:rPr>
        <w:t>1.</w:t>
      </w:r>
      <w:r>
        <w:rPr>
          <w:rFonts w:ascii="宋体" w:hAnsi="宋体" w:cs="宋体" w:eastAsia="宋体" w:hint="default"/>
          <w:spacing w:val="17"/>
        </w:rPr>
        <w:t> </w:t>
      </w:r>
      <w:r>
        <w:rPr/>
        <w:t>完成该无形资产以使其能够使用或出售在技术上具有可行性；</w:t>
      </w:r>
    </w:p>
    <w:p>
      <w:pPr>
        <w:pStyle w:val="Heading3"/>
        <w:spacing w:line="240" w:lineRule="auto" w:before="144"/>
        <w:ind w:right="0" w:firstLine="0"/>
        <w:jc w:val="left"/>
      </w:pPr>
      <w:r>
        <w:rPr>
          <w:rFonts w:ascii="宋体" w:hAnsi="宋体" w:cs="宋体" w:eastAsia="宋体" w:hint="default"/>
        </w:rPr>
        <w:t>2.</w:t>
      </w:r>
      <w:r>
        <w:rPr>
          <w:rFonts w:ascii="宋体" w:hAnsi="宋体" w:cs="宋体" w:eastAsia="宋体" w:hint="default"/>
          <w:spacing w:val="21"/>
        </w:rPr>
        <w:t> </w:t>
      </w:r>
      <w:r>
        <w:rPr/>
        <w:t>具有完成该无形资产并使用或出售的意图；</w:t>
      </w:r>
    </w:p>
    <w:p>
      <w:pPr>
        <w:pStyle w:val="Heading3"/>
        <w:spacing w:line="240" w:lineRule="auto" w:before="144"/>
        <w:ind w:right="0" w:firstLine="0"/>
        <w:jc w:val="left"/>
      </w:pPr>
      <w:r>
        <w:rPr>
          <w:rFonts w:ascii="宋体" w:hAnsi="宋体" w:cs="宋体" w:eastAsia="宋体" w:hint="default"/>
        </w:rPr>
        <w:t>3.</w:t>
      </w:r>
      <w:r>
        <w:rPr>
          <w:rFonts w:ascii="宋体" w:hAnsi="宋体" w:cs="宋体" w:eastAsia="宋体" w:hint="default"/>
          <w:spacing w:val="17"/>
        </w:rPr>
        <w:t> </w:t>
      </w:r>
      <w:r>
        <w:rPr/>
        <w:t>运用该无形资产生产的产品存在市场或无形资产自身存在市场；</w:t>
      </w:r>
    </w:p>
    <w:p>
      <w:pPr>
        <w:pStyle w:val="Heading3"/>
        <w:spacing w:line="259" w:lineRule="auto" w:before="144"/>
        <w:ind w:left="1493" w:right="1130" w:hanging="360"/>
        <w:jc w:val="left"/>
      </w:pPr>
      <w:r>
        <w:rPr>
          <w:rFonts w:ascii="宋体" w:hAnsi="宋体" w:cs="宋体" w:eastAsia="宋体" w:hint="default"/>
        </w:rPr>
        <w:t>4.</w:t>
      </w:r>
      <w:r>
        <w:rPr>
          <w:rFonts w:ascii="宋体" w:hAnsi="宋体" w:cs="宋体" w:eastAsia="宋体" w:hint="default"/>
          <w:spacing w:val="53"/>
        </w:rPr>
        <w:t> </w:t>
      </w:r>
      <w:r>
        <w:rPr/>
        <w:t>有足够的技术、财务资源和其他资源支持，以完成该无形资产的开发，并有能力使用或出售该无</w:t>
      </w:r>
      <w:r>
        <w:rPr>
          <w:spacing w:val="-108"/>
        </w:rPr>
        <w:t> </w:t>
      </w:r>
      <w:r>
        <w:rPr>
          <w:spacing w:val="-108"/>
        </w:rPr>
      </w:r>
      <w:r>
        <w:rPr/>
        <w:t>形资产；</w:t>
      </w:r>
    </w:p>
    <w:p>
      <w:pPr>
        <w:pStyle w:val="Heading3"/>
        <w:spacing w:line="432" w:lineRule="exact" w:before="38"/>
        <w:ind w:left="1574" w:right="0" w:hanging="441"/>
        <w:jc w:val="left"/>
      </w:pPr>
      <w:r>
        <w:rPr>
          <w:rFonts w:ascii="宋体" w:hAnsi="宋体" w:cs="宋体" w:eastAsia="宋体" w:hint="default"/>
        </w:rPr>
        <w:t>5.</w:t>
      </w:r>
      <w:r>
        <w:rPr>
          <w:rFonts w:ascii="宋体" w:hAnsi="宋体" w:cs="宋体" w:eastAsia="宋体" w:hint="default"/>
          <w:spacing w:val="28"/>
        </w:rPr>
        <w:t> </w:t>
      </w:r>
      <w:r>
        <w:rPr/>
        <w:t>归属于该无形资产开发阶段的支出能够可靠地计量。</w:t>
      </w:r>
      <w:r>
        <w:rPr>
          <w:w w:val="99"/>
        </w:rPr>
        <w:t> </w:t>
      </w:r>
      <w:r>
        <w:rPr>
          <w:spacing w:val="-2"/>
        </w:rPr>
        <w:t>不满足上述条件的开发阶段的支出，于发生时计入当期损益。前期已计入损益的开发支出不在以</w:t>
      </w:r>
    </w:p>
    <w:p>
      <w:pPr>
        <w:pStyle w:val="Heading3"/>
        <w:spacing w:line="257" w:lineRule="exact"/>
        <w:ind w:right="0" w:firstLine="0"/>
        <w:jc w:val="left"/>
      </w:pPr>
      <w:r>
        <w:rPr/>
        <w:t>后期间确认为资产。已资本化的开发阶段的支出在资产负债表上列示为开发支出，自该项目达到预定</w:t>
      </w:r>
    </w:p>
    <w:p>
      <w:pPr>
        <w:pStyle w:val="Heading3"/>
        <w:spacing w:line="240" w:lineRule="auto" w:before="24"/>
        <w:ind w:right="0" w:firstLine="0"/>
        <w:jc w:val="left"/>
      </w:pPr>
      <w:r>
        <w:rPr/>
        <w:t>可使用状态之日起转为无形资产。</w:t>
      </w:r>
    </w:p>
    <w:p>
      <w:pPr>
        <w:spacing w:line="240" w:lineRule="auto" w:before="6"/>
        <w:rPr>
          <w:rFonts w:ascii="宋体" w:hAnsi="宋体" w:cs="宋体" w:eastAsia="宋体" w:hint="default"/>
          <w:sz w:val="25"/>
          <w:szCs w:val="25"/>
        </w:rPr>
      </w:pPr>
    </w:p>
    <w:p>
      <w:pPr>
        <w:pStyle w:val="Heading4"/>
        <w:spacing w:line="240" w:lineRule="auto"/>
        <w:ind w:right="0"/>
        <w:jc w:val="left"/>
        <w:rPr>
          <w:b w:val="0"/>
          <w:bCs w:val="0"/>
        </w:rPr>
      </w:pPr>
      <w:bookmarkStart w:name="18、长期资产减值" w:id="187"/>
      <w:bookmarkEnd w:id="187"/>
      <w:r>
        <w:rPr>
          <w:b w:val="0"/>
          <w:bCs w:val="0"/>
        </w:rPr>
      </w:r>
      <w:r>
        <w:rPr>
          <w:rFonts w:ascii="Times New Roman" w:hAnsi="Times New Roman" w:cs="Times New Roman" w:eastAsia="Times New Roman" w:hint="default"/>
        </w:rPr>
        <w:t>18</w:t>
      </w:r>
      <w:r>
        <w:rPr/>
        <w:t>、长期资产减值</w:t>
      </w:r>
      <w:r>
        <w:rPr>
          <w:b w:val="0"/>
          <w:bCs w:val="0"/>
        </w:rPr>
      </w:r>
    </w:p>
    <w:p>
      <w:pPr>
        <w:spacing w:line="240" w:lineRule="auto" w:before="12"/>
        <w:rPr>
          <w:rFonts w:ascii="宋体" w:hAnsi="宋体" w:cs="宋体" w:eastAsia="宋体" w:hint="default"/>
          <w:b/>
          <w:bCs/>
          <w:sz w:val="23"/>
          <w:szCs w:val="23"/>
        </w:rPr>
      </w:pPr>
    </w:p>
    <w:p>
      <w:pPr>
        <w:pStyle w:val="Heading3"/>
        <w:spacing w:line="259" w:lineRule="auto"/>
        <w:ind w:left="1134" w:right="1133"/>
        <w:jc w:val="both"/>
      </w:pPr>
      <w:r>
        <w:rPr>
          <w:spacing w:val="-1"/>
          <w:w w:val="95"/>
        </w:rPr>
        <w:t>本公司于每一资产负债表日对长期股权投资、采用成本模式计量的投资性房地产、固定资产、使</w:t>
      </w:r>
      <w:r>
        <w:rPr>
          <w:spacing w:val="-100"/>
          <w:w w:val="95"/>
        </w:rPr>
        <w:t> </w:t>
      </w:r>
      <w:r>
        <w:rPr>
          <w:spacing w:val="-100"/>
          <w:w w:val="95"/>
        </w:rPr>
      </w:r>
      <w:r>
        <w:rPr>
          <w:spacing w:val="-1"/>
          <w:w w:val="95"/>
        </w:rPr>
        <w:t>用寿命有限的无形资产等项目进行检查，当存在减值迹象时，本公司进行减值测试。对商誉和使用寿</w:t>
      </w:r>
      <w:r>
        <w:rPr>
          <w:spacing w:val="48"/>
          <w:w w:val="95"/>
        </w:rPr>
        <w:t> </w:t>
      </w:r>
      <w:r>
        <w:rPr>
          <w:spacing w:val="48"/>
          <w:w w:val="95"/>
        </w:rPr>
      </w:r>
      <w:r>
        <w:rPr/>
        <w:t>命不确定的无形资产，无论是否存在减值迹象，每年末均进行减值测试。</w:t>
      </w:r>
    </w:p>
    <w:p>
      <w:pPr>
        <w:pStyle w:val="Heading3"/>
        <w:spacing w:line="259" w:lineRule="auto" w:before="127"/>
        <w:ind w:right="1136"/>
        <w:jc w:val="both"/>
      </w:pPr>
      <w:r>
        <w:rPr>
          <w:spacing w:val="-2"/>
        </w:rPr>
        <w:t>减值测试后，若该资产的账面价值超过其可收回金额，其差额确认为减值损失，上述资产的减值</w:t>
      </w:r>
      <w:r>
        <w:rPr>
          <w:w w:val="99"/>
        </w:rPr>
        <w:t> </w:t>
      </w:r>
      <w:r>
        <w:rPr/>
        <w:t>损失一经确认，在以后会计期间不予转回。</w:t>
      </w:r>
    </w:p>
    <w:p>
      <w:pPr>
        <w:spacing w:after="0" w:line="259" w:lineRule="auto"/>
        <w:jc w:val="both"/>
        <w:sectPr>
          <w:pgSz w:w="11910" w:h="16840"/>
          <w:pgMar w:header="877" w:footer="1187" w:top="1060" w:bottom="1380" w:left="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19、长期待摊费用" w:id="188"/>
      <w:bookmarkEnd w:id="188"/>
      <w:r>
        <w:rPr>
          <w:b w:val="0"/>
          <w:bCs w:val="0"/>
        </w:rPr>
      </w:r>
      <w:r>
        <w:rPr>
          <w:rFonts w:ascii="Times New Roman" w:hAnsi="Times New Roman" w:cs="Times New Roman" w:eastAsia="Times New Roman" w:hint="default"/>
        </w:rPr>
        <w:t>19</w:t>
      </w:r>
      <w:r>
        <w:rPr/>
        <w:t>、长期待摊费用</w:t>
      </w:r>
      <w:r>
        <w:rPr>
          <w:b w:val="0"/>
          <w:bCs w:val="0"/>
        </w:rPr>
      </w:r>
    </w:p>
    <w:p>
      <w:pPr>
        <w:spacing w:line="240" w:lineRule="auto" w:before="12"/>
        <w:rPr>
          <w:rFonts w:ascii="宋体" w:hAnsi="宋体" w:cs="宋体" w:eastAsia="宋体" w:hint="default"/>
          <w:b/>
          <w:bCs/>
          <w:sz w:val="23"/>
          <w:szCs w:val="23"/>
        </w:rPr>
      </w:pPr>
    </w:p>
    <w:p>
      <w:pPr>
        <w:pStyle w:val="Heading3"/>
        <w:spacing w:line="259" w:lineRule="auto"/>
        <w:ind w:left="1134" w:right="1136"/>
        <w:jc w:val="both"/>
      </w:pPr>
      <w:r>
        <w:rPr>
          <w:spacing w:val="-2"/>
        </w:rPr>
        <w:t>本公司长期待摊费用是指办公场所装修费、邮箱服务费，该等费用在受益期内平均摊销。如果长</w:t>
      </w:r>
      <w:r>
        <w:rPr>
          <w:w w:val="99"/>
        </w:rPr>
        <w:t> </w:t>
      </w:r>
      <w:r>
        <w:rPr>
          <w:spacing w:val="-1"/>
          <w:w w:val="95"/>
        </w:rPr>
        <w:t>期待摊费用项目不能使以后会计期间受益，则将尚未摊销的该项目的摊余价值全部转入当期损益。办</w:t>
      </w:r>
      <w:r>
        <w:rPr>
          <w:spacing w:val="48"/>
          <w:w w:val="95"/>
        </w:rPr>
        <w:t> </w:t>
      </w:r>
      <w:r>
        <w:rPr>
          <w:spacing w:val="48"/>
          <w:w w:val="95"/>
        </w:rPr>
      </w:r>
      <w:r>
        <w:rPr/>
        <w:t>公场所装修费、邮箱服务费的摊销年限为</w:t>
      </w:r>
      <w:r>
        <w:rPr>
          <w:rFonts w:ascii="Times New Roman" w:hAnsi="Times New Roman" w:cs="Times New Roman" w:eastAsia="Times New Roman" w:hint="default"/>
        </w:rPr>
        <w:t>3-5</w:t>
      </w:r>
      <w:r>
        <w:rPr/>
        <w:t>年。</w:t>
      </w:r>
    </w:p>
    <w:p>
      <w:pPr>
        <w:spacing w:line="240" w:lineRule="auto" w:before="9"/>
        <w:rPr>
          <w:rFonts w:ascii="宋体" w:hAnsi="宋体" w:cs="宋体" w:eastAsia="宋体" w:hint="default"/>
          <w:sz w:val="22"/>
          <w:szCs w:val="22"/>
        </w:rPr>
      </w:pPr>
    </w:p>
    <w:p>
      <w:pPr>
        <w:pStyle w:val="Heading4"/>
        <w:spacing w:line="240" w:lineRule="auto"/>
        <w:ind w:right="0"/>
        <w:jc w:val="left"/>
        <w:rPr>
          <w:b w:val="0"/>
          <w:bCs w:val="0"/>
        </w:rPr>
      </w:pPr>
      <w:bookmarkStart w:name="20、职工薪酬" w:id="189"/>
      <w:bookmarkEnd w:id="189"/>
      <w:r>
        <w:rPr>
          <w:b w:val="0"/>
          <w:bCs w:val="0"/>
        </w:rPr>
      </w:r>
      <w:r>
        <w:rPr>
          <w:rFonts w:ascii="Times New Roman" w:hAnsi="Times New Roman" w:cs="Times New Roman" w:eastAsia="Times New Roman" w:hint="default"/>
        </w:rPr>
        <w:t>20</w:t>
      </w:r>
      <w:r>
        <w:rPr/>
        <w:t>、职工薪酬</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1）短期薪酬的会计处理方法" w:id="190"/>
      <w:bookmarkEnd w:id="190"/>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12"/>
        <w:rPr>
          <w:rFonts w:ascii="宋体" w:hAnsi="宋体" w:cs="宋体" w:eastAsia="宋体" w:hint="default"/>
          <w:b/>
          <w:bCs/>
          <w:sz w:val="23"/>
          <w:szCs w:val="23"/>
        </w:rPr>
      </w:pPr>
    </w:p>
    <w:p>
      <w:pPr>
        <w:pStyle w:val="Heading3"/>
        <w:spacing w:line="259" w:lineRule="auto"/>
        <w:ind w:left="1134" w:right="1136"/>
        <w:jc w:val="both"/>
      </w:pPr>
      <w:r>
        <w:rPr>
          <w:spacing w:val="-2"/>
        </w:rPr>
        <w:t>短期薪酬主要包括职工工资、奖金、津贴和补贴，职工福利费，医疗保险费、工伤保险费和生育</w:t>
      </w:r>
      <w:r>
        <w:rPr>
          <w:w w:val="99"/>
        </w:rPr>
        <w:t> </w:t>
      </w:r>
      <w:r>
        <w:rPr>
          <w:spacing w:val="-1"/>
          <w:w w:val="95"/>
        </w:rPr>
        <w:t>保险费等社会保险费，住房公积金，工会经费和职工教育经费，非货币性福利、其他短期薪酬等，在</w:t>
      </w:r>
      <w:r>
        <w:rPr>
          <w:spacing w:val="48"/>
          <w:w w:val="95"/>
        </w:rPr>
        <w:t> </w:t>
      </w:r>
      <w:r>
        <w:rPr>
          <w:spacing w:val="48"/>
          <w:w w:val="95"/>
        </w:rPr>
      </w:r>
      <w:r>
        <w:rPr>
          <w:spacing w:val="-1"/>
          <w:w w:val="95"/>
        </w:rPr>
        <w:t>职工提供服务的会计期间，将实际发生的短期薪酬确认为负债，并按照受益对象计入当期损益或相关</w:t>
      </w:r>
      <w:r>
        <w:rPr>
          <w:spacing w:val="49"/>
          <w:w w:val="95"/>
        </w:rPr>
        <w:t> </w:t>
      </w:r>
      <w:r>
        <w:rPr>
          <w:spacing w:val="49"/>
          <w:w w:val="95"/>
        </w:rPr>
      </w:r>
      <w:r>
        <w:rPr/>
        <w:t>资产成本。</w:t>
      </w:r>
    </w:p>
    <w:p>
      <w:pPr>
        <w:spacing w:line="240" w:lineRule="auto" w:before="2"/>
        <w:rPr>
          <w:rFonts w:ascii="宋体" w:hAnsi="宋体" w:cs="宋体" w:eastAsia="宋体" w:hint="default"/>
          <w:sz w:val="24"/>
          <w:szCs w:val="24"/>
        </w:rPr>
      </w:pPr>
    </w:p>
    <w:p>
      <w:pPr>
        <w:pStyle w:val="Heading4"/>
        <w:spacing w:line="240" w:lineRule="auto"/>
        <w:ind w:left="1134" w:right="0"/>
        <w:jc w:val="left"/>
        <w:rPr>
          <w:b w:val="0"/>
          <w:bCs w:val="0"/>
        </w:rPr>
      </w:pPr>
      <w:bookmarkStart w:name="（2）离职后福利的会计处理方法" w:id="191"/>
      <w:bookmarkEnd w:id="191"/>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12"/>
        <w:rPr>
          <w:rFonts w:ascii="宋体" w:hAnsi="宋体" w:cs="宋体" w:eastAsia="宋体" w:hint="default"/>
          <w:b/>
          <w:bCs/>
          <w:sz w:val="23"/>
          <w:szCs w:val="23"/>
        </w:rPr>
      </w:pPr>
    </w:p>
    <w:p>
      <w:pPr>
        <w:pStyle w:val="Heading3"/>
        <w:spacing w:line="259" w:lineRule="auto"/>
        <w:ind w:left="1134" w:right="1135"/>
        <w:jc w:val="both"/>
      </w:pPr>
      <w:r>
        <w:rPr>
          <w:spacing w:val="-2"/>
        </w:rPr>
        <w:t>离职后福利主要包括养老保险、年金、失业保险、其他离职后福利等，按照公司承担的风险和义</w:t>
      </w:r>
      <w:r>
        <w:rPr>
          <w:w w:val="99"/>
        </w:rPr>
        <w:t> </w:t>
      </w:r>
      <w:r>
        <w:rPr>
          <w:spacing w:val="-1"/>
          <w:w w:val="95"/>
        </w:rPr>
        <w:t>务，分类为设定提存计划、设定受益计划。对于设定提存计划在根据在资产负债表日为换取职工在会</w:t>
      </w:r>
      <w:r>
        <w:rPr>
          <w:spacing w:val="49"/>
          <w:w w:val="95"/>
        </w:rPr>
        <w:t> </w:t>
      </w:r>
      <w:r>
        <w:rPr>
          <w:spacing w:val="49"/>
          <w:w w:val="95"/>
        </w:rPr>
      </w:r>
      <w:r>
        <w:rPr>
          <w:spacing w:val="-1"/>
          <w:w w:val="95"/>
        </w:rPr>
        <w:t>计期间提供的服务而向单独主体缴存的提存金确认为负债，并按照受益对象计入当期损益或相关资产</w:t>
      </w:r>
      <w:r>
        <w:rPr>
          <w:w w:val="95"/>
        </w:rPr>
        <w:t>  </w:t>
      </w:r>
      <w:r>
        <w:rPr>
          <w:spacing w:val="48"/>
          <w:w w:val="95"/>
        </w:rPr>
        <w:t> </w:t>
      </w:r>
      <w:r>
        <w:rPr>
          <w:spacing w:val="48"/>
          <w:w w:val="95"/>
        </w:rPr>
      </w:r>
      <w:r>
        <w:rPr/>
        <w:t>成本。</w:t>
      </w:r>
    </w:p>
    <w:p>
      <w:pPr>
        <w:spacing w:line="240" w:lineRule="auto" w:before="2"/>
        <w:rPr>
          <w:rFonts w:ascii="宋体" w:hAnsi="宋体" w:cs="宋体" w:eastAsia="宋体" w:hint="default"/>
          <w:sz w:val="24"/>
          <w:szCs w:val="24"/>
        </w:rPr>
      </w:pPr>
    </w:p>
    <w:p>
      <w:pPr>
        <w:pStyle w:val="Heading4"/>
        <w:spacing w:line="240" w:lineRule="auto"/>
        <w:ind w:left="1134" w:right="0"/>
        <w:jc w:val="left"/>
        <w:rPr>
          <w:b w:val="0"/>
          <w:bCs w:val="0"/>
        </w:rPr>
      </w:pPr>
      <w:bookmarkStart w:name="（3）辞退福利的会计处理方法" w:id="192"/>
      <w:bookmarkEnd w:id="192"/>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12"/>
        <w:rPr>
          <w:rFonts w:ascii="宋体" w:hAnsi="宋体" w:cs="宋体" w:eastAsia="宋体" w:hint="default"/>
          <w:b/>
          <w:bCs/>
          <w:sz w:val="23"/>
          <w:szCs w:val="23"/>
        </w:rPr>
      </w:pPr>
    </w:p>
    <w:p>
      <w:pPr>
        <w:pStyle w:val="Heading3"/>
        <w:spacing w:line="254" w:lineRule="auto"/>
        <w:ind w:left="1134" w:right="1136"/>
        <w:jc w:val="both"/>
      </w:pPr>
      <w:r>
        <w:rPr>
          <w:spacing w:val="-2"/>
        </w:rPr>
        <w:t>辞退福利，是指本公司在职工劳动合同到期之前解除与职工的劳动关系，或者为鼓励职工自愿接</w:t>
      </w:r>
      <w:r>
        <w:rPr>
          <w:w w:val="99"/>
        </w:rPr>
        <w:t> </w:t>
      </w:r>
      <w:r>
        <w:rPr>
          <w:spacing w:val="-1"/>
          <w:w w:val="95"/>
        </w:rPr>
        <w:t>受裁减而给予职工的补偿。本公司向职工提供辞退福利的，在下列两者孰早日确认辞退福利产生的负</w:t>
      </w:r>
      <w:r>
        <w:rPr>
          <w:spacing w:val="48"/>
          <w:w w:val="95"/>
        </w:rPr>
        <w:t> </w:t>
      </w:r>
      <w:r>
        <w:rPr>
          <w:spacing w:val="48"/>
          <w:w w:val="95"/>
        </w:rPr>
      </w:r>
      <w:r>
        <w:rPr/>
        <w:t>债，并计入当期损益：</w:t>
      </w:r>
      <w:r>
        <w:rPr>
          <w:rFonts w:ascii="Times New Roman" w:hAnsi="Times New Roman" w:cs="Times New Roman" w:eastAsia="Times New Roman" w:hint="default"/>
        </w:rPr>
        <w:t>1</w:t>
      </w:r>
      <w:r>
        <w:rPr/>
        <w:t>）本公司不能单方面撤回因解除劳动关系计划或裁减建议所提供的辞退福利</w:t>
      </w:r>
      <w:r>
        <w:rPr>
          <w:spacing w:val="-73"/>
        </w:rPr>
        <w:t> </w:t>
      </w:r>
      <w:r>
        <w:rPr>
          <w:spacing w:val="-73"/>
        </w:rPr>
      </w:r>
      <w:r>
        <w:rPr/>
        <w:t>时。</w:t>
      </w:r>
      <w:r>
        <w:rPr>
          <w:rFonts w:ascii="Times New Roman" w:hAnsi="Times New Roman" w:cs="Times New Roman" w:eastAsia="Times New Roman" w:hint="default"/>
        </w:rPr>
        <w:t>2</w:t>
      </w:r>
      <w:r>
        <w:rPr/>
        <w:t>）本公司确认与涉及支付辞退福利的重组相关的成本或费用时。</w:t>
      </w:r>
    </w:p>
    <w:p>
      <w:pPr>
        <w:spacing w:line="240" w:lineRule="auto" w:before="1"/>
        <w:rPr>
          <w:rFonts w:ascii="宋体" w:hAnsi="宋体" w:cs="宋体" w:eastAsia="宋体" w:hint="default"/>
          <w:sz w:val="23"/>
          <w:szCs w:val="23"/>
        </w:rPr>
      </w:pPr>
    </w:p>
    <w:p>
      <w:pPr>
        <w:pStyle w:val="Heading4"/>
        <w:spacing w:line="240" w:lineRule="auto"/>
        <w:ind w:right="0"/>
        <w:jc w:val="left"/>
        <w:rPr>
          <w:b w:val="0"/>
          <w:bCs w:val="0"/>
        </w:rPr>
      </w:pPr>
      <w:bookmarkStart w:name="（4）其他长期职工福利的会计处理方法" w:id="193"/>
      <w:bookmarkEnd w:id="193"/>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12"/>
        <w:rPr>
          <w:rFonts w:ascii="宋体" w:hAnsi="宋体" w:cs="宋体" w:eastAsia="宋体" w:hint="default"/>
          <w:b/>
          <w:bCs/>
          <w:sz w:val="23"/>
          <w:szCs w:val="23"/>
        </w:rPr>
      </w:pPr>
    </w:p>
    <w:p>
      <w:pPr>
        <w:pStyle w:val="Heading3"/>
        <w:spacing w:line="240" w:lineRule="auto"/>
        <w:ind w:left="1574" w:right="0" w:firstLine="0"/>
        <w:jc w:val="left"/>
      </w:pPr>
      <w:r>
        <w:rPr/>
        <w:t>其他长期职工福利，是指除短期薪酬、离职后福利、辞退福利之外所有的职工薪酬。</w:t>
      </w:r>
    </w:p>
    <w:p>
      <w:pPr>
        <w:spacing w:line="240" w:lineRule="auto" w:before="6"/>
        <w:rPr>
          <w:rFonts w:ascii="宋体" w:hAnsi="宋体" w:cs="宋体" w:eastAsia="宋体" w:hint="default"/>
          <w:sz w:val="25"/>
          <w:szCs w:val="25"/>
        </w:rPr>
      </w:pPr>
    </w:p>
    <w:p>
      <w:pPr>
        <w:pStyle w:val="Heading4"/>
        <w:spacing w:line="240" w:lineRule="auto"/>
        <w:ind w:right="0"/>
        <w:jc w:val="left"/>
        <w:rPr>
          <w:b w:val="0"/>
          <w:bCs w:val="0"/>
        </w:rPr>
      </w:pPr>
      <w:bookmarkStart w:name="21、预计负债" w:id="194"/>
      <w:bookmarkEnd w:id="194"/>
      <w:r>
        <w:rPr>
          <w:b w:val="0"/>
          <w:bCs w:val="0"/>
        </w:rPr>
      </w:r>
      <w:r>
        <w:rPr>
          <w:rFonts w:ascii="Times New Roman" w:hAnsi="Times New Roman" w:cs="Times New Roman" w:eastAsia="Times New Roman" w:hint="default"/>
        </w:rPr>
        <w:t>21</w:t>
      </w:r>
      <w:r>
        <w:rPr/>
        <w:t>、预计负债</w:t>
      </w:r>
      <w:r>
        <w:rPr>
          <w:b w:val="0"/>
          <w:bCs w:val="0"/>
        </w:rPr>
      </w:r>
    </w:p>
    <w:p>
      <w:pPr>
        <w:spacing w:line="240" w:lineRule="auto" w:before="0"/>
        <w:rPr>
          <w:rFonts w:ascii="宋体" w:hAnsi="宋体" w:cs="宋体" w:eastAsia="宋体" w:hint="default"/>
          <w:b/>
          <w:bCs/>
          <w:sz w:val="24"/>
          <w:szCs w:val="24"/>
        </w:rPr>
      </w:pPr>
    </w:p>
    <w:p>
      <w:pPr>
        <w:pStyle w:val="Heading3"/>
        <w:spacing w:line="259" w:lineRule="auto"/>
        <w:ind w:left="1134" w:right="1138"/>
        <w:jc w:val="both"/>
      </w:pPr>
      <w:r>
        <w:rPr>
          <w:spacing w:val="-2"/>
        </w:rPr>
        <w:t>当与对外担保、商业承兑汇票贴现、未决诉讼或仲裁、产品质量保证等或有事项相关的业务同时</w:t>
      </w:r>
      <w:r>
        <w:rPr>
          <w:w w:val="99"/>
        </w:rPr>
        <w:t> </w:t>
      </w:r>
      <w:r>
        <w:rPr>
          <w:spacing w:val="-1"/>
          <w:w w:val="95"/>
        </w:rPr>
        <w:t>符合以下条件时，本公司将其确认为负债：该义务是本公司承担的现时义务；该义务的履行很可能导</w:t>
      </w:r>
      <w:r>
        <w:rPr>
          <w:spacing w:val="48"/>
          <w:w w:val="95"/>
        </w:rPr>
        <w:t> </w:t>
      </w:r>
      <w:r>
        <w:rPr>
          <w:spacing w:val="48"/>
          <w:w w:val="95"/>
        </w:rPr>
      </w:r>
      <w:r>
        <w:rPr/>
        <w:t>致经济利益流出企业；该义务的金额能够可靠地计量。</w:t>
      </w:r>
    </w:p>
    <w:p>
      <w:pPr>
        <w:pStyle w:val="Heading3"/>
        <w:spacing w:line="259" w:lineRule="auto" w:before="126"/>
        <w:ind w:left="1134" w:right="1130"/>
        <w:jc w:val="both"/>
      </w:pPr>
      <w:r>
        <w:rPr>
          <w:spacing w:val="-2"/>
        </w:rPr>
        <w:t>预计负债按照履行相关现时义务所需支出的最佳估计数进行初始计量，并综合考虑与或有事项有</w:t>
      </w:r>
      <w:r>
        <w:rPr>
          <w:w w:val="99"/>
        </w:rPr>
        <w:t> </w:t>
      </w:r>
      <w:r>
        <w:rPr>
          <w:spacing w:val="-1"/>
        </w:rPr>
        <w:t>关的风险、不确定性和货币时间价值等因素。货币时间价值影响重大的，通过对相关未来现金流出进</w:t>
      </w:r>
      <w:r>
        <w:rPr>
          <w:w w:val="99"/>
        </w:rPr>
        <w:t> </w:t>
      </w:r>
      <w:r>
        <w:rPr>
          <w:spacing w:val="-1"/>
        </w:rPr>
        <w:t>行折现后确定最佳估计数。每个资产负债表日对预计负债的账面价值进行复核，如有改变则对账面价</w:t>
      </w:r>
      <w:r>
        <w:rPr>
          <w:w w:val="99"/>
        </w:rPr>
        <w:t> </w:t>
      </w:r>
      <w:r>
        <w:rPr/>
        <w:t>值进行调整以反映当前最佳估计数。</w:t>
      </w:r>
    </w:p>
    <w:p>
      <w:pPr>
        <w:spacing w:after="0" w:line="259" w:lineRule="auto"/>
        <w:jc w:val="both"/>
        <w:sectPr>
          <w:pgSz w:w="11910" w:h="16840"/>
          <w:pgMar w:header="877" w:footer="1187" w:top="1060" w:bottom="1380" w:left="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2、股份支付" w:id="195"/>
      <w:bookmarkEnd w:id="195"/>
      <w:r>
        <w:rPr>
          <w:b w:val="0"/>
          <w:bCs w:val="0"/>
        </w:rPr>
      </w:r>
      <w:r>
        <w:rPr>
          <w:rFonts w:ascii="Times New Roman" w:hAnsi="Times New Roman" w:cs="Times New Roman" w:eastAsia="Times New Roman" w:hint="default"/>
        </w:rPr>
        <w:t>22</w:t>
      </w:r>
      <w:r>
        <w:rPr/>
        <w:t>、股份支付</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23、优先股、永续债等其他金融工具" w:id="196"/>
      <w:bookmarkEnd w:id="196"/>
      <w:r>
        <w:rPr>
          <w:b w:val="0"/>
          <w:bCs w:val="0"/>
        </w:rPr>
      </w:r>
      <w:r>
        <w:rPr>
          <w:rFonts w:ascii="Times New Roman" w:hAnsi="Times New Roman" w:cs="Times New Roman" w:eastAsia="Times New Roman" w:hint="default"/>
        </w:rPr>
        <w:t>23</w:t>
      </w:r>
      <w:r>
        <w:rPr/>
        <w:t>、优先股、永续债等其他金融工具</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24、收入" w:id="197"/>
      <w:bookmarkEnd w:id="197"/>
      <w:r>
        <w:rPr>
          <w:b w:val="0"/>
          <w:bCs w:val="0"/>
        </w:rPr>
      </w:r>
      <w:r>
        <w:rPr>
          <w:rFonts w:ascii="Times New Roman" w:hAnsi="Times New Roman" w:cs="Times New Roman" w:eastAsia="Times New Roman" w:hint="default"/>
        </w:rPr>
        <w:t>24</w:t>
      </w:r>
      <w:r>
        <w:rPr/>
        <w:t>、收入</w:t>
      </w:r>
      <w:r>
        <w:rPr>
          <w:b w:val="0"/>
          <w:bCs w:val="0"/>
        </w:rPr>
      </w:r>
    </w:p>
    <w:p>
      <w:pPr>
        <w:pStyle w:val="Heading3"/>
        <w:spacing w:line="450" w:lineRule="atLeast" w:before="151"/>
        <w:ind w:left="1574" w:right="0" w:firstLine="0"/>
        <w:jc w:val="left"/>
      </w:pPr>
      <w:r>
        <w:rPr/>
        <w:t>收入确认的具体方法</w:t>
      </w:r>
      <w:r>
        <w:rPr>
          <w:w w:val="99"/>
        </w:rPr>
        <w:t> </w:t>
      </w:r>
      <w:r>
        <w:rPr>
          <w:spacing w:val="-1"/>
        </w:rPr>
        <w:t>公司的主营业务类型包括</w:t>
      </w:r>
      <w:r>
        <w:rPr>
          <w:rFonts w:ascii="Times New Roman" w:hAnsi="Times New Roman" w:cs="Times New Roman" w:eastAsia="Times New Roman" w:hint="default"/>
          <w:spacing w:val="-1"/>
        </w:rPr>
        <w:t>IT</w:t>
      </w:r>
      <w:r>
        <w:rPr>
          <w:spacing w:val="-1"/>
        </w:rPr>
        <w:t>解决方案、</w:t>
      </w:r>
      <w:r>
        <w:rPr>
          <w:rFonts w:ascii="Times New Roman" w:hAnsi="Times New Roman" w:cs="Times New Roman" w:eastAsia="Times New Roman" w:hint="default"/>
          <w:spacing w:val="-1"/>
        </w:rPr>
        <w:t>IT</w:t>
      </w:r>
      <w:r>
        <w:rPr>
          <w:spacing w:val="-1"/>
        </w:rPr>
        <w:t>运维服务和系统集成，主营业务与具体收入确认原则对</w:t>
      </w:r>
    </w:p>
    <w:p>
      <w:pPr>
        <w:pStyle w:val="Heading3"/>
        <w:spacing w:line="240" w:lineRule="auto" w:before="7"/>
        <w:ind w:left="1134" w:right="0" w:firstLine="0"/>
        <w:jc w:val="left"/>
      </w:pPr>
      <w:r>
        <w:rPr/>
        <w:t>应关系如下：</w:t>
      </w:r>
    </w:p>
    <w:p>
      <w:pPr>
        <w:spacing w:line="240" w:lineRule="auto" w:before="8"/>
        <w:rPr>
          <w:rFonts w:ascii="宋体" w:hAnsi="宋体" w:cs="宋体" w:eastAsia="宋体" w:hint="default"/>
          <w:sz w:val="3"/>
          <w:szCs w:val="3"/>
        </w:rPr>
      </w:pPr>
    </w:p>
    <w:tbl>
      <w:tblPr>
        <w:tblW w:w="0" w:type="auto"/>
        <w:jc w:val="left"/>
        <w:tblInd w:w="1021" w:type="dxa"/>
        <w:tblLayout w:type="fixed"/>
        <w:tblCellMar>
          <w:top w:w="0" w:type="dxa"/>
          <w:left w:w="0" w:type="dxa"/>
          <w:bottom w:w="0" w:type="dxa"/>
          <w:right w:w="0" w:type="dxa"/>
        </w:tblCellMar>
        <w:tblLook w:val="01E0"/>
      </w:tblPr>
      <w:tblGrid>
        <w:gridCol w:w="3220"/>
        <w:gridCol w:w="3221"/>
        <w:gridCol w:w="3220"/>
      </w:tblGrid>
      <w:tr>
        <w:trPr>
          <w:trHeight w:val="323" w:hRule="exact"/>
        </w:trPr>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2" w:right="0"/>
              <w:jc w:val="left"/>
              <w:rPr>
                <w:rFonts w:ascii="宋体" w:hAnsi="宋体" w:cs="宋体" w:eastAsia="宋体" w:hint="default"/>
                <w:sz w:val="20"/>
                <w:szCs w:val="20"/>
              </w:rPr>
            </w:pPr>
            <w:r>
              <w:rPr>
                <w:rFonts w:ascii="宋体" w:hAnsi="宋体" w:cs="宋体" w:eastAsia="宋体" w:hint="default"/>
                <w:b/>
                <w:bCs/>
                <w:sz w:val="20"/>
                <w:szCs w:val="20"/>
              </w:rPr>
              <w:t>主营业务类型</w:t>
            </w:r>
            <w:r>
              <w:rPr>
                <w:rFonts w:ascii="宋体" w:hAnsi="宋体" w:cs="宋体" w:eastAsia="宋体" w:hint="default"/>
                <w:sz w:val="20"/>
                <w:szCs w:val="20"/>
              </w:rPr>
            </w:r>
          </w:p>
        </w:tc>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b/>
                <w:bCs/>
                <w:sz w:val="20"/>
                <w:szCs w:val="20"/>
              </w:rPr>
              <w:t>业务内容</w:t>
            </w:r>
            <w:r>
              <w:rPr>
                <w:rFonts w:ascii="宋体" w:hAnsi="宋体" w:cs="宋体" w:eastAsia="宋体" w:hint="default"/>
                <w:sz w:val="20"/>
                <w:szCs w:val="20"/>
              </w:rPr>
            </w:r>
          </w:p>
        </w:tc>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801" w:right="0"/>
              <w:jc w:val="left"/>
              <w:rPr>
                <w:rFonts w:ascii="宋体" w:hAnsi="宋体" w:cs="宋体" w:eastAsia="宋体" w:hint="default"/>
                <w:sz w:val="20"/>
                <w:szCs w:val="20"/>
              </w:rPr>
            </w:pPr>
            <w:r>
              <w:rPr>
                <w:rFonts w:ascii="宋体" w:hAnsi="宋体" w:cs="宋体" w:eastAsia="宋体" w:hint="default"/>
                <w:b/>
                <w:bCs/>
                <w:sz w:val="20"/>
                <w:szCs w:val="20"/>
              </w:rPr>
              <w:t>收入确认具体方法</w:t>
            </w:r>
            <w:r>
              <w:rPr>
                <w:rFonts w:ascii="宋体" w:hAnsi="宋体" w:cs="宋体" w:eastAsia="宋体" w:hint="default"/>
                <w:sz w:val="20"/>
                <w:szCs w:val="20"/>
              </w:rPr>
            </w:r>
          </w:p>
        </w:tc>
      </w:tr>
      <w:tr>
        <w:trPr>
          <w:trHeight w:val="322" w:hRule="exact"/>
        </w:trPr>
        <w:tc>
          <w:tcPr>
            <w:tcW w:w="3220" w:type="dxa"/>
            <w:vMerge w:val="restart"/>
            <w:tcBorders>
              <w:top w:val="single" w:sz="4" w:space="0" w:color="000000"/>
              <w:left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IT</w:t>
            </w:r>
            <w:r>
              <w:rPr>
                <w:rFonts w:ascii="宋体" w:hAnsi="宋体" w:cs="宋体" w:eastAsia="宋体" w:hint="default"/>
                <w:sz w:val="20"/>
                <w:szCs w:val="20"/>
              </w:rPr>
              <w:t>解决方案</w:t>
            </w:r>
          </w:p>
        </w:tc>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应用软件开发服务</w:t>
            </w:r>
          </w:p>
        </w:tc>
        <w:tc>
          <w:tcPr>
            <w:tcW w:w="3220" w:type="dxa"/>
            <w:vMerge w:val="restart"/>
            <w:tcBorders>
              <w:top w:val="single" w:sz="4" w:space="0" w:color="000000"/>
              <w:left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按提供劳务确认收入</w:t>
            </w:r>
          </w:p>
        </w:tc>
      </w:tr>
      <w:tr>
        <w:trPr>
          <w:trHeight w:val="322" w:hRule="exact"/>
        </w:trPr>
        <w:tc>
          <w:tcPr>
            <w:tcW w:w="3220" w:type="dxa"/>
            <w:vMerge/>
            <w:tcBorders>
              <w:left w:val="single" w:sz="4" w:space="0" w:color="000000"/>
              <w:bottom w:val="single" w:sz="4" w:space="0" w:color="000000"/>
              <w:right w:val="single" w:sz="4" w:space="0" w:color="000000"/>
            </w:tcBorders>
          </w:tcPr>
          <w:p>
            <w:pPr/>
          </w:p>
        </w:tc>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应用软件运维服务</w:t>
            </w:r>
          </w:p>
        </w:tc>
        <w:tc>
          <w:tcPr>
            <w:tcW w:w="3220" w:type="dxa"/>
            <w:vMerge/>
            <w:tcBorders>
              <w:left w:val="single" w:sz="4" w:space="0" w:color="000000"/>
              <w:bottom w:val="single" w:sz="4" w:space="0" w:color="000000"/>
              <w:right w:val="single" w:sz="4" w:space="0" w:color="000000"/>
            </w:tcBorders>
          </w:tcPr>
          <w:p>
            <w:pPr/>
          </w:p>
        </w:tc>
      </w:tr>
      <w:tr>
        <w:trPr>
          <w:trHeight w:val="323" w:hRule="exact"/>
        </w:trPr>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IT</w:t>
            </w:r>
            <w:r>
              <w:rPr>
                <w:rFonts w:ascii="宋体" w:hAnsi="宋体" w:cs="宋体" w:eastAsia="宋体" w:hint="default"/>
                <w:sz w:val="20"/>
                <w:szCs w:val="20"/>
              </w:rPr>
              <w:t>运维服务</w:t>
            </w:r>
          </w:p>
        </w:tc>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0"/>
                <w:szCs w:val="20"/>
              </w:rPr>
            </w:pPr>
            <w:r>
              <w:rPr>
                <w:rFonts w:ascii="宋体" w:hAnsi="宋体" w:cs="宋体" w:eastAsia="宋体" w:hint="default"/>
                <w:sz w:val="20"/>
                <w:szCs w:val="20"/>
              </w:rPr>
              <w:t>数据中心</w:t>
            </w:r>
            <w:r>
              <w:rPr>
                <w:rFonts w:ascii="Times New Roman" w:hAnsi="Times New Roman" w:cs="Times New Roman" w:eastAsia="Times New Roman" w:hint="default"/>
                <w:sz w:val="20"/>
                <w:szCs w:val="20"/>
              </w:rPr>
              <w:t>IT</w:t>
            </w:r>
            <w:r>
              <w:rPr>
                <w:rFonts w:ascii="宋体" w:hAnsi="宋体" w:cs="宋体" w:eastAsia="宋体" w:hint="default"/>
                <w:sz w:val="20"/>
                <w:szCs w:val="20"/>
              </w:rPr>
              <w:t>运维服务</w:t>
            </w:r>
          </w:p>
        </w:tc>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按提供劳务确认收入</w:t>
            </w:r>
          </w:p>
        </w:tc>
      </w:tr>
      <w:tr>
        <w:trPr>
          <w:trHeight w:val="322" w:hRule="exact"/>
        </w:trPr>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系统集成</w:t>
            </w:r>
          </w:p>
        </w:tc>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系统集成服务</w:t>
            </w:r>
          </w:p>
        </w:tc>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按商品销售收入相关规定</w:t>
            </w:r>
          </w:p>
        </w:tc>
      </w:tr>
    </w:tbl>
    <w:p>
      <w:pPr>
        <w:spacing w:line="240" w:lineRule="auto" w:before="13"/>
        <w:rPr>
          <w:rFonts w:ascii="宋体" w:hAnsi="宋体" w:cs="宋体" w:eastAsia="宋体" w:hint="default"/>
          <w:sz w:val="4"/>
          <w:szCs w:val="4"/>
        </w:rPr>
      </w:pPr>
    </w:p>
    <w:p>
      <w:pPr>
        <w:pStyle w:val="Heading3"/>
        <w:spacing w:line="240" w:lineRule="auto" w:before="31"/>
        <w:ind w:left="1134" w:right="0" w:firstLine="0"/>
        <w:jc w:val="left"/>
      </w:pPr>
      <w:r>
        <w:rPr>
          <w:rFonts w:ascii="Times New Roman" w:hAnsi="Times New Roman" w:cs="Times New Roman" w:eastAsia="Times New Roman" w:hint="default"/>
        </w:rPr>
        <w:t>1.</w:t>
      </w:r>
      <w:r>
        <w:rPr/>
        <w:t>应用软件开发收入</w:t>
      </w:r>
    </w:p>
    <w:p>
      <w:pPr>
        <w:pStyle w:val="Heading3"/>
        <w:spacing w:line="244" w:lineRule="auto" w:before="127"/>
        <w:ind w:left="1134" w:right="1137"/>
        <w:jc w:val="both"/>
      </w:pPr>
      <w:r>
        <w:rPr>
          <w:spacing w:val="4"/>
        </w:rPr>
        <w:t>应用软件开发收入是指针对客户的</w:t>
      </w:r>
      <w:r>
        <w:rPr>
          <w:rFonts w:ascii="Times New Roman" w:hAnsi="Times New Roman" w:cs="Times New Roman" w:eastAsia="Times New Roman" w:hint="default"/>
          <w:spacing w:val="4"/>
        </w:rPr>
        <w:t>IT</w:t>
      </w:r>
      <w:r>
        <w:rPr>
          <w:spacing w:val="4"/>
        </w:rPr>
        <w:t>应用需求而提供的软件开发与实施服务维护服务所取得的</w:t>
      </w:r>
      <w:r>
        <w:rPr>
          <w:w w:val="99"/>
        </w:rPr>
        <w:t> </w:t>
      </w:r>
      <w:r>
        <w:rPr/>
        <w:t>收入。该类业务的实质是提供软件开发劳务，公司实际操作中按如下具体标准确认收入：</w:t>
      </w:r>
    </w:p>
    <w:p>
      <w:pPr>
        <w:pStyle w:val="Heading3"/>
        <w:spacing w:line="259" w:lineRule="auto" w:before="70"/>
        <w:ind w:right="1136"/>
        <w:jc w:val="both"/>
      </w:pPr>
      <w:r>
        <w:rPr>
          <w:spacing w:val="-2"/>
        </w:rPr>
        <w:t>对于在同一会计年度开始并完工的软件开发项目，公司在取得客户的最终验收证明（包括但不限</w:t>
      </w:r>
      <w:r>
        <w:rPr>
          <w:w w:val="99"/>
        </w:rPr>
        <w:t> </w:t>
      </w:r>
      <w:r>
        <w:rPr/>
        <w:t>于完工报告、验收报告或其他完工证明）时，按合同金额确认收入。</w:t>
      </w:r>
    </w:p>
    <w:p>
      <w:pPr>
        <w:pStyle w:val="Heading3"/>
        <w:spacing w:line="259" w:lineRule="auto" w:before="126"/>
        <w:ind w:left="1134" w:right="1132"/>
        <w:jc w:val="both"/>
        <w:rPr>
          <w:rFonts w:ascii="Times New Roman" w:hAnsi="Times New Roman" w:cs="Times New Roman" w:eastAsia="Times New Roman" w:hint="default"/>
        </w:rPr>
      </w:pPr>
      <w:r>
        <w:rPr>
          <w:spacing w:val="-2"/>
        </w:rPr>
        <w:t>对于跨期的软件开发项目，公司于资产负债表日按照完工百分比法确认收入：公司编写《项目实</w:t>
      </w:r>
      <w:r>
        <w:rPr>
          <w:w w:val="99"/>
        </w:rPr>
        <w:t> </w:t>
      </w:r>
      <w:r>
        <w:rPr>
          <w:spacing w:val="-1"/>
        </w:rPr>
        <w:t>施进度确认》函，就项目实施阶段（含工程质量）以及按照已发生的成本占项目预算总成本的比例计</w:t>
      </w:r>
      <w:r>
        <w:rPr>
          <w:w w:val="99"/>
        </w:rPr>
        <w:t> </w:t>
      </w:r>
      <w:r>
        <w:rPr/>
        <w:t>算出已完成合同金额与客户进行核对</w:t>
      </w:r>
      <w:r>
        <w:rPr>
          <w:rFonts w:ascii="Times New Roman" w:hAnsi="Times New Roman" w:cs="Times New Roman" w:eastAsia="Times New Roman" w:hint="default"/>
        </w:rPr>
        <w:t>:</w:t>
      </w:r>
    </w:p>
    <w:p>
      <w:pPr>
        <w:pStyle w:val="Heading3"/>
        <w:spacing w:line="259" w:lineRule="auto" w:before="108"/>
        <w:ind w:left="1134" w:right="1136"/>
        <w:jc w:val="both"/>
      </w:pPr>
      <w:r>
        <w:rPr>
          <w:spacing w:val="-2"/>
        </w:rPr>
        <w:t>如果上述项目实施阶段、已完成合同金额客户确认无误，公司按已完成合同金额扣除以前会计期</w:t>
      </w:r>
      <w:r>
        <w:rPr>
          <w:w w:val="99"/>
        </w:rPr>
        <w:t> </w:t>
      </w:r>
      <w:r>
        <w:rPr/>
        <w:t>间累计已确认的收入后的金额，确认为当期收入；</w:t>
      </w:r>
    </w:p>
    <w:p>
      <w:pPr>
        <w:pStyle w:val="Heading3"/>
        <w:spacing w:line="259" w:lineRule="auto" w:before="126"/>
        <w:ind w:left="1134" w:right="1136"/>
        <w:jc w:val="both"/>
      </w:pPr>
      <w:r>
        <w:rPr>
          <w:spacing w:val="-2"/>
        </w:rPr>
        <w:t>若客户确认的已完成合同金额大于公司计算的已完成合同金额，公司仍按原有完工进度确认当期</w:t>
      </w:r>
      <w:r>
        <w:rPr>
          <w:w w:val="99"/>
        </w:rPr>
        <w:t> </w:t>
      </w:r>
      <w:r>
        <w:rPr/>
        <w:t>收入；</w:t>
      </w:r>
    </w:p>
    <w:p>
      <w:pPr>
        <w:pStyle w:val="Heading3"/>
        <w:spacing w:line="259" w:lineRule="auto" w:before="126"/>
        <w:ind w:left="1134" w:right="1094"/>
        <w:jc w:val="both"/>
      </w:pPr>
      <w:r>
        <w:rPr>
          <w:w w:val="95"/>
        </w:rPr>
        <w:t>若客户确认的已完成合同金额小于公司计算的已完成合同金额，则公司将分析差异形成的原因，</w:t>
      </w:r>
      <w:r>
        <w:rPr>
          <w:spacing w:val="-102"/>
          <w:w w:val="95"/>
        </w:rPr>
        <w:t> </w:t>
      </w:r>
      <w:r>
        <w:rPr>
          <w:spacing w:val="-102"/>
          <w:w w:val="95"/>
        </w:rPr>
      </w:r>
      <w:r>
        <w:rPr/>
        <w:t>在必要时对预算总成本及完工进度进行调整，并按调整后完工进度确认当期收入；</w:t>
      </w:r>
    </w:p>
    <w:p>
      <w:pPr>
        <w:pStyle w:val="Heading3"/>
        <w:spacing w:line="259" w:lineRule="auto" w:before="126"/>
        <w:ind w:left="1134" w:right="1130"/>
        <w:jc w:val="both"/>
      </w:pPr>
      <w:r>
        <w:rPr>
          <w:spacing w:val="-1"/>
        </w:rPr>
        <w:t>如果未能取得以上两项确认，则在取得客户的最终验收证明（包括但不限于完工报告、验收报告</w:t>
      </w:r>
      <w:r>
        <w:rPr>
          <w:w w:val="99"/>
        </w:rPr>
        <w:t> </w:t>
      </w:r>
      <w:r>
        <w:rPr/>
        <w:t>或其他完工证明）时，以合同总金额确认收入。</w:t>
      </w:r>
    </w:p>
    <w:p>
      <w:pPr>
        <w:pStyle w:val="Heading3"/>
        <w:spacing w:line="240" w:lineRule="auto" w:before="126"/>
        <w:ind w:left="1134" w:right="0" w:firstLine="0"/>
        <w:jc w:val="left"/>
      </w:pPr>
      <w:r>
        <w:rPr>
          <w:rFonts w:ascii="宋体" w:hAnsi="宋体" w:cs="宋体" w:eastAsia="宋体" w:hint="default"/>
        </w:rPr>
        <w:t>2.</w:t>
      </w:r>
      <w:r>
        <w:rPr>
          <w:rFonts w:ascii="宋体" w:hAnsi="宋体" w:cs="宋体" w:eastAsia="宋体" w:hint="default"/>
          <w:spacing w:val="26"/>
        </w:rPr>
        <w:t> </w:t>
      </w:r>
      <w:r>
        <w:rPr/>
        <w:t>运维服务收入</w:t>
      </w:r>
    </w:p>
    <w:p>
      <w:pPr>
        <w:pStyle w:val="Heading3"/>
        <w:spacing w:line="244" w:lineRule="auto" w:before="144"/>
        <w:ind w:left="1493" w:right="1131"/>
        <w:jc w:val="both"/>
      </w:pPr>
      <w:r>
        <w:rPr/>
        <w:t>公司的运维服务收入主要包括为客户数据中心提供的</w:t>
      </w:r>
      <w:r>
        <w:rPr>
          <w:rFonts w:ascii="Times New Roman" w:hAnsi="Times New Roman" w:cs="Times New Roman" w:eastAsia="Times New Roman" w:hint="default"/>
        </w:rPr>
        <w:t>IT</w:t>
      </w:r>
      <w:r>
        <w:rPr/>
        <w:t>系统优化升级、日常变更操作、健康</w:t>
      </w:r>
      <w:r>
        <w:rPr>
          <w:w w:val="99"/>
        </w:rPr>
        <w:t> </w:t>
      </w:r>
      <w:r>
        <w:rPr>
          <w:spacing w:val="-2"/>
        </w:rPr>
        <w:t>检查、故障分析及恢复、数据</w:t>
      </w:r>
      <w:r>
        <w:rPr>
          <w:rFonts w:ascii="Times New Roman" w:hAnsi="Times New Roman" w:cs="Times New Roman" w:eastAsia="Times New Roman" w:hint="default"/>
          <w:spacing w:val="-2"/>
        </w:rPr>
        <w:t>/</w:t>
      </w:r>
      <w:r>
        <w:rPr>
          <w:spacing w:val="-2"/>
        </w:rPr>
        <w:t>存储</w:t>
      </w:r>
      <w:r>
        <w:rPr>
          <w:rFonts w:ascii="Times New Roman" w:hAnsi="Times New Roman" w:cs="Times New Roman" w:eastAsia="Times New Roman" w:hint="default"/>
          <w:spacing w:val="-2"/>
        </w:rPr>
        <w:t>/</w:t>
      </w:r>
      <w:r>
        <w:rPr>
          <w:spacing w:val="-2"/>
        </w:rPr>
        <w:t>容灾管理、信息安全管理等技术服务，以及与</w:t>
      </w:r>
      <w:r>
        <w:rPr>
          <w:rFonts w:ascii="Times New Roman" w:hAnsi="Times New Roman" w:cs="Times New Roman" w:eastAsia="Times New Roman" w:hint="default"/>
          <w:spacing w:val="-2"/>
        </w:rPr>
        <w:t>IT</w:t>
      </w:r>
      <w:r>
        <w:rPr>
          <w:spacing w:val="-2"/>
        </w:rPr>
        <w:t>解决方案相关</w:t>
      </w:r>
      <w:r>
        <w:rPr>
          <w:spacing w:val="-105"/>
        </w:rPr>
        <w:t> </w:t>
      </w:r>
      <w:r>
        <w:rPr>
          <w:spacing w:val="-105"/>
        </w:rPr>
      </w:r>
      <w:r>
        <w:rPr/>
        <w:t>的应用软件系统运行维护服务，通常包括按期（如年度）提供的服务和按次提供的服务。</w:t>
      </w:r>
    </w:p>
    <w:p>
      <w:pPr>
        <w:pStyle w:val="Heading3"/>
        <w:spacing w:line="259" w:lineRule="auto" w:before="139"/>
        <w:ind w:left="1494" w:right="1134"/>
        <w:jc w:val="both"/>
      </w:pPr>
      <w:r>
        <w:rPr/>
        <w:t>按期提供的服务，公司按照合同约定的内容提供劳务，在服务期间分期确认技术服务收入；</w:t>
      </w:r>
      <w:r>
        <w:rPr>
          <w:w w:val="99"/>
        </w:rPr>
        <w:t> </w:t>
      </w:r>
      <w:r>
        <w:rPr/>
        <w:t>按次提供的服务，公司在劳务已经提供完毕，并符合合同约定的服务条款时一次性确认技术服务</w:t>
      </w:r>
      <w:r>
        <w:rPr>
          <w:spacing w:val="-83"/>
        </w:rPr>
        <w:t> </w:t>
      </w:r>
      <w:r>
        <w:rPr>
          <w:spacing w:val="-83"/>
        </w:rPr>
      </w:r>
      <w:r>
        <w:rPr/>
        <w:t>收入。</w:t>
      </w:r>
    </w:p>
    <w:p>
      <w:pPr>
        <w:pStyle w:val="Heading3"/>
        <w:spacing w:line="240" w:lineRule="auto" w:before="126"/>
        <w:ind w:left="1134" w:right="0" w:firstLine="0"/>
        <w:jc w:val="left"/>
      </w:pPr>
      <w:r>
        <w:rPr>
          <w:rFonts w:ascii="宋体" w:hAnsi="宋体" w:cs="宋体" w:eastAsia="宋体" w:hint="default"/>
        </w:rPr>
        <w:t>2.</w:t>
      </w:r>
      <w:r>
        <w:rPr>
          <w:rFonts w:ascii="宋体" w:hAnsi="宋体" w:cs="宋体" w:eastAsia="宋体" w:hint="default"/>
          <w:spacing w:val="26"/>
        </w:rPr>
        <w:t> </w:t>
      </w:r>
      <w:r>
        <w:rPr/>
        <w:t>系统集成收入</w:t>
      </w:r>
    </w:p>
    <w:p>
      <w:pPr>
        <w:pStyle w:val="Heading3"/>
        <w:spacing w:line="240" w:lineRule="auto" w:before="144"/>
        <w:ind w:left="1934" w:right="0" w:firstLine="0"/>
        <w:jc w:val="left"/>
      </w:pPr>
      <w:r>
        <w:rPr/>
        <w:t>系统集成服务是指应客户需求，代客户采购数据中心相关的软硬件设备，并提供相应的集成</w:t>
      </w:r>
    </w:p>
    <w:p>
      <w:pPr>
        <w:spacing w:after="0" w:line="240" w:lineRule="auto"/>
        <w:jc w:val="left"/>
        <w:sectPr>
          <w:pgSz w:w="11910" w:h="16840"/>
          <w:pgMar w:header="877" w:footer="1187" w:top="1060" w:bottom="1380" w:left="0" w:right="0"/>
        </w:sectPr>
      </w:pPr>
    </w:p>
    <w:p>
      <w:pPr>
        <w:spacing w:line="240" w:lineRule="auto" w:before="4"/>
        <w:rPr>
          <w:rFonts w:ascii="宋体" w:hAnsi="宋体" w:cs="宋体" w:eastAsia="宋体" w:hint="default"/>
          <w:sz w:val="24"/>
          <w:szCs w:val="24"/>
        </w:rPr>
      </w:pPr>
    </w:p>
    <w:p>
      <w:pPr>
        <w:pStyle w:val="Heading3"/>
        <w:spacing w:line="252" w:lineRule="auto" w:before="31"/>
        <w:ind w:left="1493" w:right="1019" w:firstLine="0"/>
        <w:jc w:val="left"/>
      </w:pPr>
      <w:r>
        <w:rPr>
          <w:spacing w:val="-2"/>
        </w:rPr>
        <w:t>服务，包括数据中心集成设计、机房一体化建设、智能化综合布线、产品选型、软硬件详细配置、</w:t>
      </w:r>
      <w:r>
        <w:rPr>
          <w:w w:val="99"/>
        </w:rPr>
        <w:t> </w:t>
      </w:r>
      <w:r>
        <w:rPr/>
        <w:t>软硬件供货、软硬件安装调试、</w:t>
      </w:r>
      <w:r>
        <w:rPr>
          <w:rFonts w:ascii="Times New Roman" w:hAnsi="Times New Roman" w:cs="Times New Roman" w:eastAsia="Times New Roman" w:hint="default"/>
        </w:rPr>
        <w:t>IT</w:t>
      </w:r>
      <w:r>
        <w:rPr/>
        <w:t>系统软硬件改造升级、技术咨询等。公司按照合同约定，在相</w:t>
      </w:r>
      <w:r>
        <w:rPr>
          <w:spacing w:val="-92"/>
        </w:rPr>
        <w:t> </w:t>
      </w:r>
      <w:r>
        <w:rPr>
          <w:spacing w:val="-92"/>
        </w:rPr>
      </w:r>
      <w:r>
        <w:rPr/>
        <w:t>关货物发出并经客户验收合格后确认系统集成收入。</w:t>
      </w:r>
    </w:p>
    <w:p>
      <w:pPr>
        <w:pStyle w:val="Heading3"/>
        <w:spacing w:line="259" w:lineRule="auto" w:before="133"/>
        <w:ind w:right="1118" w:firstLine="0"/>
        <w:jc w:val="left"/>
      </w:pPr>
      <w:r>
        <w:rPr>
          <w:rFonts w:ascii="宋体" w:hAnsi="宋体" w:cs="宋体" w:eastAsia="宋体" w:hint="default"/>
        </w:rPr>
        <w:t>2.</w:t>
      </w:r>
      <w:r>
        <w:rPr>
          <w:rFonts w:ascii="宋体" w:hAnsi="宋体" w:cs="宋体" w:eastAsia="宋体" w:hint="default"/>
          <w:spacing w:val="28"/>
        </w:rPr>
        <w:t> </w:t>
      </w:r>
      <w:r>
        <w:rPr/>
        <w:t>让渡资产使用权</w:t>
      </w:r>
      <w:r>
        <w:rPr>
          <w:w w:val="99"/>
        </w:rPr>
        <w:t> </w:t>
      </w:r>
      <w:r>
        <w:rPr>
          <w:w w:val="95"/>
        </w:rPr>
        <w:t>公司在与让渡资产使用权相关的经济利益能够流入和收入的金额能够可靠的计量时确认让渡资产使</w:t>
      </w:r>
      <w:r>
        <w:rPr>
          <w:spacing w:val="37"/>
          <w:w w:val="95"/>
        </w:rPr>
        <w:t> </w:t>
      </w:r>
      <w:r>
        <w:rPr/>
        <w:t>用权收入。</w:t>
      </w:r>
    </w:p>
    <w:p>
      <w:pPr>
        <w:spacing w:line="240" w:lineRule="auto" w:before="2"/>
        <w:rPr>
          <w:rFonts w:ascii="宋体" w:hAnsi="宋体" w:cs="宋体" w:eastAsia="宋体" w:hint="default"/>
          <w:sz w:val="24"/>
          <w:szCs w:val="24"/>
        </w:rPr>
      </w:pPr>
    </w:p>
    <w:p>
      <w:pPr>
        <w:pStyle w:val="Heading4"/>
        <w:spacing w:line="240" w:lineRule="auto"/>
        <w:ind w:right="0"/>
        <w:jc w:val="left"/>
        <w:rPr>
          <w:b w:val="0"/>
          <w:bCs w:val="0"/>
        </w:rPr>
      </w:pPr>
      <w:bookmarkStart w:name="25、政府补助" w:id="198"/>
      <w:bookmarkEnd w:id="198"/>
      <w:r>
        <w:rPr>
          <w:b w:val="0"/>
          <w:bCs w:val="0"/>
        </w:rPr>
      </w:r>
      <w:r>
        <w:rPr>
          <w:rFonts w:ascii="Times New Roman" w:hAnsi="Times New Roman" w:cs="Times New Roman" w:eastAsia="Times New Roman" w:hint="default"/>
        </w:rPr>
        <w:t>25</w:t>
      </w:r>
      <w:r>
        <w:rPr/>
        <w:t>、政府补助</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1）与资产相关的政府补助判断依据及会计处理方法" w:id="199"/>
      <w:bookmarkEnd w:id="199"/>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12"/>
        <w:rPr>
          <w:rFonts w:ascii="宋体" w:hAnsi="宋体" w:cs="宋体" w:eastAsia="宋体" w:hint="default"/>
          <w:b/>
          <w:bCs/>
          <w:sz w:val="23"/>
          <w:szCs w:val="23"/>
        </w:rPr>
      </w:pPr>
    </w:p>
    <w:p>
      <w:pPr>
        <w:pStyle w:val="Heading3"/>
        <w:spacing w:line="259" w:lineRule="auto"/>
        <w:ind w:left="1134" w:right="1093"/>
        <w:jc w:val="both"/>
      </w:pPr>
      <w:r>
        <w:rPr>
          <w:w w:val="95"/>
        </w:rPr>
        <w:t>政府补助在本公司能够满足其所附的条件以及能够收到时予以确认。政府补助为货币性资产的，</w:t>
      </w:r>
      <w:r>
        <w:rPr>
          <w:spacing w:val="-101"/>
          <w:w w:val="95"/>
        </w:rPr>
        <w:t> </w:t>
      </w:r>
      <w:r>
        <w:rPr>
          <w:spacing w:val="-101"/>
          <w:w w:val="95"/>
        </w:rPr>
      </w:r>
      <w:r>
        <w:rPr>
          <w:spacing w:val="-2"/>
        </w:rPr>
        <w:t>按照实际收到的金额计量，对于按照固定的定额标准拨付的补助，按照应收的金额计量；政府补助为</w:t>
      </w:r>
      <w:r>
        <w:rPr>
          <w:spacing w:val="-85"/>
        </w:rPr>
        <w:t> </w:t>
      </w:r>
      <w:r>
        <w:rPr>
          <w:spacing w:val="-85"/>
        </w:rPr>
      </w:r>
      <w:r>
        <w:rPr/>
        <w:t>非货币性资产的，按照公允价值计量，公允价值不能可靠取得的，按照名义金额</w:t>
      </w:r>
      <w:r>
        <w:rPr>
          <w:rFonts w:ascii="Times New Roman" w:hAnsi="Times New Roman" w:cs="Times New Roman" w:eastAsia="Times New Roman" w:hint="default"/>
        </w:rPr>
        <w:t>(1</w:t>
      </w:r>
      <w:r>
        <w:rPr/>
        <w:t>元</w:t>
      </w:r>
      <w:r>
        <w:rPr>
          <w:rFonts w:ascii="Times New Roman" w:hAnsi="Times New Roman" w:cs="Times New Roman" w:eastAsia="Times New Roman" w:hint="default"/>
        </w:rPr>
        <w:t>)</w:t>
      </w:r>
      <w:r>
        <w:rPr/>
        <w:t>计量。</w:t>
      </w:r>
    </w:p>
    <w:p>
      <w:pPr>
        <w:pStyle w:val="Heading3"/>
        <w:spacing w:line="240" w:lineRule="auto" w:before="108"/>
        <w:ind w:left="1574" w:right="0" w:firstLine="0"/>
        <w:jc w:val="left"/>
      </w:pPr>
      <w:r>
        <w:rPr/>
        <w:t>与资产相关的政府补助确认为递延收益，并在相关资产使用寿命内平均分配计入当期损益。</w:t>
      </w:r>
    </w:p>
    <w:p>
      <w:pPr>
        <w:spacing w:line="240" w:lineRule="auto" w:before="6"/>
        <w:rPr>
          <w:rFonts w:ascii="宋体" w:hAnsi="宋体" w:cs="宋体" w:eastAsia="宋体" w:hint="default"/>
          <w:sz w:val="25"/>
          <w:szCs w:val="25"/>
        </w:rPr>
      </w:pPr>
    </w:p>
    <w:p>
      <w:pPr>
        <w:pStyle w:val="Heading4"/>
        <w:spacing w:line="240" w:lineRule="auto"/>
        <w:ind w:left="1134" w:right="0"/>
        <w:jc w:val="left"/>
        <w:rPr>
          <w:b w:val="0"/>
          <w:bCs w:val="0"/>
        </w:rPr>
      </w:pPr>
      <w:bookmarkStart w:name="（2）与收益相关的政府补助判断依据及会计处理方法" w:id="200"/>
      <w:bookmarkEnd w:id="200"/>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12"/>
        <w:rPr>
          <w:rFonts w:ascii="宋体" w:hAnsi="宋体" w:cs="宋体" w:eastAsia="宋体" w:hint="default"/>
          <w:b/>
          <w:bCs/>
          <w:sz w:val="23"/>
          <w:szCs w:val="23"/>
        </w:rPr>
      </w:pPr>
    </w:p>
    <w:p>
      <w:pPr>
        <w:pStyle w:val="Heading3"/>
        <w:spacing w:line="259" w:lineRule="auto"/>
        <w:ind w:left="1134" w:right="1137"/>
        <w:jc w:val="both"/>
      </w:pPr>
      <w:r>
        <w:rPr>
          <w:spacing w:val="-2"/>
        </w:rPr>
        <w:t>与收益相关的政府补助，用于补偿以后期间的相关费用或损失的，确认为递延收益，并在确认相</w:t>
      </w:r>
      <w:r>
        <w:rPr>
          <w:w w:val="99"/>
        </w:rPr>
        <w:t> </w:t>
      </w:r>
      <w:r>
        <w:rPr/>
        <w:t>关费用的期间计入当期损益；用于补偿已发生的相关费用或损失的，直接计入当期损益。</w:t>
      </w:r>
    </w:p>
    <w:p>
      <w:pPr>
        <w:spacing w:line="240" w:lineRule="auto" w:before="2"/>
        <w:rPr>
          <w:rFonts w:ascii="宋体" w:hAnsi="宋体" w:cs="宋体" w:eastAsia="宋体" w:hint="default"/>
          <w:sz w:val="24"/>
          <w:szCs w:val="24"/>
        </w:rPr>
      </w:pPr>
    </w:p>
    <w:p>
      <w:pPr>
        <w:pStyle w:val="Heading4"/>
        <w:spacing w:line="240" w:lineRule="auto"/>
        <w:ind w:left="1134" w:right="0"/>
        <w:jc w:val="left"/>
        <w:rPr>
          <w:b w:val="0"/>
          <w:bCs w:val="0"/>
        </w:rPr>
      </w:pPr>
      <w:bookmarkStart w:name="26、递延所得税资产/递延所得税负债" w:id="201"/>
      <w:bookmarkEnd w:id="201"/>
      <w:r>
        <w:rPr>
          <w:b w:val="0"/>
          <w:bCs w:val="0"/>
        </w:rPr>
      </w:r>
      <w:r>
        <w:rPr>
          <w:rFonts w:ascii="Times New Roman" w:hAnsi="Times New Roman" w:cs="Times New Roman" w:eastAsia="Times New Roman" w:hint="default"/>
        </w:rPr>
        <w:t>26</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3"/>
        <w:rPr>
          <w:rFonts w:ascii="宋体" w:hAnsi="宋体" w:cs="宋体" w:eastAsia="宋体" w:hint="default"/>
          <w:b/>
          <w:bCs/>
          <w:sz w:val="23"/>
          <w:szCs w:val="23"/>
        </w:rPr>
      </w:pPr>
    </w:p>
    <w:p>
      <w:pPr>
        <w:pStyle w:val="Heading3"/>
        <w:spacing w:line="252" w:lineRule="auto"/>
        <w:ind w:left="1134" w:right="1127"/>
        <w:jc w:val="both"/>
      </w:pPr>
      <w:r>
        <w:rPr>
          <w:spacing w:val="2"/>
        </w:rPr>
        <w:t>本公司递延所得税资产和递延所得税负债根据资产和负债的计税基础与其账面价值的差额</w:t>
      </w:r>
      <w:r>
        <w:rPr>
          <w:rFonts w:ascii="Times New Roman" w:hAnsi="Times New Roman" w:cs="Times New Roman" w:eastAsia="Times New Roman" w:hint="default"/>
          <w:spacing w:val="2"/>
        </w:rPr>
        <w:t>(</w:t>
      </w:r>
      <w:r>
        <w:rPr>
          <w:spacing w:val="2"/>
        </w:rPr>
        <w:t>暂时</w:t>
      </w:r>
      <w:r>
        <w:rPr>
          <w:spacing w:val="4"/>
          <w:w w:val="99"/>
        </w:rPr>
        <w:t> </w:t>
      </w:r>
      <w:r>
        <w:rPr>
          <w:spacing w:val="2"/>
        </w:rPr>
        <w:t>性差异</w:t>
      </w:r>
      <w:r>
        <w:rPr>
          <w:rFonts w:ascii="Times New Roman" w:hAnsi="Times New Roman" w:cs="Times New Roman" w:eastAsia="Times New Roman" w:hint="default"/>
          <w:spacing w:val="2"/>
        </w:rPr>
        <w:t>)</w:t>
      </w:r>
      <w:r>
        <w:rPr>
          <w:spacing w:val="2"/>
        </w:rPr>
        <w:t>计算确认。对于按照税法规定能够于以后年度抵减应纳税所得额的可抵扣亏损，确认相应的</w:t>
      </w:r>
      <w:r>
        <w:rPr>
          <w:w w:val="99"/>
        </w:rPr>
        <w:t> </w:t>
      </w:r>
      <w:r>
        <w:rPr>
          <w:spacing w:val="-1"/>
        </w:rPr>
        <w:t>递延所得税资产。对于商誉的初始确认产生的暂时性差异，不确认相应的递延所得税负债。对于既不</w:t>
      </w:r>
      <w:r>
        <w:rPr>
          <w:w w:val="99"/>
        </w:rPr>
        <w:t> </w:t>
      </w:r>
      <w:r>
        <w:rPr/>
        <w:t>影响会计利润也不影响应纳税所得额</w:t>
      </w:r>
      <w:r>
        <w:rPr>
          <w:rFonts w:ascii="Times New Roman" w:hAnsi="Times New Roman" w:cs="Times New Roman" w:eastAsia="Times New Roman" w:hint="default"/>
        </w:rPr>
        <w:t>(</w:t>
      </w:r>
      <w:r>
        <w:rPr/>
        <w:t>或可抵扣亏损</w:t>
      </w:r>
      <w:r>
        <w:rPr>
          <w:rFonts w:ascii="Times New Roman" w:hAnsi="Times New Roman" w:cs="Times New Roman" w:eastAsia="Times New Roman" w:hint="default"/>
        </w:rPr>
        <w:t>)</w:t>
      </w:r>
      <w:r>
        <w:rPr/>
        <w:t>的非企业合并的交易中产生的资产或负债的初始</w:t>
      </w:r>
      <w:r>
        <w:rPr>
          <w:spacing w:val="-108"/>
        </w:rPr>
        <w:t> </w:t>
      </w:r>
      <w:r>
        <w:rPr>
          <w:spacing w:val="-1"/>
        </w:rPr>
        <w:t>确认形成的暂时性差异，不确认相应的递延所得税资产和递延所得税负债。于资产负债表日，递延所</w:t>
      </w:r>
      <w:r>
        <w:rPr>
          <w:w w:val="99"/>
        </w:rPr>
        <w:t> </w:t>
      </w:r>
      <w:r>
        <w:rPr/>
        <w:t>得税资产和递延所得税负债，按照预期收回该资产或清偿该负债期间的适用税率计量。</w:t>
      </w:r>
    </w:p>
    <w:p>
      <w:pPr>
        <w:pStyle w:val="Heading3"/>
        <w:spacing w:line="259" w:lineRule="auto" w:before="133"/>
        <w:ind w:left="1134" w:right="1136"/>
        <w:jc w:val="both"/>
      </w:pPr>
      <w:r>
        <w:rPr>
          <w:spacing w:val="-2"/>
        </w:rPr>
        <w:t>本公司以很可能取得用来抵扣可抵扣暂时性差异、可抵扣亏损和税款抵减的未来应纳税所得额为</w:t>
      </w:r>
      <w:r>
        <w:rPr>
          <w:w w:val="99"/>
        </w:rPr>
        <w:t> </w:t>
      </w:r>
      <w:r>
        <w:rPr/>
        <w:t>限，确认由可抵扣暂时性差异产生的递延所得税资产。</w:t>
      </w:r>
    </w:p>
    <w:p>
      <w:pPr>
        <w:spacing w:line="240" w:lineRule="auto" w:before="2"/>
        <w:rPr>
          <w:rFonts w:ascii="宋体" w:hAnsi="宋体" w:cs="宋体" w:eastAsia="宋体" w:hint="default"/>
          <w:sz w:val="24"/>
          <w:szCs w:val="24"/>
        </w:rPr>
      </w:pPr>
    </w:p>
    <w:p>
      <w:pPr>
        <w:pStyle w:val="Heading4"/>
        <w:spacing w:line="240" w:lineRule="auto"/>
        <w:ind w:left="1134" w:right="0"/>
        <w:jc w:val="left"/>
        <w:rPr>
          <w:b w:val="0"/>
          <w:bCs w:val="0"/>
        </w:rPr>
      </w:pPr>
      <w:bookmarkStart w:name="27、租赁" w:id="202"/>
      <w:bookmarkEnd w:id="202"/>
      <w:r>
        <w:rPr>
          <w:b w:val="0"/>
          <w:bCs w:val="0"/>
        </w:rPr>
      </w:r>
      <w:r>
        <w:rPr>
          <w:rFonts w:ascii="Times New Roman" w:hAnsi="Times New Roman" w:cs="Times New Roman" w:eastAsia="Times New Roman" w:hint="default"/>
        </w:rPr>
        <w:t>27</w:t>
      </w:r>
      <w:r>
        <w:rPr/>
        <w:t>、租赁</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1）经营租赁的会计处理方法" w:id="203"/>
      <w:bookmarkEnd w:id="203"/>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2）融资租赁的会计处理方法" w:id="204"/>
      <w:bookmarkEnd w:id="204"/>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0"/>
        <w:jc w:val="left"/>
        <w:rPr>
          <w:b w:val="0"/>
          <w:bCs w:val="0"/>
        </w:rPr>
      </w:pPr>
      <w:bookmarkStart w:name="28、其他重要的会计政策和会计估计" w:id="205"/>
      <w:bookmarkEnd w:id="205"/>
      <w:r>
        <w:rPr>
          <w:b w:val="0"/>
          <w:bCs w:val="0"/>
        </w:rPr>
      </w:r>
      <w:r>
        <w:rPr>
          <w:rFonts w:ascii="Times New Roman" w:hAnsi="Times New Roman" w:cs="Times New Roman" w:eastAsia="Times New Roman" w:hint="default"/>
        </w:rPr>
        <w:t>28</w:t>
      </w:r>
      <w:r>
        <w:rPr/>
        <w:t>、其他重要的会计政策和会计估计</w:t>
      </w:r>
      <w:r>
        <w:rPr>
          <w:b w:val="0"/>
          <w:bCs w:val="0"/>
        </w:rPr>
      </w:r>
    </w:p>
    <w:p>
      <w:pPr>
        <w:spacing w:line="240" w:lineRule="auto" w:before="13"/>
        <w:rPr>
          <w:rFonts w:ascii="宋体" w:hAnsi="宋体" w:cs="宋体" w:eastAsia="宋体" w:hint="default"/>
          <w:b/>
          <w:bCs/>
          <w:sz w:val="23"/>
          <w:szCs w:val="23"/>
        </w:rPr>
      </w:pPr>
    </w:p>
    <w:p>
      <w:pPr>
        <w:pStyle w:val="Heading3"/>
        <w:spacing w:line="259" w:lineRule="auto"/>
        <w:ind w:left="1134" w:right="0"/>
        <w:jc w:val="left"/>
      </w:pPr>
      <w:r>
        <w:rPr/>
        <w:t>编制财务报表时，本公司管理层需要运用估计和假设，包括对未来事项的合理预期，这些估计和</w:t>
      </w:r>
      <w:r>
        <w:rPr>
          <w:w w:val="99"/>
        </w:rPr>
        <w:t> </w:t>
      </w:r>
      <w:r>
        <w:rPr>
          <w:spacing w:val="-4"/>
        </w:rPr>
        <w:t>假设会对会计政策的应用及资产、负债、收入及费用的金额产生影响。实际情况可能与这些估计不同；</w:t>
      </w:r>
      <w:r>
        <w:rPr>
          <w:spacing w:val="-101"/>
        </w:rPr>
        <w:t> </w:t>
      </w:r>
      <w:r>
        <w:rPr>
          <w:spacing w:val="-101"/>
        </w:rPr>
      </w:r>
      <w:r>
        <w:rPr/>
        <w:t>本公司管理层对估计涉及的关键假设和不确定性因素的判断进行持续评估。会计估计变更的影响在变</w:t>
      </w:r>
      <w:r>
        <w:rPr>
          <w:w w:val="99"/>
        </w:rPr>
        <w:t> </w:t>
      </w:r>
      <w:r>
        <w:rPr/>
        <w:t>更当期和未来期间予以确认。</w:t>
      </w:r>
    </w:p>
    <w:p>
      <w:pPr>
        <w:spacing w:after="0" w:line="259" w:lineRule="auto"/>
        <w:jc w:val="left"/>
        <w:sectPr>
          <w:pgSz w:w="11910" w:h="16840"/>
          <w:pgMar w:header="877" w:footer="1187" w:top="1060" w:bottom="1380" w:left="0" w:right="0"/>
        </w:sectPr>
      </w:pPr>
    </w:p>
    <w:p>
      <w:pPr>
        <w:spacing w:line="240" w:lineRule="auto" w:before="4"/>
        <w:rPr>
          <w:rFonts w:ascii="宋体" w:hAnsi="宋体" w:cs="宋体" w:eastAsia="宋体" w:hint="default"/>
          <w:sz w:val="24"/>
          <w:szCs w:val="24"/>
        </w:rPr>
      </w:pPr>
    </w:p>
    <w:p>
      <w:pPr>
        <w:pStyle w:val="Heading3"/>
        <w:spacing w:line="360" w:lineRule="auto" w:before="31"/>
        <w:ind w:left="1134" w:right="1118"/>
        <w:jc w:val="left"/>
      </w:pPr>
      <w:r>
        <w:rPr>
          <w:w w:val="95"/>
        </w:rPr>
        <w:t>下列会计估计及关键假设存在导致未来期间的资产及负债账面值发生重大调整的重要风险。</w:t>
      </w:r>
      <w:r>
        <w:rPr>
          <w:w w:val="99"/>
        </w:rPr>
        <w:t> </w:t>
      </w:r>
      <w:r>
        <w:rPr>
          <w:rFonts w:ascii="宋体" w:hAnsi="宋体" w:cs="宋体" w:eastAsia="宋体" w:hint="default"/>
        </w:rPr>
        <w:t>1.</w:t>
      </w:r>
      <w:r>
        <w:rPr>
          <w:rFonts w:ascii="宋体" w:hAnsi="宋体" w:cs="宋体" w:eastAsia="宋体" w:hint="default"/>
          <w:spacing w:val="26"/>
        </w:rPr>
        <w:t> </w:t>
      </w:r>
      <w:r>
        <w:rPr/>
        <w:t>应收款项减值</w:t>
      </w:r>
    </w:p>
    <w:p>
      <w:pPr>
        <w:pStyle w:val="Heading3"/>
        <w:spacing w:line="259" w:lineRule="auto" w:before="34"/>
        <w:ind w:left="1494" w:right="1133"/>
        <w:jc w:val="both"/>
      </w:pPr>
      <w:r>
        <w:rPr/>
        <w:t>本公司在资产负债表日按摊余成本计量的应收款项，以评估是否出现减值情况，并在出现减</w:t>
      </w:r>
      <w:r>
        <w:rPr>
          <w:w w:val="99"/>
        </w:rPr>
        <w:t> </w:t>
      </w:r>
      <w:r>
        <w:rPr/>
        <w:t>值情况时评估减值损失的具体金额。减值的客观证据包括显示个别或组合应收款项预计未来现金</w:t>
      </w:r>
      <w:r>
        <w:rPr>
          <w:spacing w:val="-83"/>
        </w:rPr>
        <w:t> </w:t>
      </w:r>
      <w:r>
        <w:rPr>
          <w:spacing w:val="-83"/>
        </w:rPr>
      </w:r>
      <w:r>
        <w:rPr/>
        <w:t>流量出现大幅下降的可判断数据，显示个别或组合应收款项中债务人的财务状况出现重大负面的</w:t>
      </w:r>
      <w:r>
        <w:rPr>
          <w:spacing w:val="-83"/>
        </w:rPr>
        <w:t> </w:t>
      </w:r>
      <w:r>
        <w:rPr>
          <w:spacing w:val="-83"/>
        </w:rPr>
      </w:r>
      <w:r>
        <w:rPr/>
        <w:t>可判断数据等事项。如果有证据表明该应收款项价值已恢复，且客观上与确认该损失后发生的事</w:t>
      </w:r>
      <w:r>
        <w:rPr>
          <w:spacing w:val="-85"/>
        </w:rPr>
        <w:t> </w:t>
      </w:r>
      <w:r>
        <w:rPr>
          <w:spacing w:val="-85"/>
        </w:rPr>
      </w:r>
      <w:r>
        <w:rPr/>
        <w:t>项有关，则将原确认的减值损失予以转回。</w:t>
      </w:r>
    </w:p>
    <w:p>
      <w:pPr>
        <w:pStyle w:val="Heading3"/>
        <w:spacing w:line="240" w:lineRule="auto" w:before="126"/>
        <w:ind w:left="1134" w:right="0" w:firstLine="0"/>
        <w:jc w:val="left"/>
      </w:pPr>
      <w:r>
        <w:rPr>
          <w:rFonts w:ascii="宋体" w:hAnsi="宋体" w:cs="宋体" w:eastAsia="宋体" w:hint="default"/>
        </w:rPr>
        <w:t>2.</w:t>
      </w:r>
      <w:r>
        <w:rPr>
          <w:rFonts w:ascii="宋体" w:hAnsi="宋体" w:cs="宋体" w:eastAsia="宋体" w:hint="default"/>
          <w:spacing w:val="26"/>
        </w:rPr>
        <w:t> </w:t>
      </w:r>
      <w:r>
        <w:rPr/>
        <w:t>存货减值准备</w:t>
      </w:r>
    </w:p>
    <w:p>
      <w:pPr>
        <w:pStyle w:val="Heading3"/>
        <w:spacing w:line="259" w:lineRule="auto" w:before="144"/>
        <w:ind w:left="1494" w:right="1014"/>
        <w:jc w:val="left"/>
      </w:pPr>
      <w:r>
        <w:rPr>
          <w:spacing w:val="-2"/>
        </w:rPr>
        <w:t>本公司定期估计存货的可变现净值，并对存货成本高于可变现净值的差额确认存货跌价损失。</w:t>
      </w:r>
      <w:r>
        <w:rPr>
          <w:w w:val="99"/>
        </w:rPr>
        <w:t> </w:t>
      </w:r>
      <w:r>
        <w:rPr/>
        <w:t>本公司在估计存货的可变现净值时，以同类货物的预计售价减去完工时将要发生的成本、销售费</w:t>
      </w:r>
      <w:r>
        <w:rPr>
          <w:spacing w:val="-83"/>
        </w:rPr>
        <w:t> </w:t>
      </w:r>
      <w:r>
        <w:rPr>
          <w:spacing w:val="-83"/>
        </w:rPr>
      </w:r>
      <w:r>
        <w:rPr/>
        <w:t>用以及相关税费后的金额确定。当实际售价或成本费用与以前估计不同时，管理层将会对可变现</w:t>
      </w:r>
      <w:r>
        <w:rPr>
          <w:spacing w:val="-83"/>
        </w:rPr>
        <w:t> </w:t>
      </w:r>
      <w:r>
        <w:rPr>
          <w:spacing w:val="-83"/>
        </w:rPr>
      </w:r>
      <w:r>
        <w:rPr/>
        <w:t>净值进行相应的调整。因此根据现有经验进行估计的结果可能会与之后实际结果有所不同，可能</w:t>
      </w:r>
      <w:r>
        <w:rPr>
          <w:spacing w:val="-83"/>
        </w:rPr>
        <w:t> </w:t>
      </w:r>
      <w:r>
        <w:rPr>
          <w:spacing w:val="-83"/>
        </w:rPr>
      </w:r>
      <w:r>
        <w:rPr/>
        <w:t>导致对资产负债表中的存货账面价值的调整。因此存货跌价准备的金额可能会随上述原因而发生</w:t>
      </w:r>
      <w:r>
        <w:rPr>
          <w:spacing w:val="-83"/>
        </w:rPr>
        <w:t> </w:t>
      </w:r>
      <w:r>
        <w:rPr>
          <w:spacing w:val="-83"/>
        </w:rPr>
      </w:r>
      <w:r>
        <w:rPr/>
        <w:t>变化。对存货跌价准备的调整将影响估计变更当期的损益。</w:t>
      </w:r>
    </w:p>
    <w:p>
      <w:pPr>
        <w:pStyle w:val="Heading3"/>
        <w:spacing w:line="240" w:lineRule="auto" w:before="126"/>
        <w:ind w:left="1134" w:right="0" w:firstLine="0"/>
        <w:jc w:val="left"/>
      </w:pPr>
      <w:r>
        <w:rPr>
          <w:rFonts w:ascii="宋体" w:hAnsi="宋体" w:cs="宋体" w:eastAsia="宋体" w:hint="default"/>
        </w:rPr>
        <w:t>3.</w:t>
      </w:r>
      <w:r>
        <w:rPr>
          <w:rFonts w:ascii="宋体" w:hAnsi="宋体" w:cs="宋体" w:eastAsia="宋体" w:hint="default"/>
          <w:spacing w:val="25"/>
        </w:rPr>
        <w:t> </w:t>
      </w:r>
      <w:r>
        <w:rPr/>
        <w:t>固定资产减值准备</w:t>
      </w:r>
    </w:p>
    <w:p>
      <w:pPr>
        <w:pStyle w:val="Heading3"/>
        <w:spacing w:line="259" w:lineRule="auto" w:before="144"/>
        <w:ind w:left="1494" w:right="1134"/>
        <w:jc w:val="both"/>
      </w:pPr>
      <w:r>
        <w:rPr/>
        <w:t>本公司在资产负债表日对存在减值迹象的房屋建筑物、电子设备等固定资产进行减值测试。</w:t>
      </w:r>
      <w:r>
        <w:rPr>
          <w:w w:val="99"/>
        </w:rPr>
        <w:t> </w:t>
      </w:r>
      <w:r>
        <w:rPr/>
        <w:t>固定资产的可收回金额为其预计未来现金流量的现值和资产的公允价值减去处置费用后的净额中</w:t>
      </w:r>
      <w:r>
        <w:rPr>
          <w:spacing w:val="-83"/>
        </w:rPr>
        <w:t> </w:t>
      </w:r>
      <w:r>
        <w:rPr>
          <w:spacing w:val="-83"/>
        </w:rPr>
      </w:r>
      <w:r>
        <w:rPr/>
        <w:t>较高者，其计算需要采用会计估计。</w:t>
      </w:r>
    </w:p>
    <w:p>
      <w:pPr>
        <w:pStyle w:val="Heading3"/>
        <w:spacing w:line="261" w:lineRule="auto" w:before="126"/>
        <w:ind w:left="1494" w:right="1144"/>
        <w:jc w:val="both"/>
      </w:pPr>
      <w:r>
        <w:rPr/>
        <w:t>如果管理层对资产组和资产组组合未来现金流量计算中采用的毛利率进行修订，修订后的毛</w:t>
      </w:r>
      <w:r>
        <w:rPr>
          <w:w w:val="99"/>
        </w:rPr>
        <w:t> </w:t>
      </w:r>
      <w:r>
        <w:rPr/>
        <w:t>利率低于目前采用的毛利率，本公司需对固定资产增加计提减值准备。</w:t>
      </w:r>
    </w:p>
    <w:p>
      <w:pPr>
        <w:pStyle w:val="Heading3"/>
        <w:spacing w:line="259" w:lineRule="auto" w:before="124"/>
        <w:ind w:left="1494" w:right="1144"/>
        <w:jc w:val="both"/>
      </w:pPr>
      <w:r>
        <w:rPr/>
        <w:t>如果管理层对应用于现金流量折现的税前折现率进行重新修订，修订后的税前折现率高于目</w:t>
      </w:r>
      <w:r>
        <w:rPr>
          <w:w w:val="99"/>
        </w:rPr>
        <w:t> </w:t>
      </w:r>
      <w:r>
        <w:rPr/>
        <w:t>前采用的折现率，本公司需对固定资产增加计提减值准备。</w:t>
      </w:r>
    </w:p>
    <w:p>
      <w:pPr>
        <w:pStyle w:val="Heading3"/>
        <w:spacing w:line="259" w:lineRule="auto" w:before="126"/>
        <w:ind w:left="1494" w:right="1144"/>
        <w:jc w:val="both"/>
      </w:pPr>
      <w:r>
        <w:rPr/>
        <w:t>如果实际毛利率或税前折现率高于或低于管理层估计，本公司不能转回原已计提的固定资产</w:t>
      </w:r>
      <w:r>
        <w:rPr>
          <w:w w:val="99"/>
        </w:rPr>
        <w:t> </w:t>
      </w:r>
      <w:r>
        <w:rPr/>
        <w:t>减值准备。</w:t>
      </w:r>
    </w:p>
    <w:p>
      <w:pPr>
        <w:pStyle w:val="Heading3"/>
        <w:spacing w:line="240" w:lineRule="auto" w:before="126"/>
        <w:ind w:left="1134" w:right="0" w:firstLine="0"/>
        <w:jc w:val="left"/>
      </w:pPr>
      <w:r>
        <w:rPr>
          <w:rFonts w:ascii="宋体" w:hAnsi="宋体" w:cs="宋体" w:eastAsia="宋体" w:hint="default"/>
        </w:rPr>
        <w:t>4.</w:t>
      </w:r>
      <w:r>
        <w:rPr>
          <w:rFonts w:ascii="宋体" w:hAnsi="宋体" w:cs="宋体" w:eastAsia="宋体" w:hint="default"/>
          <w:spacing w:val="24"/>
        </w:rPr>
        <w:t> </w:t>
      </w:r>
      <w:r>
        <w:rPr/>
        <w:t>递延所得税资产确认</w:t>
      </w:r>
    </w:p>
    <w:p>
      <w:pPr>
        <w:pStyle w:val="Heading3"/>
        <w:spacing w:line="259" w:lineRule="auto" w:before="144"/>
        <w:ind w:left="1494" w:right="1134"/>
        <w:jc w:val="both"/>
      </w:pPr>
      <w:r>
        <w:rPr/>
        <w:t>递延所得税资产的估计需要对未来各个年度的应纳税所得额及适用的税率进行估计，递延所</w:t>
      </w:r>
      <w:r>
        <w:rPr>
          <w:w w:val="99"/>
        </w:rPr>
        <w:t> </w:t>
      </w:r>
      <w:r>
        <w:rPr/>
        <w:t>得税资产的实现取决于公司未来是否很可能获得足够的应纳税所得额。未来税率的变化和暂时性</w:t>
      </w:r>
      <w:r>
        <w:rPr>
          <w:spacing w:val="-83"/>
        </w:rPr>
        <w:t> </w:t>
      </w:r>
      <w:r>
        <w:rPr>
          <w:spacing w:val="-83"/>
        </w:rPr>
      </w:r>
      <w:r>
        <w:rPr/>
        <w:t>差异的转回时间也可能影响所得税费用（收益）以及递延所得税的余额。上述估计的变化可能导</w:t>
      </w:r>
      <w:r>
        <w:rPr>
          <w:spacing w:val="-83"/>
        </w:rPr>
        <w:t> </w:t>
      </w:r>
      <w:r>
        <w:rPr>
          <w:spacing w:val="-83"/>
        </w:rPr>
      </w:r>
      <w:r>
        <w:rPr/>
        <w:t>致对递延所得税的重要调整。</w:t>
      </w:r>
    </w:p>
    <w:p>
      <w:pPr>
        <w:pStyle w:val="Heading3"/>
        <w:spacing w:line="432" w:lineRule="exact" w:before="38"/>
        <w:ind w:left="1574" w:right="0" w:hanging="441"/>
        <w:jc w:val="left"/>
      </w:pPr>
      <w:r>
        <w:rPr>
          <w:rFonts w:ascii="宋体" w:hAnsi="宋体" w:cs="宋体" w:eastAsia="宋体" w:hint="default"/>
        </w:rPr>
        <w:t>5.</w:t>
      </w:r>
      <w:r>
        <w:rPr>
          <w:rFonts w:ascii="宋体" w:hAnsi="宋体" w:cs="宋体" w:eastAsia="宋体" w:hint="default"/>
          <w:spacing w:val="28"/>
        </w:rPr>
        <w:t> </w:t>
      </w:r>
      <w:r>
        <w:rPr/>
        <w:t>固定资产、无形资产的可使用年限</w:t>
      </w:r>
      <w:r>
        <w:rPr>
          <w:w w:val="99"/>
        </w:rPr>
        <w:t> </w:t>
      </w:r>
      <w:r>
        <w:rPr>
          <w:spacing w:val="-1"/>
          <w:w w:val="95"/>
        </w:rPr>
        <w:t>本公司至少于每年年度终了，对固定资产和无形资产的预计使用寿命进行复核。预计使用寿命是</w:t>
      </w:r>
      <w:r>
        <w:rPr>
          <w:spacing w:val="-1"/>
        </w:rPr>
      </w:r>
    </w:p>
    <w:p>
      <w:pPr>
        <w:pStyle w:val="Heading3"/>
        <w:spacing w:line="257" w:lineRule="exact"/>
        <w:ind w:left="1134" w:right="0" w:firstLine="0"/>
        <w:jc w:val="left"/>
      </w:pPr>
      <w:r>
        <w:rPr/>
        <w:t>管理层基于同类资产历史经验、参考同行业普遍所应用的估计并结合预期技术更新而决定的。当以往</w:t>
      </w:r>
    </w:p>
    <w:p>
      <w:pPr>
        <w:pStyle w:val="Heading3"/>
        <w:spacing w:line="240" w:lineRule="auto" w:before="24"/>
        <w:ind w:left="1134" w:right="0" w:firstLine="0"/>
        <w:jc w:val="left"/>
      </w:pPr>
      <w:r>
        <w:rPr/>
        <w:t>的估计发生重大变化时，则相应调整未来期间的折旧费用和摊销费用。</w:t>
      </w:r>
    </w:p>
    <w:p>
      <w:pPr>
        <w:spacing w:after="0" w:line="240" w:lineRule="auto"/>
        <w:jc w:val="left"/>
        <w:sectPr>
          <w:pgSz w:w="11910" w:h="16840"/>
          <w:pgMar w:header="877" w:footer="1187" w:top="1060" w:bottom="1380" w:left="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9、重要会计政策和会计估计变更" w:id="206"/>
      <w:bookmarkEnd w:id="206"/>
      <w:r>
        <w:rPr>
          <w:b w:val="0"/>
          <w:bCs w:val="0"/>
        </w:rPr>
      </w:r>
      <w:r>
        <w:rPr>
          <w:rFonts w:ascii="Times New Roman" w:hAnsi="Times New Roman" w:cs="Times New Roman" w:eastAsia="Times New Roman" w:hint="default"/>
        </w:rPr>
        <w:t>29</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重要会计政策变更" w:id="207"/>
      <w:bookmarkEnd w:id="207"/>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重要会计估计变更" w:id="208"/>
      <w:bookmarkEnd w:id="208"/>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spacing w:line="487" w:lineRule="auto" w:before="0"/>
        <w:ind w:left="1134" w:right="8966" w:firstLine="0"/>
        <w:jc w:val="left"/>
        <w:rPr>
          <w:rFonts w:ascii="宋体" w:hAnsi="宋体" w:cs="宋体" w:eastAsia="宋体" w:hint="default"/>
          <w:sz w:val="21"/>
          <w:szCs w:val="21"/>
        </w:rPr>
      </w:pPr>
      <w:bookmarkStart w:name="30、其他" w:id="209"/>
      <w:bookmarkEnd w:id="209"/>
      <w:r>
        <w:rPr/>
      </w: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六、税项" w:id="210"/>
      <w:bookmarkEnd w:id="210"/>
      <w:r>
        <w:rPr>
          <w:rFonts w:ascii="宋体" w:hAnsi="宋体" w:cs="宋体" w:eastAsia="宋体" w:hint="default"/>
          <w:b/>
          <w:bCs/>
          <w:w w:val="99"/>
          <w:sz w:val="21"/>
          <w:szCs w:val="21"/>
        </w:rPr>
      </w:r>
      <w:r>
        <w:rPr>
          <w:rFonts w:ascii="宋体" w:hAnsi="宋体" w:cs="宋体" w:eastAsia="宋体" w:hint="default"/>
          <w:b/>
          <w:bCs/>
          <w:sz w:val="24"/>
          <w:szCs w:val="24"/>
        </w:rPr>
        <w:t>六、税项</w:t>
      </w:r>
      <w:r>
        <w:rPr>
          <w:rFonts w:ascii="宋体" w:hAnsi="宋体" w:cs="宋体" w:eastAsia="宋体" w:hint="default"/>
          <w:b/>
          <w:bCs/>
          <w:spacing w:val="1"/>
          <w:w w:val="99"/>
          <w:sz w:val="24"/>
          <w:szCs w:val="24"/>
        </w:rPr>
        <w:t> </w:t>
      </w:r>
      <w:bookmarkStart w:name="1、主要税种及税率" w:id="211"/>
      <w:bookmarkEnd w:id="211"/>
      <w:r>
        <w:rPr>
          <w:rFonts w:ascii="宋体" w:hAnsi="宋体" w:cs="宋体" w:eastAsia="宋体" w:hint="default"/>
          <w:b/>
          <w:bCs/>
          <w:spacing w:val="1"/>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140" w:type="dxa"/>
        <w:tblLayout w:type="fixed"/>
        <w:tblCellMar>
          <w:top w:w="0" w:type="dxa"/>
          <w:left w:w="0" w:type="dxa"/>
          <w:bottom w:w="0" w:type="dxa"/>
          <w:right w:w="0" w:type="dxa"/>
        </w:tblCellMar>
        <w:tblLook w:val="01E0"/>
      </w:tblPr>
      <w:tblGrid>
        <w:gridCol w:w="3178"/>
        <w:gridCol w:w="3190"/>
        <w:gridCol w:w="3179"/>
      </w:tblGrid>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78"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产品销售收入、现代服务业收入</w:t>
            </w:r>
          </w:p>
        </w:tc>
        <w:tc>
          <w:tcPr>
            <w:tcW w:w="31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402" w:hRule="exact"/>
        </w:trPr>
        <w:tc>
          <w:tcPr>
            <w:tcW w:w="3178"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0"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79"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2" w:hRule="exact"/>
        </w:trPr>
        <w:tc>
          <w:tcPr>
            <w:tcW w:w="3178"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79"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2" w:hRule="exact"/>
        </w:trPr>
        <w:tc>
          <w:tcPr>
            <w:tcW w:w="3178"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应纳增值税</w:t>
            </w:r>
          </w:p>
        </w:tc>
        <w:tc>
          <w:tcPr>
            <w:tcW w:w="31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178"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应纳增值税</w:t>
            </w:r>
          </w:p>
        </w:tc>
        <w:tc>
          <w:tcPr>
            <w:tcW w:w="31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应纳增值税</w:t>
            </w:r>
          </w:p>
        </w:tc>
        <w:tc>
          <w:tcPr>
            <w:tcW w:w="31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河道管理费用</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应纳增值税</w:t>
            </w:r>
          </w:p>
        </w:tc>
        <w:tc>
          <w:tcPr>
            <w:tcW w:w="31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价格调节基金</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产品销售收入、现代服务业收入</w:t>
            </w:r>
          </w:p>
        </w:tc>
        <w:tc>
          <w:tcPr>
            <w:tcW w:w="31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0.07%</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房产原值的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p>
        </w:tc>
        <w:tc>
          <w:tcPr>
            <w:tcW w:w="31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1.2%</w:t>
            </w:r>
          </w:p>
        </w:tc>
      </w:tr>
    </w:tbl>
    <w:p>
      <w:pPr>
        <w:pStyle w:val="BodyText"/>
        <w:spacing w:line="240" w:lineRule="auto" w:before="51"/>
        <w:ind w:left="1134" w:right="0"/>
        <w:jc w:val="left"/>
      </w:pPr>
      <w:r>
        <w:rPr/>
        <w:t>存在不同企业所得税税率纳税主体的，披露情况说明</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高伟达软件股份有限公司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上海高伟达计算机系统工程有限公司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江苏高伟达信息技术有限公司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bl>
    <w:p>
      <w:pPr>
        <w:spacing w:line="240" w:lineRule="auto" w:before="3"/>
        <w:rPr>
          <w:rFonts w:ascii="宋体" w:hAnsi="宋体" w:cs="宋体" w:eastAsia="宋体" w:hint="default"/>
          <w:sz w:val="19"/>
          <w:szCs w:val="19"/>
        </w:rPr>
      </w:pPr>
    </w:p>
    <w:p>
      <w:pPr>
        <w:pStyle w:val="Heading4"/>
        <w:spacing w:line="240" w:lineRule="auto" w:before="35"/>
        <w:ind w:left="1134" w:right="0"/>
        <w:jc w:val="left"/>
        <w:rPr>
          <w:b w:val="0"/>
          <w:bCs w:val="0"/>
        </w:rPr>
      </w:pPr>
      <w:bookmarkStart w:name="2、税收优惠" w:id="212"/>
      <w:bookmarkEnd w:id="212"/>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54" w:right="0"/>
        <w:jc w:val="left"/>
      </w:pPr>
      <w:r>
        <w:rPr/>
        <w:t>所得税：</w:t>
      </w:r>
    </w:p>
    <w:p>
      <w:pPr>
        <w:pStyle w:val="BodyText"/>
        <w:spacing w:line="300" w:lineRule="auto" w:before="115"/>
        <w:ind w:right="1131" w:firstLine="420"/>
        <w:jc w:val="both"/>
      </w:pPr>
      <w:r>
        <w:rPr>
          <w:rFonts w:ascii="Times New Roman" w:hAnsi="Times New Roman" w:cs="Times New Roman" w:eastAsia="Times New Roman" w:hint="default"/>
        </w:rPr>
        <w:t>1</w:t>
      </w:r>
      <w:r>
        <w:rPr/>
        <w:t>）根据《高新技术企业认定管理办法》（国科发火</w:t>
      </w:r>
      <w:r>
        <w:rPr>
          <w:rFonts w:ascii="Times New Roman" w:hAnsi="Times New Roman" w:cs="Times New Roman" w:eastAsia="Times New Roman" w:hint="default"/>
        </w:rPr>
        <w:t>[2008]172</w:t>
      </w:r>
      <w:r>
        <w:rPr>
          <w:rFonts w:ascii="Times New Roman" w:hAnsi="Times New Roman" w:cs="Times New Roman" w:eastAsia="Times New Roman" w:hint="default"/>
          <w:spacing w:val="2"/>
        </w:rPr>
        <w:t> </w:t>
      </w:r>
      <w:r>
        <w:rPr/>
        <w:t>号）的规定，本公司于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30</w:t>
      </w:r>
      <w:r>
        <w:rPr/>
        <w:t>日通过了高新技术 企业资格复审，取得了</w:t>
      </w:r>
      <w:r>
        <w:rPr>
          <w:rFonts w:ascii="Times New Roman" w:hAnsi="Times New Roman" w:cs="Times New Roman" w:eastAsia="Times New Roman" w:hint="default"/>
        </w:rPr>
        <w:t>GR201411001902</w:t>
      </w:r>
      <w:r>
        <w:rPr/>
        <w:t>号《高新技术企业证书》，有效期三年，</w:t>
      </w:r>
      <w:r>
        <w:rPr>
          <w:rFonts w:ascii="Times New Roman" w:hAnsi="Times New Roman" w:cs="Times New Roman" w:eastAsia="Times New Roman" w:hint="default"/>
        </w:rPr>
        <w:t>2014</w:t>
      </w:r>
      <w:r>
        <w:rPr/>
        <w:t>年至</w:t>
      </w:r>
      <w:r>
        <w:rPr>
          <w:rFonts w:ascii="Times New Roman" w:hAnsi="Times New Roman" w:cs="Times New Roman" w:eastAsia="Times New Roman" w:hint="default"/>
        </w:rPr>
        <w:t>2016</w:t>
      </w:r>
      <w:r>
        <w:rPr/>
        <w:t>年企业所得税的适用税率为</w:t>
      </w:r>
      <w:r>
        <w:rPr>
          <w:spacing w:val="-68"/>
        </w:rPr>
        <w:t> </w:t>
      </w:r>
      <w:r>
        <w:rPr>
          <w:spacing w:val="-68"/>
        </w:rPr>
      </w:r>
      <w:r>
        <w:rPr>
          <w:rFonts w:ascii="Times New Roman" w:hAnsi="Times New Roman" w:cs="Times New Roman" w:eastAsia="Times New Roman" w:hint="default"/>
        </w:rPr>
        <w:t>15%</w:t>
      </w:r>
      <w:r>
        <w:rPr/>
        <w:t>。</w:t>
      </w:r>
    </w:p>
    <w:p>
      <w:pPr>
        <w:pStyle w:val="BodyText"/>
        <w:spacing w:line="240" w:lineRule="auto" w:before="52"/>
        <w:ind w:left="1493" w:right="0"/>
        <w:jc w:val="left"/>
      </w:pPr>
      <w:r>
        <w:rPr>
          <w:rFonts w:ascii="Times New Roman" w:hAnsi="Times New Roman" w:cs="Times New Roman" w:eastAsia="Times New Roman" w:hint="default"/>
        </w:rPr>
        <w:t>2</w:t>
      </w:r>
      <w:r>
        <w:rPr/>
        <w:t>）本公司全资子公司上海高伟达计算机系统工程有限公司于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30</w:t>
      </w:r>
      <w:r>
        <w:rPr/>
        <w:t>日通过了高新技术企业资格复审，取得了</w:t>
      </w:r>
    </w:p>
    <w:p>
      <w:pPr>
        <w:spacing w:after="0" w:line="240" w:lineRule="auto"/>
        <w:jc w:val="left"/>
        <w:sectPr>
          <w:pgSz w:w="11910" w:h="16840"/>
          <w:pgMar w:header="877" w:footer="1187" w:top="1060" w:bottom="1380" w:left="0" w:right="0"/>
        </w:sectPr>
      </w:pPr>
    </w:p>
    <w:p>
      <w:pPr>
        <w:spacing w:line="240" w:lineRule="auto" w:before="12"/>
        <w:rPr>
          <w:rFonts w:ascii="宋体" w:hAnsi="宋体" w:cs="宋体" w:eastAsia="宋体" w:hint="default"/>
          <w:sz w:val="25"/>
          <w:szCs w:val="25"/>
        </w:rPr>
      </w:pPr>
    </w:p>
    <w:p>
      <w:pPr>
        <w:pStyle w:val="BodyText"/>
        <w:spacing w:line="300" w:lineRule="auto" w:before="44"/>
        <w:ind w:left="1493" w:right="0" w:hanging="360"/>
        <w:jc w:val="left"/>
      </w:pPr>
      <w:r>
        <w:rPr>
          <w:rFonts w:ascii="Times New Roman" w:hAnsi="Times New Roman" w:cs="Times New Roman" w:eastAsia="Times New Roman" w:hint="default"/>
        </w:rPr>
        <w:t>GR201531000765</w:t>
      </w:r>
      <w:r>
        <w:rPr/>
        <w:t>号《高新技术企业证书》，有效期三年，</w:t>
      </w:r>
      <w:r>
        <w:rPr>
          <w:rFonts w:ascii="Times New Roman" w:hAnsi="Times New Roman" w:cs="Times New Roman" w:eastAsia="Times New Roman" w:hint="default"/>
        </w:rPr>
        <w:t>2015</w:t>
      </w:r>
      <w:r>
        <w:rPr/>
        <w:t>年至</w:t>
      </w:r>
      <w:r>
        <w:rPr>
          <w:rFonts w:ascii="Times New Roman" w:hAnsi="Times New Roman" w:cs="Times New Roman" w:eastAsia="Times New Roman" w:hint="default"/>
        </w:rPr>
        <w:t>2017</w:t>
      </w:r>
      <w:r>
        <w:rPr/>
        <w:t>年企业所得税的适用税率为</w:t>
      </w:r>
      <w:r>
        <w:rPr>
          <w:rFonts w:ascii="Times New Roman" w:hAnsi="Times New Roman" w:cs="Times New Roman" w:eastAsia="Times New Roman" w:hint="default"/>
        </w:rPr>
        <w:t>15%</w:t>
      </w:r>
      <w:r>
        <w:rPr/>
        <w:t>。</w:t>
      </w:r>
      <w:r>
        <w:rPr>
          <w:w w:val="99"/>
        </w:rPr>
        <w:t> </w:t>
      </w:r>
      <w:r>
        <w:rPr>
          <w:rFonts w:ascii="Times New Roman" w:hAnsi="Times New Roman" w:cs="Times New Roman" w:eastAsia="Times New Roman" w:hint="default"/>
          <w:spacing w:val="-2"/>
        </w:rPr>
        <w:t>3</w:t>
      </w:r>
      <w:r>
        <w:rPr>
          <w:spacing w:val="-2"/>
        </w:rPr>
        <w:t>）本公司全资子公司江苏高伟达信息技术有限公司于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30</w:t>
      </w:r>
      <w:r>
        <w:rPr>
          <w:spacing w:val="-2"/>
        </w:rPr>
        <w:t>日取得了江苏省科学技术厅、江苏省财政厅、江苏省</w:t>
      </w:r>
    </w:p>
    <w:p>
      <w:pPr>
        <w:pStyle w:val="BodyText"/>
        <w:spacing w:line="300" w:lineRule="auto" w:before="13"/>
        <w:ind w:right="1143"/>
        <w:jc w:val="left"/>
      </w:pPr>
      <w:r>
        <w:rPr/>
        <w:t>国家税务局、江苏省地方税务局联合颁发的</w:t>
      </w:r>
      <w:r>
        <w:rPr>
          <w:rFonts w:ascii="Times New Roman" w:hAnsi="Times New Roman" w:cs="Times New Roman" w:eastAsia="Times New Roman" w:hint="default"/>
        </w:rPr>
        <w:t>GR201432000316</w:t>
      </w:r>
      <w:r>
        <w:rPr/>
        <w:t>号《高新技术企业证书》，有效期三年，</w:t>
      </w:r>
      <w:r>
        <w:rPr>
          <w:rFonts w:ascii="Times New Roman" w:hAnsi="Times New Roman" w:cs="Times New Roman" w:eastAsia="Times New Roman" w:hint="default"/>
        </w:rPr>
        <w:t>2014</w:t>
      </w:r>
      <w:r>
        <w:rPr/>
        <w:t>年至</w:t>
      </w:r>
      <w:r>
        <w:rPr>
          <w:rFonts w:ascii="Times New Roman" w:hAnsi="Times New Roman" w:cs="Times New Roman" w:eastAsia="Times New Roman" w:hint="default"/>
        </w:rPr>
        <w:t>2016</w:t>
      </w:r>
      <w:r>
        <w:rPr/>
        <w:t>年企业 所得税的适用税率为</w:t>
      </w:r>
      <w:r>
        <w:rPr>
          <w:rFonts w:ascii="Times New Roman" w:hAnsi="Times New Roman" w:cs="Times New Roman" w:eastAsia="Times New Roman" w:hint="default"/>
        </w:rPr>
        <w:t>15%</w:t>
      </w:r>
      <w:r>
        <w:rPr/>
        <w:t>。</w:t>
      </w:r>
    </w:p>
    <w:p>
      <w:pPr>
        <w:pStyle w:val="BodyText"/>
        <w:spacing w:line="240" w:lineRule="auto" w:before="13"/>
        <w:ind w:left="1494" w:right="0"/>
        <w:jc w:val="left"/>
      </w:pPr>
      <w:r>
        <w:rPr/>
        <w:t>增值税：</w:t>
      </w:r>
    </w:p>
    <w:p>
      <w:pPr>
        <w:spacing w:line="240" w:lineRule="auto" w:before="0"/>
        <w:rPr>
          <w:rFonts w:ascii="宋体" w:hAnsi="宋体" w:cs="宋体" w:eastAsia="宋体" w:hint="default"/>
          <w:sz w:val="15"/>
          <w:szCs w:val="15"/>
        </w:rPr>
      </w:pPr>
    </w:p>
    <w:p>
      <w:pPr>
        <w:pStyle w:val="BodyText"/>
        <w:spacing w:line="300" w:lineRule="auto"/>
        <w:ind w:right="1132" w:firstLine="360"/>
        <w:jc w:val="both"/>
      </w:pPr>
      <w:r>
        <w:rPr>
          <w:rFonts w:ascii="Times New Roman" w:hAnsi="Times New Roman" w:cs="Times New Roman" w:eastAsia="Times New Roman" w:hint="default"/>
          <w:spacing w:val="-1"/>
        </w:rPr>
        <w:t>1</w:t>
      </w:r>
      <w:r>
        <w:rPr>
          <w:spacing w:val="-1"/>
        </w:rPr>
        <w:t>）根据财政部、国家税务总局《关于软件产品增值税政策的通知》（财税</w:t>
      </w:r>
      <w:r>
        <w:rPr>
          <w:rFonts w:ascii="Times New Roman" w:hAnsi="Times New Roman" w:cs="Times New Roman" w:eastAsia="Times New Roman" w:hint="default"/>
          <w:spacing w:val="-1"/>
        </w:rPr>
        <w:t>[2011]100</w:t>
      </w:r>
      <w:r>
        <w:rPr>
          <w:spacing w:val="-1"/>
        </w:rPr>
        <w:t>号）规定，本公司及本公司全资子</w:t>
      </w:r>
      <w:r>
        <w:rPr/>
        <w:t> 公司上海高伟达计算机系统工程有限公司自行开发生产的软件产品收入享受增值税</w:t>
      </w:r>
      <w:r>
        <w:rPr>
          <w:rFonts w:ascii="Times New Roman" w:hAnsi="Times New Roman" w:cs="Times New Roman" w:eastAsia="Times New Roman" w:hint="default"/>
        </w:rPr>
        <w:t>“</w:t>
      </w:r>
      <w:r>
        <w:rPr/>
        <w:t>即征即退</w:t>
      </w:r>
      <w:r>
        <w:rPr>
          <w:rFonts w:ascii="Times New Roman" w:hAnsi="Times New Roman" w:cs="Times New Roman" w:eastAsia="Times New Roman" w:hint="default"/>
        </w:rPr>
        <w:t>”</w:t>
      </w:r>
      <w:r>
        <w:rPr/>
        <w:t>优惠，对实际税负超过</w:t>
      </w:r>
      <w:r>
        <w:rPr>
          <w:rFonts w:ascii="Times New Roman" w:hAnsi="Times New Roman" w:cs="Times New Roman" w:eastAsia="Times New Roman" w:hint="default"/>
        </w:rPr>
        <w:t>3%</w:t>
      </w:r>
      <w:r>
        <w:rPr/>
        <w:t>的</w:t>
      </w:r>
      <w:r>
        <w:rPr>
          <w:spacing w:val="-39"/>
        </w:rPr>
        <w:t> </w:t>
      </w:r>
      <w:r>
        <w:rPr/>
        <w:t>部分实行即征即退。</w:t>
      </w:r>
    </w:p>
    <w:p>
      <w:pPr>
        <w:pStyle w:val="BodyText"/>
        <w:spacing w:line="300" w:lineRule="auto" w:before="150"/>
        <w:ind w:right="1131" w:firstLine="360"/>
        <w:jc w:val="both"/>
      </w:pPr>
      <w:r>
        <w:rPr>
          <w:rFonts w:ascii="Times New Roman" w:hAnsi="Times New Roman" w:cs="Times New Roman" w:eastAsia="Times New Roman" w:hint="default"/>
          <w:spacing w:val="3"/>
        </w:rPr>
        <w:t>2</w:t>
      </w:r>
      <w:r>
        <w:rPr>
          <w:spacing w:val="3"/>
        </w:rPr>
        <w:t>）财政部、国家税务总局《关于在上海市开展交通运输业和部分现代服务业营业税改征增值税试点的通知》（财税</w:t>
      </w:r>
      <w:r>
        <w:rPr/>
        <w:t> </w:t>
      </w:r>
      <w:r>
        <w:rPr>
          <w:rFonts w:ascii="Times New Roman" w:hAnsi="Times New Roman" w:cs="Times New Roman" w:eastAsia="Times New Roman" w:hint="default"/>
        </w:rPr>
        <w:t>[2011]111</w:t>
      </w:r>
      <w:r>
        <w:rPr/>
        <w:t>号）（</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w:t>
      </w:r>
      <w:r>
        <w:rPr/>
        <w:t>日起废止）、《关于在全国开展交通运输业和部分现代服务业营业税改征增值税试点税收政策</w:t>
      </w:r>
      <w:r>
        <w:rPr>
          <w:spacing w:val="-36"/>
        </w:rPr>
        <w:t> </w:t>
      </w:r>
      <w:r>
        <w:rPr>
          <w:spacing w:val="-36"/>
        </w:rPr>
      </w:r>
      <w:r>
        <w:rPr>
          <w:spacing w:val="-4"/>
        </w:rPr>
        <w:t>的通知》（财税</w:t>
      </w:r>
      <w:r>
        <w:rPr>
          <w:rFonts w:ascii="Times New Roman" w:hAnsi="Times New Roman" w:cs="Times New Roman" w:eastAsia="Times New Roman" w:hint="default"/>
          <w:spacing w:val="-4"/>
        </w:rPr>
        <w:t>[2013]37</w:t>
      </w:r>
      <w:r>
        <w:rPr>
          <w:spacing w:val="-4"/>
        </w:rPr>
        <w:t>号）（</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1</w:t>
      </w:r>
      <w:r>
        <w:rPr>
          <w:spacing w:val="-4"/>
        </w:rPr>
        <w:t>日起废止）、《关于将铁路运输和邮政业纳入营业税改征增值税试点的通知》（财</w:t>
      </w:r>
      <w:r>
        <w:rPr>
          <w:spacing w:val="-48"/>
        </w:rPr>
        <w:t> </w:t>
      </w:r>
      <w:r>
        <w:rPr>
          <w:spacing w:val="-48"/>
        </w:rPr>
      </w:r>
      <w:r>
        <w:rPr/>
        <w:t>税</w:t>
      </w:r>
      <w:r>
        <w:rPr>
          <w:rFonts w:ascii="Times New Roman" w:hAnsi="Times New Roman" w:cs="Times New Roman" w:eastAsia="Times New Roman" w:hint="default"/>
        </w:rPr>
        <w:t>[2013]106</w:t>
      </w:r>
      <w:r>
        <w:rPr/>
        <w:t>号）（自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日起执行）等文件规定，自</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日起，本公司全资子公司上海高伟达计算机系统工</w:t>
      </w:r>
      <w:r>
        <w:rPr>
          <w:spacing w:val="-34"/>
        </w:rPr>
        <w:t> </w:t>
      </w:r>
      <w:r>
        <w:rPr>
          <w:spacing w:val="-34"/>
        </w:rPr>
      </w:r>
      <w:r>
        <w:rPr/>
        <w:t>程有限公司提供技术转让、技术开发和与之相关的技术咨询、技术服务取得的收入，免征增值税。</w:t>
      </w:r>
    </w:p>
    <w:p>
      <w:pPr>
        <w:pStyle w:val="BodyText"/>
        <w:spacing w:line="240" w:lineRule="auto" w:before="70"/>
        <w:ind w:left="1494" w:right="0"/>
        <w:jc w:val="left"/>
      </w:pPr>
      <w:r>
        <w:rPr>
          <w:rFonts w:ascii="Times New Roman" w:hAnsi="Times New Roman" w:cs="Times New Roman" w:eastAsia="Times New Roman" w:hint="default"/>
        </w:rPr>
        <w:t>3</w:t>
      </w:r>
      <w:r>
        <w:rPr/>
        <w:t>）根据财政部、国家税务总局《关于在北京等</w:t>
      </w:r>
      <w:r>
        <w:rPr>
          <w:rFonts w:ascii="Times New Roman" w:hAnsi="Times New Roman" w:cs="Times New Roman" w:eastAsia="Times New Roman" w:hint="default"/>
        </w:rPr>
        <w:t>8</w:t>
      </w:r>
      <w:r>
        <w:rPr/>
        <w:t>省市开展交通运输业和部分现代服务业营业税改征增值税试点的通知》</w:t>
      </w:r>
    </w:p>
    <w:p>
      <w:pPr>
        <w:pStyle w:val="BodyText"/>
        <w:spacing w:line="300" w:lineRule="auto" w:before="63"/>
        <w:ind w:left="1134" w:right="1036"/>
        <w:jc w:val="left"/>
      </w:pPr>
      <w:r>
        <w:rPr/>
        <w:t>（财税</w:t>
      </w:r>
      <w:r>
        <w:rPr>
          <w:rFonts w:ascii="Times New Roman" w:hAnsi="Times New Roman" w:cs="Times New Roman" w:eastAsia="Times New Roman" w:hint="default"/>
        </w:rPr>
        <w:t>[2012]71</w:t>
      </w:r>
      <w:r>
        <w:rPr/>
        <w:t>号）（</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w:t>
      </w:r>
      <w:r>
        <w:rPr/>
        <w:t>日起废止）、《关于在全国开展交通运输业和部分现代服务业营业税改征增值税试点税收 </w:t>
      </w:r>
      <w:r>
        <w:rPr>
          <w:spacing w:val="-2"/>
        </w:rPr>
        <w:t>政策的通知》（财税</w:t>
      </w:r>
      <w:r>
        <w:rPr>
          <w:rFonts w:ascii="Times New Roman" w:hAnsi="Times New Roman" w:cs="Times New Roman" w:eastAsia="Times New Roman" w:hint="default"/>
          <w:spacing w:val="-2"/>
        </w:rPr>
        <w:t>[2013]37</w:t>
      </w:r>
      <w:r>
        <w:rPr>
          <w:spacing w:val="-2"/>
        </w:rPr>
        <w:t>号）（</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日起废止）、《关于将铁路运输和邮政业纳入营业税改征增值税试点的通知》</w:t>
      </w:r>
    </w:p>
    <w:p>
      <w:pPr>
        <w:pStyle w:val="BodyText"/>
        <w:spacing w:line="300" w:lineRule="auto" w:before="13"/>
        <w:ind w:right="0"/>
        <w:jc w:val="left"/>
      </w:pPr>
      <w:r>
        <w:rPr/>
        <w:t>（财税</w:t>
      </w:r>
      <w:r>
        <w:rPr>
          <w:rFonts w:ascii="Times New Roman" w:hAnsi="Times New Roman" w:cs="Times New Roman" w:eastAsia="Times New Roman" w:hint="default"/>
        </w:rPr>
        <w:t>[2013]106</w:t>
      </w:r>
      <w:r>
        <w:rPr/>
        <w:t>号）（自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日起执行）等文件规定，本公司自</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w:t>
      </w:r>
      <w:r>
        <w:rPr/>
        <w:t>日起、本公司之全资子公司江苏高伟达 </w:t>
      </w:r>
      <w:r>
        <w:rPr>
          <w:spacing w:val="-2"/>
        </w:rPr>
        <w:t>信息技术有限公司自</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w:t>
      </w:r>
      <w:r>
        <w:rPr>
          <w:spacing w:val="-2"/>
        </w:rPr>
        <w:t>日起提供技术转让、技术开发和与之相关的技术咨询、技术服务取得的收入，免征增值税。</w:t>
      </w:r>
    </w:p>
    <w:p>
      <w:pPr>
        <w:spacing w:line="240" w:lineRule="auto" w:before="1"/>
        <w:rPr>
          <w:rFonts w:ascii="宋体" w:hAnsi="宋体" w:cs="宋体" w:eastAsia="宋体" w:hint="default"/>
          <w:sz w:val="22"/>
          <w:szCs w:val="22"/>
        </w:rPr>
      </w:pPr>
    </w:p>
    <w:p>
      <w:pPr>
        <w:spacing w:line="487" w:lineRule="auto" w:before="0"/>
        <w:ind w:left="1133" w:right="7693" w:firstLine="0"/>
        <w:jc w:val="left"/>
        <w:rPr>
          <w:rFonts w:ascii="宋体" w:hAnsi="宋体" w:cs="宋体" w:eastAsia="宋体" w:hint="default"/>
          <w:sz w:val="21"/>
          <w:szCs w:val="21"/>
        </w:rPr>
      </w:pPr>
      <w:bookmarkStart w:name="3、其他" w:id="213"/>
      <w:bookmarkEnd w:id="213"/>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七、合并财务报表项目注释" w:id="214"/>
      <w:bookmarkEnd w:id="214"/>
      <w:r>
        <w:rPr>
          <w:rFonts w:ascii="宋体" w:hAnsi="宋体" w:cs="宋体" w:eastAsia="宋体" w:hint="default"/>
          <w:b/>
          <w:bCs/>
          <w:spacing w:val="1"/>
          <w:w w:val="99"/>
          <w:sz w:val="21"/>
          <w:szCs w:val="21"/>
        </w:rPr>
      </w:r>
      <w:r>
        <w:rPr>
          <w:rFonts w:ascii="宋体" w:hAnsi="宋体" w:cs="宋体" w:eastAsia="宋体" w:hint="default"/>
          <w:b/>
          <w:bCs/>
          <w:w w:val="95"/>
          <w:sz w:val="24"/>
          <w:szCs w:val="24"/>
        </w:rPr>
        <w:t>七、合并财务报表项目注释</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货币资金" w:id="215"/>
      <w:bookmarkEnd w:id="215"/>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9"/>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335,639.77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306,308.48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404,621,671.65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216,650,951.60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6,372,461.06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5,110,451.80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411,329,772.48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222,067,711.88</w:t>
            </w:r>
          </w:p>
        </w:tc>
      </w:tr>
    </w:tbl>
    <w:p>
      <w:pPr>
        <w:pStyle w:val="BodyText"/>
        <w:spacing w:line="240" w:lineRule="auto" w:before="51"/>
        <w:ind w:left="1134" w:right="0"/>
        <w:jc w:val="left"/>
      </w:pPr>
      <w:r>
        <w:rPr/>
        <w:t>其他说明</w:t>
      </w:r>
    </w:p>
    <w:p>
      <w:pPr>
        <w:spacing w:line="240" w:lineRule="auto" w:before="6"/>
        <w:rPr>
          <w:rFonts w:ascii="宋体" w:hAnsi="宋体" w:cs="宋体" w:eastAsia="宋体" w:hint="default"/>
          <w:sz w:val="12"/>
          <w:szCs w:val="12"/>
        </w:rPr>
      </w:pPr>
    </w:p>
    <w:p>
      <w:pPr>
        <w:pStyle w:val="Heading3"/>
        <w:spacing w:line="240" w:lineRule="auto"/>
        <w:ind w:right="0" w:firstLine="0"/>
        <w:jc w:val="left"/>
      </w:pPr>
      <w:r>
        <w:rPr>
          <w:rFonts w:ascii="宋体" w:hAnsi="宋体" w:cs="宋体" w:eastAsia="宋体" w:hint="default"/>
        </w:rPr>
        <w:t>1.</w:t>
      </w:r>
      <w:r>
        <w:rPr>
          <w:rFonts w:ascii="宋体" w:hAnsi="宋体" w:cs="宋体" w:eastAsia="宋体" w:hint="default"/>
          <w:spacing w:val="16"/>
        </w:rPr>
        <w:t> </w:t>
      </w:r>
      <w:r>
        <w:rPr/>
        <w:t>年末其他货币资金中</w:t>
      </w:r>
      <w:r>
        <w:rPr>
          <w:rFonts w:ascii="Times New Roman" w:hAnsi="Times New Roman" w:cs="Times New Roman" w:eastAsia="Times New Roman" w:hint="default"/>
        </w:rPr>
        <w:t>6,190,061.06</w:t>
      </w:r>
      <w:r>
        <w:rPr/>
        <w:t>元系存放在银行用于开具银行保函之保证金；</w:t>
      </w:r>
    </w:p>
    <w:p>
      <w:pPr>
        <w:pStyle w:val="Heading3"/>
        <w:spacing w:line="244" w:lineRule="auto" w:before="127"/>
        <w:ind w:left="1493" w:right="1120" w:hanging="360"/>
        <w:jc w:val="left"/>
      </w:pPr>
      <w:r>
        <w:rPr>
          <w:rFonts w:ascii="宋体" w:hAnsi="宋体" w:cs="宋体" w:eastAsia="宋体" w:hint="default"/>
        </w:rPr>
        <w:t>2.</w:t>
      </w:r>
      <w:r>
        <w:rPr>
          <w:rFonts w:ascii="宋体" w:hAnsi="宋体" w:cs="宋体" w:eastAsia="宋体" w:hint="default"/>
          <w:spacing w:val="-47"/>
        </w:rPr>
        <w:t> </w:t>
      </w:r>
      <w:r>
        <w:rPr/>
        <w:t>年末其他货币资金中</w:t>
      </w:r>
      <w:r>
        <w:rPr>
          <w:rFonts w:ascii="Times New Roman" w:hAnsi="Times New Roman" w:cs="Times New Roman" w:eastAsia="Times New Roman" w:hint="default"/>
        </w:rPr>
        <w:t>182,400.00</w:t>
      </w:r>
      <w:r>
        <w:rPr/>
        <w:t>元系南通建行南通市人社局社会保障卡项目设备（第二批）项目款</w:t>
      </w:r>
      <w:r>
        <w:rPr>
          <w:w w:val="99"/>
        </w:rPr>
        <w:t> </w:t>
      </w:r>
      <w:r>
        <w:rPr/>
        <w:t>项，款项账户为本公司与中国建设银行股份有限公司南通分行双方共管账户，由双方监管使用；</w:t>
      </w:r>
    </w:p>
    <w:p>
      <w:pPr>
        <w:pStyle w:val="Heading3"/>
        <w:spacing w:line="240" w:lineRule="auto" w:before="139"/>
        <w:ind w:right="0" w:firstLine="0"/>
        <w:jc w:val="left"/>
      </w:pPr>
      <w:r>
        <w:rPr>
          <w:rFonts w:ascii="宋体" w:hAnsi="宋体" w:cs="宋体" w:eastAsia="宋体" w:hint="default"/>
        </w:rPr>
        <w:t>3.</w:t>
      </w:r>
      <w:r>
        <w:rPr>
          <w:rFonts w:ascii="宋体" w:hAnsi="宋体" w:cs="宋体" w:eastAsia="宋体" w:hint="default"/>
          <w:spacing w:val="17"/>
        </w:rPr>
        <w:t> </w:t>
      </w:r>
      <w:r>
        <w:rPr/>
        <w:t>除其他货币资金外，本公司无使用范围受到限制的货币资金。</w:t>
      </w:r>
    </w:p>
    <w:p>
      <w:pPr>
        <w:spacing w:line="240" w:lineRule="auto" w:before="7"/>
        <w:rPr>
          <w:rFonts w:ascii="宋体" w:hAnsi="宋体" w:cs="宋体" w:eastAsia="宋体" w:hint="default"/>
          <w:sz w:val="25"/>
          <w:szCs w:val="25"/>
        </w:rPr>
      </w:pPr>
    </w:p>
    <w:p>
      <w:pPr>
        <w:pStyle w:val="Heading4"/>
        <w:spacing w:line="240" w:lineRule="auto"/>
        <w:ind w:right="0"/>
        <w:jc w:val="left"/>
        <w:rPr>
          <w:b w:val="0"/>
          <w:bCs w:val="0"/>
        </w:rPr>
      </w:pPr>
      <w:bookmarkStart w:name="2、以公允价值计量且其变动计入当期损益的金融资产" w:id="216"/>
      <w:bookmarkEnd w:id="216"/>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after="0" w:line="240" w:lineRule="auto"/>
        <w:jc w:val="right"/>
        <w:sectPr>
          <w:footerReference w:type="default" r:id="rId16"/>
          <w:pgSz w:w="11910" w:h="16840"/>
          <w:pgMar w:footer="1187" w:header="877" w:top="1060" w:bottom="138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衍生金融资产" w:id="217"/>
      <w:bookmarkEnd w:id="217"/>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4、应收票据" w:id="218"/>
      <w:bookmarkEnd w:id="218"/>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应收票据分类列示" w:id="219"/>
      <w:bookmarkEnd w:id="219"/>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期末公司已质押的应收票据" w:id="220"/>
      <w:bookmarkEnd w:id="220"/>
      <w:r>
        <w:rPr>
          <w:b w:val="0"/>
          <w:bCs w:val="0"/>
        </w:rPr>
      </w: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3"/>
        <w:rPr>
          <w:rFonts w:ascii="宋体" w:hAnsi="宋体" w:cs="宋体" w:eastAsia="宋体" w:hint="default"/>
          <w:sz w:val="19"/>
          <w:szCs w:val="19"/>
        </w:rPr>
      </w:pPr>
    </w:p>
    <w:p>
      <w:pPr>
        <w:pStyle w:val="Heading4"/>
        <w:spacing w:line="240" w:lineRule="auto" w:before="35"/>
        <w:ind w:left="1134" w:right="0"/>
        <w:jc w:val="left"/>
        <w:rPr>
          <w:b w:val="0"/>
          <w:bCs w:val="0"/>
        </w:rPr>
      </w:pPr>
      <w:bookmarkStart w:name="（3）期末公司已背书或贴现且在资产负债表日尚未到期的应收票据" w:id="221"/>
      <w:bookmarkEnd w:id="221"/>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4）期末公司因出票人未履约而将其转应收账款的票据" w:id="222"/>
      <w:bookmarkEnd w:id="222"/>
      <w:r>
        <w:rPr>
          <w:b w:val="0"/>
          <w:bCs w:val="0"/>
        </w:rPr>
      </w: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5、应收账款" w:id="223"/>
      <w:bookmarkEnd w:id="223"/>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0"/>
        <w:jc w:val="left"/>
        <w:rPr>
          <w:b w:val="0"/>
          <w:bCs w:val="0"/>
        </w:rPr>
      </w:pPr>
      <w:bookmarkStart w:name="（1）应收账款分类披露" w:id="224"/>
      <w:bookmarkEnd w:id="224"/>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bl>
    <w:p>
      <w:pPr>
        <w:spacing w:after="0"/>
        <w:sectPr>
          <w:footerReference w:type="default" r:id="rId17"/>
          <w:pgSz w:w="11910" w:h="16840"/>
          <w:pgMar w:footer="1187" w:header="877" w:top="1060" w:bottom="138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297,873,</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316.79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22,440,1</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07.69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275,433,2</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09.10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278,075</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,257.05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14,586,41</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8.63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263,488,83</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8.42</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297,873,</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316.79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22,440,1</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07.69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275,433,2</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09.10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278,075</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,257.05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14,586,41</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8.63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263,488,83</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8.42</w:t>
            </w:r>
          </w:p>
        </w:tc>
      </w:tr>
    </w:tbl>
    <w:p>
      <w:pPr>
        <w:spacing w:after="0" w:line="240" w:lineRule="auto"/>
        <w:jc w:val="left"/>
        <w:rPr>
          <w:rFonts w:ascii="Times New Roman" w:hAnsi="Times New Roman" w:cs="Times New Roman" w:eastAsia="Times New Roman" w:hint="default"/>
          <w:sz w:val="18"/>
          <w:szCs w:val="18"/>
        </w:rPr>
        <w:sectPr>
          <w:footerReference w:type="default" r:id="rId18"/>
          <w:pgSz w:w="11910" w:h="16840"/>
          <w:pgMar w:footer="1187" w:header="877" w:top="1060" w:bottom="1380" w:left="0" w:right="0"/>
          <w:pgNumType w:start="101"/>
        </w:sectPr>
      </w:pPr>
    </w:p>
    <w:p>
      <w:pPr>
        <w:pStyle w:val="BodyText"/>
        <w:spacing w:line="240" w:lineRule="auto" w:before="51"/>
        <w:ind w:left="1134" w:right="-20"/>
        <w:jc w:val="left"/>
      </w:pPr>
      <w:r>
        <w:rPr/>
        <w:t>期末单项金额重大并单项计提坏账准备的应收账款：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580" w:bottom="840" w:left="0" w:right="0"/>
          <w:cols w:num="2" w:equalWidth="0">
            <w:col w:w="5275" w:space="3555"/>
            <w:col w:w="3080"/>
          </w:cols>
        </w:sectPr>
      </w:pP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381"/>
        <w:gridCol w:w="2393"/>
        <w:gridCol w:w="2392"/>
        <w:gridCol w:w="2392"/>
      </w:tblGrid>
      <w:tr>
        <w:trPr>
          <w:trHeight w:val="206" w:hRule="exact"/>
        </w:trPr>
        <w:tc>
          <w:tcPr>
            <w:tcW w:w="2381"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3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381"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228,703,188.67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6,861,095.66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29,890,693.70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2,989,069.37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38,127,845.37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11,438,353.61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1,151,589.05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1,151,589.05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297,873,316.79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22,440,107.69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BodyText"/>
        <w:spacing w:line="357" w:lineRule="auto" w:before="51"/>
        <w:ind w:left="1134" w:right="6432"/>
        <w:jc w:val="left"/>
      </w:pPr>
      <w:r>
        <w:rPr/>
        <w:t>确定该组合依据的说明： 组合中，采用余额百分比法计提坏账准备的应收账款：</w:t>
      </w:r>
    </w:p>
    <w:p>
      <w:pPr>
        <w:pStyle w:val="BodyText"/>
        <w:spacing w:line="338" w:lineRule="auto" w:before="29"/>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bookmarkStart w:name="（2）本期计提、收回或转回的坏账准备情况" w:id="225"/>
      <w:bookmarkEnd w:id="225"/>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580" w:bottom="840" w:left="0" w:right="0"/>
        </w:sectPr>
      </w:pPr>
    </w:p>
    <w:p>
      <w:pPr>
        <w:pStyle w:val="BodyText"/>
        <w:spacing w:line="338" w:lineRule="auto" w:before="44"/>
        <w:ind w:right="-12"/>
        <w:jc w:val="left"/>
      </w:pPr>
      <w:r>
        <w:rPr/>
        <w:t>本期计提坏账准备金额</w:t>
      </w:r>
      <w:r>
        <w:rPr>
          <w:spacing w:val="-47"/>
        </w:rPr>
        <w:t> </w:t>
      </w:r>
      <w:r>
        <w:rPr>
          <w:rFonts w:ascii="Times New Roman" w:hAnsi="Times New Roman" w:cs="Times New Roman" w:eastAsia="Times New Roman" w:hint="default"/>
        </w:rPr>
        <w:t>7,853,689.06</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580" w:bottom="840" w:left="0" w:right="0"/>
          <w:cols w:num="2" w:equalWidth="0">
            <w:col w:w="7434" w:space="1395"/>
            <w:col w:w="3081"/>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3）本期实际核销的应收账款情况" w:id="226"/>
      <w:bookmarkEnd w:id="226"/>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left="1134" w:right="0"/>
        <w:jc w:val="left"/>
      </w:pPr>
      <w:r>
        <w:rPr/>
        <w:t>其中重要的应收账款核销情况：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after="0" w:line="319" w:lineRule="auto"/>
        <w:jc w:val="left"/>
        <w:rPr>
          <w:rFonts w:ascii="宋体" w:hAnsi="宋体" w:cs="宋体" w:eastAsia="宋体" w:hint="default"/>
          <w:sz w:val="18"/>
          <w:szCs w:val="18"/>
        </w:rPr>
        <w:sectPr>
          <w:type w:val="continuous"/>
          <w:pgSz w:w="11910" w:h="16840"/>
          <w:pgMar w:top="1580" w:bottom="84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应收账款核销说明：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4）按欠款方归集的期末余额前五名的应收账款情况" w:id="227"/>
      <w:bookmarkEnd w:id="227"/>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021" w:type="dxa"/>
        <w:tblLayout w:type="fixed"/>
        <w:tblCellMar>
          <w:top w:w="0" w:type="dxa"/>
          <w:left w:w="0" w:type="dxa"/>
          <w:bottom w:w="0" w:type="dxa"/>
          <w:right w:w="0" w:type="dxa"/>
        </w:tblCellMar>
        <w:tblLook w:val="01E0"/>
      </w:tblPr>
      <w:tblGrid>
        <w:gridCol w:w="2393"/>
        <w:gridCol w:w="2051"/>
        <w:gridCol w:w="1513"/>
        <w:gridCol w:w="1737"/>
        <w:gridCol w:w="1970"/>
      </w:tblGrid>
      <w:tr>
        <w:trPr>
          <w:trHeight w:val="94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619" w:right="0"/>
              <w:jc w:val="left"/>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 w:right="0"/>
              <w:jc w:val="center"/>
              <w:rPr>
                <w:rFonts w:ascii="宋体" w:hAnsi="宋体" w:cs="宋体" w:eastAsia="宋体" w:hint="default"/>
                <w:sz w:val="20"/>
                <w:szCs w:val="20"/>
              </w:rPr>
            </w:pPr>
            <w:r>
              <w:rPr>
                <w:rFonts w:ascii="宋体" w:hAnsi="宋体" w:cs="宋体" w:eastAsia="宋体" w:hint="default"/>
                <w:b/>
                <w:bCs/>
                <w:sz w:val="20"/>
                <w:szCs w:val="20"/>
              </w:rPr>
              <w:t>账龄</w:t>
            </w:r>
            <w:r>
              <w:rPr>
                <w:rFonts w:ascii="宋体" w:hAnsi="宋体" w:cs="宋体" w:eastAsia="宋体" w:hint="default"/>
                <w:sz w:val="20"/>
                <w:szCs w:val="20"/>
              </w:rPr>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60" w:right="159"/>
              <w:jc w:val="center"/>
              <w:rPr>
                <w:rFonts w:ascii="Times New Roman" w:hAnsi="Times New Roman" w:cs="Times New Roman" w:eastAsia="Times New Roman" w:hint="default"/>
                <w:sz w:val="20"/>
                <w:szCs w:val="20"/>
              </w:rPr>
            </w:pPr>
            <w:r>
              <w:rPr>
                <w:rFonts w:ascii="宋体" w:hAnsi="宋体" w:cs="宋体" w:eastAsia="宋体" w:hint="default"/>
                <w:b/>
                <w:bCs/>
                <w:sz w:val="20"/>
                <w:szCs w:val="20"/>
              </w:rPr>
              <w:t>占应收账款年末</w:t>
            </w:r>
            <w:r>
              <w:rPr>
                <w:rFonts w:ascii="宋体" w:hAnsi="宋体" w:cs="宋体" w:eastAsia="宋体" w:hint="default"/>
                <w:b/>
                <w:bCs/>
                <w:w w:val="99"/>
                <w:sz w:val="20"/>
                <w:szCs w:val="20"/>
              </w:rPr>
              <w:t> </w:t>
            </w:r>
            <w:r>
              <w:rPr>
                <w:rFonts w:ascii="宋体" w:hAnsi="宋体" w:cs="宋体" w:eastAsia="宋体" w:hint="default"/>
                <w:b/>
                <w:bCs/>
                <w:sz w:val="20"/>
                <w:szCs w:val="20"/>
              </w:rPr>
              <w:t>余额合计数的比</w:t>
            </w:r>
            <w:r>
              <w:rPr>
                <w:rFonts w:ascii="宋体" w:hAnsi="宋体" w:cs="宋体" w:eastAsia="宋体" w:hint="default"/>
                <w:b/>
                <w:bCs/>
                <w:w w:val="99"/>
                <w:sz w:val="20"/>
                <w:szCs w:val="20"/>
              </w:rPr>
              <w:t> </w:t>
            </w:r>
            <w:r>
              <w:rPr>
                <w:rFonts w:ascii="宋体" w:hAnsi="宋体" w:cs="宋体" w:eastAsia="宋体" w:hint="default"/>
                <w:b/>
                <w:bCs/>
                <w:sz w:val="20"/>
                <w:szCs w:val="20"/>
              </w:rPr>
              <w:t>例</w:t>
            </w:r>
            <w:r>
              <w:rPr>
                <w:rFonts w:ascii="Times New Roman" w:hAnsi="Times New Roman" w:cs="Times New Roman" w:eastAsia="Times New Roman" w:hint="default"/>
                <w:b/>
                <w:bCs/>
                <w:sz w:val="20"/>
                <w:szCs w:val="20"/>
              </w:rPr>
              <w:t>(%)</w:t>
            </w:r>
            <w:r>
              <w:rPr>
                <w:rFonts w:ascii="Times New Roman" w:hAnsi="Times New Roman" w:cs="Times New Roman" w:eastAsia="Times New Roman" w:hint="default"/>
                <w:sz w:val="20"/>
                <w:szCs w:val="20"/>
              </w:rPr>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51"/>
              <w:ind w:left="579" w:right="576"/>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b/>
                <w:bCs/>
                <w:w w:val="99"/>
                <w:sz w:val="20"/>
                <w:szCs w:val="20"/>
              </w:rPr>
              <w:t> </w:t>
            </w:r>
            <w:r>
              <w:rPr>
                <w:rFonts w:ascii="宋体" w:hAnsi="宋体" w:cs="宋体" w:eastAsia="宋体" w:hint="default"/>
                <w:b/>
                <w:bCs/>
                <w:sz w:val="20"/>
                <w:szCs w:val="20"/>
              </w:rPr>
              <w:t>年末余额</w:t>
            </w:r>
            <w:r>
              <w:rPr>
                <w:rFonts w:ascii="宋体" w:hAnsi="宋体" w:cs="宋体" w:eastAsia="宋体" w:hint="default"/>
                <w:sz w:val="20"/>
                <w:szCs w:val="20"/>
              </w:rPr>
            </w:r>
          </w:p>
        </w:tc>
      </w:tr>
      <w:tr>
        <w:trPr>
          <w:trHeight w:val="342" w:hRule="exact"/>
        </w:trPr>
        <w:tc>
          <w:tcPr>
            <w:tcW w:w="239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客户</w:t>
            </w:r>
            <w:r>
              <w:rPr>
                <w:rFonts w:ascii="Times New Roman" w:hAnsi="Times New Roman" w:cs="Times New Roman" w:eastAsia="Times New Roman" w:hint="default"/>
                <w:sz w:val="20"/>
                <w:szCs w:val="20"/>
              </w:rPr>
              <w:t>1</w:t>
            </w: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spacing w:val="-1"/>
                <w:sz w:val="20"/>
              </w:rPr>
              <w:t>66,181,084.28</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z w:val="20"/>
              </w:rPr>
              <w:t>22.22</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right"/>
              <w:rPr>
                <w:rFonts w:ascii="Times New Roman" w:hAnsi="Times New Roman" w:cs="Times New Roman" w:eastAsia="Times New Roman" w:hint="default"/>
                <w:sz w:val="20"/>
                <w:szCs w:val="20"/>
              </w:rPr>
            </w:pPr>
            <w:r>
              <w:rPr>
                <w:rFonts w:ascii="Times New Roman"/>
                <w:spacing w:val="-1"/>
                <w:sz w:val="20"/>
              </w:rPr>
              <w:t>1,985,432.53</w:t>
            </w:r>
          </w:p>
        </w:tc>
      </w:tr>
      <w:tr>
        <w:trPr>
          <w:trHeight w:val="342" w:hRule="exact"/>
        </w:trPr>
        <w:tc>
          <w:tcPr>
            <w:tcW w:w="2393" w:type="dxa"/>
            <w:vMerge/>
            <w:tcBorders>
              <w:left w:val="single" w:sz="4" w:space="0" w:color="000000"/>
              <w:right w:val="single" w:sz="4" w:space="0" w:color="000000"/>
            </w:tcBorders>
          </w:tcPr>
          <w:p>
            <w:pP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spacing w:val="-1"/>
                <w:sz w:val="20"/>
              </w:rPr>
              <w:t>4,754,872.02</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1-2</w:t>
            </w:r>
            <w:r>
              <w:rPr>
                <w:rFonts w:ascii="宋体" w:hAnsi="宋体" w:cs="宋体" w:eastAsia="宋体" w:hint="default"/>
                <w:sz w:val="20"/>
                <w:szCs w:val="20"/>
              </w:rPr>
              <w:t>年</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z w:val="20"/>
              </w:rPr>
              <w:t>1.60</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right"/>
              <w:rPr>
                <w:rFonts w:ascii="Times New Roman" w:hAnsi="Times New Roman" w:cs="Times New Roman" w:eastAsia="Times New Roman" w:hint="default"/>
                <w:sz w:val="20"/>
                <w:szCs w:val="20"/>
              </w:rPr>
            </w:pPr>
            <w:r>
              <w:rPr>
                <w:rFonts w:ascii="Times New Roman"/>
                <w:spacing w:val="-1"/>
                <w:sz w:val="20"/>
              </w:rPr>
              <w:t>475,487.20</w:t>
            </w:r>
          </w:p>
        </w:tc>
      </w:tr>
      <w:tr>
        <w:trPr>
          <w:trHeight w:val="342" w:hRule="exact"/>
        </w:trPr>
        <w:tc>
          <w:tcPr>
            <w:tcW w:w="2393" w:type="dxa"/>
            <w:vMerge/>
            <w:tcBorders>
              <w:left w:val="single" w:sz="4" w:space="0" w:color="000000"/>
              <w:bottom w:val="single" w:sz="4" w:space="0" w:color="000000"/>
              <w:right w:val="single" w:sz="4" w:space="0" w:color="000000"/>
            </w:tcBorders>
          </w:tcPr>
          <w:p>
            <w:pP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spacing w:val="-1"/>
                <w:sz w:val="20"/>
              </w:rPr>
              <w:t>7,528,783.04</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2-3</w:t>
            </w:r>
            <w:r>
              <w:rPr>
                <w:rFonts w:ascii="宋体" w:hAnsi="宋体" w:cs="宋体" w:eastAsia="宋体" w:hint="default"/>
                <w:sz w:val="20"/>
                <w:szCs w:val="20"/>
              </w:rPr>
              <w:t>年</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z w:val="20"/>
              </w:rPr>
              <w:t>2.53</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right"/>
              <w:rPr>
                <w:rFonts w:ascii="Times New Roman" w:hAnsi="Times New Roman" w:cs="Times New Roman" w:eastAsia="Times New Roman" w:hint="default"/>
                <w:sz w:val="20"/>
                <w:szCs w:val="20"/>
              </w:rPr>
            </w:pPr>
            <w:r>
              <w:rPr>
                <w:rFonts w:ascii="Times New Roman"/>
                <w:spacing w:val="-1"/>
                <w:sz w:val="20"/>
              </w:rPr>
              <w:t>2,258,634.91</w:t>
            </w:r>
          </w:p>
        </w:tc>
      </w:tr>
      <w:tr>
        <w:trPr>
          <w:trHeight w:val="342" w:hRule="exact"/>
        </w:trPr>
        <w:tc>
          <w:tcPr>
            <w:tcW w:w="239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客户</w:t>
            </w:r>
            <w:r>
              <w:rPr>
                <w:rFonts w:ascii="Times New Roman" w:hAnsi="Times New Roman" w:cs="Times New Roman" w:eastAsia="Times New Roman" w:hint="default"/>
                <w:sz w:val="20"/>
                <w:szCs w:val="20"/>
              </w:rPr>
              <w:t>2</w:t>
            </w: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spacing w:val="-1"/>
                <w:sz w:val="20"/>
              </w:rPr>
              <w:t>37,538,640.56</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z w:val="20"/>
              </w:rPr>
              <w:t>12.60</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right"/>
              <w:rPr>
                <w:rFonts w:ascii="Times New Roman" w:hAnsi="Times New Roman" w:cs="Times New Roman" w:eastAsia="Times New Roman" w:hint="default"/>
                <w:sz w:val="20"/>
                <w:szCs w:val="20"/>
              </w:rPr>
            </w:pPr>
            <w:r>
              <w:rPr>
                <w:rFonts w:ascii="Times New Roman"/>
                <w:spacing w:val="-1"/>
                <w:sz w:val="20"/>
              </w:rPr>
              <w:t>1,126,159.22</w:t>
            </w:r>
          </w:p>
        </w:tc>
      </w:tr>
      <w:tr>
        <w:trPr>
          <w:trHeight w:val="342" w:hRule="exact"/>
        </w:trPr>
        <w:tc>
          <w:tcPr>
            <w:tcW w:w="2393" w:type="dxa"/>
            <w:vMerge/>
            <w:tcBorders>
              <w:left w:val="single" w:sz="4" w:space="0" w:color="000000"/>
              <w:right w:val="single" w:sz="4" w:space="0" w:color="000000"/>
            </w:tcBorders>
          </w:tcPr>
          <w:p>
            <w:pP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spacing w:val="-1"/>
                <w:sz w:val="20"/>
              </w:rPr>
              <w:t>7,395,382.99</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1-2</w:t>
            </w:r>
            <w:r>
              <w:rPr>
                <w:rFonts w:ascii="宋体" w:hAnsi="宋体" w:cs="宋体" w:eastAsia="宋体" w:hint="default"/>
                <w:sz w:val="20"/>
                <w:szCs w:val="20"/>
              </w:rPr>
              <w:t>年</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z w:val="20"/>
              </w:rPr>
              <w:t>2.48</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right"/>
              <w:rPr>
                <w:rFonts w:ascii="Times New Roman" w:hAnsi="Times New Roman" w:cs="Times New Roman" w:eastAsia="Times New Roman" w:hint="default"/>
                <w:sz w:val="20"/>
                <w:szCs w:val="20"/>
              </w:rPr>
            </w:pPr>
            <w:r>
              <w:rPr>
                <w:rFonts w:ascii="Times New Roman"/>
                <w:spacing w:val="-1"/>
                <w:sz w:val="20"/>
              </w:rPr>
              <w:t>739,538.30</w:t>
            </w:r>
          </w:p>
        </w:tc>
      </w:tr>
      <w:tr>
        <w:trPr>
          <w:trHeight w:val="342" w:hRule="exact"/>
        </w:trPr>
        <w:tc>
          <w:tcPr>
            <w:tcW w:w="2393" w:type="dxa"/>
            <w:vMerge/>
            <w:tcBorders>
              <w:left w:val="single" w:sz="4" w:space="0" w:color="000000"/>
              <w:bottom w:val="single" w:sz="4" w:space="0" w:color="000000"/>
              <w:right w:val="single" w:sz="4" w:space="0" w:color="000000"/>
            </w:tcBorders>
          </w:tcPr>
          <w:p>
            <w:pP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spacing w:val="-1"/>
                <w:sz w:val="20"/>
              </w:rPr>
              <w:t>3,067,200.00</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2-3</w:t>
            </w:r>
            <w:r>
              <w:rPr>
                <w:rFonts w:ascii="宋体" w:hAnsi="宋体" w:cs="宋体" w:eastAsia="宋体" w:hint="default"/>
                <w:sz w:val="20"/>
                <w:szCs w:val="20"/>
              </w:rPr>
              <w:t>年</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z w:val="20"/>
              </w:rPr>
              <w:t>1.03</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right"/>
              <w:rPr>
                <w:rFonts w:ascii="Times New Roman" w:hAnsi="Times New Roman" w:cs="Times New Roman" w:eastAsia="Times New Roman" w:hint="default"/>
                <w:sz w:val="20"/>
                <w:szCs w:val="20"/>
              </w:rPr>
            </w:pPr>
            <w:r>
              <w:rPr>
                <w:rFonts w:ascii="Times New Roman"/>
                <w:spacing w:val="-1"/>
                <w:sz w:val="20"/>
              </w:rPr>
              <w:t>920,160.00</w:t>
            </w:r>
          </w:p>
        </w:tc>
      </w:tr>
      <w:tr>
        <w:trPr>
          <w:trHeight w:val="342" w:hRule="exact"/>
        </w:trPr>
        <w:tc>
          <w:tcPr>
            <w:tcW w:w="2393" w:type="dxa"/>
            <w:vMerge w:val="restart"/>
            <w:tcBorders>
              <w:top w:val="single" w:sz="4" w:space="0" w:color="000000"/>
              <w:left w:val="single" w:sz="4" w:space="0" w:color="000000"/>
              <w:right w:val="single" w:sz="4" w:space="0" w:color="000000"/>
            </w:tcBorders>
          </w:tcPr>
          <w:p>
            <w:pPr>
              <w:pStyle w:val="TableParagraph"/>
              <w:spacing w:line="240" w:lineRule="auto" w:before="175"/>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客户</w:t>
            </w:r>
            <w:r>
              <w:rPr>
                <w:rFonts w:ascii="Times New Roman" w:hAnsi="Times New Roman" w:cs="Times New Roman" w:eastAsia="Times New Roman" w:hint="default"/>
                <w:sz w:val="20"/>
                <w:szCs w:val="20"/>
              </w:rPr>
              <w:t>3</w:t>
            </w: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spacing w:val="-1"/>
                <w:sz w:val="20"/>
              </w:rPr>
              <w:t>26,688,439.76</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z w:val="20"/>
              </w:rPr>
              <w:t>8.96</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right"/>
              <w:rPr>
                <w:rFonts w:ascii="Times New Roman" w:hAnsi="Times New Roman" w:cs="Times New Roman" w:eastAsia="Times New Roman" w:hint="default"/>
                <w:sz w:val="20"/>
                <w:szCs w:val="20"/>
              </w:rPr>
            </w:pPr>
            <w:r>
              <w:rPr>
                <w:rFonts w:ascii="Times New Roman"/>
                <w:spacing w:val="-1"/>
                <w:sz w:val="20"/>
              </w:rPr>
              <w:t>800,653.19</w:t>
            </w:r>
          </w:p>
        </w:tc>
      </w:tr>
      <w:tr>
        <w:trPr>
          <w:trHeight w:val="342" w:hRule="exact"/>
        </w:trPr>
        <w:tc>
          <w:tcPr>
            <w:tcW w:w="2393" w:type="dxa"/>
            <w:vMerge/>
            <w:tcBorders>
              <w:left w:val="single" w:sz="4" w:space="0" w:color="000000"/>
              <w:bottom w:val="single" w:sz="4" w:space="0" w:color="000000"/>
              <w:right w:val="single" w:sz="4" w:space="0" w:color="000000"/>
            </w:tcBorders>
          </w:tcPr>
          <w:p>
            <w:pP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spacing w:val="-1"/>
                <w:sz w:val="20"/>
              </w:rPr>
              <w:t>104,130.04</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1-2</w:t>
            </w:r>
            <w:r>
              <w:rPr>
                <w:rFonts w:ascii="宋体" w:hAnsi="宋体" w:cs="宋体" w:eastAsia="宋体" w:hint="default"/>
                <w:sz w:val="20"/>
                <w:szCs w:val="20"/>
              </w:rPr>
              <w:t>年</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z w:val="20"/>
              </w:rPr>
              <w:t>0.03</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spacing w:val="-1"/>
                <w:sz w:val="20"/>
              </w:rPr>
              <w:t>10,413.00</w:t>
            </w:r>
          </w:p>
        </w:tc>
      </w:tr>
      <w:tr>
        <w:trPr>
          <w:trHeight w:val="342" w:hRule="exact"/>
        </w:trPr>
        <w:tc>
          <w:tcPr>
            <w:tcW w:w="239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客户</w:t>
            </w:r>
            <w:r>
              <w:rPr>
                <w:rFonts w:ascii="Times New Roman" w:hAnsi="Times New Roman" w:cs="Times New Roman" w:eastAsia="Times New Roman" w:hint="default"/>
                <w:sz w:val="20"/>
                <w:szCs w:val="20"/>
              </w:rPr>
              <w:t>4</w:t>
            </w: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spacing w:val="-1"/>
                <w:sz w:val="20"/>
              </w:rPr>
              <w:t>488,754.68</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z w:val="20"/>
              </w:rPr>
              <w:t>0.16</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spacing w:val="-1"/>
                <w:sz w:val="20"/>
              </w:rPr>
              <w:t>14,662.64</w:t>
            </w:r>
          </w:p>
        </w:tc>
      </w:tr>
      <w:tr>
        <w:trPr>
          <w:trHeight w:val="342" w:hRule="exact"/>
        </w:trPr>
        <w:tc>
          <w:tcPr>
            <w:tcW w:w="2393" w:type="dxa"/>
            <w:vMerge/>
            <w:tcBorders>
              <w:left w:val="single" w:sz="4" w:space="0" w:color="000000"/>
              <w:right w:val="single" w:sz="4" w:space="0" w:color="000000"/>
            </w:tcBorders>
          </w:tcPr>
          <w:p>
            <w:pP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spacing w:val="-1"/>
                <w:sz w:val="20"/>
              </w:rPr>
              <w:t>251,218.47</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1-2</w:t>
            </w:r>
            <w:r>
              <w:rPr>
                <w:rFonts w:ascii="宋体" w:hAnsi="宋体" w:cs="宋体" w:eastAsia="宋体" w:hint="default"/>
                <w:sz w:val="20"/>
                <w:szCs w:val="20"/>
              </w:rPr>
              <w:t>年</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z w:val="20"/>
              </w:rPr>
              <w:t>0.08</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spacing w:val="-1"/>
                <w:sz w:val="20"/>
              </w:rPr>
              <w:t>25,121.85</w:t>
            </w:r>
          </w:p>
        </w:tc>
      </w:tr>
      <w:tr>
        <w:trPr>
          <w:trHeight w:val="342" w:hRule="exact"/>
        </w:trPr>
        <w:tc>
          <w:tcPr>
            <w:tcW w:w="2393" w:type="dxa"/>
            <w:vMerge/>
            <w:tcBorders>
              <w:left w:val="single" w:sz="4" w:space="0" w:color="000000"/>
              <w:bottom w:val="single" w:sz="4" w:space="0" w:color="000000"/>
              <w:right w:val="single" w:sz="4" w:space="0" w:color="000000"/>
            </w:tcBorders>
          </w:tcPr>
          <w:p>
            <w:pP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spacing w:val="-1"/>
                <w:sz w:val="20"/>
              </w:rPr>
              <w:t>19,414,036.85</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2-3</w:t>
            </w:r>
            <w:r>
              <w:rPr>
                <w:rFonts w:ascii="宋体" w:hAnsi="宋体" w:cs="宋体" w:eastAsia="宋体" w:hint="default"/>
                <w:sz w:val="20"/>
                <w:szCs w:val="20"/>
              </w:rPr>
              <w:t>年</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z w:val="20"/>
              </w:rPr>
              <w:t>6.52</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right"/>
              <w:rPr>
                <w:rFonts w:ascii="Times New Roman" w:hAnsi="Times New Roman" w:cs="Times New Roman" w:eastAsia="Times New Roman" w:hint="default"/>
                <w:sz w:val="20"/>
                <w:szCs w:val="20"/>
              </w:rPr>
            </w:pPr>
            <w:r>
              <w:rPr>
                <w:rFonts w:ascii="Times New Roman"/>
                <w:spacing w:val="-1"/>
                <w:sz w:val="20"/>
              </w:rPr>
              <w:t>5,824,211.06</w:t>
            </w:r>
          </w:p>
        </w:tc>
      </w:tr>
      <w:tr>
        <w:trPr>
          <w:trHeight w:val="342" w:hRule="exact"/>
        </w:trPr>
        <w:tc>
          <w:tcPr>
            <w:tcW w:w="239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31"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客户</w:t>
            </w:r>
            <w:r>
              <w:rPr>
                <w:rFonts w:ascii="Times New Roman" w:hAnsi="Times New Roman" w:cs="Times New Roman" w:eastAsia="Times New Roman" w:hint="default"/>
                <w:sz w:val="20"/>
                <w:szCs w:val="20"/>
              </w:rPr>
              <w:t>5</w:t>
            </w: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spacing w:val="-1"/>
                <w:sz w:val="20"/>
              </w:rPr>
              <w:t>15,180,186.08</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z w:val="20"/>
              </w:rPr>
              <w:t>5.10</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right"/>
              <w:rPr>
                <w:rFonts w:ascii="Times New Roman" w:hAnsi="Times New Roman" w:cs="Times New Roman" w:eastAsia="Times New Roman" w:hint="default"/>
                <w:sz w:val="20"/>
                <w:szCs w:val="20"/>
              </w:rPr>
            </w:pPr>
            <w:r>
              <w:rPr>
                <w:rFonts w:ascii="Times New Roman"/>
                <w:spacing w:val="-1"/>
                <w:sz w:val="20"/>
              </w:rPr>
              <w:t>455,405.58</w:t>
            </w:r>
          </w:p>
        </w:tc>
      </w:tr>
      <w:tr>
        <w:trPr>
          <w:trHeight w:val="342" w:hRule="exact"/>
        </w:trPr>
        <w:tc>
          <w:tcPr>
            <w:tcW w:w="2393" w:type="dxa"/>
            <w:vMerge/>
            <w:tcBorders>
              <w:left w:val="single" w:sz="4" w:space="0" w:color="000000"/>
              <w:right w:val="single" w:sz="4" w:space="0" w:color="000000"/>
            </w:tcBorders>
          </w:tcPr>
          <w:p>
            <w:pP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spacing w:val="-1"/>
                <w:sz w:val="20"/>
              </w:rPr>
              <w:t>1,793,000.00</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1-2</w:t>
            </w:r>
            <w:r>
              <w:rPr>
                <w:rFonts w:ascii="宋体" w:hAnsi="宋体" w:cs="宋体" w:eastAsia="宋体" w:hint="default"/>
                <w:sz w:val="20"/>
                <w:szCs w:val="20"/>
              </w:rPr>
              <w:t>年</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z w:val="20"/>
              </w:rPr>
              <w:t>0.60</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right"/>
              <w:rPr>
                <w:rFonts w:ascii="Times New Roman" w:hAnsi="Times New Roman" w:cs="Times New Roman" w:eastAsia="Times New Roman" w:hint="default"/>
                <w:sz w:val="20"/>
                <w:szCs w:val="20"/>
              </w:rPr>
            </w:pPr>
            <w:r>
              <w:rPr>
                <w:rFonts w:ascii="Times New Roman"/>
                <w:spacing w:val="-1"/>
                <w:sz w:val="20"/>
              </w:rPr>
              <w:t>179,300.00</w:t>
            </w:r>
          </w:p>
        </w:tc>
      </w:tr>
      <w:tr>
        <w:trPr>
          <w:trHeight w:val="342" w:hRule="exact"/>
        </w:trPr>
        <w:tc>
          <w:tcPr>
            <w:tcW w:w="2393" w:type="dxa"/>
            <w:vMerge/>
            <w:tcBorders>
              <w:left w:val="single" w:sz="4" w:space="0" w:color="000000"/>
              <w:bottom w:val="single" w:sz="4" w:space="0" w:color="000000"/>
              <w:right w:val="single" w:sz="4" w:space="0" w:color="000000"/>
            </w:tcBorders>
          </w:tcPr>
          <w:p>
            <w:pP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spacing w:val="-1"/>
                <w:sz w:val="20"/>
              </w:rPr>
              <w:t>1,986,000.00</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2-3</w:t>
            </w:r>
            <w:r>
              <w:rPr>
                <w:rFonts w:ascii="宋体" w:hAnsi="宋体" w:cs="宋体" w:eastAsia="宋体" w:hint="default"/>
                <w:sz w:val="20"/>
                <w:szCs w:val="20"/>
              </w:rPr>
              <w:t>年</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z w:val="20"/>
              </w:rPr>
              <w:t>0.67</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right"/>
              <w:rPr>
                <w:rFonts w:ascii="Times New Roman" w:hAnsi="Times New Roman" w:cs="Times New Roman" w:eastAsia="Times New Roman" w:hint="default"/>
                <w:sz w:val="20"/>
                <w:szCs w:val="20"/>
              </w:rPr>
            </w:pPr>
            <w:r>
              <w:rPr>
                <w:rFonts w:ascii="Times New Roman"/>
                <w:spacing w:val="-1"/>
                <w:sz w:val="20"/>
              </w:rPr>
              <w:t>595,800.00</w:t>
            </w:r>
          </w:p>
        </w:tc>
      </w:tr>
      <w:tr>
        <w:trPr>
          <w:trHeight w:val="342"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right"/>
              <w:rPr>
                <w:rFonts w:ascii="Times New Roman" w:hAnsi="Times New Roman" w:cs="Times New Roman" w:eastAsia="Times New Roman" w:hint="default"/>
                <w:sz w:val="20"/>
                <w:szCs w:val="20"/>
              </w:rPr>
            </w:pPr>
            <w:r>
              <w:rPr>
                <w:rFonts w:ascii="Times New Roman"/>
                <w:b/>
                <w:spacing w:val="-1"/>
                <w:sz w:val="20"/>
              </w:rPr>
              <w:t>192,371,728.77</w:t>
            </w:r>
            <w:r>
              <w:rPr>
                <w:rFonts w:ascii="Times New Roman"/>
                <w:spacing w:val="-1"/>
                <w:sz w:val="20"/>
              </w:rPr>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0"/>
                <w:szCs w:val="20"/>
              </w:rPr>
            </w:pPr>
            <w:r>
              <w:rPr>
                <w:rFonts w:ascii="Times New Roman"/>
                <w:b/>
                <w:sz w:val="20"/>
              </w:rPr>
              <w:t>--</w:t>
            </w:r>
            <w:r>
              <w:rPr>
                <w:rFonts w:ascii="Times New Roman"/>
                <w:sz w:val="20"/>
              </w:rPr>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right"/>
              <w:rPr>
                <w:rFonts w:ascii="Times New Roman" w:hAnsi="Times New Roman" w:cs="Times New Roman" w:eastAsia="Times New Roman" w:hint="default"/>
                <w:sz w:val="20"/>
                <w:szCs w:val="20"/>
              </w:rPr>
            </w:pPr>
            <w:r>
              <w:rPr>
                <w:rFonts w:ascii="Times New Roman"/>
                <w:b/>
                <w:sz w:val="20"/>
              </w:rPr>
              <w:t>64.58</w:t>
            </w:r>
            <w:r>
              <w:rPr>
                <w:rFonts w:ascii="Times New Roman"/>
                <w:sz w:val="20"/>
              </w:rPr>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right"/>
              <w:rPr>
                <w:rFonts w:ascii="Times New Roman" w:hAnsi="Times New Roman" w:cs="Times New Roman" w:eastAsia="Times New Roman" w:hint="default"/>
                <w:sz w:val="20"/>
                <w:szCs w:val="20"/>
              </w:rPr>
            </w:pPr>
            <w:r>
              <w:rPr>
                <w:rFonts w:ascii="Times New Roman"/>
                <w:b/>
                <w:spacing w:val="-1"/>
                <w:sz w:val="20"/>
              </w:rPr>
              <w:t>15,410,979.48</w:t>
            </w:r>
            <w:r>
              <w:rPr>
                <w:rFonts w:ascii="Times New Roman"/>
                <w:spacing w:val="-1"/>
                <w:sz w:val="20"/>
              </w:rPr>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5）因金融资产转移而终止确认的应收账款" w:id="228"/>
      <w:bookmarkEnd w:id="228"/>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6）转移应收账款且继续涉入形成的资产、负债金额" w:id="229"/>
      <w:bookmarkEnd w:id="229"/>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left="1134" w:right="0"/>
        <w:jc w:val="left"/>
        <w:rPr>
          <w:b w:val="0"/>
          <w:bCs w:val="0"/>
        </w:rPr>
      </w:pPr>
      <w:bookmarkStart w:name="6、预付款项" w:id="230"/>
      <w:bookmarkEnd w:id="230"/>
      <w:r>
        <w:rPr>
          <w:b w:val="0"/>
          <w:bCs w:val="0"/>
        </w:rPr>
      </w:r>
      <w:r>
        <w:rPr>
          <w:rFonts w:ascii="Times New Roman" w:hAnsi="Times New Roman" w:cs="Times New Roman" w:eastAsia="Times New Roman" w:hint="default"/>
        </w:rPr>
        <w:t>6</w:t>
      </w:r>
      <w:r>
        <w:rPr/>
        <w:t>、预付款项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1）预付款项按账龄列示" w:id="231"/>
      <w:bookmarkEnd w:id="231"/>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4,099,361.09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12,207,933.32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95.48%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115,465.95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577,737.52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4,214,827.04</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12,785,670.84</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1187" w:top="1060" w:bottom="138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按预付对象归集的期末余额前五名的预付款情况" w:id="232"/>
      <w:bookmarkEnd w:id="232"/>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054"/>
        <w:gridCol w:w="2202"/>
        <w:gridCol w:w="1259"/>
        <w:gridCol w:w="2166"/>
      </w:tblGrid>
      <w:tr>
        <w:trPr>
          <w:trHeight w:val="750" w:hRule="exact"/>
        </w:trPr>
        <w:tc>
          <w:tcPr>
            <w:tcW w:w="4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94" w:right="0"/>
              <w:jc w:val="left"/>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b/>
                <w:bCs/>
                <w:sz w:val="20"/>
                <w:szCs w:val="20"/>
              </w:rPr>
              <w:t>账龄</w:t>
            </w:r>
            <w:r>
              <w:rPr>
                <w:rFonts w:ascii="宋体" w:hAnsi="宋体" w:cs="宋体" w:eastAsia="宋体" w:hint="default"/>
                <w:sz w:val="20"/>
                <w:szCs w:val="20"/>
              </w:rPr>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409" w:right="74" w:hanging="336"/>
              <w:jc w:val="left"/>
              <w:rPr>
                <w:rFonts w:ascii="Times New Roman" w:hAnsi="Times New Roman" w:cs="Times New Roman" w:eastAsia="Times New Roman" w:hint="default"/>
                <w:sz w:val="20"/>
                <w:szCs w:val="20"/>
              </w:rPr>
            </w:pPr>
            <w:r>
              <w:rPr>
                <w:rFonts w:ascii="宋体" w:hAnsi="宋体" w:cs="宋体" w:eastAsia="宋体" w:hint="default"/>
                <w:b/>
                <w:bCs/>
                <w:sz w:val="20"/>
                <w:szCs w:val="20"/>
              </w:rPr>
              <w:t>占预付款项年末余额合</w:t>
            </w:r>
            <w:r>
              <w:rPr>
                <w:rFonts w:ascii="宋体" w:hAnsi="宋体" w:cs="宋体" w:eastAsia="宋体" w:hint="default"/>
                <w:b/>
                <w:bCs/>
                <w:w w:val="99"/>
                <w:sz w:val="20"/>
                <w:szCs w:val="20"/>
              </w:rPr>
              <w:t> </w:t>
            </w:r>
            <w:r>
              <w:rPr>
                <w:rFonts w:ascii="宋体" w:hAnsi="宋体" w:cs="宋体" w:eastAsia="宋体" w:hint="default"/>
                <w:b/>
                <w:bCs/>
                <w:sz w:val="20"/>
                <w:szCs w:val="20"/>
              </w:rPr>
              <w:t>计数的比例</w:t>
            </w:r>
            <w:r>
              <w:rPr>
                <w:rFonts w:ascii="Times New Roman" w:hAnsi="Times New Roman" w:cs="Times New Roman" w:eastAsia="Times New Roman" w:hint="default"/>
                <w:b/>
                <w:bCs/>
                <w:sz w:val="20"/>
                <w:szCs w:val="20"/>
              </w:rPr>
              <w:t>(%)</w:t>
            </w:r>
            <w:r>
              <w:rPr>
                <w:rFonts w:ascii="Times New Roman" w:hAnsi="Times New Roman" w:cs="Times New Roman" w:eastAsia="Times New Roman" w:hint="default"/>
                <w:sz w:val="20"/>
                <w:szCs w:val="20"/>
              </w:rPr>
            </w:r>
          </w:p>
        </w:tc>
      </w:tr>
      <w:tr>
        <w:trPr>
          <w:trHeight w:val="390" w:hRule="exact"/>
        </w:trPr>
        <w:tc>
          <w:tcPr>
            <w:tcW w:w="4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供应商</w:t>
            </w:r>
            <w:r>
              <w:rPr>
                <w:rFonts w:ascii="Times New Roman" w:hAnsi="Times New Roman" w:cs="Times New Roman" w:eastAsia="Times New Roman" w:hint="default"/>
                <w:sz w:val="20"/>
                <w:szCs w:val="20"/>
              </w:rPr>
              <w:t>1</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1,482,600.00</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z w:val="20"/>
              </w:rPr>
              <w:t>35.18</w:t>
            </w:r>
          </w:p>
        </w:tc>
      </w:tr>
      <w:tr>
        <w:trPr>
          <w:trHeight w:val="390" w:hRule="exact"/>
        </w:trPr>
        <w:tc>
          <w:tcPr>
            <w:tcW w:w="4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供应商</w:t>
            </w:r>
            <w:r>
              <w:rPr>
                <w:rFonts w:ascii="Times New Roman" w:hAnsi="Times New Roman" w:cs="Times New Roman" w:eastAsia="Times New Roman" w:hint="default"/>
                <w:sz w:val="20"/>
                <w:szCs w:val="20"/>
              </w:rPr>
              <w:t>2</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1,099,967.28</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z w:val="20"/>
              </w:rPr>
              <w:t>26.10</w:t>
            </w:r>
          </w:p>
        </w:tc>
      </w:tr>
      <w:tr>
        <w:trPr>
          <w:trHeight w:val="373" w:hRule="exact"/>
        </w:trPr>
        <w:tc>
          <w:tcPr>
            <w:tcW w:w="4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供应商</w:t>
            </w:r>
            <w:r>
              <w:rPr>
                <w:rFonts w:ascii="Times New Roman" w:hAnsi="Times New Roman" w:cs="Times New Roman" w:eastAsia="Times New Roman" w:hint="default"/>
                <w:sz w:val="20"/>
                <w:szCs w:val="20"/>
              </w:rPr>
              <w:t>3</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315,620.00</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z w:val="20"/>
              </w:rPr>
              <w:t>7.49</w:t>
            </w:r>
          </w:p>
        </w:tc>
      </w:tr>
      <w:tr>
        <w:trPr>
          <w:trHeight w:val="390" w:hRule="exact"/>
        </w:trPr>
        <w:tc>
          <w:tcPr>
            <w:tcW w:w="4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供应商</w:t>
            </w:r>
            <w:r>
              <w:rPr>
                <w:rFonts w:ascii="Times New Roman" w:hAnsi="Times New Roman" w:cs="Times New Roman" w:eastAsia="Times New Roman" w:hint="default"/>
                <w:sz w:val="20"/>
                <w:szCs w:val="20"/>
              </w:rPr>
              <w:t>4</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285,110.24</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z w:val="20"/>
              </w:rPr>
              <w:t>6.76</w:t>
            </w:r>
          </w:p>
        </w:tc>
      </w:tr>
      <w:tr>
        <w:trPr>
          <w:trHeight w:val="390" w:hRule="exact"/>
        </w:trPr>
        <w:tc>
          <w:tcPr>
            <w:tcW w:w="4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供应商</w:t>
            </w:r>
            <w:r>
              <w:rPr>
                <w:rFonts w:ascii="Times New Roman" w:hAnsi="Times New Roman" w:cs="Times New Roman" w:eastAsia="Times New Roman" w:hint="default"/>
                <w:sz w:val="20"/>
                <w:szCs w:val="20"/>
              </w:rPr>
              <w:t>5</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232,760.00</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z w:val="20"/>
              </w:rPr>
              <w:t>5.52</w:t>
            </w:r>
          </w:p>
        </w:tc>
      </w:tr>
      <w:tr>
        <w:trPr>
          <w:trHeight w:val="373" w:hRule="exact"/>
        </w:trPr>
        <w:tc>
          <w:tcPr>
            <w:tcW w:w="4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right"/>
              <w:rPr>
                <w:rFonts w:ascii="Times New Roman" w:hAnsi="Times New Roman" w:cs="Times New Roman" w:eastAsia="Times New Roman" w:hint="default"/>
                <w:sz w:val="20"/>
                <w:szCs w:val="20"/>
              </w:rPr>
            </w:pPr>
            <w:r>
              <w:rPr>
                <w:rFonts w:ascii="Times New Roman"/>
                <w:b/>
                <w:spacing w:val="-1"/>
                <w:sz w:val="20"/>
              </w:rPr>
              <w:t>3,416,057.52</w:t>
            </w:r>
            <w:r>
              <w:rPr>
                <w:rFonts w:ascii="Times New Roman"/>
                <w:spacing w:val="-1"/>
                <w:sz w:val="20"/>
              </w:rPr>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Times New Roman" w:hAnsi="Times New Roman" w:cs="Times New Roman" w:eastAsia="Times New Roman" w:hint="default"/>
                <w:sz w:val="20"/>
                <w:szCs w:val="20"/>
              </w:rPr>
            </w:pPr>
            <w:r>
              <w:rPr>
                <w:rFonts w:ascii="Times New Roman"/>
                <w:b/>
                <w:sz w:val="20"/>
              </w:rPr>
              <w:t>--</w:t>
            </w:r>
            <w:r>
              <w:rPr>
                <w:rFonts w:ascii="Times New Roman"/>
                <w:sz w:val="20"/>
              </w:rPr>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3"/>
              <w:jc w:val="right"/>
              <w:rPr>
                <w:rFonts w:ascii="Times New Roman" w:hAnsi="Times New Roman" w:cs="Times New Roman" w:eastAsia="Times New Roman" w:hint="default"/>
                <w:sz w:val="20"/>
                <w:szCs w:val="20"/>
              </w:rPr>
            </w:pPr>
            <w:r>
              <w:rPr>
                <w:rFonts w:ascii="Times New Roman"/>
                <w:b/>
                <w:sz w:val="20"/>
              </w:rPr>
              <w:t>81.05</w:t>
            </w:r>
            <w:r>
              <w:rPr>
                <w:rFonts w:ascii="Times New Roman"/>
                <w:sz w:val="20"/>
              </w:rPr>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7、应收利息" w:id="233"/>
      <w:bookmarkEnd w:id="233"/>
      <w:r>
        <w:rPr>
          <w:b w:val="0"/>
          <w:bCs w:val="0"/>
        </w:rPr>
      </w:r>
      <w:r>
        <w:rPr>
          <w:rFonts w:ascii="Times New Roman" w:hAnsi="Times New Roman" w:cs="Times New Roman" w:eastAsia="Times New Roman" w:hint="default"/>
        </w:rPr>
        <w:t>7</w:t>
      </w:r>
      <w:r>
        <w:rPr/>
        <w:t>、应收利息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0"/>
        <w:jc w:val="left"/>
        <w:rPr>
          <w:b w:val="0"/>
          <w:bCs w:val="0"/>
        </w:rPr>
      </w:pPr>
      <w:bookmarkStart w:name="（1）应收利息分类" w:id="234"/>
      <w:bookmarkEnd w:id="234"/>
      <w:r>
        <w:rPr>
          <w:b w:val="0"/>
          <w:bCs w:val="0"/>
        </w:rPr>
      </w:r>
      <w:r>
        <w:rPr/>
        <w:t>（</w:t>
      </w:r>
      <w:r>
        <w:rPr>
          <w:rFonts w:ascii="Times New Roman" w:hAnsi="Times New Roman" w:cs="Times New Roman" w:eastAsia="Times New Roman" w:hint="default"/>
        </w:rPr>
        <w:t>1</w:t>
      </w:r>
      <w:r>
        <w:rPr/>
        <w:t>）应收利息分类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3"/>
        <w:gridCol w:w="318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重要逾期利息" w:id="235"/>
      <w:bookmarkEnd w:id="235"/>
      <w:r>
        <w:rPr>
          <w:b w:val="0"/>
          <w:bCs w:val="0"/>
        </w:rPr>
      </w:r>
      <w:r>
        <w:rPr/>
        <w:t>（</w:t>
      </w:r>
      <w:r>
        <w:rPr>
          <w:rFonts w:ascii="Times New Roman" w:hAnsi="Times New Roman" w:cs="Times New Roman" w:eastAsia="Times New Roman" w:hint="default"/>
        </w:rPr>
        <w:t>2</w:t>
      </w:r>
      <w:r>
        <w:rPr/>
        <w:t>）重要逾期利息</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8、应收股利" w:id="236"/>
      <w:bookmarkEnd w:id="236"/>
      <w:r>
        <w:rPr>
          <w:b w:val="0"/>
          <w:bCs w:val="0"/>
        </w:rPr>
      </w:r>
      <w:r>
        <w:rPr>
          <w:rFonts w:ascii="Times New Roman" w:hAnsi="Times New Roman" w:cs="Times New Roman" w:eastAsia="Times New Roman" w:hint="default"/>
        </w:rPr>
        <w:t>8</w:t>
      </w:r>
      <w:r>
        <w:rPr/>
        <w:t>、应收股利</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1）应收股利" w:id="237"/>
      <w:bookmarkEnd w:id="237"/>
      <w:r>
        <w:rPr>
          <w:b w:val="0"/>
          <w:bCs w:val="0"/>
        </w:rPr>
      </w:r>
      <w:r>
        <w:rPr/>
        <w:t>（</w:t>
      </w:r>
      <w:r>
        <w:rPr>
          <w:rFonts w:ascii="Times New Roman" w:hAnsi="Times New Roman" w:cs="Times New Roman" w:eastAsia="Times New Roman" w:hint="default"/>
        </w:rPr>
        <w:t>1</w:t>
      </w:r>
      <w:r>
        <w:rPr/>
        <w:t>）应收股利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7"/>
        <w:gridCol w:w="3203"/>
        <w:gridCol w:w="318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3"/>
        <w:rPr>
          <w:rFonts w:ascii="宋体" w:hAnsi="宋体" w:cs="宋体" w:eastAsia="宋体" w:hint="default"/>
          <w:sz w:val="19"/>
          <w:szCs w:val="19"/>
        </w:rPr>
      </w:pPr>
    </w:p>
    <w:p>
      <w:pPr>
        <w:pStyle w:val="Heading4"/>
        <w:spacing w:line="240" w:lineRule="auto" w:before="35"/>
        <w:ind w:left="1134" w:right="0"/>
        <w:jc w:val="left"/>
        <w:rPr>
          <w:b w:val="0"/>
          <w:bCs w:val="0"/>
        </w:rPr>
      </w:pPr>
      <w:bookmarkStart w:name="（2）重要的账龄超过1年的应收股利" w:id="238"/>
      <w:bookmarkEnd w:id="238"/>
      <w:r>
        <w:rPr>
          <w:b w:val="0"/>
          <w:bCs w:val="0"/>
        </w:rPr>
      </w:r>
      <w:r>
        <w:rPr/>
        <w:t>（</w:t>
      </w:r>
      <w:r>
        <w:rPr>
          <w:rFonts w:ascii="Times New Roman" w:hAnsi="Times New Roman" w:cs="Times New Roman" w:eastAsia="Times New Roman" w:hint="default"/>
        </w:rPr>
        <w:t>2</w:t>
      </w:r>
      <w:r>
        <w:rPr/>
        <w:t>）重要的账龄超过</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877" w:footer="1187" w:top="1060" w:bottom="138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9、其他应收款" w:id="239"/>
      <w:bookmarkEnd w:id="239"/>
      <w:r>
        <w:rPr>
          <w:b w:val="0"/>
          <w:bCs w:val="0"/>
        </w:rPr>
      </w:r>
      <w:r>
        <w:rPr>
          <w:rFonts w:ascii="Times New Roman" w:hAnsi="Times New Roman" w:cs="Times New Roman" w:eastAsia="Times New Roman" w:hint="default"/>
        </w:rPr>
        <w:t>9</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其他应收款分类披露" w:id="240"/>
      <w:bookmarkEnd w:id="240"/>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7,060,30</w:t>
            </w:r>
          </w:p>
          <w:p>
            <w:pPr>
              <w:pStyle w:val="TableParagraph"/>
              <w:spacing w:line="240" w:lineRule="auto" w:before="106"/>
              <w:ind w:left="403" w:right="0"/>
              <w:jc w:val="left"/>
              <w:rPr>
                <w:rFonts w:ascii="Times New Roman" w:hAnsi="Times New Roman" w:cs="Times New Roman" w:eastAsia="Times New Roman" w:hint="default"/>
                <w:sz w:val="18"/>
                <w:szCs w:val="18"/>
              </w:rPr>
            </w:pPr>
            <w:r>
              <w:rPr>
                <w:rFonts w:ascii="Times New Roman"/>
                <w:sz w:val="18"/>
              </w:rPr>
              <w:t>4.14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1,792,44</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1.65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25.39%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5,267,862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.49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13,500,</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946.76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3,842,149</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28.46%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9,658,797.1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r>
      <w:tr>
        <w:trPr>
          <w:trHeight w:val="161"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7,060,30</w:t>
            </w:r>
          </w:p>
          <w:p>
            <w:pPr>
              <w:pStyle w:val="TableParagraph"/>
              <w:spacing w:line="240" w:lineRule="auto" w:before="106"/>
              <w:ind w:left="408" w:right="0"/>
              <w:jc w:val="left"/>
              <w:rPr>
                <w:rFonts w:ascii="Times New Roman" w:hAnsi="Times New Roman" w:cs="Times New Roman" w:eastAsia="Times New Roman" w:hint="default"/>
                <w:sz w:val="18"/>
                <w:szCs w:val="18"/>
              </w:rPr>
            </w:pPr>
            <w:r>
              <w:rPr>
                <w:rFonts w:ascii="Times New Roman"/>
                <w:sz w:val="18"/>
              </w:rPr>
              <w:t>4.14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1,792,44</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1.65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25.39%</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5,267,862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.49</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13,500,</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946.76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3,842,149</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.59</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28.46%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9,658,797.1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r>
      <w:tr>
        <w:trPr>
          <w:trHeight w:val="392"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1187" w:top="1060" w:bottom="1380" w:left="0" w:right="0"/>
        </w:sectPr>
      </w:pPr>
    </w:p>
    <w:p>
      <w:pPr>
        <w:pStyle w:val="BodyText"/>
        <w:spacing w:line="240" w:lineRule="auto" w:before="51"/>
        <w:ind w:left="1134" w:right="-20"/>
        <w:jc w:val="left"/>
      </w:pPr>
      <w:r>
        <w:rPr/>
        <w:t>期末单项金额重大并单项计提坏账准备的其他应收款：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3"/>
        <w:ind w:left="113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580" w:bottom="840" w:left="0" w:right="0"/>
          <w:cols w:num="2" w:equalWidth="0">
            <w:col w:w="5455" w:space="3375"/>
            <w:col w:w="3080"/>
          </w:cols>
        </w:sectPr>
      </w:pP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380"/>
        <w:gridCol w:w="2393"/>
        <w:gridCol w:w="2392"/>
        <w:gridCol w:w="2392"/>
      </w:tblGrid>
      <w:tr>
        <w:trPr>
          <w:trHeight w:val="206" w:hRule="exact"/>
        </w:trPr>
        <w:tc>
          <w:tcPr>
            <w:tcW w:w="2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380"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4,750,200.95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142,506.03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413,772.00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41,377.20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411,103.95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123,331.18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1,485,227.24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1,485,227.24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7,060,304.14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1,792,441.65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BodyText"/>
        <w:spacing w:line="357" w:lineRule="auto" w:before="51"/>
        <w:ind w:left="1134" w:right="6252"/>
        <w:jc w:val="left"/>
      </w:pPr>
      <w:r>
        <w:rPr/>
        <w:t>确定该组合依据的说明： 组合中，采用余额百分比法计提坏账准备的其他应收款：</w:t>
      </w:r>
    </w:p>
    <w:p>
      <w:pPr>
        <w:pStyle w:val="BodyText"/>
        <w:spacing w:line="338" w:lineRule="auto" w:before="29"/>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2"/>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type w:val="continuous"/>
          <w:pgSz w:w="11910" w:h="16840"/>
          <w:pgMar w:top="1580" w:bottom="840" w:left="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2）本期计提、收回或转回的坏账准备情况" w:id="241"/>
      <w:bookmarkEnd w:id="24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1187" w:top="1060" w:bottom="1380" w:left="0" w:right="0"/>
        </w:sectPr>
      </w:pPr>
    </w:p>
    <w:p>
      <w:pPr>
        <w:pStyle w:val="BodyText"/>
        <w:spacing w:line="338" w:lineRule="auto" w:before="44"/>
        <w:ind w:right="-16"/>
        <w:jc w:val="left"/>
      </w:pPr>
      <w:r>
        <w:rPr/>
        <w:t>本期计提坏账准备金额</w:t>
      </w:r>
      <w:r>
        <w:rPr>
          <w:rFonts w:ascii="Times New Roman" w:hAnsi="Times New Roman" w:cs="Times New Roman" w:eastAsia="Times New Roman" w:hint="default"/>
        </w:rPr>
        <w:t>-2,049,707.94</w:t>
      </w:r>
      <w:r>
        <w:rPr>
          <w:rFonts w:ascii="Times New Roman" w:hAnsi="Times New Roman" w:cs="Times New Roman" w:eastAsia="Times New Roman" w:hint="default"/>
          <w:spacing w:val="-4"/>
        </w:rPr>
        <w:t> </w:t>
      </w:r>
      <w:r>
        <w:rPr/>
        <w:t>元；本期收回或转回坏账准备金额元。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580" w:bottom="840" w:left="0" w:right="0"/>
          <w:cols w:num="2" w:equalWidth="0">
            <w:col w:w="7044" w:space="1786"/>
            <w:col w:w="3080"/>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3）本期实际核销的其他应收款情况" w:id="242"/>
      <w:bookmarkEnd w:id="242"/>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left="1134" w:right="0"/>
        <w:jc w:val="left"/>
      </w:pPr>
      <w:r>
        <w:rPr/>
        <w:t>其中重要的其他应收款核销情况：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left="1134" w:right="0"/>
        <w:jc w:val="left"/>
      </w:pPr>
      <w:r>
        <w:rPr/>
        <w:t>其他应收款核销说明：</w:t>
      </w:r>
    </w:p>
    <w:p>
      <w:pPr>
        <w:spacing w:line="240" w:lineRule="auto" w:before="11"/>
        <w:rPr>
          <w:rFonts w:ascii="宋体" w:hAnsi="宋体" w:cs="宋体" w:eastAsia="宋体" w:hint="default"/>
          <w:sz w:val="26"/>
          <w:szCs w:val="26"/>
        </w:rPr>
      </w:pPr>
    </w:p>
    <w:p>
      <w:pPr>
        <w:pStyle w:val="Heading4"/>
        <w:spacing w:line="240" w:lineRule="auto"/>
        <w:ind w:left="1134" w:right="0"/>
        <w:jc w:val="left"/>
        <w:rPr>
          <w:b w:val="0"/>
          <w:bCs w:val="0"/>
        </w:rPr>
      </w:pPr>
      <w:bookmarkStart w:name="（4）其他应收款按款项性质分类情况" w:id="243"/>
      <w:bookmarkEnd w:id="243"/>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2,204,160.00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1,219,000.00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集成履约保证金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977,904.85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1,001,754.85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软件履约保证金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1,503,900.00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1,341,600.00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备用金借款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941,127.16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1,387,412.25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906,570.61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902,511.34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上市中介机构费用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6,662,641.47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质量服务保证金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449,229.00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898,458.00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77,412.52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87,568.85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7,060,304.14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13,500,946.76</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5）按欠款方归集的期末余额前五名的其他应收款情况" w:id="244"/>
      <w:bookmarkEnd w:id="244"/>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0"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7" w:hRule="exact"/>
        </w:trPr>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第一名</w:t>
            </w:r>
          </w:p>
        </w:tc>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4" w:type="dxa"/>
            <w:tcBorders>
              <w:top w:val="single" w:sz="4" w:space="0" w:color="000000"/>
              <w:left w:val="single" w:sz="4" w:space="0" w:color="000000"/>
              <w:bottom w:val="single" w:sz="4" w:space="0" w:color="000000"/>
              <w:right w:val="single" w:sz="9" w:space="0" w:color="C6ECCC"/>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z w:val="18"/>
              </w:rPr>
              <w:t>600,000.00</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8.50%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18,000.00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第二名</w:t>
            </w:r>
          </w:p>
        </w:tc>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投标、履约保证金</w:t>
            </w:r>
          </w:p>
        </w:tc>
        <w:tc>
          <w:tcPr>
            <w:tcW w:w="1594" w:type="dxa"/>
            <w:tcBorders>
              <w:top w:val="single" w:sz="4" w:space="0" w:color="000000"/>
              <w:left w:val="single" w:sz="4" w:space="0" w:color="000000"/>
              <w:bottom w:val="single" w:sz="4" w:space="0" w:color="000000"/>
              <w:right w:val="single" w:sz="9" w:space="0" w:color="C6ECCC"/>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598,000.00</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17,940.00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80" w:bottom="84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95"/>
        <w:gridCol w:w="1594"/>
        <w:gridCol w:w="1606"/>
        <w:gridCol w:w="1582"/>
        <w:gridCol w:w="1596"/>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520"/>
              <w:jc w:val="right"/>
              <w:rPr>
                <w:rFonts w:ascii="宋体" w:hAnsi="宋体" w:cs="宋体" w:eastAsia="宋体" w:hint="default"/>
                <w:sz w:val="18"/>
                <w:szCs w:val="18"/>
              </w:rPr>
            </w:pPr>
            <w:r>
              <w:rPr>
                <w:rFonts w:ascii="宋体" w:hAnsi="宋体" w:cs="宋体" w:eastAsia="宋体" w:hint="default"/>
                <w:sz w:val="18"/>
                <w:szCs w:val="18"/>
              </w:rPr>
              <w:t>第三名</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质量服务保证金</w:t>
            </w:r>
          </w:p>
        </w:tc>
        <w:tc>
          <w:tcPr>
            <w:tcW w:w="1606" w:type="dxa"/>
            <w:tcBorders>
              <w:top w:val="single" w:sz="4" w:space="0" w:color="000000"/>
              <w:left w:val="single" w:sz="4" w:space="0" w:color="000000"/>
              <w:bottom w:val="single" w:sz="4" w:space="0" w:color="000000"/>
              <w:right w:val="single" w:sz="9" w:space="0" w:color="C6ECCC"/>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449,229.00</w:t>
            </w:r>
          </w:p>
        </w:tc>
        <w:tc>
          <w:tcPr>
            <w:tcW w:w="158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9"/>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449,229.00</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520"/>
              <w:jc w:val="right"/>
              <w:rPr>
                <w:rFonts w:ascii="宋体" w:hAnsi="宋体" w:cs="宋体" w:eastAsia="宋体" w:hint="default"/>
                <w:sz w:val="18"/>
                <w:szCs w:val="18"/>
              </w:rPr>
            </w:pPr>
            <w:r>
              <w:rPr>
                <w:rFonts w:ascii="宋体" w:hAnsi="宋体" w:cs="宋体" w:eastAsia="宋体" w:hint="default"/>
                <w:sz w:val="18"/>
                <w:szCs w:val="18"/>
              </w:rPr>
              <w:t>第四名</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投标、履约保证金</w:t>
            </w:r>
          </w:p>
        </w:tc>
        <w:tc>
          <w:tcPr>
            <w:tcW w:w="1606" w:type="dxa"/>
            <w:tcBorders>
              <w:top w:val="single" w:sz="4" w:space="0" w:color="000000"/>
              <w:left w:val="single" w:sz="4" w:space="0" w:color="000000"/>
              <w:bottom w:val="single" w:sz="4" w:space="0" w:color="000000"/>
              <w:right w:val="single" w:sz="9" w:space="0" w:color="C6ECCC"/>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400,000.00</w:t>
            </w:r>
          </w:p>
        </w:tc>
        <w:tc>
          <w:tcPr>
            <w:tcW w:w="158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9"/>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12,000.00</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520"/>
              <w:jc w:val="right"/>
              <w:rPr>
                <w:rFonts w:ascii="宋体" w:hAnsi="宋体" w:cs="宋体" w:eastAsia="宋体" w:hint="default"/>
                <w:sz w:val="18"/>
                <w:szCs w:val="18"/>
              </w:rPr>
            </w:pPr>
            <w:r>
              <w:rPr>
                <w:rFonts w:ascii="宋体" w:hAnsi="宋体" w:cs="宋体" w:eastAsia="宋体" w:hint="default"/>
                <w:sz w:val="18"/>
                <w:szCs w:val="18"/>
              </w:rPr>
              <w:t>第五名</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集成履约保证金</w:t>
            </w:r>
          </w:p>
        </w:tc>
        <w:tc>
          <w:tcPr>
            <w:tcW w:w="1606" w:type="dxa"/>
            <w:tcBorders>
              <w:top w:val="single" w:sz="4" w:space="0" w:color="000000"/>
              <w:left w:val="single" w:sz="4" w:space="0" w:color="000000"/>
              <w:bottom w:val="single" w:sz="4" w:space="0" w:color="000000"/>
              <w:right w:val="single" w:sz="9" w:space="0" w:color="C6ECCC"/>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300,000.00</w:t>
            </w:r>
          </w:p>
        </w:tc>
        <w:tc>
          <w:tcPr>
            <w:tcW w:w="158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9"/>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9,000.00</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2,347,229.00</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9"/>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33.25%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506,169.00</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6）涉及政府补助的应收款项" w:id="245"/>
      <w:bookmarkEnd w:id="245"/>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83" w:right="39"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7）因金融资产转移而终止确认的其他应收款" w:id="246"/>
      <w:bookmarkEnd w:id="246"/>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8）转移其他应收款且继续涉入形成的资产、负债金额" w:id="247"/>
      <w:bookmarkEnd w:id="247"/>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10、存货" w:id="248"/>
      <w:bookmarkEnd w:id="248"/>
      <w:r>
        <w:rPr>
          <w:b w:val="0"/>
          <w:bCs w:val="0"/>
        </w:rPr>
      </w:r>
      <w:r>
        <w:rPr>
          <w:rFonts w:ascii="Times New Roman" w:hAnsi="Times New Roman" w:cs="Times New Roman" w:eastAsia="Times New Roman" w:hint="default"/>
        </w:rPr>
        <w:t>10</w:t>
      </w:r>
      <w:r>
        <w:rPr/>
        <w:t>、存货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1）存货分类" w:id="249"/>
      <w:bookmarkEnd w:id="249"/>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7,145,764.89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7,145,764.89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16,769,455.35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16,769,455.35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系统集成商品</w:t>
            </w:r>
          </w:p>
        </w:tc>
        <w:tc>
          <w:tcPr>
            <w:tcW w:w="1368"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12,472,683.72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12,472,683.72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52,234,957.55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52,234,957.55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19,618,448.61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19,618,448.61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69,004,412.90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69,004,412.90</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存货跌价准备" w:id="250"/>
      <w:bookmarkEnd w:id="250"/>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4"/>
        <w:spacing w:line="240" w:lineRule="auto" w:before="35"/>
        <w:ind w:left="1134" w:right="0"/>
        <w:jc w:val="left"/>
        <w:rPr>
          <w:b w:val="0"/>
          <w:bCs w:val="0"/>
        </w:rPr>
      </w:pPr>
      <w:bookmarkStart w:name="（3）存货期末余额含有借款费用资本化金额的说明" w:id="251"/>
      <w:bookmarkEnd w:id="251"/>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4）期末建造合同形成的已完工未结算资产情况" w:id="252"/>
      <w:bookmarkEnd w:id="252"/>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after="0" w:line="240" w:lineRule="auto"/>
        <w:jc w:val="center"/>
        <w:rPr>
          <w:rFonts w:ascii="宋体" w:hAnsi="宋体" w:cs="宋体" w:eastAsia="宋体" w:hint="default"/>
          <w:sz w:val="18"/>
          <w:szCs w:val="18"/>
        </w:rPr>
        <w:sectPr>
          <w:pgSz w:w="11910" w:h="16840"/>
          <w:pgMar w:header="877" w:footer="1187" w:top="1060" w:bottom="138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11、其他流动资产" w:id="253"/>
      <w:bookmarkEnd w:id="253"/>
      <w:r>
        <w:rPr>
          <w:b w:val="0"/>
          <w:bCs w:val="0"/>
        </w:rPr>
      </w:r>
      <w:r>
        <w:rPr>
          <w:rFonts w:ascii="Times New Roman" w:hAnsi="Times New Roman" w:cs="Times New Roman" w:eastAsia="Times New Roman" w:hint="default"/>
        </w:rPr>
        <w:t>11</w:t>
      </w:r>
      <w:r>
        <w:rPr/>
        <w:t>、其他流动资产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岁月流金</w:t>
            </w:r>
            <w:r>
              <w:rPr>
                <w:rFonts w:ascii="Times New Roman" w:hAnsi="Times New Roman" w:cs="Times New Roman" w:eastAsia="Times New Roman" w:hint="default"/>
                <w:sz w:val="18"/>
                <w:szCs w:val="18"/>
              </w:rPr>
              <w:t>“</w:t>
            </w:r>
            <w:r>
              <w:rPr>
                <w:rFonts w:ascii="宋体" w:hAnsi="宋体" w:cs="宋体" w:eastAsia="宋体" w:hint="default"/>
                <w:sz w:val="18"/>
                <w:szCs w:val="18"/>
              </w:rPr>
              <w:t>黄金周</w:t>
            </w:r>
            <w:r>
              <w:rPr>
                <w:rFonts w:ascii="Times New Roman" w:hAnsi="Times New Roman" w:cs="Times New Roman" w:eastAsia="Times New Roman" w:hint="default"/>
                <w:sz w:val="18"/>
                <w:szCs w:val="18"/>
              </w:rPr>
              <w:t>”</w:t>
            </w:r>
            <w:r>
              <w:rPr>
                <w:rFonts w:ascii="宋体" w:hAnsi="宋体" w:cs="宋体" w:eastAsia="宋体" w:hint="default"/>
                <w:sz w:val="18"/>
                <w:szCs w:val="18"/>
              </w:rPr>
              <w:t>理财计划</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40,000,000.00</w:t>
            </w: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12、可供出售金融资产" w:id="254"/>
      <w:bookmarkEnd w:id="254"/>
      <w:r>
        <w:rPr>
          <w:b w:val="0"/>
          <w:bCs w:val="0"/>
        </w:rPr>
      </w:r>
      <w:r>
        <w:rPr>
          <w:rFonts w:ascii="Times New Roman" w:hAnsi="Times New Roman" w:cs="Times New Roman" w:eastAsia="Times New Roman" w:hint="default"/>
        </w:rPr>
        <w:t>12</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可供出售金融资产情况" w:id="255"/>
      <w:bookmarkEnd w:id="255"/>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001"/>
        <w:gridCol w:w="1195"/>
        <w:gridCol w:w="1196"/>
        <w:gridCol w:w="1196"/>
        <w:gridCol w:w="1248"/>
        <w:gridCol w:w="1367"/>
        <w:gridCol w:w="1367"/>
      </w:tblGrid>
      <w:tr>
        <w:trPr>
          <w:trHeight w:val="205" w:hRule="exact"/>
        </w:trPr>
        <w:tc>
          <w:tcPr>
            <w:tcW w:w="2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2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001"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2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期末按公允价值计量的可供出售金融资产" w:id="256"/>
      <w:bookmarkEnd w:id="256"/>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3）期末按成本计量的可供出售金融资产" w:id="257"/>
      <w:bookmarkEnd w:id="257"/>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68"/>
              <w:jc w:val="righ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68"/>
              <w:jc w:val="righ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68"/>
              <w:jc w:val="righ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650" w:hRule="exact"/>
        </w:trPr>
        <w:tc>
          <w:tcPr>
            <w:tcW w:w="86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兴业数字 金融服务 </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w:t>
            </w:r>
            <w:r>
              <w:rPr>
                <w:rFonts w:ascii="宋体" w:hAnsi="宋体" w:cs="宋体" w:eastAsia="宋体" w:hint="default"/>
                <w:sz w:val="18"/>
                <w:szCs w:val="18"/>
              </w:rPr>
              <w:t>股 份有限公 司</w:t>
            </w:r>
          </w:p>
        </w:tc>
        <w:tc>
          <w:tcPr>
            <w:tcW w:w="870"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10%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7" w:top="1060" w:bottom="1380" w:left="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4）报告期内可供出售金融资产减值的变动情况" w:id="258"/>
      <w:bookmarkEnd w:id="258"/>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2"/>
              <w:ind w:right="1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5）可供出售权益工具期末公允价值严重下跌或非暂时性下跌但未计提减值准备的相关说" w:id="259"/>
      <w:bookmarkEnd w:id="259"/>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08" w:right="48"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pStyle w:val="BodyText"/>
        <w:spacing w:line="240" w:lineRule="auto" w:before="51"/>
        <w:ind w:left="1134" w:right="0"/>
        <w:jc w:val="left"/>
      </w:pPr>
      <w:r>
        <w:rPr/>
        <w:t>其他说明</w:t>
      </w:r>
    </w:p>
    <w:p>
      <w:pPr>
        <w:spacing w:line="240" w:lineRule="auto" w:before="6"/>
        <w:rPr>
          <w:rFonts w:ascii="宋体" w:hAnsi="宋体" w:cs="宋体" w:eastAsia="宋体" w:hint="default"/>
          <w:sz w:val="12"/>
          <w:szCs w:val="12"/>
        </w:rPr>
      </w:pPr>
    </w:p>
    <w:p>
      <w:pPr>
        <w:pStyle w:val="Heading3"/>
        <w:spacing w:line="249" w:lineRule="auto"/>
        <w:ind w:right="1016"/>
        <w:jc w:val="left"/>
      </w:pPr>
      <w:r>
        <w:rPr/>
        <w:t>本公司于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23</w:t>
      </w:r>
      <w:r>
        <w:rPr/>
        <w:t>日召开第二届董事会第十次会议，会议审议通过了《关于使用自有资金对</w:t>
      </w:r>
      <w:r>
        <w:rPr>
          <w:w w:val="99"/>
        </w:rPr>
        <w:t> </w:t>
      </w:r>
      <w:r>
        <w:rPr>
          <w:spacing w:val="-3"/>
        </w:rPr>
        <w:t>外投资设立合资公司的议案》（以下简称</w:t>
      </w:r>
      <w:r>
        <w:rPr>
          <w:rFonts w:ascii="Times New Roman" w:hAnsi="Times New Roman" w:cs="Times New Roman" w:eastAsia="Times New Roman" w:hint="default"/>
          <w:spacing w:val="-3"/>
        </w:rPr>
        <w:t>“</w:t>
      </w:r>
      <w:r>
        <w:rPr>
          <w:spacing w:val="-3"/>
        </w:rPr>
        <w:t>议案</w:t>
      </w:r>
      <w:r>
        <w:rPr>
          <w:rFonts w:ascii="Times New Roman" w:hAnsi="Times New Roman" w:cs="Times New Roman" w:eastAsia="Times New Roman" w:hint="default"/>
          <w:spacing w:val="-3"/>
        </w:rPr>
        <w:t>”</w:t>
      </w:r>
      <w:r>
        <w:rPr>
          <w:spacing w:val="-3"/>
        </w:rPr>
        <w:t>）。根据议案，本公司与兴业财富资产管理有限公司、</w:t>
      </w:r>
      <w:r>
        <w:rPr>
          <w:w w:val="99"/>
        </w:rPr>
        <w:t> </w:t>
      </w:r>
      <w:r>
        <w:rPr/>
        <w:t>上海倍远投资管理中心（有限合伙）、福建新大陆云商股权投资企业（有限合伙）和深圳市金正科技</w:t>
      </w:r>
      <w:r>
        <w:rPr>
          <w:w w:val="99"/>
        </w:rPr>
        <w:t> </w:t>
      </w:r>
      <w:r>
        <w:rPr/>
        <w:t>股份有限公司共同签订了《发起设立兴业数字金融服务（上海）股份有限公司之发起人协议》（以下</w:t>
      </w:r>
      <w:r>
        <w:rPr>
          <w:w w:val="99"/>
        </w:rPr>
        <w:t> </w:t>
      </w:r>
      <w:r>
        <w:rPr/>
        <w:t>简称</w:t>
      </w:r>
      <w:r>
        <w:rPr>
          <w:rFonts w:ascii="Times New Roman" w:hAnsi="Times New Roman" w:cs="Times New Roman" w:eastAsia="Times New Roman" w:hint="default"/>
        </w:rPr>
        <w:t>“</w:t>
      </w:r>
      <w:r>
        <w:rPr/>
        <w:t>协议</w:t>
      </w:r>
      <w:r>
        <w:rPr>
          <w:rFonts w:ascii="Times New Roman" w:hAnsi="Times New Roman" w:cs="Times New Roman" w:eastAsia="Times New Roman" w:hint="default"/>
        </w:rPr>
        <w:t>”</w:t>
      </w:r>
      <w:r>
        <w:rPr/>
        <w:t>），协议约定以上各方共同投资设立一家股份有限公司，即兴业数字金融服务</w:t>
      </w:r>
      <w:r>
        <w:rPr>
          <w:rFonts w:ascii="Times New Roman" w:hAnsi="Times New Roman" w:cs="Times New Roman" w:eastAsia="Times New Roman" w:hint="default"/>
        </w:rPr>
        <w:t>(</w:t>
      </w:r>
      <w:r>
        <w:rPr/>
        <w:t>上海</w:t>
      </w:r>
      <w:r>
        <w:rPr>
          <w:rFonts w:ascii="Times New Roman" w:hAnsi="Times New Roman" w:cs="Times New Roman" w:eastAsia="Times New Roman" w:hint="default"/>
        </w:rPr>
        <w:t>)</w:t>
      </w:r>
      <w:r>
        <w:rPr/>
        <w:t>股份</w:t>
      </w:r>
      <w:r>
        <w:rPr>
          <w:spacing w:val="-76"/>
        </w:rPr>
        <w:t> </w:t>
      </w:r>
      <w:r>
        <w:rPr/>
        <w:t>有限公司（以下简称</w:t>
      </w:r>
      <w:r>
        <w:rPr>
          <w:rFonts w:ascii="Times New Roman" w:hAnsi="Times New Roman" w:cs="Times New Roman" w:eastAsia="Times New Roman" w:hint="default"/>
        </w:rPr>
        <w:t>“</w:t>
      </w:r>
      <w:r>
        <w:rPr/>
        <w:t>兴业数金</w:t>
      </w:r>
      <w:r>
        <w:rPr>
          <w:rFonts w:ascii="Times New Roman" w:hAnsi="Times New Roman" w:cs="Times New Roman" w:eastAsia="Times New Roman" w:hint="default"/>
        </w:rPr>
        <w:t>”</w:t>
      </w:r>
      <w:r>
        <w:rPr/>
        <w:t>），兴业数金注册资本人民币</w:t>
      </w:r>
      <w:r>
        <w:rPr>
          <w:rFonts w:ascii="Times New Roman" w:hAnsi="Times New Roman" w:cs="Times New Roman" w:eastAsia="Times New Roman" w:hint="default"/>
        </w:rPr>
        <w:t>50,000.00</w:t>
      </w:r>
      <w:r>
        <w:rPr/>
        <w:t>万元人民币，其中本公司出资</w:t>
      </w:r>
      <w:r>
        <w:rPr>
          <w:w w:val="99"/>
        </w:rPr>
        <w:t> </w:t>
      </w:r>
      <w:r>
        <w:rPr/>
        <w:t>金额人民币</w:t>
      </w:r>
      <w:r>
        <w:rPr>
          <w:rFonts w:ascii="Times New Roman" w:hAnsi="Times New Roman" w:cs="Times New Roman" w:eastAsia="Times New Roman" w:hint="default"/>
        </w:rPr>
        <w:t>5,000.00</w:t>
      </w:r>
      <w:r>
        <w:rPr/>
        <w:t>万元人民币，持股比例</w:t>
      </w:r>
      <w:r>
        <w:rPr>
          <w:rFonts w:ascii="Times New Roman" w:hAnsi="Times New Roman" w:cs="Times New Roman" w:eastAsia="Times New Roman" w:hint="default"/>
        </w:rPr>
        <w:t>10.00%</w:t>
      </w:r>
      <w:r>
        <w:rPr/>
        <w:t>。</w:t>
      </w:r>
    </w:p>
    <w:p>
      <w:pPr>
        <w:pStyle w:val="Heading3"/>
        <w:spacing w:line="244" w:lineRule="auto" w:before="117"/>
        <w:ind w:right="0"/>
        <w:jc w:val="left"/>
      </w:pP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11</w:t>
      </w:r>
      <w:r>
        <w:rPr>
          <w:spacing w:val="-4"/>
        </w:rPr>
        <w:t>月</w:t>
      </w:r>
      <w:r>
        <w:rPr>
          <w:rFonts w:ascii="Times New Roman" w:hAnsi="Times New Roman" w:cs="Times New Roman" w:eastAsia="Times New Roman" w:hint="default"/>
          <w:spacing w:val="-4"/>
        </w:rPr>
        <w:t>10</w:t>
      </w:r>
      <w:r>
        <w:rPr>
          <w:spacing w:val="-4"/>
        </w:rPr>
        <w:t>日，兴业数金已在上海市工商局完成注册登记并领取了营业执照，</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18</w:t>
      </w:r>
      <w:r>
        <w:rPr>
          <w:spacing w:val="-4"/>
        </w:rPr>
        <w:t>日，</w:t>
      </w:r>
      <w:r>
        <w:rPr>
          <w:spacing w:val="-2"/>
          <w:w w:val="99"/>
        </w:rPr>
        <w:t> </w:t>
      </w:r>
      <w:r>
        <w:rPr/>
        <w:t>本公司缴纳了出资款人民币</w:t>
      </w:r>
      <w:r>
        <w:rPr>
          <w:rFonts w:ascii="Times New Roman" w:hAnsi="Times New Roman" w:cs="Times New Roman" w:eastAsia="Times New Roman" w:hint="default"/>
        </w:rPr>
        <w:t>5,000.00</w:t>
      </w:r>
      <w:r>
        <w:rPr/>
        <w:t>万元人民币。</w:t>
      </w:r>
    </w:p>
    <w:p>
      <w:pPr>
        <w:pStyle w:val="Heading3"/>
        <w:spacing w:line="240" w:lineRule="auto" w:before="123"/>
        <w:ind w:left="1574" w:right="0" w:firstLine="0"/>
        <w:jc w:val="left"/>
      </w:pPr>
      <w:r>
        <w:rPr>
          <w:spacing w:val="2"/>
        </w:rPr>
        <w:t>截至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日，兴业数金资产总额</w:t>
      </w:r>
      <w:r>
        <w:rPr>
          <w:rFonts w:ascii="Times New Roman" w:hAnsi="Times New Roman" w:cs="Times New Roman" w:eastAsia="Times New Roman" w:hint="default"/>
          <w:spacing w:val="2"/>
        </w:rPr>
        <w:t>416,988,201.14</w:t>
      </w:r>
      <w:r>
        <w:rPr>
          <w:spacing w:val="2"/>
        </w:rPr>
        <w:t>元，负债总额</w:t>
      </w:r>
      <w:r>
        <w:rPr>
          <w:rFonts w:ascii="Times New Roman" w:hAnsi="Times New Roman" w:cs="Times New Roman" w:eastAsia="Times New Roman" w:hint="default"/>
          <w:spacing w:val="2"/>
        </w:rPr>
        <w:t>11,988,201.14</w:t>
      </w:r>
      <w:r>
        <w:rPr>
          <w:spacing w:val="2"/>
        </w:rPr>
        <w:t>元，净资产</w:t>
      </w:r>
    </w:p>
    <w:p>
      <w:pPr>
        <w:pStyle w:val="Heading3"/>
        <w:spacing w:line="240" w:lineRule="auto" w:before="7"/>
        <w:ind w:right="0" w:firstLine="0"/>
        <w:jc w:val="left"/>
      </w:pPr>
      <w:r>
        <w:rPr>
          <w:rFonts w:ascii="Times New Roman" w:hAnsi="Times New Roman" w:cs="Times New Roman" w:eastAsia="Times New Roman" w:hint="default"/>
        </w:rPr>
        <w:t>405,000,000.00</w:t>
      </w:r>
      <w:r>
        <w:rPr/>
        <w:t>元，净利润</w:t>
      </w:r>
      <w:r>
        <w:rPr>
          <w:rFonts w:ascii="Times New Roman" w:hAnsi="Times New Roman" w:cs="Times New Roman" w:eastAsia="Times New Roman" w:hint="default"/>
        </w:rPr>
        <w:t>0.00</w:t>
      </w:r>
      <w:r>
        <w:rPr/>
        <w:t>元。（上述数据未经审计）</w:t>
      </w:r>
    </w:p>
    <w:p>
      <w:pPr>
        <w:spacing w:line="240" w:lineRule="auto" w:before="3"/>
        <w:rPr>
          <w:rFonts w:ascii="宋体" w:hAnsi="宋体" w:cs="宋体" w:eastAsia="宋体" w:hint="default"/>
          <w:sz w:val="24"/>
          <w:szCs w:val="24"/>
        </w:rPr>
      </w:pPr>
    </w:p>
    <w:p>
      <w:pPr>
        <w:pStyle w:val="Heading4"/>
        <w:spacing w:line="240" w:lineRule="auto"/>
        <w:ind w:right="0"/>
        <w:jc w:val="left"/>
        <w:rPr>
          <w:b w:val="0"/>
          <w:bCs w:val="0"/>
        </w:rPr>
      </w:pPr>
      <w:bookmarkStart w:name="13、长期应收款" w:id="260"/>
      <w:bookmarkEnd w:id="260"/>
      <w:r>
        <w:rPr>
          <w:b w:val="0"/>
          <w:bCs w:val="0"/>
        </w:rPr>
      </w:r>
      <w:r>
        <w:rPr>
          <w:rFonts w:ascii="Times New Roman" w:hAnsi="Times New Roman" w:cs="Times New Roman" w:eastAsia="Times New Roman" w:hint="default"/>
        </w:rPr>
        <w:t>13</w:t>
      </w:r>
      <w:r>
        <w:rPr/>
        <w:t>、长期应收款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1）长期应收款情况" w:id="261"/>
      <w:bookmarkEnd w:id="261"/>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403"/>
        <w:gridCol w:w="1156"/>
        <w:gridCol w:w="1167"/>
        <w:gridCol w:w="1167"/>
        <w:gridCol w:w="1167"/>
        <w:gridCol w:w="1169"/>
        <w:gridCol w:w="1165"/>
        <w:gridCol w:w="1153"/>
      </w:tblGrid>
      <w:tr>
        <w:trPr>
          <w:trHeight w:val="206" w:hRule="exact"/>
        </w:trPr>
        <w:tc>
          <w:tcPr>
            <w:tcW w:w="1403" w:type="dxa"/>
            <w:tcBorders>
              <w:top w:val="single" w:sz="4" w:space="0" w:color="000000"/>
              <w:left w:val="single" w:sz="4" w:space="0" w:color="000000"/>
              <w:bottom w:val="nil" w:sz="6" w:space="0" w:color="auto"/>
              <w:right w:val="single" w:sz="4" w:space="0" w:color="000000"/>
            </w:tcBorders>
            <w:shd w:val="clear" w:color="auto" w:fill="D2D2D2"/>
          </w:tcPr>
          <w:p>
            <w:pPr/>
          </w:p>
        </w:tc>
        <w:tc>
          <w:tcPr>
            <w:tcW w:w="349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5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4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21"/>
              <w:jc w:val="center"/>
              <w:rPr>
                <w:rFonts w:ascii="宋体" w:hAnsi="宋体" w:cs="宋体" w:eastAsia="宋体" w:hint="default"/>
                <w:sz w:val="18"/>
                <w:szCs w:val="18"/>
              </w:rPr>
            </w:pPr>
            <w:r>
              <w:rPr>
                <w:rFonts w:ascii="宋体" w:hAnsi="宋体" w:cs="宋体" w:eastAsia="宋体" w:hint="default"/>
                <w:sz w:val="18"/>
                <w:szCs w:val="18"/>
              </w:rPr>
              <w:t>项目</w:t>
            </w:r>
          </w:p>
        </w:tc>
        <w:tc>
          <w:tcPr>
            <w:tcW w:w="3490" w:type="dxa"/>
            <w:gridSpan w:val="3"/>
            <w:vMerge/>
            <w:tcBorders>
              <w:left w:val="single" w:sz="4" w:space="0" w:color="000000"/>
              <w:bottom w:val="single" w:sz="4" w:space="0" w:color="000000"/>
              <w:right w:val="single" w:sz="4" w:space="0" w:color="000000"/>
            </w:tcBorders>
            <w:shd w:val="clear" w:color="auto" w:fill="D2D2D2"/>
          </w:tcPr>
          <w:p>
            <w:pPr/>
          </w:p>
        </w:tc>
        <w:tc>
          <w:tcPr>
            <w:tcW w:w="3501" w:type="dxa"/>
            <w:gridSpan w:val="3"/>
            <w:vMerge/>
            <w:tcBorders>
              <w:left w:val="single" w:sz="4" w:space="0" w:color="000000"/>
              <w:bottom w:val="single" w:sz="4" w:space="0" w:color="000000"/>
              <w:right w:val="single" w:sz="4" w:space="0" w:color="000000"/>
            </w:tcBorders>
            <w:shd w:val="clear" w:color="auto" w:fill="D2D2D2"/>
          </w:tcPr>
          <w:p>
            <w:pPr/>
          </w:p>
        </w:tc>
        <w:tc>
          <w:tcPr>
            <w:tcW w:w="11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27"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196" w:hRule="exact"/>
        </w:trPr>
        <w:tc>
          <w:tcPr>
            <w:tcW w:w="1403" w:type="dxa"/>
            <w:vMerge/>
            <w:tcBorders>
              <w:left w:val="single" w:sz="4" w:space="0" w:color="000000"/>
              <w:bottom w:val="nil" w:sz="6" w:space="0" w:color="auto"/>
              <w:right w:val="single" w:sz="4" w:space="0" w:color="000000"/>
            </w:tcBorders>
            <w:shd w:val="clear" w:color="auto" w:fill="D2D2D2"/>
          </w:tcPr>
          <w:p>
            <w:pPr/>
          </w:p>
        </w:tc>
        <w:tc>
          <w:tcPr>
            <w:tcW w:w="11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0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53"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40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56"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9" w:type="dxa"/>
            <w:vMerge/>
            <w:tcBorders>
              <w:left w:val="single" w:sz="4" w:space="0" w:color="000000"/>
              <w:bottom w:val="single" w:sz="4" w:space="0" w:color="000000"/>
              <w:right w:val="single" w:sz="4" w:space="0" w:color="000000"/>
            </w:tcBorders>
            <w:shd w:val="clear" w:color="auto" w:fill="D2D2D2"/>
          </w:tcPr>
          <w:p>
            <w:pPr/>
          </w:p>
        </w:tc>
        <w:tc>
          <w:tcPr>
            <w:tcW w:w="1165" w:type="dxa"/>
            <w:vMerge/>
            <w:tcBorders>
              <w:left w:val="single" w:sz="4" w:space="0" w:color="000000"/>
              <w:bottom w:val="single" w:sz="4" w:space="0" w:color="000000"/>
              <w:right w:val="single" w:sz="4" w:space="0" w:color="000000"/>
            </w:tcBorders>
            <w:shd w:val="clear" w:color="auto" w:fill="D2D2D2"/>
          </w:tcPr>
          <w:p>
            <w:pPr/>
          </w:p>
        </w:tc>
        <w:tc>
          <w:tcPr>
            <w:tcW w:w="115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5"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2"/>
              <w:ind w:right="13"/>
              <w:jc w:val="right"/>
              <w:rPr>
                <w:rFonts w:ascii="Times New Roman" w:hAnsi="Times New Roman" w:cs="Times New Roman" w:eastAsia="Times New Roman" w:hint="default"/>
                <w:sz w:val="18"/>
                <w:szCs w:val="18"/>
              </w:rPr>
            </w:pPr>
            <w:r>
              <w:rPr>
                <w:rFonts w:ascii="Times New Roman"/>
                <w:sz w:val="18"/>
              </w:rPr>
              <w:t>0.00</w:t>
            </w:r>
          </w:p>
        </w:tc>
        <w:tc>
          <w:tcPr>
            <w:tcW w:w="11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因金融资产转移而终止确认的长期应收款" w:id="262"/>
      <w:bookmarkEnd w:id="262"/>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3）转移长期应收款且继续涉入形成的资产、负债金额" w:id="263"/>
      <w:bookmarkEnd w:id="263"/>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14、长期股权投资" w:id="264"/>
      <w:bookmarkEnd w:id="264"/>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877" w:footer="1187" w:top="1060" w:bottom="138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2"/>
              <w:jc w:val="righ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盈行金融 信息技术</w:t>
            </w:r>
          </w:p>
          <w:p>
            <w:pPr>
              <w:pStyle w:val="TableParagraph"/>
              <w:spacing w:line="319" w:lineRule="auto" w:before="19"/>
              <w:ind w:left="22" w:right="41"/>
              <w:jc w:val="left"/>
              <w:rPr>
                <w:rFonts w:ascii="宋体" w:hAnsi="宋体" w:cs="宋体" w:eastAsia="宋体" w:hint="default"/>
                <w:sz w:val="18"/>
                <w:szCs w:val="18"/>
              </w:rPr>
            </w:pPr>
            <w:r>
              <w:rPr>
                <w:rFonts w:ascii="宋体" w:hAnsi="宋体" w:cs="宋体" w:eastAsia="宋体" w:hint="default"/>
                <w:sz w:val="18"/>
                <w:szCs w:val="18"/>
              </w:rPr>
              <w:t>（上海）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19,500,00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19,500,00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61" w:hRule="exact"/>
        </w:trPr>
        <w:tc>
          <w:tcPr>
            <w:tcW w:w="796"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19,500,00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19,500,00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92" w:hRule="exact"/>
        </w:trPr>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vMerge/>
            <w:tcBorders>
              <w:left w:val="single" w:sz="9" w:space="0" w:color="D2D2D2"/>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161" w:hRule="exact"/>
        </w:trPr>
        <w:tc>
          <w:tcPr>
            <w:tcW w:w="796"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9" w:space="0" w:color="D2D2D2"/>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61" w:hRule="exact"/>
        </w:trPr>
        <w:tc>
          <w:tcPr>
            <w:tcW w:w="796"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19,500,00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19,500,00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92" w:hRule="exact"/>
        </w:trPr>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vMerge/>
            <w:tcBorders>
              <w:left w:val="single" w:sz="9" w:space="0" w:color="D2D2D2"/>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161" w:hRule="exact"/>
        </w:trPr>
        <w:tc>
          <w:tcPr>
            <w:tcW w:w="796"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9" w:space="0" w:color="D2D2D2"/>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其他说明</w:t>
      </w:r>
    </w:p>
    <w:p>
      <w:pPr>
        <w:spacing w:line="240" w:lineRule="auto" w:before="6"/>
        <w:rPr>
          <w:rFonts w:ascii="宋体" w:hAnsi="宋体" w:cs="宋体" w:eastAsia="宋体" w:hint="default"/>
          <w:sz w:val="12"/>
          <w:szCs w:val="12"/>
        </w:rPr>
      </w:pPr>
    </w:p>
    <w:p>
      <w:pPr>
        <w:pStyle w:val="Heading3"/>
        <w:spacing w:line="249" w:lineRule="auto"/>
        <w:ind w:right="1131"/>
        <w:jc w:val="both"/>
      </w:pPr>
      <w:r>
        <w:rPr>
          <w:spacing w:val="-1"/>
        </w:rPr>
        <w:t>本公司于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16</w:t>
      </w:r>
      <w:r>
        <w:rPr>
          <w:spacing w:val="-1"/>
        </w:rPr>
        <w:t>日召开第二届董事会第十五次会议，会议审议通过了《关于使用自有资金</w:t>
      </w:r>
      <w:r>
        <w:rPr>
          <w:w w:val="99"/>
        </w:rPr>
        <w:t> </w:t>
      </w:r>
      <w:r>
        <w:rPr>
          <w:spacing w:val="-2"/>
        </w:rPr>
        <w:t>收购盈行金融信息服务（上海）有限公司</w:t>
      </w:r>
      <w:r>
        <w:rPr>
          <w:rFonts w:ascii="Times New Roman" w:hAnsi="Times New Roman" w:cs="Times New Roman" w:eastAsia="Times New Roman" w:hint="default"/>
          <w:spacing w:val="-2"/>
        </w:rPr>
        <w:t>30%</w:t>
      </w:r>
      <w:r>
        <w:rPr>
          <w:spacing w:val="-2"/>
        </w:rPr>
        <w:t>股权的议案</w:t>
      </w:r>
      <w:r>
        <w:rPr>
          <w:rFonts w:ascii="Times New Roman" w:hAnsi="Times New Roman" w:cs="Times New Roman" w:eastAsia="Times New Roman" w:hint="default"/>
          <w:spacing w:val="-2"/>
          <w:position w:val="10"/>
          <w:sz w:val="14"/>
          <w:szCs w:val="14"/>
        </w:rPr>
        <w:t>5</w:t>
      </w:r>
      <w:r>
        <w:rPr>
          <w:spacing w:val="-2"/>
        </w:rPr>
        <w:t>》（以下简称</w:t>
      </w:r>
      <w:r>
        <w:rPr>
          <w:rFonts w:ascii="Times New Roman" w:hAnsi="Times New Roman" w:cs="Times New Roman" w:eastAsia="Times New Roman" w:hint="default"/>
          <w:spacing w:val="-2"/>
        </w:rPr>
        <w:t>“</w:t>
      </w:r>
      <w:r>
        <w:rPr>
          <w:spacing w:val="-2"/>
        </w:rPr>
        <w:t>议案</w:t>
      </w:r>
      <w:r>
        <w:rPr>
          <w:rFonts w:ascii="Times New Roman" w:hAnsi="Times New Roman" w:cs="Times New Roman" w:eastAsia="Times New Roman" w:hint="default"/>
          <w:spacing w:val="-2"/>
        </w:rPr>
        <w:t>”</w:t>
      </w:r>
      <w:r>
        <w:rPr>
          <w:spacing w:val="-2"/>
        </w:rPr>
        <w:t>）。根据议案，本公司</w:t>
      </w:r>
      <w:r>
        <w:rPr>
          <w:spacing w:val="-84"/>
        </w:rPr>
        <w:t> </w:t>
      </w:r>
      <w:r>
        <w:rPr>
          <w:spacing w:val="-84"/>
        </w:rPr>
      </w:r>
      <w:r>
        <w:rPr>
          <w:spacing w:val="-2"/>
        </w:rPr>
        <w:t>与上海易能投资管理合伙企业（有限合伙）签订了《盈行金融信息服务（上海）有限公司股权转让协</w:t>
      </w:r>
      <w:r>
        <w:rPr>
          <w:spacing w:val="-85"/>
        </w:rPr>
        <w:t> </w:t>
      </w:r>
      <w:r>
        <w:rPr>
          <w:spacing w:val="-85"/>
        </w:rPr>
      </w:r>
      <w:r>
        <w:rPr>
          <w:spacing w:val="-3"/>
        </w:rPr>
        <w:t>议》（以下简称</w:t>
      </w:r>
      <w:r>
        <w:rPr>
          <w:rFonts w:ascii="Times New Roman" w:hAnsi="Times New Roman" w:cs="Times New Roman" w:eastAsia="Times New Roman" w:hint="default"/>
          <w:spacing w:val="-3"/>
        </w:rPr>
        <w:t>“</w:t>
      </w:r>
      <w:r>
        <w:rPr>
          <w:spacing w:val="-3"/>
        </w:rPr>
        <w:t>协议</w:t>
      </w:r>
      <w:r>
        <w:rPr>
          <w:rFonts w:ascii="Times New Roman" w:hAnsi="Times New Roman" w:cs="Times New Roman" w:eastAsia="Times New Roman" w:hint="default"/>
          <w:spacing w:val="-3"/>
        </w:rPr>
        <w:t>”</w:t>
      </w:r>
      <w:r>
        <w:rPr>
          <w:spacing w:val="-3"/>
        </w:rPr>
        <w:t>），协议约定本公司根据对盈行金融信息服务（上海）有限公司（以下简称</w:t>
      </w:r>
      <w:r>
        <w:rPr>
          <w:rFonts w:ascii="Times New Roman" w:hAnsi="Times New Roman" w:cs="Times New Roman" w:eastAsia="Times New Roman" w:hint="default"/>
          <w:spacing w:val="-3"/>
        </w:rPr>
        <w:t>“</w:t>
      </w:r>
      <w:r>
        <w:rPr>
          <w:spacing w:val="-3"/>
        </w:rPr>
        <w:t>盈</w:t>
      </w:r>
      <w:r>
        <w:rPr>
          <w:spacing w:val="-102"/>
        </w:rPr>
        <w:t> </w:t>
      </w:r>
      <w:r>
        <w:rPr/>
        <w:t>行金融</w:t>
      </w:r>
      <w:r>
        <w:rPr>
          <w:rFonts w:ascii="Times New Roman" w:hAnsi="Times New Roman" w:cs="Times New Roman" w:eastAsia="Times New Roman" w:hint="default"/>
        </w:rPr>
        <w:t>”</w:t>
      </w:r>
      <w:r>
        <w:rPr/>
        <w:t>）</w:t>
      </w:r>
      <w:r>
        <w:rPr>
          <w:rFonts w:ascii="Times New Roman" w:hAnsi="Times New Roman" w:cs="Times New Roman" w:eastAsia="Times New Roman" w:hint="default"/>
        </w:rPr>
        <w:t>1.30</w:t>
      </w:r>
      <w:r>
        <w:rPr/>
        <w:t>亿元的估值，分两期收购盈行金融</w:t>
      </w:r>
      <w:r>
        <w:rPr>
          <w:rFonts w:ascii="Times New Roman" w:hAnsi="Times New Roman" w:cs="Times New Roman" w:eastAsia="Times New Roman" w:hint="default"/>
        </w:rPr>
        <w:t>30.00%</w:t>
      </w:r>
      <w:r>
        <w:rPr/>
        <w:t>股权，其中首期购股以货币资金</w:t>
      </w:r>
      <w:r>
        <w:rPr>
          <w:rFonts w:ascii="Times New Roman" w:hAnsi="Times New Roman" w:cs="Times New Roman" w:eastAsia="Times New Roman" w:hint="default"/>
        </w:rPr>
        <w:t>1,950.00</w:t>
      </w:r>
      <w:r>
        <w:rPr/>
        <w:t>万元</w:t>
      </w:r>
      <w:r>
        <w:rPr>
          <w:w w:val="99"/>
        </w:rPr>
        <w:t> </w:t>
      </w:r>
      <w:r>
        <w:rPr>
          <w:spacing w:val="-2"/>
        </w:rPr>
        <w:t>人民币收购盈行金融</w:t>
      </w:r>
      <w:r>
        <w:rPr>
          <w:rFonts w:ascii="Times New Roman" w:hAnsi="Times New Roman" w:cs="Times New Roman" w:eastAsia="Times New Roman" w:hint="default"/>
          <w:spacing w:val="-2"/>
        </w:rPr>
        <w:t>15.00%</w:t>
      </w:r>
      <w:r>
        <w:rPr>
          <w:spacing w:val="-2"/>
        </w:rPr>
        <w:t>的股权；第二期购股根据盈行金融</w:t>
      </w:r>
      <w:r>
        <w:rPr>
          <w:rFonts w:ascii="Times New Roman" w:hAnsi="Times New Roman" w:cs="Times New Roman" w:eastAsia="Times New Roman" w:hint="default"/>
          <w:spacing w:val="-2"/>
        </w:rPr>
        <w:t>2016</w:t>
      </w:r>
      <w:r>
        <w:rPr>
          <w:spacing w:val="-2"/>
        </w:rPr>
        <w:t>年相关业绩承诺完成情况（经审计</w:t>
      </w:r>
      <w:r>
        <w:rPr>
          <w:spacing w:val="-87"/>
        </w:rPr>
        <w:t> </w:t>
      </w:r>
      <w:r>
        <w:rPr>
          <w:spacing w:val="-87"/>
        </w:rPr>
      </w:r>
      <w:r>
        <w:rPr>
          <w:spacing w:val="-1"/>
        </w:rPr>
        <w:t>的扣除非经常性损益后的净利润不低于</w:t>
      </w:r>
      <w:r>
        <w:rPr>
          <w:rFonts w:ascii="Times New Roman" w:hAnsi="Times New Roman" w:cs="Times New Roman" w:eastAsia="Times New Roman" w:hint="default"/>
          <w:spacing w:val="-1"/>
        </w:rPr>
        <w:t>371.48</w:t>
      </w:r>
      <w:r>
        <w:rPr>
          <w:spacing w:val="-1"/>
        </w:rPr>
        <w:t>万元，平台流水不低于</w:t>
      </w:r>
      <w:r>
        <w:rPr>
          <w:rFonts w:ascii="Times New Roman" w:hAnsi="Times New Roman" w:cs="Times New Roman" w:eastAsia="Times New Roman" w:hint="default"/>
          <w:spacing w:val="-1"/>
        </w:rPr>
        <w:t>50.00</w:t>
      </w:r>
      <w:r>
        <w:rPr>
          <w:spacing w:val="-1"/>
        </w:rPr>
        <w:t>亿元人民币），收购盈行金</w:t>
      </w:r>
      <w:r>
        <w:rPr>
          <w:w w:val="99"/>
        </w:rPr>
        <w:t> </w:t>
      </w:r>
      <w:r>
        <w:rPr>
          <w:spacing w:val="-2"/>
        </w:rPr>
        <w:t>融另外</w:t>
      </w:r>
      <w:r>
        <w:rPr>
          <w:rFonts w:ascii="Times New Roman" w:hAnsi="Times New Roman" w:cs="Times New Roman" w:eastAsia="Times New Roman" w:hint="default"/>
          <w:spacing w:val="-2"/>
        </w:rPr>
        <w:t>15.00%</w:t>
      </w:r>
      <w:r>
        <w:rPr>
          <w:spacing w:val="-2"/>
        </w:rPr>
        <w:t>股权，购股对价为：若盈行金融完成</w:t>
      </w:r>
      <w:r>
        <w:rPr>
          <w:rFonts w:ascii="Times New Roman" w:hAnsi="Times New Roman" w:cs="Times New Roman" w:eastAsia="Times New Roman" w:hint="default"/>
          <w:spacing w:val="-2"/>
        </w:rPr>
        <w:t>2016</w:t>
      </w:r>
      <w:r>
        <w:rPr>
          <w:spacing w:val="-2"/>
        </w:rPr>
        <w:t>年相关业绩承诺，公司对盈行金融的估值不进</w:t>
      </w:r>
      <w:r>
        <w:rPr>
          <w:spacing w:val="-92"/>
        </w:rPr>
        <w:t> </w:t>
      </w:r>
      <w:r>
        <w:rPr>
          <w:spacing w:val="-92"/>
        </w:rPr>
      </w:r>
      <w:r>
        <w:rPr/>
        <w:t>行调整，第二期购股的对价为</w:t>
      </w:r>
      <w:r>
        <w:rPr>
          <w:rFonts w:ascii="Times New Roman" w:hAnsi="Times New Roman" w:cs="Times New Roman" w:eastAsia="Times New Roman" w:hint="default"/>
        </w:rPr>
        <w:t>1,950.00</w:t>
      </w:r>
      <w:r>
        <w:rPr/>
        <w:t>万元人民币；若盈行金融未完成</w:t>
      </w:r>
      <w:r>
        <w:rPr>
          <w:rFonts w:ascii="Times New Roman" w:hAnsi="Times New Roman" w:cs="Times New Roman" w:eastAsia="Times New Roman" w:hint="default"/>
        </w:rPr>
        <w:t>2016</w:t>
      </w:r>
      <w:r>
        <w:rPr/>
        <w:t>年相关业绩承诺，公司会</w:t>
      </w:r>
      <w:r>
        <w:rPr>
          <w:w w:val="99"/>
        </w:rPr>
        <w:t> </w:t>
      </w:r>
      <w:r>
        <w:rPr>
          <w:spacing w:val="-1"/>
        </w:rPr>
        <w:t>对盈行金融的估值进行调整，同时公司有权选择暂停或终止第二期购股，或有权选择以下两种方式之</w:t>
      </w:r>
      <w:r>
        <w:rPr>
          <w:w w:val="99"/>
        </w:rPr>
        <w:t> </w:t>
      </w:r>
      <w:r>
        <w:rPr/>
        <w:t>一完成第二期购股，（</w:t>
      </w:r>
      <w:r>
        <w:rPr>
          <w:rFonts w:ascii="Times New Roman" w:hAnsi="Times New Roman" w:cs="Times New Roman" w:eastAsia="Times New Roman" w:hint="default"/>
        </w:rPr>
        <w:t>1</w:t>
      </w:r>
      <w:r>
        <w:rPr/>
        <w:t>）以</w:t>
      </w:r>
      <w:r>
        <w:rPr>
          <w:rFonts w:ascii="Times New Roman" w:hAnsi="Times New Roman" w:cs="Times New Roman" w:eastAsia="Times New Roman" w:hint="default"/>
        </w:rPr>
        <w:t>2016</w:t>
      </w:r>
      <w:r>
        <w:rPr/>
        <w:t>年估值为基础购买盈行金融公司</w:t>
      </w:r>
      <w:r>
        <w:rPr>
          <w:rFonts w:ascii="Times New Roman" w:hAnsi="Times New Roman" w:cs="Times New Roman" w:eastAsia="Times New Roman" w:hint="default"/>
        </w:rPr>
        <w:t>15.00%</w:t>
      </w:r>
      <w:r>
        <w:rPr/>
        <w:t>的股权，或（</w:t>
      </w:r>
      <w:r>
        <w:rPr>
          <w:rFonts w:ascii="Times New Roman" w:hAnsi="Times New Roman" w:cs="Times New Roman" w:eastAsia="Times New Roman" w:hint="default"/>
        </w:rPr>
        <w:t>2</w:t>
      </w:r>
      <w:r>
        <w:rPr/>
        <w:t>）以</w:t>
      </w:r>
      <w:r>
        <w:rPr>
          <w:rFonts w:ascii="Times New Roman" w:hAnsi="Times New Roman" w:cs="Times New Roman" w:eastAsia="Times New Roman" w:hint="default"/>
        </w:rPr>
        <w:t>1,950.00</w:t>
      </w:r>
      <w:r>
        <w:rPr>
          <w:rFonts w:ascii="Times New Roman" w:hAnsi="Times New Roman" w:cs="Times New Roman" w:eastAsia="Times New Roman" w:hint="default"/>
          <w:w w:val="99"/>
        </w:rPr>
        <w:t> </w:t>
      </w:r>
      <w:r>
        <w:rPr/>
        <w:t>万元人民币的价格购买根据</w:t>
      </w:r>
      <w:r>
        <w:rPr>
          <w:rFonts w:ascii="Times New Roman" w:hAnsi="Times New Roman" w:cs="Times New Roman" w:eastAsia="Times New Roman" w:hint="default"/>
        </w:rPr>
        <w:t>2016</w:t>
      </w:r>
      <w:r>
        <w:rPr/>
        <w:t>年估值计算得出的相应比例的盈行金融股权。</w:t>
      </w:r>
    </w:p>
    <w:p>
      <w:pPr>
        <w:pStyle w:val="Heading3"/>
        <w:spacing w:line="240" w:lineRule="auto" w:before="117"/>
        <w:ind w:left="1574" w:right="0" w:firstLine="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24</w:t>
      </w:r>
      <w:r>
        <w:rPr/>
        <w:t>日，本公司支付了首期购股款项</w:t>
      </w:r>
      <w:r>
        <w:rPr>
          <w:rFonts w:ascii="Times New Roman" w:hAnsi="Times New Roman" w:cs="Times New Roman" w:eastAsia="Times New Roman" w:hint="default"/>
        </w:rPr>
        <w:t>1,950.00</w:t>
      </w:r>
      <w:r>
        <w:rPr/>
        <w:t>万元。</w:t>
      </w:r>
    </w:p>
    <w:p>
      <w:pPr>
        <w:pStyle w:val="Heading3"/>
        <w:spacing w:line="240" w:lineRule="auto" w:before="127"/>
        <w:ind w:left="1574" w:right="0" w:firstLine="0"/>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22</w:t>
      </w:r>
      <w:r>
        <w:rPr/>
        <w:t>日，盈行金融完成了工商变更并取得了新换发的企业法人营业执照。</w:t>
      </w:r>
    </w:p>
    <w:p>
      <w:pPr>
        <w:spacing w:line="240" w:lineRule="auto" w:before="3"/>
        <w:rPr>
          <w:rFonts w:ascii="宋体" w:hAnsi="宋体" w:cs="宋体" w:eastAsia="宋体" w:hint="default"/>
          <w:sz w:val="24"/>
          <w:szCs w:val="24"/>
        </w:rPr>
      </w:pPr>
    </w:p>
    <w:p>
      <w:pPr>
        <w:pStyle w:val="Heading4"/>
        <w:spacing w:line="240" w:lineRule="auto"/>
        <w:ind w:right="0"/>
        <w:jc w:val="left"/>
        <w:rPr>
          <w:b w:val="0"/>
          <w:bCs w:val="0"/>
        </w:rPr>
      </w:pPr>
      <w:bookmarkStart w:name="15、固定资产" w:id="265"/>
      <w:bookmarkEnd w:id="265"/>
      <w:r>
        <w:rPr>
          <w:b w:val="0"/>
          <w:bCs w:val="0"/>
        </w:rPr>
      </w:r>
      <w:r>
        <w:rPr>
          <w:rFonts w:ascii="Times New Roman" w:hAnsi="Times New Roman" w:cs="Times New Roman" w:eastAsia="Times New Roman" w:hint="default"/>
        </w:rPr>
        <w:t>15</w:t>
      </w:r>
      <w:r>
        <w:rPr/>
        <w:t>、固定资产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1）固定资产情况" w:id="266"/>
      <w:bookmarkEnd w:id="266"/>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left="2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9" w:space="0" w:color="D2D2D2"/>
              <w:bottom w:val="single" w:sz="4" w:space="0" w:color="000000"/>
              <w:right w:val="single" w:sz="4" w:space="0" w:color="000000"/>
            </w:tcBorders>
            <w:shd w:val="clear" w:color="auto" w:fill="E0FFFF"/>
          </w:tcPr>
          <w:p>
            <w:pPr>
              <w:pStyle w:val="TableParagraph"/>
              <w:spacing w:line="240" w:lineRule="auto" w:before="51"/>
              <w:ind w:left="348"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532" w:right="0"/>
              <w:jc w:val="left"/>
              <w:rPr>
                <w:rFonts w:ascii="Times New Roman" w:hAnsi="Times New Roman" w:cs="Times New Roman" w:eastAsia="Times New Roman" w:hint="default"/>
                <w:sz w:val="18"/>
                <w:szCs w:val="18"/>
              </w:rPr>
            </w:pPr>
            <w:r>
              <w:rPr>
                <w:rFonts w:ascii="Times New Roman"/>
                <w:sz w:val="18"/>
              </w:rPr>
              <w:t>52,820,769.66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6" w:right="0"/>
              <w:jc w:val="left"/>
              <w:rPr>
                <w:rFonts w:ascii="Times New Roman" w:hAnsi="Times New Roman" w:cs="Times New Roman" w:eastAsia="Times New Roman" w:hint="default"/>
                <w:sz w:val="18"/>
                <w:szCs w:val="18"/>
              </w:rPr>
            </w:pPr>
            <w:r>
              <w:rPr>
                <w:rFonts w:ascii="Times New Roman"/>
                <w:sz w:val="18"/>
              </w:rPr>
              <w:t>15,764,352.51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1" w:right="0"/>
              <w:jc w:val="left"/>
              <w:rPr>
                <w:rFonts w:ascii="Times New Roman" w:hAnsi="Times New Roman" w:cs="Times New Roman" w:eastAsia="Times New Roman" w:hint="default"/>
                <w:sz w:val="18"/>
                <w:szCs w:val="18"/>
              </w:rPr>
            </w:pPr>
            <w:r>
              <w:rPr>
                <w:rFonts w:ascii="Times New Roman"/>
                <w:sz w:val="18"/>
              </w:rPr>
              <w:t>653,532.21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8" w:right="0"/>
              <w:jc w:val="left"/>
              <w:rPr>
                <w:rFonts w:ascii="Times New Roman" w:hAnsi="Times New Roman" w:cs="Times New Roman" w:eastAsia="Times New Roman" w:hint="default"/>
                <w:sz w:val="18"/>
                <w:szCs w:val="18"/>
              </w:rPr>
            </w:pPr>
            <w:r>
              <w:rPr>
                <w:rFonts w:ascii="Times New Roman"/>
                <w:sz w:val="18"/>
              </w:rPr>
              <w:t>5,666,714.23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6" w:right="0"/>
              <w:jc w:val="left"/>
              <w:rPr>
                <w:rFonts w:ascii="Times New Roman" w:hAnsi="Times New Roman" w:cs="Times New Roman" w:eastAsia="Times New Roman" w:hint="default"/>
                <w:sz w:val="18"/>
                <w:szCs w:val="18"/>
              </w:rPr>
            </w:pPr>
            <w:r>
              <w:rPr>
                <w:rFonts w:ascii="Times New Roman"/>
                <w:sz w:val="18"/>
              </w:rPr>
              <w:t>74,905,368.61</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1"/>
          <w:szCs w:val="11"/>
        </w:rPr>
      </w:pPr>
    </w:p>
    <w:p>
      <w:pPr>
        <w:spacing w:line="20" w:lineRule="exact"/>
        <w:ind w:left="1129" w:right="0" w:firstLine="0"/>
        <w:rPr>
          <w:rFonts w:ascii="宋体" w:hAnsi="宋体" w:cs="宋体" w:eastAsia="宋体" w:hint="default"/>
          <w:sz w:val="2"/>
          <w:szCs w:val="2"/>
        </w:rPr>
      </w:pPr>
      <w:r>
        <w:rPr>
          <w:rFonts w:ascii="宋体" w:hAnsi="宋体" w:cs="宋体" w:eastAsia="宋体" w:hint="default"/>
          <w:sz w:val="2"/>
          <w:szCs w:val="2"/>
        </w:rPr>
        <w:pict>
          <v:group style="width:144.450pt;height:.45pt;mso-position-horizontal-relative:char;mso-position-vertical-relative:line" coordorigin="0,0" coordsize="2889,9">
            <v:group style="position:absolute;left:4;top:4;width:2881;height:2" coordorigin="4,4" coordsize="2881,2">
              <v:shape style="position:absolute;left:4;top:4;width:2881;height:2" coordorigin="4,4" coordsize="2881,0" path="m4,4l2885,4e" filled="false" stroked="true" strokeweight=".42pt" strokecolor="#000000">
                <v:path arrowok="t"/>
              </v:shape>
            </v:group>
          </v:group>
        </w:pict>
      </w:r>
      <w:r>
        <w:rPr>
          <w:rFonts w:ascii="宋体" w:hAnsi="宋体" w:cs="宋体" w:eastAsia="宋体" w:hint="default"/>
          <w:sz w:val="2"/>
          <w:szCs w:val="2"/>
        </w:rPr>
      </w:r>
    </w:p>
    <w:p>
      <w:pPr>
        <w:pStyle w:val="BodyText"/>
        <w:spacing w:line="240" w:lineRule="auto" w:before="41"/>
        <w:ind w:left="1134" w:right="0"/>
        <w:jc w:val="left"/>
      </w:pPr>
      <w:r>
        <w:rPr>
          <w:rFonts w:ascii="Times New Roman" w:hAnsi="Times New Roman" w:cs="Times New Roman" w:eastAsia="Times New Roman" w:hint="default"/>
          <w:position w:val="8"/>
          <w:sz w:val="12"/>
          <w:szCs w:val="12"/>
        </w:rPr>
        <w:t>5   </w:t>
      </w:r>
      <w:r>
        <w:rPr/>
        <w:t>曾用名为盈行金融信息服务（上海）有限公司，现更名为盈行金融信息技术（上海）有限公司。</w:t>
      </w:r>
    </w:p>
    <w:p>
      <w:pPr>
        <w:spacing w:after="0" w:line="240" w:lineRule="auto"/>
        <w:jc w:val="left"/>
        <w:sectPr>
          <w:pgSz w:w="11910" w:h="16840"/>
          <w:pgMar w:header="877" w:footer="1187" w:top="1060" w:bottom="138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3,868,400.81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148,798.94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2,571,796.85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6,588,996.60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3,868,400.81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148,798.94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2,571,796.85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6,588,996.60</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 转入</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 增加</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r>
              <w:rPr>
                <w:rFonts w:ascii="宋体" w:hAnsi="宋体" w:cs="宋体" w:eastAsia="宋体" w:hint="default"/>
                <w:sz w:val="18"/>
                <w:szCs w:val="18"/>
              </w:rPr>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3,007,516.94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32,480.00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815,811.00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3,855,807.94</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3,007,516.94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32,480.00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815,811.00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3,855,807.94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52,820,769.66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16,625,236.38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769,851.15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7,422,700.08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77,638,557.27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5,414,128.58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11,035,523.00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175,955.24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3,581,860.27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20,207,467.09</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1,584,623.01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2,562,158.52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120,151.44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953,992.87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5,220,925.84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1,584,623.01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2,562,158.52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120,151.44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953,992.87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5,220,925.84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2,877,260.71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31,180.80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687,903.48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3,596,344.99</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2,877,260.71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31,180.80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687,903.48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3,596,344.99</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6,998,751.59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10,720,420.81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264,925.88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3,847,949.66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21,832,047.94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47,406,641.08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4,728,829.51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477,576.97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2,084,853.96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54,697,901.52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45,822,018.07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5,904,815.57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504,925.27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3,574,750.42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55,806,509.33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7" w:top="1060" w:bottom="1380" w:left="0" w:right="0"/>
        </w:sectPr>
      </w:pPr>
    </w:p>
    <w:p>
      <w:pPr>
        <w:spacing w:line="240" w:lineRule="auto" w:before="2"/>
        <w:rPr>
          <w:rFonts w:ascii="Times New Roman" w:hAnsi="Times New Roman" w:cs="Times New Roman" w:eastAsia="Times New Roman" w:hint="default"/>
          <w:sz w:val="28"/>
          <w:szCs w:val="28"/>
        </w:rPr>
      </w:pPr>
    </w:p>
    <w:p>
      <w:pPr>
        <w:pStyle w:val="Heading4"/>
        <w:spacing w:line="240" w:lineRule="auto" w:before="35"/>
        <w:ind w:left="1134" w:right="0"/>
        <w:jc w:val="left"/>
        <w:rPr>
          <w:b w:val="0"/>
          <w:bCs w:val="0"/>
        </w:rPr>
      </w:pPr>
      <w:bookmarkStart w:name="（2）暂时闲置的固定资产情况" w:id="267"/>
      <w:bookmarkEnd w:id="267"/>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3"/>
        <w:rPr>
          <w:rFonts w:ascii="宋体" w:hAnsi="宋体" w:cs="宋体" w:eastAsia="宋体" w:hint="default"/>
          <w:sz w:val="19"/>
          <w:szCs w:val="19"/>
        </w:rPr>
      </w:pPr>
    </w:p>
    <w:p>
      <w:pPr>
        <w:pStyle w:val="Heading4"/>
        <w:spacing w:line="240" w:lineRule="auto" w:before="35"/>
        <w:ind w:left="1134" w:right="0"/>
        <w:jc w:val="left"/>
        <w:rPr>
          <w:b w:val="0"/>
          <w:bCs w:val="0"/>
        </w:rPr>
      </w:pPr>
      <w:bookmarkStart w:name="（3）通过融资租赁租入的固定资产情况" w:id="268"/>
      <w:bookmarkEnd w:id="268"/>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4）通过经营租赁租出的固定资产" w:id="269"/>
      <w:bookmarkEnd w:id="269"/>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5）未办妥产权证书的固定资产情况" w:id="270"/>
      <w:bookmarkEnd w:id="270"/>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1"/>
        <w:ind w:left="1134" w:right="0"/>
        <w:jc w:val="both"/>
      </w:pPr>
      <w:r>
        <w:rPr/>
        <w:t>其他说明</w:t>
      </w:r>
    </w:p>
    <w:p>
      <w:pPr>
        <w:spacing w:line="240" w:lineRule="auto" w:before="6"/>
        <w:rPr>
          <w:rFonts w:ascii="宋体" w:hAnsi="宋体" w:cs="宋体" w:eastAsia="宋体" w:hint="default"/>
          <w:sz w:val="12"/>
          <w:szCs w:val="12"/>
        </w:rPr>
      </w:pPr>
    </w:p>
    <w:p>
      <w:pPr>
        <w:pStyle w:val="Heading3"/>
        <w:spacing w:line="244" w:lineRule="auto"/>
        <w:ind w:right="1130" w:firstLine="0"/>
        <w:jc w:val="both"/>
      </w:pPr>
      <w:r>
        <w:rPr/>
        <w:t>年末固定资产中，原值为</w:t>
      </w:r>
      <w:r>
        <w:rPr>
          <w:rFonts w:ascii="Times New Roman" w:hAnsi="Times New Roman" w:cs="Times New Roman" w:eastAsia="Times New Roman" w:hint="default"/>
        </w:rPr>
        <w:t>14,573,404.00</w:t>
      </w:r>
      <w:r>
        <w:rPr/>
        <w:t>元的办公用房、车库抵押予中国民生银行股份有限公司总行营</w:t>
      </w:r>
      <w:r>
        <w:rPr>
          <w:w w:val="99"/>
        </w:rPr>
        <w:t> </w:t>
      </w:r>
      <w:r>
        <w:rPr/>
        <w:t>业部，用于最高额授信担保，担保金额为</w:t>
      </w:r>
      <w:r>
        <w:rPr>
          <w:rFonts w:ascii="Times New Roman" w:hAnsi="Times New Roman" w:cs="Times New Roman" w:eastAsia="Times New Roman" w:hint="default"/>
        </w:rPr>
        <w:t>80,000,000.00</w:t>
      </w:r>
      <w:r>
        <w:rPr/>
        <w:t>元，该担保项下的授信合同已于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26</w:t>
      </w:r>
      <w:r>
        <w:rPr>
          <w:rFonts w:ascii="Times New Roman" w:hAnsi="Times New Roman" w:cs="Times New Roman" w:eastAsia="Times New Roman" w:hint="default"/>
          <w:spacing w:val="1"/>
          <w:w w:val="99"/>
        </w:rPr>
        <w:t> </w:t>
      </w:r>
      <w:r>
        <w:rPr>
          <w:spacing w:val="-1"/>
        </w:rPr>
        <w:t>日到期。截至</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日，因该授信合同项下部分保函未到期，该固定资产抵押尚未解除，尚未</w:t>
      </w:r>
      <w:r>
        <w:rPr>
          <w:w w:val="99"/>
        </w:rPr>
        <w:t> </w:t>
      </w:r>
      <w:r>
        <w:rPr/>
        <w:t>到期的保函明细如下：</w:t>
      </w:r>
    </w:p>
    <w:p>
      <w:pPr>
        <w:pStyle w:val="BodyText"/>
        <w:spacing w:line="240" w:lineRule="auto" w:before="9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916"/>
        <w:gridCol w:w="1054"/>
        <w:gridCol w:w="2470"/>
        <w:gridCol w:w="1618"/>
        <w:gridCol w:w="1620"/>
      </w:tblGrid>
      <w:tr>
        <w:trPr>
          <w:trHeight w:val="803"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z w:val="20"/>
                <w:szCs w:val="20"/>
              </w:rPr>
              <w:t>受益人</w:t>
            </w:r>
            <w:r>
              <w:rPr>
                <w:rFonts w:ascii="宋体" w:hAnsi="宋体" w:cs="宋体" w:eastAsia="宋体" w:hint="default"/>
                <w:sz w:val="20"/>
                <w:szCs w:val="20"/>
              </w:rPr>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b/>
                <w:bCs/>
                <w:sz w:val="20"/>
                <w:szCs w:val="20"/>
              </w:rPr>
              <w:t>保函种类</w:t>
            </w:r>
            <w:r>
              <w:rPr>
                <w:rFonts w:ascii="宋体" w:hAnsi="宋体" w:cs="宋体" w:eastAsia="宋体" w:hint="default"/>
                <w:sz w:val="20"/>
                <w:szCs w:val="20"/>
              </w:rPr>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z w:val="20"/>
                <w:szCs w:val="20"/>
              </w:rPr>
              <w:t>期限</w:t>
            </w:r>
            <w:r>
              <w:rPr>
                <w:rFonts w:ascii="宋体" w:hAnsi="宋体" w:cs="宋体" w:eastAsia="宋体" w:hint="default"/>
                <w:sz w:val="20"/>
                <w:szCs w:val="20"/>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402" w:right="0"/>
              <w:jc w:val="left"/>
              <w:rPr>
                <w:rFonts w:ascii="宋体" w:hAnsi="宋体" w:cs="宋体" w:eastAsia="宋体" w:hint="default"/>
                <w:sz w:val="20"/>
                <w:szCs w:val="20"/>
              </w:rPr>
            </w:pPr>
            <w:r>
              <w:rPr>
                <w:rFonts w:ascii="宋体" w:hAnsi="宋体" w:cs="宋体" w:eastAsia="宋体" w:hint="default"/>
                <w:b/>
                <w:bCs/>
                <w:sz w:val="20"/>
                <w:szCs w:val="20"/>
              </w:rPr>
              <w:t>保函金额</w:t>
            </w:r>
            <w:r>
              <w:rPr>
                <w:rFonts w:ascii="宋体" w:hAnsi="宋体" w:cs="宋体" w:eastAsia="宋体" w:hint="default"/>
                <w:sz w:val="20"/>
                <w:szCs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303" w:right="0"/>
              <w:jc w:val="left"/>
              <w:rPr>
                <w:rFonts w:ascii="宋体" w:hAnsi="宋体" w:cs="宋体" w:eastAsia="宋体" w:hint="default"/>
                <w:sz w:val="20"/>
                <w:szCs w:val="20"/>
              </w:rPr>
            </w:pPr>
            <w:r>
              <w:rPr>
                <w:rFonts w:ascii="宋体" w:hAnsi="宋体" w:cs="宋体" w:eastAsia="宋体" w:hint="default"/>
                <w:b/>
                <w:bCs/>
                <w:sz w:val="20"/>
                <w:szCs w:val="20"/>
              </w:rPr>
              <w:t>保证金余额</w:t>
            </w:r>
            <w:r>
              <w:rPr>
                <w:rFonts w:ascii="宋体" w:hAnsi="宋体" w:cs="宋体" w:eastAsia="宋体" w:hint="default"/>
                <w:sz w:val="20"/>
                <w:szCs w:val="20"/>
              </w:rPr>
            </w:r>
          </w:p>
        </w:tc>
      </w:tr>
      <w:tr>
        <w:trPr>
          <w:trHeight w:val="398"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中国人寿保险股份有限公司</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履约</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2012.01.19-2017.04.19</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3,991,797.00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1,197,539.10</w:t>
            </w:r>
          </w:p>
        </w:tc>
      </w:tr>
      <w:tr>
        <w:trPr>
          <w:trHeight w:val="415"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中国银行股份有限公司</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履约</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20"/>
                <w:szCs w:val="20"/>
              </w:rPr>
            </w:pPr>
            <w:r>
              <w:rPr>
                <w:rFonts w:ascii="Times New Roman"/>
                <w:sz w:val="20"/>
              </w:rPr>
              <w:t>2012.08.30-2017.08.30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pacing w:val="-1"/>
                <w:sz w:val="20"/>
              </w:rPr>
              <w:t>169,102.50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spacing w:val="-1"/>
                <w:sz w:val="20"/>
              </w:rPr>
              <w:t>84,551.25</w:t>
            </w:r>
          </w:p>
        </w:tc>
      </w:tr>
      <w:tr>
        <w:trPr>
          <w:trHeight w:val="416"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中国人寿保险股份有限公司</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履约</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2012.09.07-2017.12.10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425,000.00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212,500.00</w:t>
            </w:r>
          </w:p>
        </w:tc>
      </w:tr>
      <w:tr>
        <w:trPr>
          <w:trHeight w:val="398"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Times New Roman" w:hAnsi="Times New Roman" w:cs="Times New Roman" w:eastAsia="Times New Roman" w:hint="default"/>
                <w:sz w:val="20"/>
                <w:szCs w:val="20"/>
              </w:rPr>
            </w:pPr>
            <w:r>
              <w:rPr>
                <w:rFonts w:ascii="Times New Roman"/>
                <w:b/>
                <w:sz w:val="20"/>
              </w:rPr>
              <w:t>--</w:t>
            </w:r>
            <w:r>
              <w:rPr>
                <w:rFonts w:ascii="Times New Roman"/>
                <w:sz w:val="20"/>
              </w:rPr>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Times New Roman" w:hAnsi="Times New Roman" w:cs="Times New Roman" w:eastAsia="Times New Roman" w:hint="default"/>
                <w:sz w:val="20"/>
                <w:szCs w:val="20"/>
              </w:rPr>
            </w:pPr>
            <w:r>
              <w:rPr>
                <w:rFonts w:ascii="Times New Roman"/>
                <w:b/>
                <w:sz w:val="20"/>
              </w:rPr>
              <w:t>--</w:t>
            </w:r>
            <w:r>
              <w:rPr>
                <w:rFonts w:ascii="Times New Roman"/>
                <w:sz w:val="20"/>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right"/>
              <w:rPr>
                <w:rFonts w:ascii="Times New Roman" w:hAnsi="Times New Roman" w:cs="Times New Roman" w:eastAsia="Times New Roman" w:hint="default"/>
                <w:sz w:val="20"/>
                <w:szCs w:val="20"/>
              </w:rPr>
            </w:pPr>
            <w:r>
              <w:rPr>
                <w:rFonts w:ascii="Times New Roman"/>
                <w:b/>
                <w:spacing w:val="-1"/>
                <w:sz w:val="20"/>
              </w:rPr>
              <w:t>4,585,899.50</w:t>
            </w:r>
            <w:r>
              <w:rPr>
                <w:rFonts w:ascii="Times New Roman"/>
                <w:spacing w:val="-1"/>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right"/>
              <w:rPr>
                <w:rFonts w:ascii="Times New Roman" w:hAnsi="Times New Roman" w:cs="Times New Roman" w:eastAsia="Times New Roman" w:hint="default"/>
                <w:sz w:val="20"/>
                <w:szCs w:val="20"/>
              </w:rPr>
            </w:pPr>
            <w:r>
              <w:rPr>
                <w:rFonts w:ascii="Times New Roman"/>
                <w:b/>
                <w:spacing w:val="-1"/>
                <w:sz w:val="20"/>
              </w:rPr>
              <w:t>1,494,590.35</w:t>
            </w:r>
            <w:r>
              <w:rPr>
                <w:rFonts w:ascii="Times New Roman"/>
                <w:spacing w:val="-1"/>
                <w:sz w:val="20"/>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4"/>
        <w:spacing w:line="240" w:lineRule="auto" w:before="35"/>
        <w:ind w:left="1134" w:right="0"/>
        <w:jc w:val="left"/>
        <w:rPr>
          <w:b w:val="0"/>
          <w:bCs w:val="0"/>
        </w:rPr>
      </w:pPr>
      <w:bookmarkStart w:name="16、固定资产清理" w:id="271"/>
      <w:bookmarkEnd w:id="271"/>
      <w:r>
        <w:rPr>
          <w:b w:val="0"/>
          <w:bCs w:val="0"/>
        </w:rPr>
      </w:r>
      <w:r>
        <w:rPr>
          <w:rFonts w:ascii="Times New Roman" w:hAnsi="Times New Roman" w:cs="Times New Roman" w:eastAsia="Times New Roman" w:hint="default"/>
        </w:rPr>
        <w:t>16</w:t>
      </w:r>
      <w:r>
        <w:rPr/>
        <w:t>、固定资产清理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5"/>
        <w:gridCol w:w="3203"/>
        <w:gridCol w:w="3190"/>
      </w:tblGrid>
      <w:tr>
        <w:trPr>
          <w:trHeight w:val="402"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0"/>
        <w:jc w:val="left"/>
      </w:pPr>
      <w:r>
        <w:rPr/>
        <w:t>其他说明：</w:t>
      </w:r>
    </w:p>
    <w:p>
      <w:pPr>
        <w:spacing w:after="0" w:line="240" w:lineRule="auto"/>
        <w:jc w:val="left"/>
        <w:sectPr>
          <w:pgSz w:w="11910" w:h="16840"/>
          <w:pgMar w:header="877" w:footer="1187" w:top="1060" w:bottom="1380" w:left="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17、无形资产" w:id="272"/>
      <w:bookmarkEnd w:id="272"/>
      <w:r>
        <w:rPr>
          <w:b w:val="0"/>
          <w:bCs w:val="0"/>
        </w:rPr>
      </w:r>
      <w:r>
        <w:rPr>
          <w:rFonts w:ascii="Times New Roman" w:hAnsi="Times New Roman" w:cs="Times New Roman" w:eastAsia="Times New Roman" w:hint="default"/>
        </w:rPr>
        <w:t>17</w:t>
      </w:r>
      <w:r>
        <w:rPr/>
        <w:t>、无形资产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0"/>
        <w:jc w:val="left"/>
        <w:rPr>
          <w:b w:val="0"/>
          <w:bCs w:val="0"/>
        </w:rPr>
      </w:pPr>
      <w:bookmarkStart w:name="（1）无形资产情况" w:id="273"/>
      <w:bookmarkEnd w:id="273"/>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21" w:type="dxa"/>
        <w:tblLayout w:type="fixed"/>
        <w:tblCellMar>
          <w:top w:w="0" w:type="dxa"/>
          <w:left w:w="0" w:type="dxa"/>
          <w:bottom w:w="0" w:type="dxa"/>
          <w:right w:w="0" w:type="dxa"/>
        </w:tblCellMar>
        <w:tblLook w:val="01E0"/>
      </w:tblPr>
      <w:tblGrid>
        <w:gridCol w:w="2410"/>
        <w:gridCol w:w="992"/>
        <w:gridCol w:w="994"/>
        <w:gridCol w:w="1073"/>
        <w:gridCol w:w="1367"/>
        <w:gridCol w:w="1367"/>
        <w:gridCol w:w="1367"/>
      </w:tblGrid>
      <w:tr>
        <w:trPr>
          <w:trHeight w:val="71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400" w:right="131" w:hanging="270"/>
              <w:jc w:val="left"/>
              <w:rPr>
                <w:rFonts w:ascii="宋体" w:hAnsi="宋体" w:cs="宋体" w:eastAsia="宋体" w:hint="default"/>
                <w:sz w:val="18"/>
                <w:szCs w:val="18"/>
              </w:rPr>
            </w:pPr>
            <w:r>
              <w:rPr>
                <w:rFonts w:ascii="宋体" w:hAnsi="宋体" w:cs="宋体" w:eastAsia="宋体" w:hint="default"/>
                <w:sz w:val="18"/>
                <w:szCs w:val="18"/>
              </w:rPr>
              <w:t>土地使用 权</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440" w:right="170" w:hanging="270"/>
              <w:jc w:val="left"/>
              <w:rPr>
                <w:rFonts w:ascii="宋体" w:hAnsi="宋体" w:cs="宋体" w:eastAsia="宋体" w:hint="default"/>
                <w:sz w:val="18"/>
                <w:szCs w:val="18"/>
              </w:rPr>
            </w:pPr>
            <w:r>
              <w:rPr>
                <w:rFonts w:ascii="宋体" w:hAnsi="宋体" w:cs="宋体" w:eastAsia="宋体" w:hint="default"/>
                <w:sz w:val="18"/>
                <w:szCs w:val="18"/>
              </w:rPr>
              <w:t>非专利技 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专用软件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7" w:right="0"/>
              <w:jc w:val="left"/>
              <w:rPr>
                <w:rFonts w:ascii="宋体" w:hAnsi="宋体" w:cs="宋体" w:eastAsia="宋体" w:hint="default"/>
                <w:sz w:val="18"/>
                <w:szCs w:val="18"/>
              </w:rPr>
            </w:pPr>
            <w:r>
              <w:rPr>
                <w:rFonts w:ascii="宋体" w:hAnsi="宋体" w:cs="宋体" w:eastAsia="宋体" w:hint="default"/>
                <w:sz w:val="18"/>
                <w:szCs w:val="18"/>
              </w:rPr>
              <w:t>软件著作权</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3,339,706.23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3,339,706.23</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1,439,785.44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3,784,125.70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5,223,911.14</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1,439,785.44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1,439,785.44</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3,784,125.70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3,784,125.70</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4,779,491.67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3,784,125.70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8,563,617.37</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1,385,992.52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1,385,992.52</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660,619.92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105,114.60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765,734.52</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660,619.92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105,114.60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765,734.52</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2,046,612.44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105,114.60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2,151,727.04</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87" w:top="1060" w:bottom="1380" w:left="0" w:right="0"/>
        </w:sectPr>
      </w:pPr>
    </w:p>
    <w:p>
      <w:pPr>
        <w:spacing w:line="240" w:lineRule="auto" w:before="6"/>
        <w:rPr>
          <w:rFonts w:ascii="宋体" w:hAnsi="宋体" w:cs="宋体" w:eastAsia="宋体" w:hint="default"/>
          <w:sz w:val="28"/>
          <w:szCs w:val="28"/>
        </w:rPr>
      </w:pPr>
    </w:p>
    <w:tbl>
      <w:tblPr>
        <w:tblW w:w="0" w:type="auto"/>
        <w:jc w:val="left"/>
        <w:tblInd w:w="1021" w:type="dxa"/>
        <w:tblLayout w:type="fixed"/>
        <w:tblCellMar>
          <w:top w:w="0" w:type="dxa"/>
          <w:left w:w="0" w:type="dxa"/>
          <w:bottom w:w="0" w:type="dxa"/>
          <w:right w:w="0" w:type="dxa"/>
        </w:tblCellMar>
        <w:tblLook w:val="01E0"/>
      </w:tblPr>
      <w:tblGrid>
        <w:gridCol w:w="2410"/>
        <w:gridCol w:w="992"/>
        <w:gridCol w:w="994"/>
        <w:gridCol w:w="1073"/>
        <w:gridCol w:w="1367"/>
        <w:gridCol w:w="1367"/>
        <w:gridCol w:w="1367"/>
      </w:tblGrid>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20"/>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1,953,713.71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1,953,713.71</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20"/>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2,732,879.23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3,679,011.10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6,411,890.33</w:t>
            </w:r>
          </w:p>
        </w:tc>
      </w:tr>
    </w:tbl>
    <w:p>
      <w:pPr>
        <w:pStyle w:val="BodyText"/>
        <w:spacing w:line="240" w:lineRule="auto" w:before="51"/>
        <w:ind w:left="1134" w:right="0"/>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44.19%</w:t>
      </w:r>
      <w:r>
        <w:rPr/>
        <w:t>。</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未办妥产权证书的土地使用权情况" w:id="274"/>
      <w:bookmarkEnd w:id="274"/>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18、开发支出" w:id="275"/>
      <w:bookmarkEnd w:id="275"/>
      <w:r>
        <w:rPr>
          <w:b w:val="0"/>
          <w:bCs w:val="0"/>
        </w:rPr>
      </w:r>
      <w:r>
        <w:rPr>
          <w:rFonts w:ascii="Times New Roman" w:hAnsi="Times New Roman" w:cs="Times New Roman" w:eastAsia="Times New Roman" w:hint="default"/>
        </w:rPr>
        <w:t>18</w:t>
      </w:r>
      <w:r>
        <w:rPr/>
        <w:t>、开发支出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90" w:type="dxa"/>
        <w:tblLayout w:type="fixed"/>
        <w:tblCellMar>
          <w:top w:w="0" w:type="dxa"/>
          <w:left w:w="0" w:type="dxa"/>
          <w:bottom w:w="0" w:type="dxa"/>
          <w:right w:w="0" w:type="dxa"/>
        </w:tblCellMar>
        <w:tblLook w:val="01E0"/>
      </w:tblPr>
      <w:tblGrid>
        <w:gridCol w:w="1269"/>
        <w:gridCol w:w="1075"/>
        <w:gridCol w:w="1448"/>
        <w:gridCol w:w="709"/>
        <w:gridCol w:w="1645"/>
        <w:gridCol w:w="1559"/>
        <w:gridCol w:w="1811"/>
      </w:tblGrid>
      <w:tr>
        <w:trPr>
          <w:trHeight w:val="402" w:hRule="exact"/>
        </w:trPr>
        <w:tc>
          <w:tcPr>
            <w:tcW w:w="12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7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1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20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5"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8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4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269" w:type="dxa"/>
            <w:vMerge/>
            <w:tcBorders>
              <w:left w:val="single" w:sz="4" w:space="0" w:color="000000"/>
              <w:bottom w:val="single" w:sz="4" w:space="0" w:color="000000"/>
              <w:right w:val="single" w:sz="4" w:space="0" w:color="000000"/>
            </w:tcBorders>
            <w:shd w:val="clear" w:color="auto" w:fill="D2D2D2"/>
          </w:tcPr>
          <w:p>
            <w:pPr/>
          </w:p>
        </w:tc>
        <w:tc>
          <w:tcPr>
            <w:tcW w:w="1075" w:type="dxa"/>
            <w:vMerge/>
            <w:tcBorders>
              <w:left w:val="single" w:sz="4" w:space="0" w:color="000000"/>
              <w:bottom w:val="single" w:sz="4" w:space="0" w:color="000000"/>
              <w:right w:val="single" w:sz="4" w:space="0" w:color="000000"/>
            </w:tcBorders>
            <w:shd w:val="clear" w:color="auto" w:fill="D2D2D2"/>
          </w:tcPr>
          <w:p>
            <w:pPr/>
          </w:p>
        </w:tc>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7" w:right="0"/>
              <w:jc w:val="left"/>
              <w:rPr>
                <w:rFonts w:ascii="宋体" w:hAnsi="宋体" w:cs="宋体" w:eastAsia="宋体" w:hint="default"/>
                <w:sz w:val="18"/>
                <w:szCs w:val="18"/>
              </w:rPr>
            </w:pPr>
            <w:r>
              <w:rPr>
                <w:rFonts w:ascii="宋体" w:hAnsi="宋体" w:cs="宋体" w:eastAsia="宋体" w:hint="default"/>
                <w:sz w:val="18"/>
                <w:szCs w:val="18"/>
              </w:rPr>
              <w:t>内部开发支出</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7"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转入当期损益</w:t>
            </w:r>
          </w:p>
        </w:tc>
        <w:tc>
          <w:tcPr>
            <w:tcW w:w="1811"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2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56"/>
              <w:jc w:val="both"/>
              <w:rPr>
                <w:rFonts w:ascii="宋体" w:hAnsi="宋体" w:cs="宋体" w:eastAsia="宋体" w:hint="default"/>
                <w:sz w:val="18"/>
                <w:szCs w:val="18"/>
              </w:rPr>
            </w:pPr>
            <w:r>
              <w:rPr>
                <w:rFonts w:ascii="宋体" w:hAnsi="宋体" w:cs="宋体" w:eastAsia="宋体" w:hint="default"/>
                <w:sz w:val="18"/>
                <w:szCs w:val="18"/>
              </w:rPr>
              <w:t>高伟达保险业 务系统开发平 台</w:t>
            </w:r>
          </w:p>
        </w:tc>
        <w:tc>
          <w:tcPr>
            <w:tcW w:w="1075"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11,571,879.22</w:t>
            </w:r>
          </w:p>
        </w:tc>
        <w:tc>
          <w:tcPr>
            <w:tcW w:w="709" w:type="dxa"/>
            <w:tcBorders>
              <w:top w:val="single" w:sz="4" w:space="0" w:color="000000"/>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3,749,656.12</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7,822,223.10</w:t>
            </w:r>
          </w:p>
        </w:tc>
      </w:tr>
      <w:tr>
        <w:trPr>
          <w:trHeight w:val="714" w:hRule="exact"/>
        </w:trPr>
        <w:tc>
          <w:tcPr>
            <w:tcW w:w="12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56"/>
              <w:jc w:val="left"/>
              <w:rPr>
                <w:rFonts w:ascii="宋体" w:hAnsi="宋体" w:cs="宋体" w:eastAsia="宋体" w:hint="default"/>
                <w:sz w:val="18"/>
                <w:szCs w:val="18"/>
              </w:rPr>
            </w:pPr>
            <w:r>
              <w:rPr>
                <w:rFonts w:ascii="宋体" w:hAnsi="宋体" w:cs="宋体" w:eastAsia="宋体" w:hint="default"/>
                <w:sz w:val="18"/>
                <w:szCs w:val="18"/>
              </w:rPr>
              <w:t>高伟达核心业 务系统</w:t>
            </w:r>
          </w:p>
        </w:tc>
        <w:tc>
          <w:tcPr>
            <w:tcW w:w="1075"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8,130,806.50</w:t>
            </w:r>
          </w:p>
        </w:tc>
        <w:tc>
          <w:tcPr>
            <w:tcW w:w="709" w:type="dxa"/>
            <w:tcBorders>
              <w:top w:val="single" w:sz="4" w:space="0" w:color="000000"/>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3,917,923.05</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4,212,883.45</w:t>
            </w:r>
          </w:p>
        </w:tc>
      </w:tr>
      <w:tr>
        <w:trPr>
          <w:trHeight w:val="714" w:hRule="exact"/>
        </w:trPr>
        <w:tc>
          <w:tcPr>
            <w:tcW w:w="12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56"/>
              <w:jc w:val="left"/>
              <w:rPr>
                <w:rFonts w:ascii="宋体" w:hAnsi="宋体" w:cs="宋体" w:eastAsia="宋体" w:hint="default"/>
                <w:sz w:val="18"/>
                <w:szCs w:val="18"/>
              </w:rPr>
            </w:pPr>
            <w:r>
              <w:rPr>
                <w:rFonts w:ascii="宋体" w:hAnsi="宋体" w:cs="宋体" w:eastAsia="宋体" w:hint="default"/>
                <w:sz w:val="18"/>
                <w:szCs w:val="18"/>
              </w:rPr>
              <w:t>高伟达大数据 分析平台</w:t>
            </w:r>
          </w:p>
        </w:tc>
        <w:tc>
          <w:tcPr>
            <w:tcW w:w="1075"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4,980,621.16</w:t>
            </w:r>
          </w:p>
        </w:tc>
        <w:tc>
          <w:tcPr>
            <w:tcW w:w="709" w:type="dxa"/>
            <w:tcBorders>
              <w:top w:val="single" w:sz="4" w:space="0" w:color="000000"/>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3,736,915.92</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1,243,705.24</w:t>
            </w:r>
          </w:p>
        </w:tc>
      </w:tr>
      <w:tr>
        <w:trPr>
          <w:trHeight w:val="714" w:hRule="exact"/>
        </w:trPr>
        <w:tc>
          <w:tcPr>
            <w:tcW w:w="12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56"/>
              <w:jc w:val="left"/>
              <w:rPr>
                <w:rFonts w:ascii="宋体" w:hAnsi="宋体" w:cs="宋体" w:eastAsia="宋体" w:hint="default"/>
                <w:sz w:val="18"/>
                <w:szCs w:val="18"/>
              </w:rPr>
            </w:pPr>
            <w:r>
              <w:rPr>
                <w:rFonts w:ascii="宋体" w:hAnsi="宋体" w:cs="宋体" w:eastAsia="宋体" w:hint="default"/>
                <w:sz w:val="18"/>
                <w:szCs w:val="18"/>
              </w:rPr>
              <w:t>高伟达业务管 理集成系统</w:t>
            </w:r>
          </w:p>
        </w:tc>
        <w:tc>
          <w:tcPr>
            <w:tcW w:w="1075"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1,061,687.76</w:t>
            </w:r>
          </w:p>
        </w:tc>
        <w:tc>
          <w:tcPr>
            <w:tcW w:w="709" w:type="dxa"/>
            <w:tcBorders>
              <w:top w:val="single" w:sz="4" w:space="0" w:color="000000"/>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61,544.97</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1,000,142.79</w:t>
            </w:r>
          </w:p>
        </w:tc>
      </w:tr>
      <w:tr>
        <w:trPr>
          <w:trHeight w:val="1026" w:hRule="exact"/>
        </w:trPr>
        <w:tc>
          <w:tcPr>
            <w:tcW w:w="12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9" w:lineRule="auto" w:before="51"/>
              <w:ind w:left="22" w:right="99"/>
              <w:jc w:val="both"/>
              <w:rPr>
                <w:rFonts w:ascii="宋体" w:hAnsi="宋体" w:cs="宋体" w:eastAsia="宋体" w:hint="default"/>
                <w:sz w:val="18"/>
                <w:szCs w:val="18"/>
              </w:rPr>
            </w:pPr>
            <w:r>
              <w:rPr>
                <w:rFonts w:ascii="Times New Roman" w:hAnsi="Times New Roman" w:cs="Times New Roman" w:eastAsia="Times New Roman" w:hint="default"/>
                <w:sz w:val="18"/>
                <w:szCs w:val="18"/>
              </w:rPr>
              <w:t>EasyCMS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信用 风险缓释管理 系统</w:t>
            </w:r>
          </w:p>
        </w:tc>
        <w:tc>
          <w:tcPr>
            <w:tcW w:w="1075"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3,784,125.70</w:t>
            </w:r>
          </w:p>
        </w:tc>
        <w:tc>
          <w:tcPr>
            <w:tcW w:w="709" w:type="dxa"/>
            <w:tcBorders>
              <w:top w:val="single" w:sz="4" w:space="0" w:color="000000"/>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3,784,125.70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2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56"/>
              <w:jc w:val="left"/>
              <w:rPr>
                <w:rFonts w:ascii="宋体" w:hAnsi="宋体" w:cs="宋体" w:eastAsia="宋体" w:hint="default"/>
                <w:sz w:val="18"/>
                <w:szCs w:val="18"/>
              </w:rPr>
            </w:pPr>
            <w:r>
              <w:rPr>
                <w:rFonts w:ascii="宋体" w:hAnsi="宋体" w:cs="宋体" w:eastAsia="宋体" w:hint="default"/>
                <w:sz w:val="18"/>
                <w:szCs w:val="18"/>
              </w:rPr>
              <w:t>高伟达新信贷 业务系统</w:t>
            </w:r>
          </w:p>
        </w:tc>
        <w:tc>
          <w:tcPr>
            <w:tcW w:w="1075"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9,251,297.61</w:t>
            </w:r>
          </w:p>
        </w:tc>
        <w:tc>
          <w:tcPr>
            <w:tcW w:w="709" w:type="dxa"/>
            <w:tcBorders>
              <w:top w:val="single" w:sz="4" w:space="0" w:color="000000"/>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9,251,297.61</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2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56"/>
              <w:jc w:val="left"/>
              <w:rPr>
                <w:rFonts w:ascii="宋体" w:hAnsi="宋体" w:cs="宋体" w:eastAsia="宋体" w:hint="default"/>
                <w:sz w:val="18"/>
                <w:szCs w:val="18"/>
              </w:rPr>
            </w:pPr>
            <w:r>
              <w:rPr>
                <w:rFonts w:ascii="宋体" w:hAnsi="宋体" w:cs="宋体" w:eastAsia="宋体" w:hint="default"/>
                <w:sz w:val="18"/>
                <w:szCs w:val="18"/>
              </w:rPr>
              <w:t>高伟达新一代 基础开发框架</w:t>
            </w:r>
          </w:p>
        </w:tc>
        <w:tc>
          <w:tcPr>
            <w:tcW w:w="1075"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7,819,780.74</w:t>
            </w:r>
          </w:p>
        </w:tc>
        <w:tc>
          <w:tcPr>
            <w:tcW w:w="709" w:type="dxa"/>
            <w:tcBorders>
              <w:top w:val="single" w:sz="4" w:space="0" w:color="000000"/>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7,819,780.74</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2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高伟达云平台</w:t>
            </w:r>
          </w:p>
        </w:tc>
        <w:tc>
          <w:tcPr>
            <w:tcW w:w="1075"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4,512,708.62</w:t>
            </w:r>
          </w:p>
        </w:tc>
        <w:tc>
          <w:tcPr>
            <w:tcW w:w="709" w:type="dxa"/>
            <w:tcBorders>
              <w:top w:val="single" w:sz="4" w:space="0" w:color="000000"/>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4,512,708.62</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2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56"/>
              <w:jc w:val="left"/>
              <w:rPr>
                <w:rFonts w:ascii="宋体" w:hAnsi="宋体" w:cs="宋体" w:eastAsia="宋体" w:hint="default"/>
                <w:sz w:val="18"/>
                <w:szCs w:val="18"/>
              </w:rPr>
            </w:pPr>
            <w:r>
              <w:rPr>
                <w:rFonts w:ascii="宋体" w:hAnsi="宋体" w:cs="宋体" w:eastAsia="宋体" w:hint="default"/>
                <w:sz w:val="18"/>
                <w:szCs w:val="18"/>
              </w:rPr>
              <w:t>高伟达资产交 易平台</w:t>
            </w:r>
          </w:p>
        </w:tc>
        <w:tc>
          <w:tcPr>
            <w:tcW w:w="1075"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4,054,817.89</w:t>
            </w:r>
          </w:p>
        </w:tc>
        <w:tc>
          <w:tcPr>
            <w:tcW w:w="709" w:type="dxa"/>
            <w:tcBorders>
              <w:top w:val="single" w:sz="4" w:space="0" w:color="000000"/>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4,054,817.89</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2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56"/>
              <w:jc w:val="left"/>
              <w:rPr>
                <w:rFonts w:ascii="宋体" w:hAnsi="宋体" w:cs="宋体" w:eastAsia="宋体" w:hint="default"/>
                <w:sz w:val="18"/>
                <w:szCs w:val="18"/>
              </w:rPr>
            </w:pPr>
            <w:r>
              <w:rPr>
                <w:rFonts w:ascii="宋体" w:hAnsi="宋体" w:cs="宋体" w:eastAsia="宋体" w:hint="default"/>
                <w:sz w:val="18"/>
                <w:szCs w:val="18"/>
              </w:rPr>
              <w:t>高伟达证券业 务系统</w:t>
            </w:r>
          </w:p>
        </w:tc>
        <w:tc>
          <w:tcPr>
            <w:tcW w:w="1075"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3,772,768.01</w:t>
            </w:r>
          </w:p>
        </w:tc>
        <w:tc>
          <w:tcPr>
            <w:tcW w:w="709" w:type="dxa"/>
            <w:tcBorders>
              <w:top w:val="single" w:sz="4" w:space="0" w:color="000000"/>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3,772,768.01</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2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高伟达其他研</w:t>
            </w:r>
          </w:p>
        </w:tc>
        <w:tc>
          <w:tcPr>
            <w:tcW w:w="1075"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3,492,795.56</w:t>
            </w:r>
          </w:p>
        </w:tc>
        <w:tc>
          <w:tcPr>
            <w:tcW w:w="709" w:type="dxa"/>
            <w:tcBorders>
              <w:top w:val="single" w:sz="4" w:space="0" w:color="000000"/>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3,492,795.56</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7" w:top="1060" w:bottom="1460" w:left="0" w:right="0"/>
        </w:sectPr>
      </w:pPr>
    </w:p>
    <w:p>
      <w:pPr>
        <w:spacing w:line="240" w:lineRule="auto" w:before="6"/>
        <w:rPr>
          <w:rFonts w:ascii="宋体" w:hAnsi="宋体" w:cs="宋体" w:eastAsia="宋体" w:hint="default"/>
          <w:sz w:val="28"/>
          <w:szCs w:val="28"/>
        </w:rPr>
      </w:pPr>
    </w:p>
    <w:tbl>
      <w:tblPr>
        <w:tblW w:w="0" w:type="auto"/>
        <w:jc w:val="left"/>
        <w:tblInd w:w="1190" w:type="dxa"/>
        <w:tblLayout w:type="fixed"/>
        <w:tblCellMar>
          <w:top w:w="0" w:type="dxa"/>
          <w:left w:w="0" w:type="dxa"/>
          <w:bottom w:w="0" w:type="dxa"/>
          <w:right w:w="0" w:type="dxa"/>
        </w:tblCellMar>
        <w:tblLook w:val="01E0"/>
      </w:tblPr>
      <w:tblGrid>
        <w:gridCol w:w="1269"/>
        <w:gridCol w:w="1075"/>
        <w:gridCol w:w="1448"/>
        <w:gridCol w:w="709"/>
        <w:gridCol w:w="1645"/>
        <w:gridCol w:w="1559"/>
        <w:gridCol w:w="1811"/>
      </w:tblGrid>
      <w:tr>
        <w:trPr>
          <w:trHeight w:val="362" w:hRule="exact"/>
        </w:trPr>
        <w:tc>
          <w:tcPr>
            <w:tcW w:w="12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究开发项目</w:t>
            </w:r>
          </w:p>
        </w:tc>
        <w:tc>
          <w:tcPr>
            <w:tcW w:w="1075" w:type="dxa"/>
            <w:tcBorders>
              <w:top w:val="single" w:sz="4" w:space="0" w:color="000000"/>
              <w:left w:val="single" w:sz="13" w:space="0" w:color="E0FFFF"/>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81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56"/>
              <w:jc w:val="left"/>
              <w:rPr>
                <w:rFonts w:ascii="宋体" w:hAnsi="宋体" w:cs="宋体" w:eastAsia="宋体" w:hint="default"/>
                <w:sz w:val="18"/>
                <w:szCs w:val="18"/>
              </w:rPr>
            </w:pPr>
            <w:r>
              <w:rPr>
                <w:rFonts w:ascii="宋体" w:hAnsi="宋体" w:cs="宋体" w:eastAsia="宋体" w:hint="default"/>
                <w:sz w:val="18"/>
                <w:szCs w:val="18"/>
              </w:rPr>
              <w:t>高伟达新一代 营销系统</w:t>
            </w:r>
          </w:p>
        </w:tc>
        <w:tc>
          <w:tcPr>
            <w:tcW w:w="1075"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3,279,284.51</w:t>
            </w:r>
          </w:p>
        </w:tc>
        <w:tc>
          <w:tcPr>
            <w:tcW w:w="709" w:type="dxa"/>
            <w:tcBorders>
              <w:top w:val="single" w:sz="4" w:space="0" w:color="000000"/>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3,279,284.51</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65,712,573.28</w:t>
            </w:r>
          </w:p>
        </w:tc>
        <w:tc>
          <w:tcPr>
            <w:tcW w:w="709" w:type="dxa"/>
            <w:tcBorders>
              <w:top w:val="single" w:sz="4" w:space="0" w:color="000000"/>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3,784,125.70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47,649,493.00</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14,278,954.58</w:t>
            </w:r>
          </w:p>
        </w:tc>
      </w:tr>
    </w:tbl>
    <w:p>
      <w:pPr>
        <w:spacing w:line="240" w:lineRule="auto" w:before="3"/>
        <w:rPr>
          <w:rFonts w:ascii="宋体" w:hAnsi="宋体" w:cs="宋体" w:eastAsia="宋体" w:hint="default"/>
          <w:sz w:val="26"/>
          <w:szCs w:val="26"/>
        </w:rPr>
      </w:pPr>
    </w:p>
    <w:p>
      <w:pPr>
        <w:pStyle w:val="Heading5"/>
        <w:spacing w:line="240" w:lineRule="auto"/>
        <w:ind w:left="1133" w:right="0"/>
        <w:jc w:val="left"/>
      </w:pPr>
      <w:r>
        <w:rPr/>
        <w:t>（</w:t>
      </w:r>
      <w:r>
        <w:rPr>
          <w:rFonts w:ascii="Times New Roman" w:hAnsi="Times New Roman" w:cs="Times New Roman" w:eastAsia="Times New Roman" w:hint="default"/>
        </w:rPr>
        <w:t>2</w:t>
      </w:r>
      <w:r>
        <w:rPr/>
        <w:t>）资本化开始时点、资本化的具体依据、截至年末的研发进度</w:t>
      </w:r>
    </w:p>
    <w:p>
      <w:pPr>
        <w:spacing w:line="240" w:lineRule="auto" w:before="9"/>
        <w:rPr>
          <w:rFonts w:ascii="宋体" w:hAnsi="宋体" w:cs="宋体" w:eastAsia="宋体" w:hint="default"/>
          <w:sz w:val="5"/>
          <w:szCs w:val="5"/>
        </w:rPr>
      </w:pPr>
    </w:p>
    <w:tbl>
      <w:tblPr>
        <w:tblW w:w="0" w:type="auto"/>
        <w:jc w:val="left"/>
        <w:tblInd w:w="1243" w:type="dxa"/>
        <w:tblLayout w:type="fixed"/>
        <w:tblCellMar>
          <w:top w:w="0" w:type="dxa"/>
          <w:left w:w="0" w:type="dxa"/>
          <w:bottom w:w="0" w:type="dxa"/>
          <w:right w:w="0" w:type="dxa"/>
        </w:tblCellMar>
        <w:tblLook w:val="01E0"/>
      </w:tblPr>
      <w:tblGrid>
        <w:gridCol w:w="2794"/>
        <w:gridCol w:w="1984"/>
        <w:gridCol w:w="2553"/>
        <w:gridCol w:w="2081"/>
      </w:tblGrid>
      <w:tr>
        <w:trPr>
          <w:trHeight w:val="40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b/>
                <w:bCs/>
                <w:sz w:val="18"/>
                <w:szCs w:val="18"/>
              </w:rPr>
              <w:t>资本化开始时点</w:t>
            </w:r>
            <w:r>
              <w:rPr>
                <w:rFonts w:ascii="宋体" w:hAnsi="宋体" w:cs="宋体" w:eastAsia="宋体" w:hint="default"/>
                <w:sz w:val="18"/>
                <w:szCs w:val="18"/>
              </w:rPr>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截至年末的研发进度</w:t>
            </w:r>
            <w:r>
              <w:rPr>
                <w:rFonts w:ascii="宋体" w:hAnsi="宋体" w:cs="宋体" w:eastAsia="宋体" w:hint="default"/>
                <w:sz w:val="18"/>
                <w:szCs w:val="18"/>
              </w:rPr>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01" w:right="0"/>
              <w:jc w:val="left"/>
              <w:rPr>
                <w:rFonts w:ascii="宋体" w:hAnsi="宋体" w:cs="宋体" w:eastAsia="宋体" w:hint="default"/>
                <w:sz w:val="18"/>
                <w:szCs w:val="18"/>
              </w:rPr>
            </w:pPr>
            <w:r>
              <w:rPr>
                <w:rFonts w:ascii="宋体" w:hAnsi="宋体" w:cs="宋体" w:eastAsia="宋体" w:hint="default"/>
                <w:b/>
                <w:bCs/>
                <w:sz w:val="18"/>
                <w:szCs w:val="18"/>
              </w:rPr>
              <w:t>资本化具体依据</w:t>
            </w:r>
            <w:r>
              <w:rPr>
                <w:rFonts w:ascii="宋体" w:hAnsi="宋体" w:cs="宋体" w:eastAsia="宋体" w:hint="default"/>
                <w:sz w:val="18"/>
                <w:szCs w:val="18"/>
              </w:rPr>
            </w:r>
          </w:p>
        </w:tc>
      </w:tr>
      <w:tr>
        <w:trPr>
          <w:trHeight w:val="40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高伟达保险业务系统开发平台</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实施中，已完成多个模块</w:t>
            </w:r>
          </w:p>
        </w:tc>
        <w:tc>
          <w:tcPr>
            <w:tcW w:w="208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6" w:lineRule="auto"/>
              <w:ind w:left="101" w:right="167"/>
              <w:jc w:val="both"/>
              <w:rPr>
                <w:rFonts w:ascii="宋体" w:hAnsi="宋体" w:cs="宋体" w:eastAsia="宋体" w:hint="default"/>
                <w:sz w:val="18"/>
                <w:szCs w:val="18"/>
              </w:rPr>
            </w:pPr>
            <w:r>
              <w:rPr>
                <w:rFonts w:ascii="宋体" w:hAnsi="宋体" w:cs="宋体" w:eastAsia="宋体" w:hint="default"/>
                <w:sz w:val="18"/>
                <w:szCs w:val="18"/>
              </w:rPr>
              <w:t>通过立项评审，开展开 发工作，逐步实现目标 功能及达到其他预期要 求。</w:t>
            </w:r>
          </w:p>
        </w:tc>
      </w:tr>
      <w:tr>
        <w:trPr>
          <w:trHeight w:val="714"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03" w:right="102"/>
              <w:jc w:val="left"/>
              <w:rPr>
                <w:rFonts w:ascii="宋体" w:hAnsi="宋体" w:cs="宋体" w:eastAsia="宋体" w:hint="default"/>
                <w:sz w:val="18"/>
                <w:szCs w:val="18"/>
              </w:rPr>
            </w:pPr>
            <w:r>
              <w:rPr>
                <w:rFonts w:ascii="宋体" w:hAnsi="宋体" w:cs="宋体" w:eastAsia="宋体" w:hint="default"/>
                <w:spacing w:val="-8"/>
                <w:sz w:val="18"/>
                <w:szCs w:val="18"/>
              </w:rPr>
              <w:t>高伟达核心业务系统（四期、</w:t>
            </w:r>
            <w:r>
              <w:rPr>
                <w:rFonts w:ascii="Times New Roman" w:hAnsi="Times New Roman" w:cs="Times New Roman" w:eastAsia="Times New Roman" w:hint="default"/>
                <w:spacing w:val="-8"/>
                <w:sz w:val="18"/>
                <w:szCs w:val="18"/>
              </w:rPr>
              <w:t>SaaS</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托管）</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实施中，已完成多个模块</w:t>
            </w:r>
          </w:p>
        </w:tc>
        <w:tc>
          <w:tcPr>
            <w:tcW w:w="2081" w:type="dxa"/>
            <w:vMerge/>
            <w:tcBorders>
              <w:left w:val="single" w:sz="4" w:space="0" w:color="000000"/>
              <w:right w:val="single" w:sz="4" w:space="0" w:color="000000"/>
            </w:tcBorders>
          </w:tcPr>
          <w:p>
            <w:pPr/>
          </w:p>
        </w:tc>
      </w:tr>
      <w:tr>
        <w:trPr>
          <w:trHeight w:val="714"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59"/>
              <w:jc w:val="left"/>
              <w:rPr>
                <w:rFonts w:ascii="宋体" w:hAnsi="宋体" w:cs="宋体" w:eastAsia="宋体" w:hint="default"/>
                <w:sz w:val="18"/>
                <w:szCs w:val="18"/>
              </w:rPr>
            </w:pPr>
            <w:r>
              <w:rPr>
                <w:rFonts w:ascii="宋体" w:hAnsi="宋体" w:cs="宋体" w:eastAsia="宋体" w:hint="default"/>
                <w:sz w:val="18"/>
                <w:szCs w:val="18"/>
              </w:rPr>
              <w:t>高伟达大数据分析平台（辅助信 贷）</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实施中，已完成主体功能</w:t>
            </w:r>
          </w:p>
        </w:tc>
        <w:tc>
          <w:tcPr>
            <w:tcW w:w="2081" w:type="dxa"/>
            <w:vMerge/>
            <w:tcBorders>
              <w:left w:val="single" w:sz="4" w:space="0" w:color="000000"/>
              <w:right w:val="single" w:sz="4" w:space="0" w:color="000000"/>
            </w:tcBorders>
          </w:tcPr>
          <w:p>
            <w:pPr/>
          </w:p>
        </w:tc>
      </w:tr>
      <w:tr>
        <w:trPr>
          <w:trHeight w:val="40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高伟达业务管理集成系统</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一期已上线，二期实施中</w:t>
            </w:r>
          </w:p>
        </w:tc>
        <w:tc>
          <w:tcPr>
            <w:tcW w:w="2081"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19、商誉" w:id="276"/>
      <w:bookmarkEnd w:id="276"/>
      <w:r>
        <w:rPr>
          <w:b w:val="0"/>
          <w:bCs w:val="0"/>
        </w:rPr>
      </w:r>
      <w:r>
        <w:rPr>
          <w:rFonts w:ascii="Times New Roman" w:hAnsi="Times New Roman" w:cs="Times New Roman" w:eastAsia="Times New Roman" w:hint="default"/>
        </w:rPr>
        <w:t>19</w:t>
      </w:r>
      <w:r>
        <w:rPr/>
        <w:t>、商誉</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1）商誉账面原值" w:id="277"/>
      <w:bookmarkEnd w:id="277"/>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2735"/>
        <w:gridCol w:w="2734"/>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商誉减值准备" w:id="278"/>
      <w:bookmarkEnd w:id="278"/>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2735"/>
        <w:gridCol w:w="2734"/>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360" w:lineRule="auto" w:before="51"/>
        <w:ind w:left="1134" w:right="6072"/>
        <w:jc w:val="left"/>
      </w:pPr>
      <w:r>
        <w:rPr/>
        <w:t>说明商誉减值测试过程、参数及商誉减值损失的确认方法： 其他说明</w:t>
      </w:r>
    </w:p>
    <w:p>
      <w:pPr>
        <w:spacing w:line="240" w:lineRule="auto" w:before="11"/>
        <w:rPr>
          <w:rFonts w:ascii="宋体" w:hAnsi="宋体" w:cs="宋体" w:eastAsia="宋体" w:hint="default"/>
          <w:sz w:val="19"/>
          <w:szCs w:val="19"/>
        </w:rPr>
      </w:pPr>
    </w:p>
    <w:p>
      <w:pPr>
        <w:pStyle w:val="Heading4"/>
        <w:spacing w:line="240" w:lineRule="auto"/>
        <w:ind w:left="1134" w:right="0"/>
        <w:jc w:val="left"/>
        <w:rPr>
          <w:b w:val="0"/>
          <w:bCs w:val="0"/>
        </w:rPr>
      </w:pPr>
      <w:bookmarkStart w:name="20、长期待摊费用" w:id="279"/>
      <w:bookmarkEnd w:id="279"/>
      <w:r>
        <w:rPr>
          <w:b w:val="0"/>
          <w:bCs w:val="0"/>
        </w:rPr>
      </w:r>
      <w:r>
        <w:rPr>
          <w:rFonts w:ascii="Times New Roman" w:hAnsi="Times New Roman" w:cs="Times New Roman" w:eastAsia="Times New Roman" w:hint="default"/>
        </w:rPr>
        <w:t>20</w:t>
      </w:r>
      <w:r>
        <w:rPr/>
        <w:t>、长期待摊费用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21" w:type="dxa"/>
        <w:tblLayout w:type="fixed"/>
        <w:tblCellMar>
          <w:top w:w="0" w:type="dxa"/>
          <w:left w:w="0" w:type="dxa"/>
          <w:bottom w:w="0" w:type="dxa"/>
          <w:right w:w="0" w:type="dxa"/>
        </w:tblCellMar>
        <w:tblLook w:val="01E0"/>
      </w:tblPr>
      <w:tblGrid>
        <w:gridCol w:w="2128"/>
        <w:gridCol w:w="1062"/>
        <w:gridCol w:w="1595"/>
        <w:gridCol w:w="1594"/>
        <w:gridCol w:w="1594"/>
        <w:gridCol w:w="1595"/>
      </w:tblGrid>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03" w:right="125"/>
              <w:jc w:val="left"/>
              <w:rPr>
                <w:rFonts w:ascii="宋体" w:hAnsi="宋体" w:cs="宋体" w:eastAsia="宋体" w:hint="default"/>
                <w:sz w:val="18"/>
                <w:szCs w:val="18"/>
              </w:rPr>
            </w:pPr>
            <w:r>
              <w:rPr>
                <w:rFonts w:ascii="宋体" w:hAnsi="宋体" w:cs="宋体" w:eastAsia="宋体" w:hint="default"/>
                <w:sz w:val="18"/>
                <w:szCs w:val="18"/>
              </w:rPr>
              <w:t>高斓大厦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层装修 费</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center"/>
              <w:rPr>
                <w:rFonts w:ascii="Times New Roman" w:hAnsi="Times New Roman" w:cs="Times New Roman" w:eastAsia="Times New Roman" w:hint="default"/>
                <w:sz w:val="18"/>
                <w:szCs w:val="18"/>
              </w:rPr>
            </w:pPr>
            <w:r>
              <w:rPr>
                <w:rFonts w:ascii="Times New Roman"/>
                <w:sz w:val="18"/>
              </w:rPr>
              <w:t>704,375.75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699,700.25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4,675.50</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pacing w:val="-7"/>
                <w:sz w:val="18"/>
                <w:szCs w:val="18"/>
              </w:rPr>
              <w:t>重庆、成都办公室装修费</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center"/>
              <w:rPr>
                <w:rFonts w:ascii="Times New Roman" w:hAnsi="Times New Roman" w:cs="Times New Roman" w:eastAsia="Times New Roman" w:hint="default"/>
                <w:sz w:val="18"/>
                <w:szCs w:val="18"/>
              </w:rPr>
            </w:pPr>
            <w:r>
              <w:rPr>
                <w:rFonts w:ascii="Times New Roman"/>
                <w:sz w:val="18"/>
              </w:rPr>
              <w:t>343,355.84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118,230.84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225,125.00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7" w:top="1060" w:bottom="1380" w:left="0" w:right="0"/>
        </w:sectPr>
      </w:pPr>
    </w:p>
    <w:p>
      <w:pPr>
        <w:spacing w:line="240" w:lineRule="auto" w:before="6"/>
        <w:rPr>
          <w:rFonts w:ascii="宋体" w:hAnsi="宋体" w:cs="宋体" w:eastAsia="宋体" w:hint="default"/>
          <w:sz w:val="28"/>
          <w:szCs w:val="28"/>
        </w:rPr>
      </w:pPr>
    </w:p>
    <w:tbl>
      <w:tblPr>
        <w:tblW w:w="0" w:type="auto"/>
        <w:jc w:val="left"/>
        <w:tblInd w:w="1021" w:type="dxa"/>
        <w:tblLayout w:type="fixed"/>
        <w:tblCellMar>
          <w:top w:w="0" w:type="dxa"/>
          <w:left w:w="0" w:type="dxa"/>
          <w:bottom w:w="0" w:type="dxa"/>
          <w:right w:w="0" w:type="dxa"/>
        </w:tblCellMar>
        <w:tblLook w:val="01E0"/>
      </w:tblPr>
      <w:tblGrid>
        <w:gridCol w:w="2128"/>
        <w:gridCol w:w="1062"/>
        <w:gridCol w:w="1595"/>
        <w:gridCol w:w="1594"/>
        <w:gridCol w:w="1594"/>
        <w:gridCol w:w="1595"/>
      </w:tblGrid>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网易邮箱服务费</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center"/>
              <w:rPr>
                <w:rFonts w:ascii="Times New Roman" w:hAnsi="Times New Roman" w:cs="Times New Roman" w:eastAsia="Times New Roman" w:hint="default"/>
                <w:sz w:val="18"/>
                <w:szCs w:val="18"/>
              </w:rPr>
            </w:pPr>
            <w:r>
              <w:rPr>
                <w:rFonts w:ascii="Times New Roman"/>
                <w:sz w:val="18"/>
              </w:rPr>
              <w:t>271,875.00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43,160.38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117,895.04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197,140.34</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江苏办公室装修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center"/>
              <w:rPr>
                <w:rFonts w:ascii="Times New Roman" w:hAnsi="Times New Roman" w:cs="Times New Roman" w:eastAsia="Times New Roman" w:hint="default"/>
                <w:sz w:val="18"/>
                <w:szCs w:val="18"/>
              </w:rPr>
            </w:pPr>
            <w:r>
              <w:rPr>
                <w:rFonts w:ascii="Times New Roman"/>
                <w:sz w:val="18"/>
              </w:rPr>
              <w:t>390,051.27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90,011.83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300,039.44</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上海办公室装修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center"/>
              <w:rPr>
                <w:rFonts w:ascii="Times New Roman" w:hAnsi="Times New Roman" w:cs="Times New Roman" w:eastAsia="Times New Roman" w:hint="default"/>
                <w:sz w:val="18"/>
                <w:szCs w:val="18"/>
              </w:rPr>
            </w:pPr>
            <w:r>
              <w:rPr>
                <w:rFonts w:ascii="Times New Roman"/>
                <w:sz w:val="18"/>
              </w:rPr>
              <w:t>618,559.93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125,808.80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492,751.13</w:t>
            </w:r>
          </w:p>
        </w:tc>
      </w:tr>
      <w:tr>
        <w:trPr>
          <w:trHeight w:val="71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2,328,217.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43,160.38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1,151,646.76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1,219,731.41</w:t>
            </w:r>
          </w:p>
        </w:tc>
      </w:tr>
    </w:tbl>
    <w:p>
      <w:pPr>
        <w:pStyle w:val="BodyText"/>
        <w:spacing w:line="240" w:lineRule="auto" w:before="51"/>
        <w:ind w:left="1134" w:right="0"/>
        <w:jc w:val="left"/>
      </w:pPr>
      <w:r>
        <w:rPr/>
        <w:t>其他说明</w:t>
      </w:r>
    </w:p>
    <w:p>
      <w:pPr>
        <w:spacing w:line="240" w:lineRule="auto" w:before="6"/>
        <w:rPr>
          <w:rFonts w:ascii="宋体" w:hAnsi="宋体" w:cs="宋体" w:eastAsia="宋体" w:hint="default"/>
          <w:sz w:val="12"/>
          <w:szCs w:val="12"/>
        </w:rPr>
      </w:pPr>
    </w:p>
    <w:p>
      <w:pPr>
        <w:pStyle w:val="Heading3"/>
        <w:spacing w:line="240" w:lineRule="auto"/>
        <w:ind w:left="1574" w:right="0" w:firstLine="0"/>
        <w:jc w:val="left"/>
      </w:pPr>
      <w:r>
        <w:rPr/>
        <w:t>长期待摊费用在其预计受益期</w:t>
      </w:r>
      <w:r>
        <w:rPr>
          <w:rFonts w:ascii="Times New Roman" w:hAnsi="Times New Roman" w:cs="Times New Roman" w:eastAsia="Times New Roman" w:hint="default"/>
        </w:rPr>
        <w:t>3-5</w:t>
      </w:r>
      <w:r>
        <w:rPr/>
        <w:t>年内平均摊销。</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6"/>
          <w:szCs w:val="26"/>
        </w:rPr>
      </w:pPr>
    </w:p>
    <w:p>
      <w:pPr>
        <w:pStyle w:val="Heading4"/>
        <w:spacing w:line="240" w:lineRule="auto"/>
        <w:ind w:left="1134" w:right="0"/>
        <w:jc w:val="left"/>
        <w:rPr>
          <w:b w:val="0"/>
          <w:bCs w:val="0"/>
        </w:rPr>
      </w:pPr>
      <w:bookmarkStart w:name="21、递延所得税资产/递延所得税负债" w:id="280"/>
      <w:bookmarkEnd w:id="280"/>
      <w:r>
        <w:rPr>
          <w:b w:val="0"/>
          <w:bCs w:val="0"/>
        </w:rPr>
      </w:r>
      <w:r>
        <w:rPr>
          <w:rFonts w:ascii="Times New Roman" w:hAnsi="Times New Roman" w:cs="Times New Roman" w:eastAsia="Times New Roman" w:hint="default"/>
        </w:rPr>
        <w:t>21</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未经抵销的递延所得税资产" w:id="281"/>
      <w:bookmarkEnd w:id="281"/>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21" w:type="dxa"/>
        <w:tblLayout w:type="fixed"/>
        <w:tblCellMar>
          <w:top w:w="0" w:type="dxa"/>
          <w:left w:w="0" w:type="dxa"/>
          <w:bottom w:w="0" w:type="dxa"/>
          <w:right w:w="0" w:type="dxa"/>
        </w:tblCellMar>
        <w:tblLook w:val="01E0"/>
      </w:tblPr>
      <w:tblGrid>
        <w:gridCol w:w="2268"/>
        <w:gridCol w:w="1560"/>
        <w:gridCol w:w="1914"/>
        <w:gridCol w:w="1914"/>
        <w:gridCol w:w="1914"/>
      </w:tblGrid>
      <w:tr>
        <w:trPr>
          <w:trHeight w:val="402" w:hRule="exact"/>
        </w:trPr>
        <w:tc>
          <w:tcPr>
            <w:tcW w:w="2268" w:type="dxa"/>
            <w:vMerge w:val="restart"/>
            <w:tcBorders>
              <w:top w:val="single" w:sz="4" w:space="0" w:color="000000"/>
              <w:left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2268" w:type="dxa"/>
            <w:vMerge/>
            <w:tcBorders>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685" w:right="143" w:hanging="540"/>
              <w:jc w:val="left"/>
              <w:rPr>
                <w:rFonts w:ascii="宋体" w:hAnsi="宋体" w:cs="宋体" w:eastAsia="宋体" w:hint="default"/>
                <w:sz w:val="18"/>
                <w:szCs w:val="18"/>
              </w:rPr>
            </w:pPr>
            <w:r>
              <w:rPr>
                <w:rFonts w:ascii="宋体" w:hAnsi="宋体" w:cs="宋体" w:eastAsia="宋体" w:hint="default"/>
                <w:sz w:val="18"/>
                <w:szCs w:val="18"/>
              </w:rPr>
              <w:t>可抵扣暂时性差 异</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24,232,549.34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3,634,882.41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18,428,568.22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2,764,285.24</w:t>
            </w:r>
          </w:p>
        </w:tc>
      </w:tr>
      <w:tr>
        <w:trPr>
          <w:trHeight w:val="71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已计提未发放应付职工薪 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2,959,199.64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443,879.95</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24,232,549.34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3,634,882.41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21,387,767.86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3,208,165.19</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未经抵销的递延所得税负债" w:id="282"/>
      <w:bookmarkEnd w:id="282"/>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3）以抵销后净额列示的递延所得税资产或负债" w:id="283"/>
      <w:bookmarkEnd w:id="283"/>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161"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3,634,882.41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3,208,165.19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3"/>
        <w:rPr>
          <w:rFonts w:ascii="宋体" w:hAnsi="宋体" w:cs="宋体" w:eastAsia="宋体" w:hint="default"/>
          <w:sz w:val="19"/>
          <w:szCs w:val="19"/>
        </w:rPr>
      </w:pPr>
    </w:p>
    <w:p>
      <w:pPr>
        <w:pStyle w:val="Heading4"/>
        <w:spacing w:line="240" w:lineRule="auto" w:before="35"/>
        <w:ind w:left="1134" w:right="0"/>
        <w:jc w:val="left"/>
        <w:rPr>
          <w:b w:val="0"/>
          <w:bCs w:val="0"/>
        </w:rPr>
      </w:pPr>
      <w:bookmarkStart w:name="（4）未确认递延所得税资产明细" w:id="284"/>
      <w:bookmarkEnd w:id="284"/>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877" w:footer="1187" w:top="1060" w:bottom="138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5）未确认递延所得税资产的可抵扣亏损将于以下年度到期" w:id="285"/>
      <w:bookmarkEnd w:id="285"/>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2、其他非流动资产" w:id="286"/>
      <w:bookmarkEnd w:id="286"/>
      <w:r>
        <w:rPr>
          <w:b w:val="0"/>
          <w:bCs w:val="0"/>
        </w:rPr>
      </w:r>
      <w:r>
        <w:rPr>
          <w:rFonts w:ascii="Times New Roman" w:hAnsi="Times New Roman" w:cs="Times New Roman" w:eastAsia="Times New Roman" w:hint="default"/>
        </w:rPr>
        <w:t>22</w:t>
      </w:r>
      <w:r>
        <w:rPr/>
        <w:t>、其他非流动资产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3、短期借款" w:id="287"/>
      <w:bookmarkEnd w:id="287"/>
      <w:r>
        <w:rPr>
          <w:b w:val="0"/>
          <w:bCs w:val="0"/>
        </w:rPr>
      </w:r>
      <w:r>
        <w:rPr>
          <w:rFonts w:ascii="Times New Roman" w:hAnsi="Times New Roman" w:cs="Times New Roman" w:eastAsia="Times New Roman" w:hint="default"/>
        </w:rPr>
        <w:t>23</w:t>
      </w:r>
      <w:r>
        <w:rPr/>
        <w:t>、短期借款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0"/>
        <w:jc w:val="left"/>
        <w:rPr>
          <w:b w:val="0"/>
          <w:bCs w:val="0"/>
        </w:rPr>
      </w:pPr>
      <w:bookmarkStart w:name="（1）短期借款分类" w:id="288"/>
      <w:bookmarkEnd w:id="288"/>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146,700,000.00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146,700,000.00</w:t>
            </w:r>
          </w:p>
        </w:tc>
      </w:tr>
    </w:tbl>
    <w:p>
      <w:pPr>
        <w:pStyle w:val="BodyText"/>
        <w:spacing w:line="240" w:lineRule="auto" w:before="51"/>
        <w:ind w:left="1134" w:right="0"/>
        <w:jc w:val="left"/>
      </w:pPr>
      <w:r>
        <w:rPr/>
        <w:t>短期借款分类的说明：</w:t>
      </w:r>
    </w:p>
    <w:p>
      <w:pPr>
        <w:spacing w:line="240" w:lineRule="auto" w:before="6"/>
        <w:rPr>
          <w:rFonts w:ascii="宋体" w:hAnsi="宋体" w:cs="宋体" w:eastAsia="宋体" w:hint="default"/>
          <w:sz w:val="12"/>
          <w:szCs w:val="12"/>
        </w:rPr>
      </w:pPr>
    </w:p>
    <w:p>
      <w:pPr>
        <w:pStyle w:val="Heading3"/>
        <w:spacing w:line="240" w:lineRule="auto"/>
        <w:ind w:left="1134" w:right="0" w:firstLine="0"/>
        <w:jc w:val="left"/>
      </w:pPr>
      <w:r>
        <w:rPr>
          <w:rFonts w:ascii="宋体" w:hAnsi="宋体" w:cs="宋体" w:eastAsia="宋体" w:hint="default"/>
        </w:rPr>
        <w:t>1.</w:t>
      </w:r>
      <w:r>
        <w:rPr>
          <w:rFonts w:ascii="宋体" w:hAnsi="宋体" w:cs="宋体" w:eastAsia="宋体" w:hint="default"/>
          <w:spacing w:val="16"/>
        </w:rPr>
        <w:t> </w:t>
      </w:r>
      <w:r>
        <w:rPr/>
        <w:t>本公司从民生银行总行营业部借入</w:t>
      </w:r>
      <w:r>
        <w:rPr>
          <w:rFonts w:ascii="Times New Roman" w:hAnsi="Times New Roman" w:cs="Times New Roman" w:eastAsia="Times New Roman" w:hint="default"/>
        </w:rPr>
        <w:t>2,000.00</w:t>
      </w:r>
      <w:r>
        <w:rPr/>
        <w:t>万元，由自然人于伟提供最高额保证担保；</w:t>
      </w:r>
    </w:p>
    <w:p>
      <w:pPr>
        <w:pStyle w:val="Heading3"/>
        <w:spacing w:line="244" w:lineRule="auto" w:before="127"/>
        <w:ind w:left="1493" w:right="1119" w:hanging="360"/>
        <w:jc w:val="left"/>
      </w:pPr>
      <w:r>
        <w:rPr>
          <w:rFonts w:ascii="宋体" w:hAnsi="宋体" w:cs="宋体" w:eastAsia="宋体" w:hint="default"/>
        </w:rPr>
        <w:t>2.</w:t>
      </w:r>
      <w:r>
        <w:rPr>
          <w:rFonts w:ascii="宋体" w:hAnsi="宋体" w:cs="宋体" w:eastAsia="宋体" w:hint="default"/>
          <w:spacing w:val="-46"/>
        </w:rPr>
        <w:t> </w:t>
      </w:r>
      <w:r>
        <w:rPr/>
        <w:t>民生银行总行营业部的最高额保证担保合同于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19</w:t>
      </w:r>
      <w:r>
        <w:rPr/>
        <w:t>日到期，本公司于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9</w:t>
      </w:r>
      <w:r>
        <w:rPr/>
        <w:t>日重新签</w:t>
      </w:r>
      <w:r>
        <w:rPr>
          <w:w w:val="99"/>
        </w:rPr>
        <w:t> </w:t>
      </w:r>
      <w:r>
        <w:rPr/>
        <w:t>订最高额保证担保合同，到期日</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9</w:t>
      </w:r>
      <w:r>
        <w:rPr/>
        <w:t>日，最高担保额为</w:t>
      </w:r>
      <w:r>
        <w:rPr>
          <w:rFonts w:ascii="Times New Roman" w:hAnsi="Times New Roman" w:cs="Times New Roman" w:eastAsia="Times New Roman" w:hint="default"/>
        </w:rPr>
        <w:t>10,000.00</w:t>
      </w:r>
      <w:r>
        <w:rPr/>
        <w:t>万元。</w:t>
      </w:r>
    </w:p>
    <w:p>
      <w:pPr>
        <w:spacing w:line="240" w:lineRule="auto" w:before="11"/>
        <w:rPr>
          <w:rFonts w:ascii="宋体" w:hAnsi="宋体" w:cs="宋体" w:eastAsia="宋体" w:hint="default"/>
          <w:sz w:val="23"/>
          <w:szCs w:val="23"/>
        </w:rPr>
      </w:pPr>
    </w:p>
    <w:p>
      <w:pPr>
        <w:pStyle w:val="Heading4"/>
        <w:spacing w:line="240" w:lineRule="auto"/>
        <w:ind w:right="0"/>
        <w:jc w:val="left"/>
        <w:rPr>
          <w:b w:val="0"/>
          <w:bCs w:val="0"/>
        </w:rPr>
      </w:pPr>
      <w:bookmarkStart w:name="（2）已逾期未偿还的短期借款情况" w:id="289"/>
      <w:bookmarkEnd w:id="289"/>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本期末已逾期未偿还的短期借款总额为元，其中重要的已逾期未偿还的短期借款情况如下：</w:t>
      </w:r>
    </w:p>
    <w:p>
      <w:pPr>
        <w:pStyle w:val="BodyText"/>
        <w:spacing w:line="240" w:lineRule="auto" w:before="116"/>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4、以公允价值计量且其变动计入当期损益的金融负债" w:id="290"/>
      <w:bookmarkEnd w:id="290"/>
      <w:r>
        <w:rPr>
          <w:b w:val="0"/>
          <w:bCs w:val="0"/>
        </w:rPr>
      </w:r>
      <w:r>
        <w:rPr>
          <w:rFonts w:ascii="Times New Roman" w:hAnsi="Times New Roman" w:cs="Times New Roman" w:eastAsia="Times New Roman" w:hint="default"/>
        </w:rPr>
        <w:t>24</w:t>
      </w:r>
      <w:r>
        <w:rPr/>
        <w:t>、以公允价值计量且其变动计入当期损益的金融负债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7" w:top="1060" w:bottom="138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5、衍生金融负债" w:id="291"/>
      <w:bookmarkEnd w:id="291"/>
      <w:r>
        <w:rPr>
          <w:b w:val="0"/>
          <w:bCs w:val="0"/>
        </w:rPr>
      </w:r>
      <w:r>
        <w:rPr>
          <w:rFonts w:ascii="Times New Roman" w:hAnsi="Times New Roman" w:cs="Times New Roman" w:eastAsia="Times New Roman" w:hint="default"/>
        </w:rPr>
        <w:t>25</w:t>
      </w:r>
      <w:r>
        <w:rPr/>
        <w:t>、衍生金融负债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6、应付票据" w:id="292"/>
      <w:bookmarkEnd w:id="292"/>
      <w:r>
        <w:rPr>
          <w:b w:val="0"/>
          <w:bCs w:val="0"/>
        </w:rPr>
      </w:r>
      <w:r>
        <w:rPr>
          <w:rFonts w:ascii="Times New Roman" w:hAnsi="Times New Roman" w:cs="Times New Roman" w:eastAsia="Times New Roman" w:hint="default"/>
        </w:rPr>
        <w:t>26</w:t>
      </w:r>
      <w:r>
        <w:rPr/>
        <w:t>、应付票据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0"/>
        <w:jc w:val="left"/>
      </w:pPr>
      <w:r>
        <w:rPr/>
        <w:t>本期末已到期未支付的应付票据总额为元。</w:t>
      </w:r>
    </w:p>
    <w:p>
      <w:pPr>
        <w:spacing w:line="240" w:lineRule="auto" w:before="10"/>
        <w:rPr>
          <w:rFonts w:ascii="宋体" w:hAnsi="宋体" w:cs="宋体" w:eastAsia="宋体" w:hint="default"/>
          <w:sz w:val="26"/>
          <w:szCs w:val="26"/>
        </w:rPr>
      </w:pPr>
    </w:p>
    <w:p>
      <w:pPr>
        <w:pStyle w:val="Heading4"/>
        <w:spacing w:line="240" w:lineRule="auto"/>
        <w:ind w:left="1134" w:right="0"/>
        <w:jc w:val="left"/>
        <w:rPr>
          <w:b w:val="0"/>
          <w:bCs w:val="0"/>
        </w:rPr>
      </w:pPr>
      <w:bookmarkStart w:name="27、应付账款" w:id="293"/>
      <w:bookmarkEnd w:id="293"/>
      <w:r>
        <w:rPr>
          <w:b w:val="0"/>
          <w:bCs w:val="0"/>
        </w:rPr>
      </w:r>
      <w:r>
        <w:rPr>
          <w:rFonts w:ascii="Times New Roman" w:hAnsi="Times New Roman" w:cs="Times New Roman" w:eastAsia="Times New Roman" w:hint="default"/>
        </w:rPr>
        <w:t>27</w:t>
      </w:r>
      <w:r>
        <w:rPr/>
        <w:t>、应付账款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0"/>
        <w:jc w:val="left"/>
        <w:rPr>
          <w:b w:val="0"/>
          <w:bCs w:val="0"/>
        </w:rPr>
      </w:pPr>
      <w:bookmarkStart w:name="（1）应付账款列示" w:id="294"/>
      <w:bookmarkEnd w:id="294"/>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40,895,634.32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92,595,785.56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40,895,634.32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92,595,785.56</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账龄超过1年的重要应付账款" w:id="295"/>
      <w:bookmarkEnd w:id="295"/>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8、预收款项" w:id="296"/>
      <w:bookmarkEnd w:id="296"/>
      <w:r>
        <w:rPr>
          <w:b w:val="0"/>
          <w:bCs w:val="0"/>
        </w:rPr>
      </w:r>
      <w:r>
        <w:rPr>
          <w:rFonts w:ascii="Times New Roman" w:hAnsi="Times New Roman" w:cs="Times New Roman" w:eastAsia="Times New Roman" w:hint="default"/>
        </w:rPr>
        <w:t>28</w:t>
      </w:r>
      <w:r>
        <w:rPr/>
        <w:t>、预收款项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0"/>
        <w:jc w:val="left"/>
        <w:rPr>
          <w:b w:val="0"/>
          <w:bCs w:val="0"/>
        </w:rPr>
      </w:pPr>
      <w:bookmarkStart w:name="（1）预收款项列示" w:id="297"/>
      <w:bookmarkEnd w:id="297"/>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28,524,600.09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62,815,244.73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28,524,600.09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62,815,244.73</w:t>
            </w:r>
          </w:p>
        </w:tc>
      </w:tr>
    </w:tbl>
    <w:p>
      <w:pPr>
        <w:spacing w:line="240" w:lineRule="auto" w:before="3"/>
        <w:rPr>
          <w:rFonts w:ascii="宋体" w:hAnsi="宋体" w:cs="宋体" w:eastAsia="宋体" w:hint="default"/>
          <w:sz w:val="19"/>
          <w:szCs w:val="19"/>
        </w:rPr>
      </w:pPr>
    </w:p>
    <w:p>
      <w:pPr>
        <w:pStyle w:val="Heading4"/>
        <w:spacing w:line="240" w:lineRule="auto" w:before="35"/>
        <w:ind w:left="1134" w:right="0"/>
        <w:jc w:val="left"/>
        <w:rPr>
          <w:b w:val="0"/>
          <w:bCs w:val="0"/>
        </w:rPr>
      </w:pPr>
      <w:bookmarkStart w:name="（2）账龄超过1年的重要预收款项" w:id="298"/>
      <w:bookmarkEnd w:id="298"/>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after="0" w:line="240" w:lineRule="auto"/>
        <w:jc w:val="left"/>
        <w:rPr>
          <w:rFonts w:ascii="宋体" w:hAnsi="宋体" w:cs="宋体" w:eastAsia="宋体" w:hint="default"/>
          <w:sz w:val="18"/>
          <w:szCs w:val="18"/>
        </w:rPr>
        <w:sectPr>
          <w:pgSz w:w="11910" w:h="16840"/>
          <w:pgMar w:header="877" w:footer="1187" w:top="1060" w:bottom="1380" w:left="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3）期末建造合同形成的已结算未完工项目情况" w:id="299"/>
      <w:bookmarkEnd w:id="299"/>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9、应付职工薪酬" w:id="300"/>
      <w:bookmarkEnd w:id="300"/>
      <w:r>
        <w:rPr>
          <w:b w:val="0"/>
          <w:bCs w:val="0"/>
        </w:rPr>
      </w:r>
      <w:r>
        <w:rPr>
          <w:rFonts w:ascii="Times New Roman" w:hAnsi="Times New Roman" w:cs="Times New Roman" w:eastAsia="Times New Roman" w:hint="default"/>
        </w:rPr>
        <w:t>29</w:t>
      </w:r>
      <w:r>
        <w:rPr/>
        <w:t>、应付职工薪酬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0"/>
        <w:jc w:val="left"/>
        <w:rPr>
          <w:b w:val="0"/>
          <w:bCs w:val="0"/>
        </w:rPr>
      </w:pPr>
      <w:bookmarkStart w:name="（1）应付职工薪酬列示" w:id="301"/>
      <w:bookmarkEnd w:id="301"/>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2,959,199.64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333,402,467.08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330,390,092.51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5,971,574.21</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26,393,449.63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24,895,028.77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1,498,420.86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341,913.56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341,913.56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2,959,199.64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360,137,830.27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355,627,034.84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7,469,995.07</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短期薪酬列示" w:id="302"/>
      <w:bookmarkEnd w:id="302"/>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21" w:type="dxa"/>
        <w:tblLayout w:type="fixed"/>
        <w:tblCellMar>
          <w:top w:w="0" w:type="dxa"/>
          <w:left w:w="0" w:type="dxa"/>
          <w:bottom w:w="0" w:type="dxa"/>
          <w:right w:w="0" w:type="dxa"/>
        </w:tblCellMar>
        <w:tblLook w:val="01E0"/>
      </w:tblPr>
      <w:tblGrid>
        <w:gridCol w:w="2268"/>
        <w:gridCol w:w="1560"/>
        <w:gridCol w:w="1914"/>
        <w:gridCol w:w="1914"/>
        <w:gridCol w:w="1914"/>
      </w:tblGrid>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、工资、奖金、津贴和补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2,959,199.64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293,535,802.37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292,668,259.87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3,826,742.14</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2,797,556.20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2,797,556.20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13,363,920.70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12,588,482.83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775,437.87</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53"/>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11,873,956.54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11,176,098.60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697,857.94</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53"/>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537,816.63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513,932.17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23,884.46</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53"/>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952,147.53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898,452.06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53,695.47</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21,205,747.16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19,986,197.96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1,219,549.20</w:t>
            </w:r>
          </w:p>
        </w:tc>
      </w:tr>
      <w:tr>
        <w:trPr>
          <w:trHeight w:val="71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、工会经费和职工教育经</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8,820.00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8,820.00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其他短期薪酬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2,490,620.65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2,340,775.65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149,845.00</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2,959,199.64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333,402,467.08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330,390,092.51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5,971,574.21</w:t>
            </w:r>
          </w:p>
        </w:tc>
      </w:tr>
    </w:tbl>
    <w:p>
      <w:pPr>
        <w:spacing w:line="240" w:lineRule="auto" w:before="3"/>
        <w:rPr>
          <w:rFonts w:ascii="宋体" w:hAnsi="宋体" w:cs="宋体" w:eastAsia="宋体" w:hint="default"/>
          <w:sz w:val="19"/>
          <w:szCs w:val="19"/>
        </w:rPr>
      </w:pPr>
    </w:p>
    <w:p>
      <w:pPr>
        <w:pStyle w:val="Heading4"/>
        <w:spacing w:line="240" w:lineRule="auto" w:before="35"/>
        <w:ind w:left="1134" w:right="0"/>
        <w:jc w:val="left"/>
        <w:rPr>
          <w:b w:val="0"/>
          <w:bCs w:val="0"/>
        </w:rPr>
      </w:pPr>
      <w:bookmarkStart w:name="（3）设定提存计划列示" w:id="303"/>
      <w:bookmarkEnd w:id="303"/>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877" w:footer="1187" w:top="1060" w:bottom="138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24,851,011.46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23,428,999.46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1,422,012.00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1,542,438.17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1,466,029.31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76,408.86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26,393,449.63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24,895,028.77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1,498,420.86</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0、应交税费" w:id="304"/>
      <w:bookmarkEnd w:id="304"/>
      <w:r>
        <w:rPr>
          <w:b w:val="0"/>
          <w:bCs w:val="0"/>
        </w:rPr>
      </w:r>
      <w:r>
        <w:rPr>
          <w:rFonts w:ascii="Times New Roman" w:hAnsi="Times New Roman" w:cs="Times New Roman" w:eastAsia="Times New Roman" w:hint="default"/>
        </w:rPr>
        <w:t>30</w:t>
      </w:r>
      <w:r>
        <w:rPr/>
        <w:t>、应交税费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13,410,674.89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5,939,602.73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6,164,775.66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10,028,199.95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2,300,458.17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1,537,942.96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405,200.12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478,778.56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173,657.19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205,190.81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115,771.47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136,793.87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价格调节基金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352.64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439.73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62,849.80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38,876.21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22,633,739.94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18,365,824.94</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1、应付利息" w:id="305"/>
      <w:bookmarkEnd w:id="305"/>
      <w:r>
        <w:rPr>
          <w:b w:val="0"/>
          <w:bCs w:val="0"/>
        </w:rPr>
      </w:r>
      <w:r>
        <w:rPr>
          <w:rFonts w:ascii="Times New Roman" w:hAnsi="Times New Roman" w:cs="Times New Roman" w:eastAsia="Times New Roman" w:hint="default"/>
        </w:rPr>
        <w:t>31</w:t>
      </w:r>
      <w:r>
        <w:rPr/>
        <w:t>、应付利息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0"/>
        <w:jc w:val="left"/>
      </w:pPr>
      <w:r>
        <w:rPr/>
        <w:t>重要的已逾期未支付的利息情况：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2、应付股利" w:id="306"/>
      <w:bookmarkEnd w:id="306"/>
      <w:r>
        <w:rPr>
          <w:b w:val="0"/>
          <w:bCs w:val="0"/>
        </w:rPr>
      </w:r>
      <w:r>
        <w:rPr>
          <w:rFonts w:ascii="Times New Roman" w:hAnsi="Times New Roman" w:cs="Times New Roman" w:eastAsia="Times New Roman" w:hint="default"/>
        </w:rPr>
        <w:t>32</w:t>
      </w:r>
      <w:r>
        <w:rPr/>
        <w:t>、应付股利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0"/>
        <w:jc w:val="left"/>
      </w:pPr>
      <w:r>
        <w:rPr/>
        <w:t>其他说明，包括重要的超过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after="0" w:line="240" w:lineRule="auto"/>
        <w:jc w:val="left"/>
        <w:sectPr>
          <w:pgSz w:w="11910" w:h="16840"/>
          <w:pgMar w:header="877" w:footer="1187" w:top="1060" w:bottom="1380" w:left="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33、其他应付款" w:id="307"/>
      <w:bookmarkEnd w:id="307"/>
      <w:r>
        <w:rPr>
          <w:b w:val="0"/>
          <w:bCs w:val="0"/>
        </w:rPr>
      </w:r>
      <w:r>
        <w:rPr>
          <w:rFonts w:ascii="Times New Roman" w:hAnsi="Times New Roman" w:cs="Times New Roman" w:eastAsia="Times New Roman" w:hint="default"/>
        </w:rPr>
        <w:t>33</w:t>
      </w:r>
      <w:r>
        <w:rPr/>
        <w:t>、其他应付款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0"/>
        <w:jc w:val="left"/>
        <w:rPr>
          <w:b w:val="0"/>
          <w:bCs w:val="0"/>
        </w:rPr>
      </w:pPr>
      <w:bookmarkStart w:name="（1）按款项性质列示其他应付款" w:id="308"/>
      <w:bookmarkEnd w:id="308"/>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员工社保公积金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1,968,767.91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员工门禁卡押金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10,350.00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12,600.00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5,675.30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121,215.29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324,246.15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2,106,008.50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341,846.15</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账龄超过1年的重要其他应付款" w:id="309"/>
      <w:bookmarkEnd w:id="309"/>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4、划分为持有待售的负债" w:id="310"/>
      <w:bookmarkEnd w:id="310"/>
      <w:r>
        <w:rPr>
          <w:b w:val="0"/>
          <w:bCs w:val="0"/>
        </w:rPr>
      </w:r>
      <w:r>
        <w:rPr>
          <w:rFonts w:ascii="Times New Roman" w:hAnsi="Times New Roman" w:cs="Times New Roman" w:eastAsia="Times New Roman" w:hint="default"/>
        </w:rPr>
        <w:t>34</w:t>
      </w:r>
      <w:r>
        <w:rPr/>
        <w:t>、划分为持有待售的负债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5、一年内到期的非流动负债" w:id="311"/>
      <w:bookmarkEnd w:id="311"/>
      <w:r>
        <w:rPr>
          <w:b w:val="0"/>
          <w:bCs w:val="0"/>
        </w:rPr>
      </w:r>
      <w:r>
        <w:rPr>
          <w:rFonts w:ascii="Times New Roman" w:hAnsi="Times New Roman" w:cs="Times New Roman" w:eastAsia="Times New Roman" w:hint="default"/>
        </w:rPr>
        <w:t>35</w:t>
      </w:r>
      <w:r>
        <w:rPr/>
        <w:t>、一年内到期的非流动负债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6、其他流动负债" w:id="312"/>
      <w:bookmarkEnd w:id="312"/>
      <w:r>
        <w:rPr>
          <w:b w:val="0"/>
          <w:bCs w:val="0"/>
        </w:rPr>
      </w:r>
      <w:r>
        <w:rPr>
          <w:rFonts w:ascii="Times New Roman" w:hAnsi="Times New Roman" w:cs="Times New Roman" w:eastAsia="Times New Roman" w:hint="default"/>
        </w:rPr>
        <w:t>36</w:t>
      </w:r>
      <w:r>
        <w:rPr/>
        <w:t>、其他流动负债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0"/>
        <w:jc w:val="left"/>
      </w:pPr>
      <w:r>
        <w:rPr/>
        <w:t>短期应付债券的增减变动：</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87"/>
        <w:gridCol w:w="821"/>
        <w:gridCol w:w="787"/>
      </w:tblGrid>
      <w:tr>
        <w:trPr>
          <w:trHeight w:val="402"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3" w:right="0"/>
              <w:jc w:val="left"/>
              <w:rPr>
                <w:rFonts w:ascii="宋体" w:hAnsi="宋体" w:cs="宋体" w:eastAsia="宋体" w:hint="default"/>
                <w:sz w:val="18"/>
                <w:szCs w:val="18"/>
              </w:rPr>
            </w:pPr>
            <w:r>
              <w:rPr>
                <w:rFonts w:ascii="宋体" w:hAnsi="宋体" w:cs="宋体" w:eastAsia="宋体" w:hint="default"/>
                <w:sz w:val="18"/>
                <w:szCs w:val="18"/>
              </w:rPr>
              <w:t>按面值计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3" w:right="0"/>
              <w:jc w:val="left"/>
              <w:rPr>
                <w:rFonts w:ascii="宋体" w:hAnsi="宋体" w:cs="宋体" w:eastAsia="宋体" w:hint="default"/>
                <w:sz w:val="18"/>
                <w:szCs w:val="18"/>
              </w:rPr>
            </w:pPr>
            <w:r>
              <w:rPr>
                <w:rFonts w:ascii="宋体" w:hAnsi="宋体" w:cs="宋体" w:eastAsia="宋体" w:hint="default"/>
                <w:sz w:val="18"/>
                <w:szCs w:val="18"/>
              </w:rPr>
              <w:t>溢折价摊</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821" w:type="dxa"/>
            <w:tcBorders>
              <w:top w:val="single" w:sz="4" w:space="0" w:color="000000"/>
              <w:left w:val="single" w:sz="13" w:space="0" w:color="D2D2D2"/>
              <w:bottom w:val="single" w:sz="4" w:space="0" w:color="000000"/>
              <w:right w:val="single" w:sz="9" w:space="0" w:color="D2D2D2"/>
            </w:tcBorders>
            <w:shd w:val="clear" w:color="auto" w:fill="E0FFFF"/>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877" w:footer="1187" w:top="1060" w:bottom="138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362"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23" w:right="0"/>
              <w:jc w:val="left"/>
              <w:rPr>
                <w:rFonts w:ascii="宋体" w:hAnsi="宋体" w:cs="宋体" w:eastAsia="宋体" w:hint="default"/>
                <w:sz w:val="18"/>
                <w:szCs w:val="18"/>
              </w:rPr>
            </w:pPr>
            <w:r>
              <w:rPr>
                <w:rFonts w:ascii="宋体" w:hAnsi="宋体" w:cs="宋体" w:eastAsia="宋体" w:hint="default"/>
                <w:sz w:val="18"/>
                <w:szCs w:val="18"/>
              </w:rPr>
              <w:t>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7、长期借款" w:id="313"/>
      <w:bookmarkEnd w:id="313"/>
      <w:r>
        <w:rPr>
          <w:b w:val="0"/>
          <w:bCs w:val="0"/>
        </w:rPr>
      </w:r>
      <w:r>
        <w:rPr>
          <w:rFonts w:ascii="Times New Roman" w:hAnsi="Times New Roman" w:cs="Times New Roman" w:eastAsia="Times New Roman" w:hint="default"/>
        </w:rPr>
        <w:t>37</w:t>
      </w:r>
      <w:r>
        <w:rPr/>
        <w:t>、长期借款</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134" w:right="0"/>
        <w:jc w:val="left"/>
        <w:rPr>
          <w:b w:val="0"/>
          <w:bCs w:val="0"/>
        </w:rPr>
      </w:pPr>
      <w:bookmarkStart w:name="（1）长期借款分类" w:id="314"/>
      <w:bookmarkEnd w:id="314"/>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360" w:lineRule="auto" w:before="51"/>
        <w:ind w:left="1134" w:right="8592"/>
        <w:jc w:val="left"/>
      </w:pPr>
      <w:r>
        <w:rPr/>
        <w:t>长期借款分类的说明： 其他说明，包括利率区间：</w:t>
      </w:r>
    </w:p>
    <w:p>
      <w:pPr>
        <w:spacing w:line="240" w:lineRule="auto" w:before="11"/>
        <w:rPr>
          <w:rFonts w:ascii="宋体" w:hAnsi="宋体" w:cs="宋体" w:eastAsia="宋体" w:hint="default"/>
          <w:sz w:val="19"/>
          <w:szCs w:val="19"/>
        </w:rPr>
      </w:pPr>
    </w:p>
    <w:p>
      <w:pPr>
        <w:pStyle w:val="Heading4"/>
        <w:spacing w:line="240" w:lineRule="auto"/>
        <w:ind w:left="1134" w:right="0"/>
        <w:jc w:val="left"/>
        <w:rPr>
          <w:b w:val="0"/>
          <w:bCs w:val="0"/>
        </w:rPr>
      </w:pPr>
      <w:bookmarkStart w:name="38、长期应付款" w:id="315"/>
      <w:bookmarkEnd w:id="315"/>
      <w:r>
        <w:rPr>
          <w:b w:val="0"/>
          <w:bCs w:val="0"/>
        </w:rPr>
      </w:r>
      <w:r>
        <w:rPr>
          <w:rFonts w:ascii="Times New Roman" w:hAnsi="Times New Roman" w:cs="Times New Roman" w:eastAsia="Times New Roman" w:hint="default"/>
        </w:rPr>
        <w:t>38</w:t>
      </w:r>
      <w:r>
        <w:rPr/>
        <w:t>、长期应付款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0"/>
        <w:jc w:val="left"/>
        <w:rPr>
          <w:b w:val="0"/>
          <w:bCs w:val="0"/>
        </w:rPr>
      </w:pPr>
      <w:bookmarkStart w:name="（1）按款项性质列示长期应付款" w:id="316"/>
      <w:bookmarkEnd w:id="316"/>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9、股本" w:id="317"/>
      <w:bookmarkEnd w:id="317"/>
      <w:r>
        <w:rPr>
          <w:b w:val="0"/>
          <w:bCs w:val="0"/>
        </w:rPr>
      </w:r>
      <w:r>
        <w:rPr>
          <w:rFonts w:ascii="Times New Roman" w:hAnsi="Times New Roman" w:cs="Times New Roman" w:eastAsia="Times New Roman" w:hint="default"/>
        </w:rPr>
        <w:t>39</w:t>
      </w:r>
      <w:r>
        <w:rPr/>
        <w:t>、股本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100,000,000.00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7" w:right="0"/>
              <w:jc w:val="left"/>
              <w:rPr>
                <w:rFonts w:ascii="Times New Roman" w:hAnsi="Times New Roman" w:cs="Times New Roman" w:eastAsia="Times New Roman" w:hint="default"/>
                <w:sz w:val="18"/>
                <w:szCs w:val="18"/>
              </w:rPr>
            </w:pPr>
            <w:r>
              <w:rPr>
                <w:rFonts w:ascii="Times New Roman"/>
                <w:sz w:val="18"/>
              </w:rPr>
              <w:t>33,340,000.00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8" w:right="0"/>
              <w:jc w:val="left"/>
              <w:rPr>
                <w:rFonts w:ascii="Times New Roman" w:hAnsi="Times New Roman" w:cs="Times New Roman" w:eastAsia="Times New Roman" w:hint="default"/>
                <w:sz w:val="18"/>
                <w:szCs w:val="18"/>
              </w:rPr>
            </w:pPr>
            <w:r>
              <w:rPr>
                <w:rFonts w:ascii="Times New Roman"/>
                <w:sz w:val="18"/>
              </w:rPr>
              <w:t>33,340,000.00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left"/>
              <w:rPr>
                <w:rFonts w:ascii="Times New Roman" w:hAnsi="Times New Roman" w:cs="Times New Roman" w:eastAsia="Times New Roman" w:hint="default"/>
                <w:sz w:val="18"/>
                <w:szCs w:val="18"/>
              </w:rPr>
            </w:pPr>
            <w:r>
              <w:rPr>
                <w:rFonts w:ascii="Times New Roman"/>
                <w:sz w:val="18"/>
              </w:rPr>
              <w:t>133,340,000.00</w:t>
            </w:r>
          </w:p>
        </w:tc>
      </w:tr>
    </w:tbl>
    <w:p>
      <w:pPr>
        <w:pStyle w:val="BodyText"/>
        <w:spacing w:line="240" w:lineRule="auto" w:before="51"/>
        <w:ind w:left="1134" w:right="0"/>
        <w:jc w:val="left"/>
      </w:pPr>
      <w:r>
        <w:rPr/>
        <w:t>其他说明：</w:t>
      </w:r>
    </w:p>
    <w:p>
      <w:pPr>
        <w:pStyle w:val="BodyText"/>
        <w:spacing w:line="300" w:lineRule="auto" w:before="115"/>
        <w:ind w:right="1131"/>
        <w:jc w:val="left"/>
      </w:pPr>
      <w:r>
        <w:rPr>
          <w:spacing w:val="-1"/>
        </w:rPr>
        <w:t>公司原注册资本为人民币</w:t>
      </w:r>
      <w:r>
        <w:rPr>
          <w:rFonts w:ascii="Times New Roman" w:hAnsi="Times New Roman" w:cs="Times New Roman" w:eastAsia="Times New Roman" w:hint="default"/>
          <w:spacing w:val="-1"/>
        </w:rPr>
        <w:t>100,000,000.00</w:t>
      </w:r>
      <w:r>
        <w:rPr>
          <w:spacing w:val="-1"/>
        </w:rPr>
        <w:t>元，根据</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16</w:t>
      </w:r>
      <w:r>
        <w:rPr>
          <w:spacing w:val="-1"/>
        </w:rPr>
        <w:t>日召开的</w:t>
      </w:r>
      <w:r>
        <w:rPr>
          <w:rFonts w:ascii="Times New Roman" w:hAnsi="Times New Roman" w:cs="Times New Roman" w:eastAsia="Times New Roman" w:hint="default"/>
          <w:spacing w:val="-1"/>
        </w:rPr>
        <w:t>2014</w:t>
      </w:r>
      <w:r>
        <w:rPr>
          <w:spacing w:val="-1"/>
        </w:rPr>
        <w:t>年第二次临时股东大会决议，以及中国证券监督</w:t>
      </w:r>
      <w:r>
        <w:rPr>
          <w:spacing w:val="-62"/>
        </w:rPr>
        <w:t> </w:t>
      </w:r>
      <w:r>
        <w:rPr>
          <w:spacing w:val="-62"/>
        </w:rPr>
      </w:r>
      <w:r>
        <w:rPr/>
        <w:t>管理委员会</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[2015]833</w:t>
      </w:r>
      <w:r>
        <w:rPr/>
        <w:t>号文</w:t>
      </w:r>
      <w:r>
        <w:rPr>
          <w:rFonts w:ascii="Times New Roman" w:hAnsi="Times New Roman" w:cs="Times New Roman" w:eastAsia="Times New Roman" w:hint="default"/>
        </w:rPr>
        <w:t>”</w:t>
      </w:r>
      <w:r>
        <w:rPr/>
        <w:t>的核准，向社会公开发行人民币普通股股票</w:t>
      </w:r>
      <w:r>
        <w:rPr>
          <w:rFonts w:ascii="Times New Roman" w:hAnsi="Times New Roman" w:cs="Times New Roman" w:eastAsia="Times New Roman" w:hint="default"/>
        </w:rPr>
        <w:t>33,340,000.00</w:t>
      </w:r>
      <w:r>
        <w:rPr/>
        <w:t>股（每股面值</w:t>
      </w:r>
      <w:r>
        <w:rPr>
          <w:rFonts w:ascii="Times New Roman" w:hAnsi="Times New Roman" w:cs="Times New Roman" w:eastAsia="Times New Roman" w:hint="default"/>
        </w:rPr>
        <w:t>1</w:t>
      </w:r>
      <w:r>
        <w:rPr/>
        <w:t>元），增加股 本人民币</w:t>
      </w:r>
      <w:r>
        <w:rPr>
          <w:rFonts w:ascii="Times New Roman" w:hAnsi="Times New Roman" w:cs="Times New Roman" w:eastAsia="Times New Roman" w:hint="default"/>
        </w:rPr>
        <w:t>33,340,000.00</w:t>
      </w:r>
      <w:r>
        <w:rPr/>
        <w:t>元，变更后的注册资本为人民币</w:t>
      </w:r>
      <w:r>
        <w:rPr>
          <w:rFonts w:ascii="Times New Roman" w:hAnsi="Times New Roman" w:cs="Times New Roman" w:eastAsia="Times New Roman" w:hint="default"/>
        </w:rPr>
        <w:t>133,340,000.00</w:t>
      </w:r>
      <w:r>
        <w:rPr/>
        <w:t>元。以上经信永中和会计师事务所（特殊普通合伙） </w:t>
      </w:r>
      <w:r>
        <w:rPr>
          <w:rFonts w:ascii="Times New Roman" w:hAnsi="Times New Roman" w:cs="Times New Roman" w:eastAsia="Times New Roman" w:hint="default"/>
        </w:rPr>
        <w:t>XYZH/2015BJA80052-1</w:t>
      </w:r>
      <w:r>
        <w:rPr/>
        <w:t>号验资报告审验。</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29"/>
        <w:ind w:right="0"/>
        <w:jc w:val="left"/>
        <w:rPr>
          <w:b w:val="0"/>
          <w:bCs w:val="0"/>
        </w:rPr>
      </w:pPr>
      <w:bookmarkStart w:name="40、资本公积" w:id="318"/>
      <w:bookmarkEnd w:id="318"/>
      <w:r>
        <w:rPr>
          <w:b w:val="0"/>
          <w:bCs w:val="0"/>
        </w:rPr>
      </w:r>
      <w:r>
        <w:rPr>
          <w:rFonts w:ascii="Times New Roman" w:hAnsi="Times New Roman" w:cs="Times New Roman" w:eastAsia="Times New Roman" w:hint="default"/>
        </w:rPr>
        <w:t>40</w:t>
      </w:r>
      <w:r>
        <w:rPr/>
        <w:t>、资本公积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22,044,411.05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315,101,642.00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337,146,053.05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18,000,000.00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7" w:top="1060" w:bottom="138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5" w:right="0"/>
              <w:jc w:val="left"/>
              <w:rPr>
                <w:rFonts w:ascii="Times New Roman" w:hAnsi="Times New Roman" w:cs="Times New Roman" w:eastAsia="Times New Roman" w:hint="default"/>
                <w:sz w:val="18"/>
                <w:szCs w:val="18"/>
              </w:rPr>
            </w:pPr>
            <w:r>
              <w:rPr>
                <w:rFonts w:ascii="Times New Roman"/>
                <w:sz w:val="18"/>
              </w:rPr>
              <w:t>40,044,411.05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315,101,642.00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355,146,053.05</w:t>
            </w:r>
          </w:p>
        </w:tc>
      </w:tr>
    </w:tbl>
    <w:p>
      <w:pPr>
        <w:pStyle w:val="BodyText"/>
        <w:spacing w:line="240" w:lineRule="auto" w:before="51"/>
        <w:ind w:left="1134" w:right="0"/>
        <w:jc w:val="left"/>
      </w:pPr>
      <w:r>
        <w:rPr/>
        <w:t>其他说明，包括本期增减变动情况、变动原因说明：</w:t>
      </w:r>
    </w:p>
    <w:p>
      <w:pPr>
        <w:spacing w:line="240" w:lineRule="auto" w:before="6"/>
        <w:rPr>
          <w:rFonts w:ascii="宋体" w:hAnsi="宋体" w:cs="宋体" w:eastAsia="宋体" w:hint="default"/>
          <w:sz w:val="12"/>
          <w:szCs w:val="12"/>
        </w:rPr>
      </w:pPr>
    </w:p>
    <w:p>
      <w:pPr>
        <w:pStyle w:val="Heading3"/>
        <w:spacing w:line="247" w:lineRule="auto"/>
        <w:ind w:right="1131"/>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8</w:t>
      </w:r>
      <w:r>
        <w:rPr/>
        <w:t>日，本公司公开发行人民币普通股股票</w:t>
      </w:r>
      <w:r>
        <w:rPr>
          <w:rFonts w:ascii="Times New Roman" w:hAnsi="Times New Roman" w:cs="Times New Roman" w:eastAsia="Times New Roman" w:hint="default"/>
        </w:rPr>
        <w:t>33,340,000</w:t>
      </w:r>
      <w:r>
        <w:rPr/>
        <w:t>股，每股发行价格</w:t>
      </w:r>
      <w:r>
        <w:rPr>
          <w:rFonts w:ascii="Times New Roman" w:hAnsi="Times New Roman" w:cs="Times New Roman" w:eastAsia="Times New Roman" w:hint="default"/>
        </w:rPr>
        <w:t>11.26</w:t>
      </w:r>
      <w:r>
        <w:rPr/>
        <w:t>元，募集资</w:t>
      </w:r>
      <w:r>
        <w:rPr>
          <w:w w:val="99"/>
        </w:rPr>
        <w:t> </w:t>
      </w:r>
      <w:r>
        <w:rPr/>
        <w:t>金总额</w:t>
      </w:r>
      <w:r>
        <w:rPr>
          <w:rFonts w:ascii="Times New Roman" w:hAnsi="Times New Roman" w:cs="Times New Roman" w:eastAsia="Times New Roman" w:hint="default"/>
        </w:rPr>
        <w:t>375,408,400.00</w:t>
      </w:r>
      <w:r>
        <w:rPr/>
        <w:t>元，扣除发行费用</w:t>
      </w:r>
      <w:r>
        <w:rPr>
          <w:rFonts w:ascii="Times New Roman" w:hAnsi="Times New Roman" w:cs="Times New Roman" w:eastAsia="Times New Roman" w:hint="default"/>
        </w:rPr>
        <w:t>38,966,758.00</w:t>
      </w:r>
      <w:r>
        <w:rPr/>
        <w:t>元，实际募集资金净额</w:t>
      </w:r>
      <w:r>
        <w:rPr>
          <w:rFonts w:ascii="Times New Roman" w:hAnsi="Times New Roman" w:cs="Times New Roman" w:eastAsia="Times New Roman" w:hint="default"/>
        </w:rPr>
        <w:t>336,441,642.00</w:t>
      </w:r>
      <w:r>
        <w:rPr/>
        <w:t>元，溢价</w:t>
      </w:r>
      <w:r>
        <w:rPr>
          <w:spacing w:val="-12"/>
        </w:rPr>
        <w:t> </w:t>
      </w:r>
      <w:r>
        <w:rPr>
          <w:spacing w:val="-12"/>
        </w:rPr>
      </w:r>
      <w:r>
        <w:rPr>
          <w:rFonts w:ascii="Times New Roman" w:hAnsi="Times New Roman" w:cs="Times New Roman" w:eastAsia="Times New Roman" w:hint="default"/>
        </w:rPr>
        <w:t>303,101,642.00</w:t>
      </w:r>
      <w:r>
        <w:rPr/>
        <w:t>元计入资本公积</w:t>
      </w:r>
      <w:r>
        <w:rPr>
          <w:rFonts w:ascii="Times New Roman" w:hAnsi="Times New Roman" w:cs="Times New Roman" w:eastAsia="Times New Roman" w:hint="default"/>
        </w:rPr>
        <w:t>-</w:t>
      </w:r>
      <w:r>
        <w:rPr/>
        <w:t>股本溢价，公开发行股票详细情况参见本附注一相关内容。</w:t>
      </w:r>
    </w:p>
    <w:p>
      <w:pPr>
        <w:pStyle w:val="Heading3"/>
        <w:spacing w:line="244" w:lineRule="auto" w:before="120"/>
        <w:ind w:left="1134" w:right="1131"/>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18</w:t>
      </w:r>
      <w:r>
        <w:rPr/>
        <w:t>日及</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21</w:t>
      </w:r>
      <w:r>
        <w:rPr/>
        <w:t>日，本公司接受股东现金捐赠合计人民币</w:t>
      </w:r>
      <w:r>
        <w:rPr>
          <w:rFonts w:ascii="Times New Roman" w:hAnsi="Times New Roman" w:cs="Times New Roman" w:eastAsia="Times New Roman" w:hint="default"/>
        </w:rPr>
        <w:t>12,000,000.00</w:t>
      </w:r>
      <w:r>
        <w:rPr/>
        <w:t>元，计入资</w:t>
      </w:r>
      <w:r>
        <w:rPr>
          <w:w w:val="99"/>
        </w:rPr>
        <w:t> </w:t>
      </w:r>
      <w:r>
        <w:rPr>
          <w:spacing w:val="-2"/>
        </w:rPr>
        <w:t>本公积</w:t>
      </w:r>
      <w:r>
        <w:rPr>
          <w:rFonts w:ascii="Times New Roman" w:hAnsi="Times New Roman" w:cs="Times New Roman" w:eastAsia="Times New Roman" w:hint="default"/>
          <w:spacing w:val="-2"/>
        </w:rPr>
        <w:t>-</w:t>
      </w:r>
      <w:r>
        <w:rPr>
          <w:spacing w:val="-2"/>
        </w:rPr>
        <w:t>股本溢价。其中：鹰潭市鹰高投资咨询有限公司捐赠</w:t>
      </w:r>
      <w:r>
        <w:rPr>
          <w:rFonts w:ascii="Times New Roman" w:hAnsi="Times New Roman" w:cs="Times New Roman" w:eastAsia="Times New Roman" w:hint="default"/>
          <w:spacing w:val="-2"/>
        </w:rPr>
        <w:t>10,161,360.00</w:t>
      </w:r>
      <w:r>
        <w:rPr>
          <w:spacing w:val="-2"/>
        </w:rPr>
        <w:t>元；鹰潭市锐鹰投资咨询有</w:t>
      </w:r>
      <w:r>
        <w:rPr>
          <w:spacing w:val="-85"/>
        </w:rPr>
        <w:t> </w:t>
      </w:r>
      <w:r>
        <w:rPr>
          <w:spacing w:val="-85"/>
        </w:rPr>
      </w:r>
      <w:r>
        <w:rPr>
          <w:spacing w:val="-1"/>
        </w:rPr>
        <w:t>限公司捐赠</w:t>
      </w:r>
      <w:r>
        <w:rPr>
          <w:rFonts w:ascii="Times New Roman" w:hAnsi="Times New Roman" w:cs="Times New Roman" w:eastAsia="Times New Roman" w:hint="default"/>
          <w:spacing w:val="-1"/>
        </w:rPr>
        <w:t>366,000.00</w:t>
      </w:r>
      <w:r>
        <w:rPr>
          <w:spacing w:val="-1"/>
        </w:rPr>
        <w:t>元；鹰潭市华鹰投资咨询有限公司捐赠</w:t>
      </w:r>
      <w:r>
        <w:rPr>
          <w:rFonts w:ascii="Times New Roman" w:hAnsi="Times New Roman" w:cs="Times New Roman" w:eastAsia="Times New Roman" w:hint="default"/>
          <w:spacing w:val="-1"/>
        </w:rPr>
        <w:t>361,440.00</w:t>
      </w:r>
      <w:r>
        <w:rPr>
          <w:spacing w:val="-1"/>
        </w:rPr>
        <w:t>元；鹰潭市鹰达投资咨询有限</w:t>
      </w:r>
      <w:r>
        <w:rPr>
          <w:w w:val="99"/>
        </w:rPr>
        <w:t> </w:t>
      </w:r>
      <w:r>
        <w:rPr>
          <w:spacing w:val="-1"/>
        </w:rPr>
        <w:t>公司捐赠</w:t>
      </w:r>
      <w:r>
        <w:rPr>
          <w:rFonts w:ascii="Times New Roman" w:hAnsi="Times New Roman" w:cs="Times New Roman" w:eastAsia="Times New Roman" w:hint="default"/>
          <w:spacing w:val="-1"/>
        </w:rPr>
        <w:t>333,840.00</w:t>
      </w:r>
      <w:r>
        <w:rPr>
          <w:spacing w:val="-1"/>
        </w:rPr>
        <w:t>元；鹰潭市鹰伟投资咨询有限公司捐赠</w:t>
      </w:r>
      <w:r>
        <w:rPr>
          <w:rFonts w:ascii="Times New Roman" w:hAnsi="Times New Roman" w:cs="Times New Roman" w:eastAsia="Times New Roman" w:hint="default"/>
          <w:spacing w:val="-1"/>
        </w:rPr>
        <w:t>332,520.00</w:t>
      </w:r>
      <w:r>
        <w:rPr>
          <w:spacing w:val="-1"/>
        </w:rPr>
        <w:t>元；鹰潭市鹰杰投资咨询有限公</w:t>
      </w:r>
      <w:r>
        <w:rPr>
          <w:w w:val="99"/>
        </w:rPr>
        <w:t> </w:t>
      </w:r>
      <w:r>
        <w:rPr/>
        <w:t>司捐赠</w:t>
      </w:r>
      <w:r>
        <w:rPr>
          <w:rFonts w:ascii="Times New Roman" w:hAnsi="Times New Roman" w:cs="Times New Roman" w:eastAsia="Times New Roman" w:hint="default"/>
        </w:rPr>
        <w:t>234,360.00</w:t>
      </w:r>
      <w:r>
        <w:rPr/>
        <w:t>元；鹰潭市鹰飞投资咨询有限公司捐赠</w:t>
      </w:r>
      <w:r>
        <w:rPr>
          <w:rFonts w:ascii="Times New Roman" w:hAnsi="Times New Roman" w:cs="Times New Roman" w:eastAsia="Times New Roman" w:hint="default"/>
        </w:rPr>
        <w:t>210,480.00</w:t>
      </w:r>
      <w:r>
        <w:rPr/>
        <w:t>元。</w:t>
      </w:r>
    </w:p>
    <w:p>
      <w:pPr>
        <w:spacing w:line="240" w:lineRule="auto" w:before="11"/>
        <w:rPr>
          <w:rFonts w:ascii="宋体" w:hAnsi="宋体" w:cs="宋体" w:eastAsia="宋体" w:hint="default"/>
          <w:sz w:val="23"/>
          <w:szCs w:val="23"/>
        </w:rPr>
      </w:pPr>
    </w:p>
    <w:p>
      <w:pPr>
        <w:pStyle w:val="Heading4"/>
        <w:spacing w:line="240" w:lineRule="auto"/>
        <w:ind w:left="1134" w:right="0"/>
        <w:jc w:val="left"/>
        <w:rPr>
          <w:b w:val="0"/>
          <w:bCs w:val="0"/>
        </w:rPr>
      </w:pPr>
      <w:bookmarkStart w:name="41、盈余公积" w:id="319"/>
      <w:bookmarkEnd w:id="319"/>
      <w:r>
        <w:rPr>
          <w:b w:val="0"/>
          <w:bCs w:val="0"/>
        </w:rPr>
      </w:r>
      <w:r>
        <w:rPr>
          <w:rFonts w:ascii="Times New Roman" w:hAnsi="Times New Roman" w:cs="Times New Roman" w:eastAsia="Times New Roman" w:hint="default"/>
        </w:rPr>
        <w:t>41</w:t>
      </w:r>
      <w:r>
        <w:rPr/>
        <w:t>、盈余公积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19,451,564.54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3,386,793.21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22,838,357.75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19,451,564.54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3,386,793.21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22,838,357.75</w:t>
            </w:r>
          </w:p>
        </w:tc>
      </w:tr>
    </w:tbl>
    <w:p>
      <w:pPr>
        <w:pStyle w:val="BodyText"/>
        <w:spacing w:line="240" w:lineRule="auto" w:before="51"/>
        <w:ind w:left="1134" w:right="0"/>
        <w:jc w:val="left"/>
      </w:pPr>
      <w:r>
        <w:rPr/>
        <w:t>盈余公积说明，包括本期增减变动情况、变动原因说明：</w:t>
      </w:r>
    </w:p>
    <w:p>
      <w:pPr>
        <w:spacing w:line="240" w:lineRule="auto" w:before="6"/>
        <w:rPr>
          <w:rFonts w:ascii="宋体" w:hAnsi="宋体" w:cs="宋体" w:eastAsia="宋体" w:hint="default"/>
          <w:sz w:val="12"/>
          <w:szCs w:val="12"/>
        </w:rPr>
      </w:pPr>
    </w:p>
    <w:p>
      <w:pPr>
        <w:pStyle w:val="Heading3"/>
        <w:spacing w:line="240" w:lineRule="auto"/>
        <w:ind w:left="1574" w:right="0" w:firstLine="0"/>
        <w:jc w:val="left"/>
      </w:pPr>
      <w:r>
        <w:rPr/>
        <w:t>本年变动原因系按本年度净利润的</w:t>
      </w:r>
      <w:r>
        <w:rPr>
          <w:rFonts w:ascii="Times New Roman" w:hAnsi="Times New Roman" w:cs="Times New Roman" w:eastAsia="Times New Roman" w:hint="default"/>
        </w:rPr>
        <w:t>10.00%</w:t>
      </w:r>
      <w:r>
        <w:rPr/>
        <w:t>提取盈余公积。</w:t>
      </w:r>
    </w:p>
    <w:p>
      <w:pPr>
        <w:spacing w:line="240" w:lineRule="auto" w:before="3"/>
        <w:rPr>
          <w:rFonts w:ascii="宋体" w:hAnsi="宋体" w:cs="宋体" w:eastAsia="宋体" w:hint="default"/>
          <w:sz w:val="24"/>
          <w:szCs w:val="24"/>
        </w:rPr>
      </w:pPr>
    </w:p>
    <w:p>
      <w:pPr>
        <w:pStyle w:val="Heading4"/>
        <w:spacing w:line="240" w:lineRule="auto"/>
        <w:ind w:right="0"/>
        <w:jc w:val="left"/>
        <w:rPr>
          <w:b w:val="0"/>
          <w:bCs w:val="0"/>
        </w:rPr>
      </w:pPr>
      <w:bookmarkStart w:name="42、未分配利润" w:id="320"/>
      <w:bookmarkEnd w:id="320"/>
      <w:r>
        <w:rPr>
          <w:b w:val="0"/>
          <w:bCs w:val="0"/>
        </w:rPr>
      </w:r>
      <w:r>
        <w:rPr>
          <w:rFonts w:ascii="Times New Roman" w:hAnsi="Times New Roman" w:cs="Times New Roman" w:eastAsia="Times New Roman" w:hint="default"/>
        </w:rPr>
        <w:t>42</w:t>
      </w:r>
      <w:r>
        <w:rPr/>
        <w:t>、未分配利润</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195,919,552.81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135,393,387.48</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195,919,552.81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135,393,387.48</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41,228,939.46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66,080,887.67</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3,386,793.21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5,554,722.34</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233,761,699.06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195,919,552.81</w:t>
            </w:r>
          </w:p>
        </w:tc>
      </w:tr>
    </w:tbl>
    <w:p>
      <w:pPr>
        <w:pStyle w:val="BodyText"/>
        <w:spacing w:line="240" w:lineRule="auto" w:before="51"/>
        <w:ind w:left="1134" w:right="0"/>
        <w:jc w:val="left"/>
      </w:pPr>
      <w:r>
        <w:rPr/>
        <w:t>调整期初未分配利润明细：</w:t>
      </w:r>
    </w:p>
    <w:p>
      <w:pPr>
        <w:pStyle w:val="BodyText"/>
        <w:spacing w:line="240" w:lineRule="auto" w:before="117"/>
        <w:ind w:left="1134" w:right="0"/>
        <w:jc w:val="left"/>
      </w:pPr>
      <w:r>
        <w:rPr>
          <w:rFonts w:ascii="Times New Roman" w:hAnsi="Times New Roman" w:cs="Times New Roman" w:eastAsia="Times New Roman" w:hint="default"/>
        </w:rPr>
        <w:t>1)</w:t>
      </w:r>
      <w:r>
        <w:rPr/>
        <w:t>、由于《企业会计准则》及其相关新规定进行追溯调整，影响期初未分配利润元。</w:t>
      </w:r>
    </w:p>
    <w:p>
      <w:pPr>
        <w:pStyle w:val="BodyText"/>
        <w:spacing w:line="240" w:lineRule="auto" w:before="102"/>
        <w:ind w:right="0"/>
        <w:jc w:val="left"/>
      </w:pPr>
      <w:r>
        <w:rPr>
          <w:rFonts w:ascii="Times New Roman" w:hAnsi="Times New Roman" w:cs="Times New Roman" w:eastAsia="Times New Roman" w:hint="default"/>
        </w:rPr>
        <w:t>2)</w:t>
      </w:r>
      <w:r>
        <w:rPr/>
        <w:t>、由于会计政策变更，影响期初未分配利润元。</w:t>
      </w:r>
    </w:p>
    <w:p>
      <w:pPr>
        <w:pStyle w:val="BodyText"/>
        <w:spacing w:line="240" w:lineRule="auto" w:before="103"/>
        <w:ind w:right="0"/>
        <w:jc w:val="left"/>
      </w:pPr>
      <w:r>
        <w:rPr>
          <w:rFonts w:ascii="Times New Roman" w:hAnsi="Times New Roman" w:cs="Times New Roman" w:eastAsia="Times New Roman" w:hint="default"/>
        </w:rPr>
        <w:t>3)</w:t>
      </w:r>
      <w:r>
        <w:rPr/>
        <w:t>、由于重大会计差错更正，影响期初未分配利润元。</w:t>
      </w:r>
    </w:p>
    <w:p>
      <w:pPr>
        <w:pStyle w:val="BodyText"/>
        <w:spacing w:line="240" w:lineRule="auto" w:before="102"/>
        <w:ind w:left="1134" w:right="0"/>
        <w:jc w:val="left"/>
      </w:pPr>
      <w:r>
        <w:rPr>
          <w:rFonts w:ascii="Times New Roman" w:hAnsi="Times New Roman" w:cs="Times New Roman" w:eastAsia="Times New Roman" w:hint="default"/>
        </w:rPr>
        <w:t>4)</w:t>
      </w:r>
      <w:r>
        <w:rPr/>
        <w:t>、由于同一控制导致的合并范围变更，影响期初未分配利润元。</w:t>
      </w:r>
    </w:p>
    <w:p>
      <w:pPr>
        <w:pStyle w:val="BodyText"/>
        <w:spacing w:line="240" w:lineRule="auto" w:before="102"/>
        <w:ind w:right="0"/>
        <w:jc w:val="left"/>
      </w:pPr>
      <w:r>
        <w:rPr>
          <w:rFonts w:ascii="Times New Roman" w:hAnsi="Times New Roman" w:cs="Times New Roman" w:eastAsia="Times New Roman" w:hint="default"/>
        </w:rPr>
        <w:t>5)</w:t>
      </w:r>
      <w:r>
        <w:rPr/>
        <w:t>、其他调整合计影响期初未分配利润元。</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43、营业收入和营业成本" w:id="321"/>
      <w:bookmarkEnd w:id="321"/>
      <w:r>
        <w:rPr>
          <w:b w:val="0"/>
          <w:bCs w:val="0"/>
        </w:rPr>
      </w:r>
      <w:r>
        <w:rPr>
          <w:rFonts w:ascii="Times New Roman" w:hAnsi="Times New Roman" w:cs="Times New Roman" w:eastAsia="Times New Roman" w:hint="default"/>
        </w:rPr>
        <w:t>43</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877" w:footer="1187" w:top="1060" w:bottom="138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938,623,959.01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712,197,972.00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995,930,625.91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769,271,397.73</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938,623,959.01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712,197,972.00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995,930,625.91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769,271,397.73</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44、营业税金及附加" w:id="322"/>
      <w:bookmarkEnd w:id="322"/>
      <w:r>
        <w:rPr>
          <w:b w:val="0"/>
          <w:bCs w:val="0"/>
        </w:rPr>
      </w:r>
      <w:r>
        <w:rPr>
          <w:rFonts w:ascii="Times New Roman" w:hAnsi="Times New Roman" w:cs="Times New Roman" w:eastAsia="Times New Roman" w:hint="default"/>
        </w:rPr>
        <w:t>44</w:t>
      </w:r>
      <w:r>
        <w:rPr/>
        <w:t>、营业税金及附加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35,455.13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881,839.67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1,465,271.92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377,931.28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627,973.71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251,954.20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418,649.13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价格调节基金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1,035.85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1,520.37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21,868.80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19,783.16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1,534,629.80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2,568,653.42</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5、销售费用" w:id="323"/>
      <w:bookmarkEnd w:id="323"/>
      <w:r>
        <w:rPr>
          <w:b w:val="0"/>
          <w:bCs w:val="0"/>
        </w:rPr>
      </w:r>
      <w:r>
        <w:rPr>
          <w:rFonts w:ascii="Times New Roman" w:hAnsi="Times New Roman" w:cs="Times New Roman" w:eastAsia="Times New Roman" w:hint="default"/>
        </w:rPr>
        <w:t>45</w:t>
      </w:r>
      <w:r>
        <w:rPr/>
        <w:t>、销售费用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51,058,013.95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41,017,069.77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11,200,252.27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10,533,955.08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10,216,373.10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7,324,315.59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2,820,268.06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2,843,197.17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场租费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2,349,185.12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1,935,893.31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4,688,806.68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4,775,070.80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82,332,899.18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68,429,501.72</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6、管理费用" w:id="324"/>
      <w:bookmarkEnd w:id="324"/>
      <w:r>
        <w:rPr>
          <w:b w:val="0"/>
          <w:bCs w:val="0"/>
        </w:rPr>
      </w:r>
      <w:r>
        <w:rPr>
          <w:rFonts w:ascii="Times New Roman" w:hAnsi="Times New Roman" w:cs="Times New Roman" w:eastAsia="Times New Roman" w:hint="default"/>
        </w:rPr>
        <w:t>46</w:t>
      </w:r>
      <w:r>
        <w:rPr/>
        <w:t>、管理费用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47,649,493.00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38,045,884.06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20,977,341.37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12,042,221.62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7" w:top="1060" w:bottom="138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4,557,367.77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3,530,222.93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4,194,173.59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3,638,402.73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2,462,801.63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1,511,416.07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场租费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2,740,185.52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1,631,336.69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1,611,505.61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1,584,172.29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1,614,408.45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844,262.10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培训费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337,901.53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210,121.90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3,635,197.61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3,266,781.56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89,780,376.08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66,304,821.95</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7、财务费用" w:id="325"/>
      <w:bookmarkEnd w:id="325"/>
      <w:r>
        <w:rPr>
          <w:b w:val="0"/>
          <w:bCs w:val="0"/>
        </w:rPr>
      </w:r>
      <w:r>
        <w:rPr>
          <w:rFonts w:ascii="Times New Roman" w:hAnsi="Times New Roman" w:cs="Times New Roman" w:eastAsia="Times New Roman" w:hint="default"/>
        </w:rPr>
        <w:t>47</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4,230,682.37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9,824,807.29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2,721,264.74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1,765,800.60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加：汇兑损失</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-4.19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-0.17</w:t>
            </w:r>
            <w:r>
              <w:rPr>
                <w:rFonts w:ascii="Times New Roman"/>
                <w:sz w:val="18"/>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加：其他支出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74,796.23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95,818.58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1,584,209.67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8,154,825.10</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8、资产减值损失" w:id="326"/>
      <w:bookmarkEnd w:id="326"/>
      <w:r>
        <w:rPr>
          <w:b w:val="0"/>
          <w:bCs w:val="0"/>
        </w:rPr>
      </w:r>
      <w:r>
        <w:rPr>
          <w:rFonts w:ascii="Times New Roman" w:hAnsi="Times New Roman" w:cs="Times New Roman" w:eastAsia="Times New Roman" w:hint="default"/>
        </w:rPr>
        <w:t>48</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5,803,981.12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7,598,394.20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5,803,981.12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7,598,394.20</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9、营业外收入" w:id="327"/>
      <w:bookmarkEnd w:id="327"/>
      <w:r>
        <w:rPr>
          <w:b w:val="0"/>
          <w:bCs w:val="0"/>
        </w:rPr>
      </w:r>
      <w:r>
        <w:rPr>
          <w:rFonts w:ascii="Times New Roman" w:hAnsi="Times New Roman" w:cs="Times New Roman" w:eastAsia="Times New Roman" w:hint="default"/>
        </w:rPr>
        <w:t>49</w:t>
      </w:r>
      <w:r>
        <w:rPr/>
        <w:t>、营业外收入</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378"/>
        <w:gridCol w:w="2396"/>
        <w:gridCol w:w="2392"/>
        <w:gridCol w:w="2392"/>
      </w:tblGrid>
      <w:tr>
        <w:trPr>
          <w:trHeight w:val="161" w:hRule="exact"/>
        </w:trPr>
        <w:tc>
          <w:tcPr>
            <w:tcW w:w="2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70,793.20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295.95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70,793.20</w:t>
            </w:r>
          </w:p>
        </w:tc>
      </w:tr>
      <w:tr>
        <w:trPr>
          <w:trHeight w:val="403"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70,793.20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295.95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70,793.20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7" w:top="1060" w:bottom="138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1,777,618.83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944,967.75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1,400,000.00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28,726.60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21,632.00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28,726.60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1,877,138.63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966,895.70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1,499,519.80</w:t>
            </w:r>
          </w:p>
        </w:tc>
      </w:tr>
    </w:tbl>
    <w:p>
      <w:pPr>
        <w:pStyle w:val="BodyText"/>
        <w:spacing w:line="240" w:lineRule="auto" w:before="51"/>
        <w:ind w:left="1134" w:right="0"/>
        <w:jc w:val="left"/>
      </w:pPr>
      <w:r>
        <w:rPr/>
        <w:t>计入当期损益的政府补助：</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21" w:type="dxa"/>
        <w:tblLayout w:type="fixed"/>
        <w:tblCellMar>
          <w:top w:w="0" w:type="dxa"/>
          <w:left w:w="0" w:type="dxa"/>
          <w:bottom w:w="0" w:type="dxa"/>
          <w:right w:w="0" w:type="dxa"/>
        </w:tblCellMar>
        <w:tblLook w:val="01E0"/>
      </w:tblPr>
      <w:tblGrid>
        <w:gridCol w:w="1066"/>
        <w:gridCol w:w="1344"/>
        <w:gridCol w:w="781"/>
        <w:gridCol w:w="1064"/>
        <w:gridCol w:w="1063"/>
        <w:gridCol w:w="1063"/>
        <w:gridCol w:w="1064"/>
        <w:gridCol w:w="1062"/>
        <w:gridCol w:w="1063"/>
      </w:tblGrid>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06"/>
              <w:jc w:val="right"/>
              <w:rPr>
                <w:rFonts w:ascii="宋体" w:hAnsi="宋体" w:cs="宋体" w:eastAsia="宋体" w:hint="default"/>
                <w:sz w:val="18"/>
                <w:szCs w:val="18"/>
              </w:rPr>
            </w:pPr>
            <w:r>
              <w:rPr>
                <w:rFonts w:ascii="宋体" w:hAnsi="宋体" w:cs="宋体" w:eastAsia="宋体" w:hint="default"/>
                <w:sz w:val="18"/>
                <w:szCs w:val="18"/>
              </w:rPr>
              <w:t>发放主体</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95" w:right="114" w:hanging="180"/>
              <w:jc w:val="left"/>
              <w:rPr>
                <w:rFonts w:ascii="宋体" w:hAnsi="宋体" w:cs="宋体" w:eastAsia="宋体" w:hint="default"/>
                <w:sz w:val="18"/>
                <w:szCs w:val="18"/>
              </w:rPr>
            </w:pPr>
            <w:r>
              <w:rPr>
                <w:rFonts w:ascii="宋体" w:hAnsi="宋体" w:cs="宋体" w:eastAsia="宋体" w:hint="default"/>
                <w:sz w:val="18"/>
                <w:szCs w:val="18"/>
              </w:rPr>
              <w:t>发放原 因</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66"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66" w:right="164"/>
              <w:jc w:val="center"/>
              <w:rPr>
                <w:rFonts w:ascii="宋体" w:hAnsi="宋体" w:cs="宋体" w:eastAsia="宋体" w:hint="default"/>
                <w:sz w:val="18"/>
                <w:szCs w:val="18"/>
              </w:rPr>
            </w:pPr>
            <w:r>
              <w:rPr>
                <w:rFonts w:ascii="宋体" w:hAnsi="宋体" w:cs="宋体" w:eastAsia="宋体" w:hint="default"/>
                <w:sz w:val="18"/>
                <w:szCs w:val="18"/>
              </w:rPr>
              <w:t>补贴是否 影响当年 盈亏</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346" w:right="164" w:hanging="180"/>
              <w:jc w:val="left"/>
              <w:rPr>
                <w:rFonts w:ascii="宋体" w:hAnsi="宋体" w:cs="宋体" w:eastAsia="宋体" w:hint="default"/>
                <w:sz w:val="18"/>
                <w:szCs w:val="18"/>
              </w:rPr>
            </w:pPr>
            <w:r>
              <w:rPr>
                <w:rFonts w:ascii="宋体" w:hAnsi="宋体" w:cs="宋体" w:eastAsia="宋体" w:hint="default"/>
                <w:sz w:val="18"/>
                <w:szCs w:val="18"/>
              </w:rPr>
              <w:t>是否特殊 补贴</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346" w:right="165" w:hanging="180"/>
              <w:jc w:val="left"/>
              <w:rPr>
                <w:rFonts w:ascii="宋体" w:hAnsi="宋体" w:cs="宋体" w:eastAsia="宋体" w:hint="default"/>
                <w:sz w:val="18"/>
                <w:szCs w:val="18"/>
              </w:rPr>
            </w:pPr>
            <w:r>
              <w:rPr>
                <w:rFonts w:ascii="宋体" w:hAnsi="宋体" w:cs="宋体" w:eastAsia="宋体" w:hint="default"/>
                <w:sz w:val="18"/>
                <w:szCs w:val="18"/>
              </w:rPr>
              <w:t>本期发生 金额</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345" w:right="164" w:hanging="180"/>
              <w:jc w:val="left"/>
              <w:rPr>
                <w:rFonts w:ascii="宋体" w:hAnsi="宋体" w:cs="宋体" w:eastAsia="宋体" w:hint="default"/>
                <w:sz w:val="18"/>
                <w:szCs w:val="18"/>
              </w:rPr>
            </w:pPr>
            <w:r>
              <w:rPr>
                <w:rFonts w:ascii="宋体" w:hAnsi="宋体" w:cs="宋体" w:eastAsia="宋体" w:hint="default"/>
                <w:sz w:val="18"/>
                <w:szCs w:val="18"/>
              </w:rPr>
              <w:t>上期发生 金额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141" w:right="139"/>
              <w:jc w:val="center"/>
              <w:rPr>
                <w:rFonts w:ascii="宋体" w:hAnsi="宋体" w:cs="宋体" w:eastAsia="宋体" w:hint="default"/>
                <w:sz w:val="18"/>
                <w:szCs w:val="18"/>
              </w:rPr>
            </w:pPr>
            <w:r>
              <w:rPr>
                <w:rFonts w:ascii="宋体" w:hAnsi="宋体" w:cs="宋体" w:eastAsia="宋体" w:hint="default"/>
                <w:sz w:val="18"/>
                <w:szCs w:val="18"/>
              </w:rPr>
              <w:t>与资产相 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 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31"/>
              <w:jc w:val="both"/>
              <w:rPr>
                <w:rFonts w:ascii="宋体" w:hAnsi="宋体" w:cs="宋体" w:eastAsia="宋体" w:hint="default"/>
                <w:sz w:val="18"/>
                <w:szCs w:val="18"/>
              </w:rPr>
            </w:pPr>
            <w:r>
              <w:rPr>
                <w:rFonts w:ascii="宋体" w:hAnsi="宋体" w:cs="宋体" w:eastAsia="宋体" w:hint="default"/>
                <w:sz w:val="18"/>
                <w:szCs w:val="18"/>
              </w:rPr>
              <w:t>北京市科 学技术委 员会补贴 款</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1" w:right="150"/>
              <w:jc w:val="left"/>
              <w:rPr>
                <w:rFonts w:ascii="宋体" w:hAnsi="宋体" w:cs="宋体" w:eastAsia="宋体" w:hint="default"/>
                <w:sz w:val="18"/>
                <w:szCs w:val="18"/>
              </w:rPr>
            </w:pPr>
            <w:r>
              <w:rPr>
                <w:rFonts w:ascii="宋体" w:hAnsi="宋体" w:cs="宋体" w:eastAsia="宋体" w:hint="default"/>
                <w:sz w:val="18"/>
                <w:szCs w:val="18"/>
              </w:rPr>
              <w:t>北京市科学技 术委员会</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01"/>
              <w:jc w:val="left"/>
              <w:rPr>
                <w:rFonts w:ascii="宋体" w:hAnsi="宋体" w:cs="宋体" w:eastAsia="宋体" w:hint="default"/>
                <w:sz w:val="18"/>
                <w:szCs w:val="18"/>
              </w:rPr>
            </w:pPr>
            <w:r>
              <w:rPr>
                <w:rFonts w:ascii="宋体" w:hAnsi="宋体" w:cs="宋体" w:eastAsia="宋体" w:hint="default"/>
                <w:sz w:val="18"/>
                <w:szCs w:val="18"/>
              </w:rPr>
              <w:t>因研究开 </w:t>
            </w:r>
            <w:r>
              <w:rPr>
                <w:rFonts w:ascii="宋体" w:hAnsi="宋体" w:cs="宋体" w:eastAsia="宋体" w:hint="default"/>
                <w:spacing w:val="-11"/>
                <w:sz w:val="18"/>
                <w:szCs w:val="18"/>
              </w:rPr>
              <w:t>发、技术更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新及改造 等获得的 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34"/>
              <w:jc w:val="righ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31"/>
              <w:jc w:val="both"/>
              <w:rPr>
                <w:rFonts w:ascii="宋体" w:hAnsi="宋体" w:cs="宋体" w:eastAsia="宋体" w:hint="default"/>
                <w:sz w:val="18"/>
                <w:szCs w:val="18"/>
              </w:rPr>
            </w:pPr>
            <w:r>
              <w:rPr>
                <w:rFonts w:ascii="宋体" w:hAnsi="宋体" w:cs="宋体" w:eastAsia="宋体" w:hint="default"/>
                <w:sz w:val="18"/>
                <w:szCs w:val="18"/>
              </w:rPr>
              <w:t>北京市科 委科技服 务专项款</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30"/>
              <w:jc w:val="right"/>
              <w:rPr>
                <w:rFonts w:ascii="宋体" w:hAnsi="宋体" w:cs="宋体" w:eastAsia="宋体" w:hint="default"/>
                <w:sz w:val="18"/>
                <w:szCs w:val="18"/>
              </w:rPr>
            </w:pPr>
            <w:r>
              <w:rPr>
                <w:rFonts w:ascii="宋体" w:hAnsi="宋体" w:cs="宋体" w:eastAsia="宋体" w:hint="default"/>
                <w:sz w:val="18"/>
                <w:szCs w:val="18"/>
              </w:rPr>
              <w:t>北京市科委</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01"/>
              <w:jc w:val="left"/>
              <w:rPr>
                <w:rFonts w:ascii="宋体" w:hAnsi="宋体" w:cs="宋体" w:eastAsia="宋体" w:hint="default"/>
                <w:sz w:val="18"/>
                <w:szCs w:val="18"/>
              </w:rPr>
            </w:pPr>
            <w:r>
              <w:rPr>
                <w:rFonts w:ascii="宋体" w:hAnsi="宋体" w:cs="宋体" w:eastAsia="宋体" w:hint="default"/>
                <w:sz w:val="18"/>
                <w:szCs w:val="18"/>
              </w:rPr>
              <w:t>因研究开 </w:t>
            </w:r>
            <w:r>
              <w:rPr>
                <w:rFonts w:ascii="宋体" w:hAnsi="宋体" w:cs="宋体" w:eastAsia="宋体" w:hint="default"/>
                <w:spacing w:val="-11"/>
                <w:sz w:val="18"/>
                <w:szCs w:val="18"/>
              </w:rPr>
              <w:t>发、技术更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新及改造 等获得的 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34"/>
              <w:jc w:val="righ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250,000.00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289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103" w:right="231"/>
              <w:jc w:val="both"/>
              <w:rPr>
                <w:rFonts w:ascii="宋体" w:hAnsi="宋体" w:cs="宋体" w:eastAsia="宋体" w:hint="default"/>
                <w:sz w:val="18"/>
                <w:szCs w:val="18"/>
              </w:rPr>
            </w:pPr>
            <w:r>
              <w:rPr>
                <w:rFonts w:ascii="宋体" w:hAnsi="宋体" w:cs="宋体" w:eastAsia="宋体" w:hint="default"/>
                <w:sz w:val="18"/>
                <w:szCs w:val="18"/>
              </w:rPr>
              <w:t>软件增值 税即征即 退</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1" w:right="150"/>
              <w:jc w:val="left"/>
              <w:rPr>
                <w:rFonts w:ascii="宋体" w:hAnsi="宋体" w:cs="宋体" w:eastAsia="宋体" w:hint="default"/>
                <w:sz w:val="18"/>
                <w:szCs w:val="18"/>
              </w:rPr>
            </w:pPr>
            <w:r>
              <w:rPr>
                <w:rFonts w:ascii="宋体" w:hAnsi="宋体" w:cs="宋体" w:eastAsia="宋体" w:hint="default"/>
                <w:sz w:val="18"/>
                <w:szCs w:val="18"/>
              </w:rPr>
              <w:t>软件集成电路 增值税退税</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01"/>
              <w:jc w:val="left"/>
              <w:rPr>
                <w:rFonts w:ascii="宋体" w:hAnsi="宋体" w:cs="宋体" w:eastAsia="宋体" w:hint="default"/>
                <w:sz w:val="18"/>
                <w:szCs w:val="18"/>
              </w:rPr>
            </w:pPr>
            <w:r>
              <w:rPr>
                <w:rFonts w:ascii="宋体" w:hAnsi="宋体" w:cs="宋体" w:eastAsia="宋体" w:hint="default"/>
                <w:sz w:val="18"/>
                <w:szCs w:val="18"/>
              </w:rPr>
              <w:t>因从事国 家鼓励和 扶持特定 </w:t>
            </w:r>
            <w:r>
              <w:rPr>
                <w:rFonts w:ascii="宋体" w:hAnsi="宋体" w:cs="宋体" w:eastAsia="宋体" w:hint="default"/>
                <w:spacing w:val="-11"/>
                <w:sz w:val="18"/>
                <w:szCs w:val="18"/>
              </w:rPr>
              <w:t>行业、产业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而获得的 </w:t>
            </w:r>
            <w:r>
              <w:rPr>
                <w:rFonts w:ascii="宋体" w:hAnsi="宋体" w:cs="宋体" w:eastAsia="宋体" w:hint="default"/>
                <w:spacing w:val="-11"/>
                <w:sz w:val="18"/>
                <w:szCs w:val="18"/>
              </w:rPr>
              <w:t>补助（按国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家级政策 规定依法 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34"/>
              <w:jc w:val="righ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377,618.83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94,967.75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31"/>
              <w:jc w:val="left"/>
              <w:rPr>
                <w:rFonts w:ascii="宋体" w:hAnsi="宋体" w:cs="宋体" w:eastAsia="宋体" w:hint="default"/>
                <w:sz w:val="18"/>
                <w:szCs w:val="18"/>
              </w:rPr>
            </w:pPr>
            <w:r>
              <w:rPr>
                <w:rFonts w:ascii="宋体" w:hAnsi="宋体" w:cs="宋体" w:eastAsia="宋体" w:hint="default"/>
                <w:sz w:val="18"/>
                <w:szCs w:val="18"/>
              </w:rPr>
              <w:t>上市扶持 资金</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1" w:right="150"/>
              <w:jc w:val="both"/>
              <w:rPr>
                <w:rFonts w:ascii="宋体" w:hAnsi="宋体" w:cs="宋体" w:eastAsia="宋体" w:hint="default"/>
                <w:sz w:val="18"/>
                <w:szCs w:val="18"/>
              </w:rPr>
            </w:pPr>
            <w:r>
              <w:rPr>
                <w:rFonts w:ascii="宋体" w:hAnsi="宋体" w:cs="宋体" w:eastAsia="宋体" w:hint="default"/>
                <w:sz w:val="18"/>
                <w:szCs w:val="18"/>
              </w:rPr>
              <w:t>海淀区促进企 业上市服务中 心</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28"/>
              <w:jc w:val="both"/>
              <w:rPr>
                <w:rFonts w:ascii="宋体" w:hAnsi="宋体" w:cs="宋体" w:eastAsia="宋体" w:hint="default"/>
                <w:sz w:val="18"/>
                <w:szCs w:val="18"/>
              </w:rPr>
            </w:pPr>
            <w:r>
              <w:rPr>
                <w:rFonts w:ascii="宋体" w:hAnsi="宋体" w:cs="宋体" w:eastAsia="宋体" w:hint="default"/>
                <w:sz w:val="18"/>
                <w:szCs w:val="18"/>
              </w:rPr>
              <w:t>因符合地 方政府招 商引资等 地方性扶 持政策而 获得的补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34"/>
              <w:jc w:val="righ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227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31"/>
              <w:jc w:val="both"/>
              <w:rPr>
                <w:rFonts w:ascii="宋体" w:hAnsi="宋体" w:cs="宋体" w:eastAsia="宋体" w:hint="default"/>
                <w:sz w:val="18"/>
                <w:szCs w:val="18"/>
              </w:rPr>
            </w:pPr>
            <w:r>
              <w:rPr>
                <w:rFonts w:ascii="宋体" w:hAnsi="宋体" w:cs="宋体" w:eastAsia="宋体" w:hint="default"/>
                <w:sz w:val="18"/>
                <w:szCs w:val="18"/>
              </w:rPr>
              <w:t>玄武区财 政局财税 补助</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1" w:right="150"/>
              <w:jc w:val="left"/>
              <w:rPr>
                <w:rFonts w:ascii="宋体" w:hAnsi="宋体" w:cs="宋体" w:eastAsia="宋体" w:hint="default"/>
                <w:sz w:val="18"/>
                <w:szCs w:val="18"/>
              </w:rPr>
            </w:pPr>
            <w:r>
              <w:rPr>
                <w:rFonts w:ascii="宋体" w:hAnsi="宋体" w:cs="宋体" w:eastAsia="宋体" w:hint="default"/>
                <w:sz w:val="18"/>
                <w:szCs w:val="18"/>
              </w:rPr>
              <w:t>南京市玄武区 财政局</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28"/>
              <w:jc w:val="both"/>
              <w:rPr>
                <w:rFonts w:ascii="宋体" w:hAnsi="宋体" w:cs="宋体" w:eastAsia="宋体" w:hint="default"/>
                <w:sz w:val="18"/>
                <w:szCs w:val="18"/>
              </w:rPr>
            </w:pPr>
            <w:r>
              <w:rPr>
                <w:rFonts w:ascii="宋体" w:hAnsi="宋体" w:cs="宋体" w:eastAsia="宋体" w:hint="default"/>
                <w:sz w:val="18"/>
                <w:szCs w:val="18"/>
              </w:rPr>
              <w:t>因符合地 方政府招 商引资等 地方性扶 持政策而 获得的补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34"/>
              <w:jc w:val="righ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bl>
    <w:p>
      <w:pPr>
        <w:spacing w:after="0" w:line="316" w:lineRule="auto"/>
        <w:jc w:val="left"/>
        <w:rPr>
          <w:rFonts w:ascii="宋体" w:hAnsi="宋体" w:cs="宋体" w:eastAsia="宋体" w:hint="default"/>
          <w:sz w:val="18"/>
          <w:szCs w:val="18"/>
        </w:rPr>
        <w:sectPr>
          <w:pgSz w:w="11910" w:h="16840"/>
          <w:pgMar w:header="877" w:footer="1187" w:top="1060" w:bottom="1380" w:left="0" w:right="0"/>
        </w:sectPr>
      </w:pPr>
    </w:p>
    <w:p>
      <w:pPr>
        <w:spacing w:line="240" w:lineRule="auto" w:before="6"/>
        <w:rPr>
          <w:rFonts w:ascii="宋体" w:hAnsi="宋体" w:cs="宋体" w:eastAsia="宋体" w:hint="default"/>
          <w:sz w:val="28"/>
          <w:szCs w:val="28"/>
        </w:rPr>
      </w:pPr>
    </w:p>
    <w:tbl>
      <w:tblPr>
        <w:tblW w:w="0" w:type="auto"/>
        <w:jc w:val="left"/>
        <w:tblInd w:w="1021" w:type="dxa"/>
        <w:tblLayout w:type="fixed"/>
        <w:tblCellMar>
          <w:top w:w="0" w:type="dxa"/>
          <w:left w:w="0" w:type="dxa"/>
          <w:bottom w:w="0" w:type="dxa"/>
          <w:right w:w="0" w:type="dxa"/>
        </w:tblCellMar>
        <w:tblLook w:val="01E0"/>
      </w:tblPr>
      <w:tblGrid>
        <w:gridCol w:w="1066"/>
        <w:gridCol w:w="1344"/>
        <w:gridCol w:w="781"/>
        <w:gridCol w:w="1064"/>
        <w:gridCol w:w="1063"/>
        <w:gridCol w:w="1063"/>
        <w:gridCol w:w="1064"/>
        <w:gridCol w:w="1062"/>
        <w:gridCol w:w="1063"/>
      </w:tblGrid>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31"/>
              <w:jc w:val="both"/>
              <w:rPr>
                <w:rFonts w:ascii="宋体" w:hAnsi="宋体" w:cs="宋体" w:eastAsia="宋体" w:hint="default"/>
                <w:sz w:val="18"/>
                <w:szCs w:val="18"/>
              </w:rPr>
            </w:pPr>
            <w:r>
              <w:rPr>
                <w:rFonts w:ascii="宋体" w:hAnsi="宋体" w:cs="宋体" w:eastAsia="宋体" w:hint="default"/>
                <w:sz w:val="18"/>
                <w:szCs w:val="18"/>
              </w:rPr>
              <w:t>促进经济 发展专项 资金</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1" w:right="150"/>
              <w:jc w:val="both"/>
              <w:rPr>
                <w:rFonts w:ascii="宋体" w:hAnsi="宋体" w:cs="宋体" w:eastAsia="宋体" w:hint="default"/>
                <w:sz w:val="18"/>
                <w:szCs w:val="18"/>
              </w:rPr>
            </w:pPr>
            <w:r>
              <w:rPr>
                <w:rFonts w:ascii="宋体" w:hAnsi="宋体" w:cs="宋体" w:eastAsia="宋体" w:hint="default"/>
                <w:sz w:val="18"/>
                <w:szCs w:val="18"/>
              </w:rPr>
              <w:t>上海市静安区 金融和投资服 务办公室</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8"/>
              <w:jc w:val="both"/>
              <w:rPr>
                <w:rFonts w:ascii="宋体" w:hAnsi="宋体" w:cs="宋体" w:eastAsia="宋体" w:hint="default"/>
                <w:sz w:val="18"/>
                <w:szCs w:val="18"/>
              </w:rPr>
            </w:pPr>
            <w:r>
              <w:rPr>
                <w:rFonts w:ascii="宋体" w:hAnsi="宋体" w:cs="宋体" w:eastAsia="宋体" w:hint="default"/>
                <w:sz w:val="18"/>
                <w:szCs w:val="18"/>
              </w:rPr>
              <w:t>因符合地 方政府招 商引资等 地方性扶 持政策而 获得的补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0" w:right="0"/>
              <w:jc w:val="left"/>
              <w:rPr>
                <w:rFonts w:ascii="Times New Roman" w:hAnsi="Times New Roman" w:cs="Times New Roman" w:eastAsia="Times New Roman" w:hint="default"/>
                <w:sz w:val="18"/>
                <w:szCs w:val="18"/>
              </w:rPr>
            </w:pPr>
            <w:r>
              <w:rPr>
                <w:rFonts w:ascii="Times New Roman"/>
                <w:sz w:val="18"/>
              </w:rPr>
              <w:t>150,000.00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1,777,618.</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944,967.75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0、营业外支出" w:id="328"/>
      <w:bookmarkEnd w:id="328"/>
      <w:r>
        <w:rPr>
          <w:b w:val="0"/>
          <w:bCs w:val="0"/>
        </w:rPr>
      </w:r>
      <w:r>
        <w:rPr>
          <w:rFonts w:ascii="Times New Roman" w:hAnsi="Times New Roman" w:cs="Times New Roman" w:eastAsia="Times New Roman" w:hint="default"/>
        </w:rPr>
        <w:t>50</w:t>
      </w:r>
      <w:r>
        <w:rPr/>
        <w:t>、营业外支出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130,555.49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890.68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130,555.49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130,555.49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890.68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130,555.49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161,400.00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480,000.00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1,136.81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610,555.49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163,427.49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610,555.49</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1、所得税费用" w:id="329"/>
      <w:bookmarkEnd w:id="329"/>
      <w:r>
        <w:rPr>
          <w:b w:val="0"/>
          <w:bCs w:val="0"/>
        </w:rPr>
      </w:r>
      <w:r>
        <w:rPr>
          <w:rFonts w:ascii="Times New Roman" w:hAnsi="Times New Roman" w:cs="Times New Roman" w:eastAsia="Times New Roman" w:hint="default"/>
        </w:rPr>
        <w:t>51</w:t>
      </w:r>
      <w:r>
        <w:rPr/>
        <w:t>、所得税费用</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0"/>
        <w:jc w:val="left"/>
        <w:rPr>
          <w:b w:val="0"/>
          <w:bCs w:val="0"/>
        </w:rPr>
      </w:pPr>
      <w:bookmarkStart w:name="（1）所得税费用表" w:id="330"/>
      <w:bookmarkEnd w:id="330"/>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5,854,252.06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9,461,971.96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-426,717.22</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-1,136,359.63</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5,427,534.84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8,325,612.33</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会计利润与所得税费用调整过程" w:id="331"/>
      <w:bookmarkEnd w:id="331"/>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46,656,474.30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6,998,471.14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7" w:top="1060" w:bottom="138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4780"/>
        <w:gridCol w:w="4789"/>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-2,459,281.48</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888,345.18</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5,427,534.84</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2、现金流量表项目" w:id="332"/>
      <w:bookmarkEnd w:id="332"/>
      <w:r>
        <w:rPr>
          <w:b w:val="0"/>
          <w:bCs w:val="0"/>
        </w:rPr>
      </w:r>
      <w:r>
        <w:rPr>
          <w:rFonts w:ascii="Times New Roman" w:hAnsi="Times New Roman" w:cs="Times New Roman" w:eastAsia="Times New Roman" w:hint="default"/>
        </w:rPr>
        <w:t>52</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收到的其他与经营活动有关的现金" w:id="333"/>
      <w:bookmarkEnd w:id="333"/>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收回银行保函保证金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621,737.83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11,747,522.14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2,721,764.74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1,765,800.60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收到的押金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100,592.00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37,933.71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收回备用金借款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2,454,795.97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3,346,539.07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政府补助拨款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收回投标、履约保证金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13,124,641.88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8,127,467.70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972,068.32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3,091,712.65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21,395,600.74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28,966,975.87</w:t>
            </w:r>
          </w:p>
        </w:tc>
      </w:tr>
    </w:tbl>
    <w:p>
      <w:pPr>
        <w:pStyle w:val="BodyText"/>
        <w:spacing w:line="240" w:lineRule="auto" w:before="51"/>
        <w:ind w:left="1134" w:right="0"/>
        <w:jc w:val="left"/>
      </w:pPr>
      <w:r>
        <w:rPr/>
        <w:t>收到的其他与经营活动有关的现金说明：</w:t>
      </w:r>
    </w:p>
    <w:p>
      <w:pPr>
        <w:spacing w:line="240" w:lineRule="auto" w:before="11"/>
        <w:rPr>
          <w:rFonts w:ascii="宋体" w:hAnsi="宋体" w:cs="宋体" w:eastAsia="宋体" w:hint="default"/>
          <w:sz w:val="26"/>
          <w:szCs w:val="26"/>
        </w:rPr>
      </w:pPr>
    </w:p>
    <w:p>
      <w:pPr>
        <w:pStyle w:val="Heading4"/>
        <w:spacing w:line="240" w:lineRule="auto"/>
        <w:ind w:left="1134" w:right="0"/>
        <w:jc w:val="left"/>
        <w:rPr>
          <w:b w:val="0"/>
          <w:bCs w:val="0"/>
        </w:rPr>
      </w:pPr>
      <w:bookmarkStart w:name="（2）支付的其他与经营活动有关的现金" w:id="334"/>
      <w:bookmarkEnd w:id="334"/>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支付银行保函保证金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2,426,988.40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2,310,158.36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支付备用金借款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7,334,824.36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6,788,366.57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期间费用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35,561,318.64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35,279,681.49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支付的押金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58,551.27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200,172.00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支付投标、履约保证金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14,381,160.00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7,811,845.96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969,548.08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3,877,274.64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60,732,390.75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56,267,499.02</w:t>
            </w:r>
          </w:p>
        </w:tc>
      </w:tr>
    </w:tbl>
    <w:p>
      <w:pPr>
        <w:pStyle w:val="BodyText"/>
        <w:spacing w:line="240" w:lineRule="auto" w:before="51"/>
        <w:ind w:left="1134" w:right="0"/>
        <w:jc w:val="left"/>
      </w:pPr>
      <w:r>
        <w:rPr/>
        <w:t>支付的其他与经营活动有关的现金说明：</w:t>
      </w:r>
    </w:p>
    <w:p>
      <w:pPr>
        <w:spacing w:after="0" w:line="240" w:lineRule="auto"/>
        <w:jc w:val="left"/>
        <w:sectPr>
          <w:pgSz w:w="11910" w:h="16840"/>
          <w:pgMar w:header="877" w:footer="1187" w:top="1060" w:bottom="1380" w:left="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3）收到的其他与投资活动有关的现金" w:id="335"/>
      <w:bookmarkEnd w:id="335"/>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0"/>
        <w:jc w:val="left"/>
      </w:pPr>
      <w:r>
        <w:rPr/>
        <w:t>收到的其他与投资活动有关的现金说明：</w:t>
      </w:r>
    </w:p>
    <w:p>
      <w:pPr>
        <w:spacing w:line="240" w:lineRule="auto" w:before="10"/>
        <w:rPr>
          <w:rFonts w:ascii="宋体" w:hAnsi="宋体" w:cs="宋体" w:eastAsia="宋体" w:hint="default"/>
          <w:sz w:val="26"/>
          <w:szCs w:val="26"/>
        </w:rPr>
      </w:pPr>
    </w:p>
    <w:p>
      <w:pPr>
        <w:pStyle w:val="Heading4"/>
        <w:spacing w:line="240" w:lineRule="auto"/>
        <w:ind w:left="1134" w:right="0"/>
        <w:jc w:val="left"/>
        <w:rPr>
          <w:b w:val="0"/>
          <w:bCs w:val="0"/>
        </w:rPr>
      </w:pPr>
      <w:bookmarkStart w:name="（4）支付的其他与投资活动有关的现金" w:id="336"/>
      <w:bookmarkEnd w:id="336"/>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0"/>
        <w:jc w:val="left"/>
      </w:pPr>
      <w:r>
        <w:rPr/>
        <w:t>支付的其他与投资活动有关的现金说明：</w:t>
      </w:r>
    </w:p>
    <w:p>
      <w:pPr>
        <w:spacing w:line="240" w:lineRule="auto" w:before="10"/>
        <w:rPr>
          <w:rFonts w:ascii="宋体" w:hAnsi="宋体" w:cs="宋体" w:eastAsia="宋体" w:hint="default"/>
          <w:sz w:val="26"/>
          <w:szCs w:val="26"/>
        </w:rPr>
      </w:pPr>
    </w:p>
    <w:p>
      <w:pPr>
        <w:pStyle w:val="Heading4"/>
        <w:spacing w:line="240" w:lineRule="auto"/>
        <w:ind w:left="1134" w:right="0"/>
        <w:jc w:val="left"/>
        <w:rPr>
          <w:b w:val="0"/>
          <w:bCs w:val="0"/>
        </w:rPr>
      </w:pPr>
      <w:bookmarkStart w:name="（5）收到的其他与筹资活动有关的现金" w:id="337"/>
      <w:bookmarkEnd w:id="337"/>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股东捐赠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0"/>
        <w:jc w:val="left"/>
      </w:pPr>
      <w:r>
        <w:rPr/>
        <w:t>收到的其他与筹资活动有关的现金说明：</w:t>
      </w:r>
    </w:p>
    <w:p>
      <w:pPr>
        <w:spacing w:line="240" w:lineRule="auto" w:before="11"/>
        <w:rPr>
          <w:rFonts w:ascii="宋体" w:hAnsi="宋体" w:cs="宋体" w:eastAsia="宋体" w:hint="default"/>
          <w:sz w:val="26"/>
          <w:szCs w:val="26"/>
        </w:rPr>
      </w:pPr>
    </w:p>
    <w:p>
      <w:pPr>
        <w:pStyle w:val="Heading4"/>
        <w:spacing w:line="240" w:lineRule="auto"/>
        <w:ind w:left="1134" w:right="0"/>
        <w:jc w:val="left"/>
        <w:rPr>
          <w:b w:val="0"/>
          <w:bCs w:val="0"/>
        </w:rPr>
      </w:pPr>
      <w:bookmarkStart w:name="（6）支付的其他与筹资活动有关的现金" w:id="338"/>
      <w:bookmarkEnd w:id="338"/>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0"/>
        <w:jc w:val="left"/>
      </w:pPr>
      <w:r>
        <w:rPr/>
        <w:t>支付的其他与筹资活动有关的现金说明：</w:t>
      </w:r>
    </w:p>
    <w:p>
      <w:pPr>
        <w:spacing w:line="240" w:lineRule="auto" w:before="11"/>
        <w:rPr>
          <w:rFonts w:ascii="宋体" w:hAnsi="宋体" w:cs="宋体" w:eastAsia="宋体" w:hint="default"/>
          <w:sz w:val="26"/>
          <w:szCs w:val="26"/>
        </w:rPr>
      </w:pPr>
    </w:p>
    <w:p>
      <w:pPr>
        <w:pStyle w:val="Heading4"/>
        <w:spacing w:line="240" w:lineRule="auto"/>
        <w:ind w:left="1134" w:right="0"/>
        <w:jc w:val="left"/>
        <w:rPr>
          <w:b w:val="0"/>
          <w:bCs w:val="0"/>
        </w:rPr>
      </w:pPr>
      <w:bookmarkStart w:name="53、现金流量表补充资料" w:id="339"/>
      <w:bookmarkEnd w:id="339"/>
      <w:r>
        <w:rPr>
          <w:b w:val="0"/>
          <w:bCs w:val="0"/>
        </w:rPr>
      </w:r>
      <w:r>
        <w:rPr>
          <w:rFonts w:ascii="Times New Roman" w:hAnsi="Times New Roman" w:cs="Times New Roman" w:eastAsia="Times New Roman" w:hint="default"/>
        </w:rPr>
        <w:t>53</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现金流量表补充资料" w:id="340"/>
      <w:bookmarkEnd w:id="340"/>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41,228,939.46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66,080,887.67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5,803,981.12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7,598,394.20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5,220,925.84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5,063,321.89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7" w:top="1060" w:bottom="1380" w:left="0" w:right="0"/>
        </w:sectPr>
      </w:pPr>
    </w:p>
    <w:p>
      <w:pPr>
        <w:spacing w:line="240" w:lineRule="auto" w:before="6"/>
        <w:rPr>
          <w:rFonts w:ascii="宋体" w:hAnsi="宋体" w:cs="宋体" w:eastAsia="宋体" w:hint="default"/>
          <w:sz w:val="28"/>
          <w:szCs w:val="28"/>
        </w:rPr>
      </w:pPr>
      <w:r>
        <w:rPr/>
        <w:pict>
          <v:group style="position:absolute;margin-left:223.339996pt;margin-top:186.049988pt;width:151.25pt;height:20.8pt;mso-position-horizontal-relative:page;mso-position-vertical-relative:page;z-index:-842416" coordorigin="4467,3721" coordsize="3025,416">
            <v:group style="position:absolute;left:4478;top:3732;width:2;height:393" coordorigin="4478,3732" coordsize="2,393">
              <v:shape style="position:absolute;left:4478;top:3732;width:2;height:393" coordorigin="4478,3732" coordsize="0,393" path="m4478,3732l4478,4125e" filled="false" stroked="true" strokeweight="1.140pt" strokecolor="#ffffff">
                <v:path arrowok="t"/>
              </v:shape>
            </v:group>
            <v:group style="position:absolute;left:4490;top:3732;width:3002;height:393" coordorigin="4490,3732" coordsize="3002,393">
              <v:shape style="position:absolute;left:4490;top:3732;width:3002;height:393" coordorigin="4490,3732" coordsize="3002,393" path="m4490,4125l7491,4125,7491,3732,4490,3732,4490,4125xe" filled="true" fillcolor="#ffffff" stroked="false">
                <v:path arrowok="t"/>
                <v:fill type="solid"/>
              </v:shape>
            </v:group>
            <w10:wrap type="none"/>
          </v:group>
        </w:pict>
      </w:r>
    </w:p>
    <w:tbl>
      <w:tblPr>
        <w:tblW w:w="0" w:type="auto"/>
        <w:jc w:val="left"/>
        <w:tblInd w:w="1140" w:type="dxa"/>
        <w:tblLayout w:type="fixed"/>
        <w:tblCellMar>
          <w:top w:w="0" w:type="dxa"/>
          <w:left w:w="0" w:type="dxa"/>
          <w:bottom w:w="0" w:type="dxa"/>
          <w:right w:w="0" w:type="dxa"/>
        </w:tblCellMar>
        <w:tblLook w:val="01E0"/>
      </w:tblPr>
      <w:tblGrid>
        <w:gridCol w:w="3305"/>
        <w:gridCol w:w="1122"/>
        <w:gridCol w:w="1947"/>
        <w:gridCol w:w="3184"/>
      </w:tblGrid>
      <w:tr>
        <w:trPr>
          <w:trHeight w:val="36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765,734.52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498,423.88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1,151,646.76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1,015,162.25</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59,762.29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594.73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4,230,682.37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9,824,807.29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12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9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48" w:right="0"/>
              <w:jc w:val="left"/>
              <w:rPr>
                <w:rFonts w:ascii="Times New Roman" w:hAnsi="Times New Roman" w:cs="Times New Roman" w:eastAsia="Times New Roman" w:hint="default"/>
                <w:sz w:val="18"/>
                <w:szCs w:val="18"/>
              </w:rPr>
            </w:pPr>
            <w:r>
              <w:rPr>
                <w:rFonts w:ascii="Times New Roman"/>
                <w:sz w:val="18"/>
              </w:rPr>
              <w:t>-426,717.22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-1,136,359.63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49,385,964.29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69,695,611.61</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19" w:right="0"/>
              <w:jc w:val="left"/>
              <w:rPr>
                <w:rFonts w:ascii="Times New Roman" w:hAnsi="Times New Roman" w:cs="Times New Roman" w:eastAsia="Times New Roman" w:hint="default"/>
                <w:sz w:val="18"/>
                <w:szCs w:val="18"/>
              </w:rPr>
            </w:pPr>
            <w:r>
              <w:rPr>
                <w:rFonts w:ascii="Times New Roman"/>
                <w:sz w:val="18"/>
              </w:rPr>
              <w:t>-1,674,992.64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-21,352,411.58</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29" w:right="0"/>
              <w:jc w:val="left"/>
              <w:rPr>
                <w:rFonts w:ascii="Times New Roman" w:hAnsi="Times New Roman" w:cs="Times New Roman" w:eastAsia="Times New Roman" w:hint="default"/>
                <w:sz w:val="18"/>
                <w:szCs w:val="18"/>
              </w:rPr>
            </w:pPr>
            <w:r>
              <w:rPr>
                <w:rFonts w:ascii="Times New Roman"/>
                <w:sz w:val="18"/>
              </w:rPr>
              <w:t>-75,067,080.59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-97,753,228.38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30,678,846.20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39,535,203.93</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05" w:right="0"/>
              <w:jc w:val="left"/>
              <w:rPr>
                <w:rFonts w:ascii="Times New Roman" w:hAnsi="Times New Roman" w:cs="Times New Roman" w:eastAsia="Times New Roman" w:hint="default"/>
                <w:sz w:val="18"/>
                <w:szCs w:val="18"/>
              </w:rPr>
            </w:pPr>
            <w:r>
              <w:rPr>
                <w:rFonts w:ascii="Times New Roman"/>
                <w:sz w:val="18"/>
              </w:rPr>
              <w:t>404,957,311.42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216,957,260.08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216,957,260.08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182,435,189.05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40,000,000.00</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148,000,051.34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74,522,071.03</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本期支付的取得子公司的现金净额" w:id="341"/>
      <w:bookmarkEnd w:id="341"/>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989"/>
        <w:gridCol w:w="4580"/>
      </w:tblGrid>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本期收到的处置子公司的现金净额" w:id="342"/>
      <w:bookmarkEnd w:id="342"/>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877" w:footer="1187" w:top="1060" w:bottom="138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现金和现金等价物的构成" w:id="343"/>
      <w:bookmarkEnd w:id="343"/>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404,957,311.42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216,957,260.08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335,639.77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306,308.48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404,621,671.65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216,650,951.60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3069"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404,957,311.42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256,957,260.08</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4、所有权或使用权受到限制的资产" w:id="344"/>
      <w:bookmarkEnd w:id="344"/>
      <w:r>
        <w:rPr>
          <w:b w:val="0"/>
          <w:bCs w:val="0"/>
        </w:rPr>
      </w:r>
      <w:r>
        <w:rPr>
          <w:rFonts w:ascii="Times New Roman" w:hAnsi="Times New Roman" w:cs="Times New Roman" w:eastAsia="Times New Roman" w:hint="default"/>
        </w:rPr>
        <w:t>54</w:t>
      </w:r>
      <w:r>
        <w:rPr/>
        <w:t>、所有权或使用权受到限制的资产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6,372,461.06</w:t>
            </w:r>
          </w:p>
        </w:tc>
        <w:tc>
          <w:tcPr>
            <w:tcW w:w="31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保函保证金、共同监管户</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12,642,428.03</w:t>
            </w:r>
          </w:p>
        </w:tc>
        <w:tc>
          <w:tcPr>
            <w:tcW w:w="31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抵押担保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19,014,889.09</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5、外币货币性项目" w:id="345"/>
      <w:bookmarkEnd w:id="345"/>
      <w:r>
        <w:rPr>
          <w:b w:val="0"/>
          <w:bCs w:val="0"/>
        </w:rPr>
      </w:r>
      <w:r>
        <w:rPr>
          <w:rFonts w:ascii="Times New Roman" w:hAnsi="Times New Roman" w:cs="Times New Roman" w:eastAsia="Times New Roman" w:hint="default"/>
        </w:rPr>
        <w:t>55</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外币货币性项目" w:id="346"/>
      <w:bookmarkEnd w:id="346"/>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84"/>
        <w:gridCol w:w="2305"/>
        <w:gridCol w:w="2391"/>
        <w:gridCol w:w="2389"/>
      </w:tblGrid>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7.58</w:t>
            </w:r>
          </w:p>
        </w:tc>
        <w:tc>
          <w:tcPr>
            <w:tcW w:w="239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49.22</w:t>
            </w:r>
          </w:p>
        </w:tc>
      </w:tr>
    </w:tbl>
    <w:p>
      <w:pPr>
        <w:pStyle w:val="BodyText"/>
        <w:spacing w:line="240" w:lineRule="auto" w:before="51"/>
        <w:ind w:left="1134" w:right="0"/>
        <w:jc w:val="left"/>
      </w:pPr>
      <w:r>
        <w:rPr/>
        <w:t>其他说明：</w:t>
      </w:r>
    </w:p>
    <w:p>
      <w:pPr>
        <w:spacing w:after="0" w:line="240" w:lineRule="auto"/>
        <w:jc w:val="left"/>
        <w:sectPr>
          <w:pgSz w:w="11910" w:h="16840"/>
          <w:pgMar w:header="877" w:footer="1187" w:top="1060" w:bottom="1380" w:left="0" w:right="0"/>
        </w:sectPr>
      </w:pPr>
    </w:p>
    <w:p>
      <w:pPr>
        <w:spacing w:line="240" w:lineRule="auto" w:before="9"/>
        <w:rPr>
          <w:rFonts w:ascii="宋体" w:hAnsi="宋体" w:cs="宋体" w:eastAsia="宋体" w:hint="default"/>
          <w:sz w:val="24"/>
          <w:szCs w:val="24"/>
        </w:rPr>
      </w:pPr>
    </w:p>
    <w:p>
      <w:pPr>
        <w:pStyle w:val="Heading4"/>
        <w:spacing w:line="259" w:lineRule="auto" w:before="35"/>
        <w:ind w:right="0"/>
        <w:jc w:val="left"/>
        <w:rPr>
          <w:b w:val="0"/>
          <w:bCs w:val="0"/>
        </w:rPr>
      </w:pPr>
      <w:bookmarkStart w:name="（2）境外经营实体说明，包括对于重要的境外经营实体，应披露其境外主要经营地、记账" w:id="347"/>
      <w:bookmarkEnd w:id="347"/>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八、在其他主体中的权益" w:id="348"/>
      <w:bookmarkEnd w:id="348"/>
      <w:r>
        <w:rPr>
          <w:b w:val="0"/>
          <w:bCs w:val="0"/>
        </w:rPr>
      </w:r>
      <w:r>
        <w:rPr/>
        <w:t>八、在其他主体中的权益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在子公司中的权益" w:id="349"/>
      <w:bookmarkEnd w:id="349"/>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企业集团的构成" w:id="350"/>
      <w:bookmarkEnd w:id="350"/>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021" w:type="dxa"/>
        <w:tblLayout w:type="fixed"/>
        <w:tblCellMar>
          <w:top w:w="0" w:type="dxa"/>
          <w:left w:w="0" w:type="dxa"/>
          <w:bottom w:w="0" w:type="dxa"/>
          <w:right w:w="0" w:type="dxa"/>
        </w:tblCellMar>
        <w:tblLook w:val="01E0"/>
      </w:tblPr>
      <w:tblGrid>
        <w:gridCol w:w="1985"/>
        <w:gridCol w:w="992"/>
        <w:gridCol w:w="1128"/>
        <w:gridCol w:w="1367"/>
        <w:gridCol w:w="1192"/>
        <w:gridCol w:w="1134"/>
        <w:gridCol w:w="1774"/>
      </w:tblGrid>
      <w:tr>
        <w:trPr>
          <w:trHeight w:val="402" w:hRule="exact"/>
        </w:trPr>
        <w:tc>
          <w:tcPr>
            <w:tcW w:w="1985" w:type="dxa"/>
            <w:vMerge w:val="restart"/>
            <w:tcBorders>
              <w:top w:val="single" w:sz="4" w:space="0" w:color="000000"/>
              <w:left w:val="single" w:sz="4" w:space="0" w:color="000000"/>
              <w:right w:val="single" w:sz="4" w:space="0" w:color="000000"/>
            </w:tcBorders>
          </w:tcPr>
          <w:p>
            <w:pPr>
              <w:pStyle w:val="TableParagraph"/>
              <w:spacing w:line="240" w:lineRule="auto" w:before="52"/>
              <w:ind w:left="537"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992" w:type="dxa"/>
            <w:vMerge w:val="restart"/>
            <w:tcBorders>
              <w:top w:val="single" w:sz="4" w:space="0" w:color="000000"/>
              <w:left w:val="single" w:sz="4" w:space="0" w:color="000000"/>
              <w:right w:val="single" w:sz="4" w:space="0" w:color="000000"/>
            </w:tcBorders>
          </w:tcPr>
          <w:p>
            <w:pPr>
              <w:pStyle w:val="TableParagraph"/>
              <w:spacing w:line="316" w:lineRule="auto" w:before="52"/>
              <w:ind w:left="400" w:right="131" w:hanging="270"/>
              <w:jc w:val="left"/>
              <w:rPr>
                <w:rFonts w:ascii="宋体" w:hAnsi="宋体" w:cs="宋体" w:eastAsia="宋体" w:hint="default"/>
                <w:sz w:val="18"/>
                <w:szCs w:val="18"/>
              </w:rPr>
            </w:pPr>
            <w:r>
              <w:rPr>
                <w:rFonts w:ascii="宋体" w:hAnsi="宋体" w:cs="宋体" w:eastAsia="宋体" w:hint="default"/>
                <w:sz w:val="18"/>
                <w:szCs w:val="18"/>
              </w:rPr>
              <w:t>主要经营 地</w:t>
            </w:r>
          </w:p>
        </w:tc>
        <w:tc>
          <w:tcPr>
            <w:tcW w:w="1128" w:type="dxa"/>
            <w:vMerge w:val="restart"/>
            <w:tcBorders>
              <w:top w:val="single" w:sz="4" w:space="0" w:color="000000"/>
              <w:left w:val="single" w:sz="4" w:space="0" w:color="000000"/>
              <w:right w:val="single" w:sz="4" w:space="0" w:color="000000"/>
            </w:tcBorders>
          </w:tcPr>
          <w:p>
            <w:pPr>
              <w:pStyle w:val="TableParagraph"/>
              <w:spacing w:line="240" w:lineRule="auto" w:before="52"/>
              <w:ind w:left="289"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3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774" w:type="dxa"/>
            <w:vMerge w:val="restart"/>
            <w:tcBorders>
              <w:top w:val="single" w:sz="4" w:space="0" w:color="000000"/>
              <w:left w:val="single" w:sz="4" w:space="0" w:color="000000"/>
              <w:right w:val="single" w:sz="4" w:space="0" w:color="000000"/>
            </w:tcBorders>
          </w:tcPr>
          <w:p>
            <w:pPr>
              <w:pStyle w:val="TableParagraph"/>
              <w:spacing w:line="240" w:lineRule="auto" w:before="52"/>
              <w:ind w:left="520"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985"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10"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sz w:val="18"/>
                <w:szCs w:val="18"/>
              </w:rPr>
              <w:t>间接</w:t>
            </w:r>
          </w:p>
        </w:tc>
        <w:tc>
          <w:tcPr>
            <w:tcW w:w="1774" w:type="dxa"/>
            <w:vMerge/>
            <w:tcBorders>
              <w:left w:val="single" w:sz="4" w:space="0" w:color="000000"/>
              <w:bottom w:val="single" w:sz="4" w:space="0" w:color="000000"/>
              <w:right w:val="single" w:sz="4" w:space="0" w:color="000000"/>
            </w:tcBorders>
          </w:tcPr>
          <w:p>
            <w:pP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50"/>
              <w:jc w:val="left"/>
              <w:rPr>
                <w:rFonts w:ascii="宋体" w:hAnsi="宋体" w:cs="宋体" w:eastAsia="宋体" w:hint="default"/>
                <w:sz w:val="18"/>
                <w:szCs w:val="18"/>
              </w:rPr>
            </w:pPr>
            <w:r>
              <w:rPr>
                <w:rFonts w:ascii="宋体" w:hAnsi="宋体" w:cs="宋体" w:eastAsia="宋体" w:hint="default"/>
                <w:sz w:val="18"/>
                <w:szCs w:val="18"/>
              </w:rPr>
              <w:t>上海高伟达计算机系 统工程有限公司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0"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8"/>
              <w:jc w:val="center"/>
              <w:rPr>
                <w:rFonts w:ascii="宋体" w:hAnsi="宋体" w:cs="宋体" w:eastAsia="宋体" w:hint="default"/>
                <w:sz w:val="18"/>
                <w:szCs w:val="18"/>
              </w:rPr>
            </w:pPr>
            <w:r>
              <w:rPr>
                <w:rFonts w:ascii="宋体" w:hAnsi="宋体" w:cs="宋体" w:eastAsia="宋体" w:hint="default"/>
                <w:sz w:val="18"/>
                <w:szCs w:val="18"/>
              </w:rPr>
              <w:t>信息技术服务</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4" w:right="0"/>
              <w:jc w:val="left"/>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0.00%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1" w:right="221"/>
              <w:jc w:val="left"/>
              <w:rPr>
                <w:rFonts w:ascii="宋体" w:hAnsi="宋体" w:cs="宋体" w:eastAsia="宋体" w:hint="default"/>
                <w:sz w:val="18"/>
                <w:szCs w:val="18"/>
              </w:rPr>
            </w:pPr>
            <w:r>
              <w:rPr>
                <w:rFonts w:ascii="宋体" w:hAnsi="宋体" w:cs="宋体" w:eastAsia="宋体" w:hint="default"/>
                <w:sz w:val="18"/>
                <w:szCs w:val="18"/>
              </w:rPr>
              <w:t>同一控制下企业合 并</w:t>
            </w:r>
          </w:p>
        </w:tc>
      </w:tr>
      <w:tr>
        <w:trPr>
          <w:trHeight w:val="71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50"/>
              <w:jc w:val="left"/>
              <w:rPr>
                <w:rFonts w:ascii="宋体" w:hAnsi="宋体" w:cs="宋体" w:eastAsia="宋体" w:hint="default"/>
                <w:sz w:val="18"/>
                <w:szCs w:val="18"/>
              </w:rPr>
            </w:pPr>
            <w:r>
              <w:rPr>
                <w:rFonts w:ascii="宋体" w:hAnsi="宋体" w:cs="宋体" w:eastAsia="宋体" w:hint="default"/>
                <w:sz w:val="18"/>
                <w:szCs w:val="18"/>
              </w:rPr>
              <w:t>江苏高伟达信息技术 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0" w:right="0"/>
              <w:jc w:val="left"/>
              <w:rPr>
                <w:rFonts w:ascii="宋体" w:hAnsi="宋体" w:cs="宋体" w:eastAsia="宋体" w:hint="default"/>
                <w:sz w:val="18"/>
                <w:szCs w:val="18"/>
              </w:rPr>
            </w:pPr>
            <w:r>
              <w:rPr>
                <w:rFonts w:ascii="宋体" w:hAnsi="宋体" w:cs="宋体" w:eastAsia="宋体" w:hint="default"/>
                <w:sz w:val="18"/>
                <w:szCs w:val="18"/>
              </w:rPr>
              <w:t>南京市</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8"/>
              <w:jc w:val="center"/>
              <w:rPr>
                <w:rFonts w:ascii="宋体" w:hAnsi="宋体" w:cs="宋体" w:eastAsia="宋体" w:hint="default"/>
                <w:sz w:val="18"/>
                <w:szCs w:val="18"/>
              </w:rPr>
            </w:pPr>
            <w:r>
              <w:rPr>
                <w:rFonts w:ascii="宋体" w:hAnsi="宋体" w:cs="宋体" w:eastAsia="宋体" w:hint="default"/>
                <w:sz w:val="18"/>
                <w:szCs w:val="18"/>
              </w:rPr>
              <w:t>信息技术服务</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4" w:right="0"/>
              <w:jc w:val="left"/>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0.00%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其他方式</w:t>
            </w:r>
          </w:p>
        </w:tc>
      </w:tr>
    </w:tbl>
    <w:p>
      <w:pPr>
        <w:pStyle w:val="BodyText"/>
        <w:spacing w:line="360" w:lineRule="auto" w:before="51"/>
        <w:ind w:right="2833"/>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57" w:lineRule="auto" w:before="26"/>
        <w:ind w:left="1134" w:right="7692"/>
        <w:jc w:val="left"/>
      </w:pPr>
      <w:r>
        <w:rPr/>
        <w:t>确定公司是代理人还是委托人的依据： 其他说明：</w:t>
      </w:r>
    </w:p>
    <w:p>
      <w:pPr>
        <w:spacing w:line="240" w:lineRule="auto" w:before="4"/>
        <w:rPr>
          <w:rFonts w:ascii="宋体" w:hAnsi="宋体" w:cs="宋体" w:eastAsia="宋体" w:hint="default"/>
          <w:sz w:val="18"/>
          <w:szCs w:val="18"/>
        </w:rPr>
      </w:pPr>
    </w:p>
    <w:p>
      <w:pPr>
        <w:pStyle w:val="Heading2"/>
        <w:spacing w:line="240" w:lineRule="auto"/>
        <w:ind w:left="1134" w:right="0"/>
        <w:jc w:val="left"/>
        <w:rPr>
          <w:b w:val="0"/>
          <w:bCs w:val="0"/>
        </w:rPr>
      </w:pPr>
      <w:bookmarkStart w:name="九、关联方及关联交易" w:id="351"/>
      <w:bookmarkEnd w:id="351"/>
      <w:r>
        <w:rPr>
          <w:b w:val="0"/>
          <w:bCs w:val="0"/>
        </w:rPr>
      </w:r>
      <w:r>
        <w:rPr/>
        <w:t>九、关联方及关联交易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1、本企业的母公司情况" w:id="352"/>
      <w:bookmarkEnd w:id="352"/>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1026"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120"/>
              <w:jc w:val="left"/>
              <w:rPr>
                <w:rFonts w:ascii="宋体" w:hAnsi="宋体" w:cs="宋体" w:eastAsia="宋体" w:hint="default"/>
                <w:sz w:val="18"/>
                <w:szCs w:val="18"/>
              </w:rPr>
            </w:pPr>
            <w:r>
              <w:rPr>
                <w:rFonts w:ascii="宋体" w:hAnsi="宋体" w:cs="宋体" w:eastAsia="宋体" w:hint="default"/>
                <w:sz w:val="18"/>
                <w:szCs w:val="18"/>
              </w:rPr>
              <w:t>鹰潭市鹰高投资咨 询有限责任公司</w:t>
            </w:r>
          </w:p>
        </w:tc>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120"/>
              <w:jc w:val="both"/>
              <w:rPr>
                <w:rFonts w:ascii="宋体" w:hAnsi="宋体" w:cs="宋体" w:eastAsia="宋体" w:hint="default"/>
                <w:sz w:val="18"/>
                <w:szCs w:val="18"/>
              </w:rPr>
            </w:pPr>
            <w:r>
              <w:rPr>
                <w:rFonts w:ascii="宋体" w:hAnsi="宋体" w:cs="宋体" w:eastAsia="宋体" w:hint="default"/>
                <w:sz w:val="18"/>
                <w:szCs w:val="18"/>
              </w:rPr>
              <w:t>鹰潭经济技术开发 区和谐路中段梦娜 宿舍楼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119"/>
              <w:jc w:val="left"/>
              <w:rPr>
                <w:rFonts w:ascii="宋体" w:hAnsi="宋体" w:cs="宋体" w:eastAsia="宋体" w:hint="default"/>
                <w:sz w:val="18"/>
                <w:szCs w:val="18"/>
              </w:rPr>
            </w:pPr>
            <w:r>
              <w:rPr>
                <w:rFonts w:ascii="宋体" w:hAnsi="宋体" w:cs="宋体" w:eastAsia="宋体" w:hint="default"/>
                <w:sz w:val="18"/>
                <w:szCs w:val="18"/>
              </w:rPr>
              <w:t>投资，企业管理咨 询；营销策划</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8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32.42%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06" w:right="0"/>
              <w:jc w:val="left"/>
              <w:rPr>
                <w:rFonts w:ascii="Times New Roman" w:hAnsi="Times New Roman" w:cs="Times New Roman" w:eastAsia="Times New Roman" w:hint="default"/>
                <w:sz w:val="18"/>
                <w:szCs w:val="18"/>
              </w:rPr>
            </w:pPr>
            <w:r>
              <w:rPr>
                <w:rFonts w:ascii="Times New Roman"/>
                <w:sz w:val="18"/>
              </w:rPr>
              <w:t>32.42%</w:t>
            </w:r>
          </w:p>
        </w:tc>
      </w:tr>
    </w:tbl>
    <w:p>
      <w:pPr>
        <w:pStyle w:val="BodyText"/>
        <w:spacing w:line="360" w:lineRule="auto" w:before="51"/>
        <w:ind w:right="8558"/>
        <w:jc w:val="both"/>
      </w:pPr>
      <w:r>
        <w:rPr/>
        <w:t>本企业的母公司情况的说明 本企业最终控制方是于伟。 其他说明：</w:t>
      </w:r>
    </w:p>
    <w:p>
      <w:pPr>
        <w:spacing w:line="240" w:lineRule="auto" w:before="11"/>
        <w:rPr>
          <w:rFonts w:ascii="宋体" w:hAnsi="宋体" w:cs="宋体" w:eastAsia="宋体" w:hint="default"/>
          <w:sz w:val="19"/>
          <w:szCs w:val="19"/>
        </w:rPr>
      </w:pPr>
    </w:p>
    <w:p>
      <w:pPr>
        <w:pStyle w:val="Heading4"/>
        <w:spacing w:line="240" w:lineRule="auto"/>
        <w:ind w:right="0"/>
        <w:jc w:val="both"/>
        <w:rPr>
          <w:b w:val="0"/>
          <w:bCs w:val="0"/>
        </w:rPr>
      </w:pPr>
      <w:bookmarkStart w:name="2、本企业的子公司情况" w:id="353"/>
      <w:bookmarkEnd w:id="353"/>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本企业子公司的情况详见附注八。</w:t>
      </w:r>
    </w:p>
    <w:p>
      <w:pPr>
        <w:spacing w:after="0" w:line="240" w:lineRule="auto"/>
        <w:jc w:val="both"/>
        <w:sectPr>
          <w:pgSz w:w="11910" w:h="16840"/>
          <w:pgMar w:header="877" w:footer="1187" w:top="1060" w:bottom="1380" w:left="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3、其他关联方情况" w:id="354"/>
      <w:bookmarkEnd w:id="354"/>
      <w:r>
        <w:rPr>
          <w:b w:val="0"/>
          <w:bCs w:val="0"/>
        </w:rPr>
      </w:r>
      <w:r>
        <w:rPr>
          <w:rFonts w:ascii="Times New Roman" w:hAnsi="Times New Roman" w:cs="Times New Roman" w:eastAsia="Times New Roman" w:hint="default"/>
        </w:rPr>
        <w:t>3</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鹰潭市鹰飞投资咨询有限公司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鹰潭市鹰伟投资咨询有限公司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鹰潭市鹰达投资咨询有限公司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鹰潭市鹰杰投资咨询有限公司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鹰潭市华鹰投资咨询有限公司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鹰潭市锐鹰投资咨询有限公司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贵昌有限公司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银联科技有限公司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关联交易情况" w:id="355"/>
      <w:bookmarkEnd w:id="355"/>
      <w:r>
        <w:rPr>
          <w:b w:val="0"/>
          <w:bCs w:val="0"/>
        </w:rPr>
      </w:r>
      <w:r>
        <w:rPr>
          <w:rFonts w:ascii="Times New Roman" w:hAnsi="Times New Roman" w:cs="Times New Roman" w:eastAsia="Times New Roman" w:hint="default"/>
        </w:rPr>
        <w:t>4</w:t>
      </w:r>
      <w:r>
        <w:rPr/>
        <w:t>、关联交易情况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0"/>
        <w:jc w:val="left"/>
        <w:rPr>
          <w:b w:val="0"/>
          <w:bCs w:val="0"/>
        </w:rPr>
      </w:pPr>
      <w:bookmarkStart w:name="（1）关联担保情况" w:id="356"/>
      <w:bookmarkEnd w:id="356"/>
      <w:r>
        <w:rPr>
          <w:b w:val="0"/>
          <w:bCs w:val="0"/>
        </w:rPr>
      </w:r>
      <w:r>
        <w:rPr/>
        <w:t>（</w:t>
      </w:r>
      <w:r>
        <w:rPr>
          <w:rFonts w:ascii="Times New Roman" w:hAnsi="Times New Roman" w:cs="Times New Roman" w:eastAsia="Times New Roman" w:hint="default"/>
        </w:rPr>
        <w:t>1</w:t>
      </w:r>
      <w:r>
        <w:rPr/>
        <w:t>）关联担保情况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t>本公司作为担保方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1"/>
        <w:ind w:left="1134" w:right="0"/>
        <w:jc w:val="left"/>
      </w:pPr>
      <w:r>
        <w:rPr/>
        <w:t>本公司作为被担保方</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134" w:right="0"/>
        <w:jc w:val="left"/>
      </w:pPr>
      <w:r>
        <w:rPr/>
        <w:t>关联担保情况说明</w:t>
      </w:r>
    </w:p>
    <w:p>
      <w:pPr>
        <w:spacing w:line="240" w:lineRule="auto" w:before="11"/>
        <w:rPr>
          <w:rFonts w:ascii="宋体" w:hAnsi="宋体" w:cs="宋体" w:eastAsia="宋体" w:hint="default"/>
          <w:sz w:val="26"/>
          <w:szCs w:val="26"/>
        </w:rPr>
      </w:pPr>
    </w:p>
    <w:p>
      <w:pPr>
        <w:pStyle w:val="Heading4"/>
        <w:spacing w:line="240" w:lineRule="auto"/>
        <w:ind w:left="1134" w:right="0"/>
        <w:jc w:val="left"/>
        <w:rPr>
          <w:b w:val="0"/>
          <w:bCs w:val="0"/>
        </w:rPr>
      </w:pPr>
      <w:bookmarkStart w:name="（2）关键管理人员报酬" w:id="357"/>
      <w:bookmarkEnd w:id="357"/>
      <w:r>
        <w:rPr>
          <w:b w:val="0"/>
          <w:bCs w:val="0"/>
        </w:rPr>
      </w:r>
      <w:r>
        <w:rPr/>
        <w:t>（</w:t>
      </w:r>
      <w:r>
        <w:rPr>
          <w:rFonts w:ascii="Times New Roman" w:hAnsi="Times New Roman" w:cs="Times New Roman" w:eastAsia="Times New Roman" w:hint="default"/>
        </w:rPr>
        <w:t>2</w:t>
      </w:r>
      <w:r>
        <w:rPr/>
        <w:t>）关键管理人员报酬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薪酬合计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4,441,100.00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3,534,400.00</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十、股份支付" w:id="358"/>
      <w:bookmarkEnd w:id="358"/>
      <w:r>
        <w:rPr>
          <w:b w:val="0"/>
          <w:bCs w:val="0"/>
        </w:rPr>
      </w:r>
      <w:r>
        <w:rPr/>
        <w:t>十、股份支付</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股份支付总体情况" w:id="359"/>
      <w:bookmarkEnd w:id="359"/>
      <w:r>
        <w:rPr>
          <w:b w:val="0"/>
          <w:bCs w:val="0"/>
        </w:rPr>
      </w:r>
      <w:r>
        <w:rPr>
          <w:rFonts w:ascii="Times New Roman" w:hAnsi="Times New Roman" w:cs="Times New Roman" w:eastAsia="Times New Roman" w:hint="default"/>
        </w:rPr>
        <w:t>1</w:t>
      </w:r>
      <w:r>
        <w:rPr/>
        <w:t>、股份支付总体情况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1187" w:top="1060" w:bottom="1380" w:left="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2、以权益结算的股份支付情况" w:id="360"/>
      <w:bookmarkEnd w:id="360"/>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以现金结算的股份支付情况" w:id="361"/>
      <w:bookmarkEnd w:id="361"/>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一、承诺及或有事项" w:id="362"/>
      <w:bookmarkEnd w:id="362"/>
      <w:r>
        <w:rPr>
          <w:b w:val="0"/>
          <w:bCs w:val="0"/>
        </w:rPr>
      </w:r>
      <w:r>
        <w:rPr/>
        <w:t>十一、承诺及或有事项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重要承诺事项" w:id="363"/>
      <w:bookmarkEnd w:id="363"/>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1187" w:top="1060" w:bottom="1380" w:left="0" w:right="0"/>
        </w:sectPr>
      </w:pPr>
    </w:p>
    <w:p>
      <w:pPr>
        <w:pStyle w:val="BodyText"/>
        <w:spacing w:line="240" w:lineRule="auto" w:before="44"/>
        <w:ind w:left="1134" w:right="-20"/>
        <w:jc w:val="left"/>
      </w:pPr>
      <w:r>
        <w:rPr/>
        <w:t>资产负债表日存在的重要承诺</w:t>
      </w:r>
    </w:p>
    <w:p>
      <w:pPr>
        <w:spacing w:line="240" w:lineRule="auto" w:before="9"/>
        <w:rPr>
          <w:rFonts w:ascii="宋体" w:hAnsi="宋体" w:cs="宋体" w:eastAsia="宋体" w:hint="default"/>
          <w:sz w:val="27"/>
          <w:szCs w:val="27"/>
        </w:rPr>
      </w:pPr>
      <w:r>
        <w:rPr/>
        <w:br w:type="column"/>
      </w:r>
      <w:r>
        <w:rPr>
          <w:rFonts w:ascii="宋体"/>
          <w:sz w:val="27"/>
        </w:rPr>
      </w:r>
    </w:p>
    <w:p>
      <w:pPr>
        <w:pStyle w:val="Heading3"/>
        <w:spacing w:line="240" w:lineRule="auto"/>
        <w:ind w:right="0" w:firstLine="0"/>
        <w:jc w:val="left"/>
      </w:pPr>
      <w:r>
        <w:rPr/>
        <w:t>单位：元</w:t>
      </w:r>
    </w:p>
    <w:p>
      <w:pPr>
        <w:spacing w:after="0" w:line="240" w:lineRule="auto"/>
        <w:jc w:val="left"/>
        <w:sectPr>
          <w:type w:val="continuous"/>
          <w:pgSz w:w="11910" w:h="16840"/>
          <w:pgMar w:top="1580" w:bottom="840" w:left="0" w:right="0"/>
          <w:cols w:num="2" w:equalWidth="0">
            <w:col w:w="3475" w:space="4845"/>
            <w:col w:w="3590"/>
          </w:cols>
        </w:sectPr>
      </w:pPr>
    </w:p>
    <w:p>
      <w:pPr>
        <w:spacing w:line="240" w:lineRule="auto" w:before="8"/>
        <w:rPr>
          <w:rFonts w:ascii="宋体" w:hAnsi="宋体" w:cs="宋体" w:eastAsia="宋体" w:hint="default"/>
          <w:sz w:val="3"/>
          <w:szCs w:val="3"/>
        </w:rPr>
      </w:pPr>
    </w:p>
    <w:tbl>
      <w:tblPr>
        <w:tblW w:w="0" w:type="auto"/>
        <w:jc w:val="left"/>
        <w:tblInd w:w="1126" w:type="dxa"/>
        <w:tblLayout w:type="fixed"/>
        <w:tblCellMar>
          <w:top w:w="0" w:type="dxa"/>
          <w:left w:w="0" w:type="dxa"/>
          <w:bottom w:w="0" w:type="dxa"/>
          <w:right w:w="0" w:type="dxa"/>
        </w:tblCellMar>
        <w:tblLook w:val="01E0"/>
      </w:tblPr>
      <w:tblGrid>
        <w:gridCol w:w="4936"/>
        <w:gridCol w:w="4487"/>
      </w:tblGrid>
      <w:tr>
        <w:trPr>
          <w:trHeight w:val="426" w:hRule="exact"/>
        </w:trPr>
        <w:tc>
          <w:tcPr>
            <w:tcW w:w="4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 w:right="0"/>
              <w:jc w:val="center"/>
              <w:rPr>
                <w:rFonts w:ascii="宋体" w:hAnsi="宋体" w:cs="宋体" w:eastAsia="宋体" w:hint="default"/>
                <w:sz w:val="20"/>
                <w:szCs w:val="20"/>
              </w:rPr>
            </w:pPr>
            <w:r>
              <w:rPr>
                <w:rFonts w:ascii="宋体" w:hAnsi="宋体" w:cs="宋体" w:eastAsia="宋体" w:hint="default"/>
                <w:sz w:val="20"/>
                <w:szCs w:val="20"/>
              </w:rPr>
              <w:t>未到期或解约保函金额</w:t>
            </w:r>
          </w:p>
        </w:tc>
        <w:tc>
          <w:tcPr>
            <w:tcW w:w="4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685" w:right="0"/>
              <w:jc w:val="left"/>
              <w:rPr>
                <w:rFonts w:ascii="宋体" w:hAnsi="宋体" w:cs="宋体" w:eastAsia="宋体" w:hint="default"/>
                <w:sz w:val="20"/>
                <w:szCs w:val="20"/>
              </w:rPr>
            </w:pPr>
            <w:r>
              <w:rPr>
                <w:rFonts w:ascii="宋体" w:hAnsi="宋体" w:cs="宋体" w:eastAsia="宋体" w:hint="default"/>
                <w:sz w:val="20"/>
                <w:szCs w:val="20"/>
              </w:rPr>
              <w:t>保证金余额</w:t>
            </w:r>
          </w:p>
        </w:tc>
      </w:tr>
      <w:tr>
        <w:trPr>
          <w:trHeight w:val="428" w:hRule="exact"/>
        </w:trPr>
        <w:tc>
          <w:tcPr>
            <w:tcW w:w="4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20"/>
                <w:szCs w:val="20"/>
              </w:rPr>
            </w:pPr>
            <w:r>
              <w:rPr>
                <w:rFonts w:ascii="Times New Roman"/>
                <w:sz w:val="20"/>
              </w:rPr>
              <w:t>18,862,400.00</w:t>
            </w:r>
          </w:p>
        </w:tc>
        <w:tc>
          <w:tcPr>
            <w:tcW w:w="4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1741" w:right="0"/>
              <w:jc w:val="left"/>
              <w:rPr>
                <w:rFonts w:ascii="Times New Roman" w:hAnsi="Times New Roman" w:cs="Times New Roman" w:eastAsia="Times New Roman" w:hint="default"/>
                <w:sz w:val="20"/>
                <w:szCs w:val="20"/>
              </w:rPr>
            </w:pPr>
            <w:r>
              <w:rPr>
                <w:rFonts w:ascii="Times New Roman"/>
                <w:sz w:val="20"/>
              </w:rPr>
              <w:t>6,190,061.06</w:t>
            </w:r>
          </w:p>
        </w:tc>
      </w:tr>
    </w:tbl>
    <w:p>
      <w:pPr>
        <w:pStyle w:val="BodyText"/>
        <w:spacing w:line="316" w:lineRule="auto" w:before="10"/>
        <w:ind w:left="1134" w:right="0"/>
        <w:jc w:val="left"/>
      </w:pPr>
      <w:r>
        <w:rPr>
          <w:spacing w:val="-2"/>
        </w:rPr>
        <w:t>以上未结清的保函均为本公司为投标或履约等事项，根据招标文件或相关合同规定的期限，向银行申请开出的，受益人为招</w:t>
      </w:r>
      <w:r>
        <w:rPr>
          <w:spacing w:val="-66"/>
        </w:rPr>
        <w:t> </w:t>
      </w:r>
      <w:r>
        <w:rPr>
          <w:spacing w:val="-66"/>
        </w:rPr>
      </w:r>
      <w:r>
        <w:rPr/>
        <w:t>标单位或本公司已签约客户银行保函。</w:t>
      </w:r>
    </w:p>
    <w:p>
      <w:pPr>
        <w:spacing w:line="240" w:lineRule="auto" w:before="7"/>
        <w:rPr>
          <w:rFonts w:ascii="宋体" w:hAnsi="宋体" w:cs="宋体" w:eastAsia="宋体" w:hint="default"/>
          <w:sz w:val="22"/>
          <w:szCs w:val="22"/>
        </w:rPr>
      </w:pPr>
    </w:p>
    <w:p>
      <w:pPr>
        <w:pStyle w:val="Heading4"/>
        <w:spacing w:line="240" w:lineRule="auto"/>
        <w:ind w:left="1134" w:right="0"/>
        <w:jc w:val="left"/>
        <w:rPr>
          <w:b w:val="0"/>
          <w:bCs w:val="0"/>
        </w:rPr>
      </w:pPr>
      <w:bookmarkStart w:name="2、或有事项" w:id="364"/>
      <w:bookmarkEnd w:id="364"/>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134" w:right="0"/>
        <w:jc w:val="left"/>
        <w:rPr>
          <w:b w:val="0"/>
          <w:bCs w:val="0"/>
        </w:rPr>
      </w:pPr>
      <w:bookmarkStart w:name="（1）资产负债表日存在的重要或有事项" w:id="365"/>
      <w:bookmarkEnd w:id="365"/>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12"/>
        <w:rPr>
          <w:rFonts w:ascii="宋体" w:hAnsi="宋体" w:cs="宋体" w:eastAsia="宋体" w:hint="default"/>
          <w:b/>
          <w:bCs/>
          <w:sz w:val="23"/>
          <w:szCs w:val="23"/>
        </w:rPr>
      </w:pPr>
    </w:p>
    <w:p>
      <w:pPr>
        <w:pStyle w:val="Heading3"/>
        <w:spacing w:line="240" w:lineRule="auto"/>
        <w:ind w:left="1134" w:right="0" w:firstLine="0"/>
        <w:jc w:val="left"/>
      </w:pPr>
      <w:r>
        <w:rPr>
          <w:rFonts w:ascii="Times New Roman" w:hAnsi="Times New Roman" w:cs="Times New Roman" w:eastAsia="Times New Roman" w:hint="default"/>
        </w:rPr>
        <w:t>1.</w:t>
      </w:r>
      <w:r>
        <w:rPr/>
        <w:t>未决诉讼仲裁事项</w:t>
      </w:r>
    </w:p>
    <w:p>
      <w:pPr>
        <w:pStyle w:val="Heading3"/>
        <w:spacing w:line="244" w:lineRule="auto" w:before="127"/>
        <w:ind w:right="1132"/>
        <w:jc w:val="both"/>
      </w:pP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7</w:t>
      </w:r>
      <w:r>
        <w:rPr>
          <w:spacing w:val="2"/>
        </w:rPr>
        <w:t>月，本公司与成都农村商业银行股份有限公司（以下简称</w:t>
      </w:r>
      <w:r>
        <w:rPr>
          <w:rFonts w:ascii="Times New Roman" w:hAnsi="Times New Roman" w:cs="Times New Roman" w:eastAsia="Times New Roman" w:hint="default"/>
          <w:spacing w:val="2"/>
        </w:rPr>
        <w:t>“</w:t>
      </w:r>
      <w:r>
        <w:rPr>
          <w:spacing w:val="2"/>
        </w:rPr>
        <w:t>成都农商行</w:t>
      </w:r>
      <w:r>
        <w:rPr>
          <w:rFonts w:ascii="Times New Roman" w:hAnsi="Times New Roman" w:cs="Times New Roman" w:eastAsia="Times New Roman" w:hint="default"/>
          <w:spacing w:val="2"/>
        </w:rPr>
        <w:t>”</w:t>
      </w:r>
      <w:r>
        <w:rPr>
          <w:spacing w:val="2"/>
        </w:rPr>
        <w:t>）签订《成都农</w:t>
      </w:r>
      <w:r>
        <w:rPr>
          <w:w w:val="99"/>
        </w:rPr>
        <w:t> </w:t>
      </w:r>
      <w:r>
        <w:rPr>
          <w:spacing w:val="-1"/>
        </w:rPr>
        <w:t>村商业银行股份有限公司系统资源建设项目合同书》（以下简称</w:t>
      </w:r>
      <w:r>
        <w:rPr>
          <w:rFonts w:ascii="Times New Roman" w:hAnsi="Times New Roman" w:cs="Times New Roman" w:eastAsia="Times New Roman" w:hint="default"/>
          <w:spacing w:val="-1"/>
        </w:rPr>
        <w:t>“</w:t>
      </w:r>
      <w:r>
        <w:rPr>
          <w:spacing w:val="-1"/>
        </w:rPr>
        <w:t>合同</w:t>
      </w:r>
      <w:r>
        <w:rPr>
          <w:rFonts w:ascii="Times New Roman" w:hAnsi="Times New Roman" w:cs="Times New Roman" w:eastAsia="Times New Roman" w:hint="default"/>
          <w:spacing w:val="-1"/>
        </w:rPr>
        <w:t>”</w:t>
      </w:r>
      <w:r>
        <w:rPr>
          <w:spacing w:val="-1"/>
        </w:rPr>
        <w:t>），合同约定本公司就合同项</w:t>
      </w:r>
      <w:r>
        <w:rPr>
          <w:spacing w:val="-98"/>
        </w:rPr>
        <w:t> </w:t>
      </w:r>
      <w:r>
        <w:rPr>
          <w:spacing w:val="-98"/>
        </w:rPr>
      </w:r>
      <w:r>
        <w:rPr>
          <w:spacing w:val="-1"/>
        </w:rPr>
        <w:t>下的</w:t>
      </w:r>
      <w:r>
        <w:rPr>
          <w:rFonts w:ascii="Times New Roman" w:hAnsi="Times New Roman" w:cs="Times New Roman" w:eastAsia="Times New Roman" w:hint="default"/>
          <w:spacing w:val="-1"/>
        </w:rPr>
        <w:t>“</w:t>
      </w:r>
      <w:r>
        <w:rPr>
          <w:spacing w:val="-1"/>
        </w:rPr>
        <w:t>系统资源建设项目</w:t>
      </w:r>
      <w:r>
        <w:rPr>
          <w:rFonts w:ascii="Times New Roman" w:hAnsi="Times New Roman" w:cs="Times New Roman" w:eastAsia="Times New Roman" w:hint="default"/>
          <w:spacing w:val="-1"/>
        </w:rPr>
        <w:t>”</w:t>
      </w:r>
      <w:r>
        <w:rPr>
          <w:spacing w:val="-1"/>
        </w:rPr>
        <w:t>向成都农商行提供硬件设备及相关服务，成都农商向公司采购设备及相关服</w:t>
      </w:r>
      <w:r>
        <w:rPr>
          <w:spacing w:val="-99"/>
        </w:rPr>
        <w:t> </w:t>
      </w:r>
      <w:r>
        <w:rPr>
          <w:spacing w:val="-99"/>
        </w:rPr>
      </w:r>
      <w:r>
        <w:rPr/>
        <w:t>务，合同款项总金额共计人民币</w:t>
      </w:r>
      <w:r>
        <w:rPr>
          <w:rFonts w:ascii="Times New Roman" w:hAnsi="Times New Roman" w:cs="Times New Roman" w:eastAsia="Times New Roman" w:hint="default"/>
        </w:rPr>
        <w:t>4,486.00</w:t>
      </w:r>
      <w:r>
        <w:rPr/>
        <w:t>万元，由成都农商行分四个阶段支付，其中第三阶段款项人</w:t>
      </w:r>
      <w:r>
        <w:rPr>
          <w:spacing w:val="-65"/>
        </w:rPr>
        <w:t> </w:t>
      </w:r>
      <w:r>
        <w:rPr>
          <w:spacing w:val="-65"/>
        </w:rPr>
      </w:r>
      <w:r>
        <w:rPr/>
        <w:t>民币</w:t>
      </w:r>
      <w:r>
        <w:rPr>
          <w:rFonts w:ascii="Times New Roman" w:hAnsi="Times New Roman" w:cs="Times New Roman" w:eastAsia="Times New Roman" w:hint="default"/>
        </w:rPr>
        <w:t>1,570.10</w:t>
      </w:r>
      <w:r>
        <w:rPr/>
        <w:t>万元，应于本公司完成系统集成并上线运行，经成都农商行验收合格后，在收到本公司</w:t>
      </w:r>
      <w:r>
        <w:rPr>
          <w:spacing w:val="-67"/>
        </w:rPr>
        <w:t> </w:t>
      </w:r>
      <w:r>
        <w:rPr>
          <w:spacing w:val="-67"/>
        </w:rPr>
      </w:r>
      <w:r>
        <w:rPr>
          <w:spacing w:val="-3"/>
        </w:rPr>
        <w:t>有效税务发票</w:t>
      </w:r>
      <w:r>
        <w:rPr>
          <w:rFonts w:ascii="Times New Roman" w:hAnsi="Times New Roman" w:cs="Times New Roman" w:eastAsia="Times New Roman" w:hint="default"/>
          <w:spacing w:val="-3"/>
        </w:rPr>
        <w:t>7</w:t>
      </w:r>
      <w:r>
        <w:rPr>
          <w:spacing w:val="-3"/>
        </w:rPr>
        <w:t>个工作日内支付，第四阶段款项人民币</w:t>
      </w:r>
      <w:r>
        <w:rPr>
          <w:rFonts w:ascii="Times New Roman" w:hAnsi="Times New Roman" w:cs="Times New Roman" w:eastAsia="Times New Roman" w:hint="default"/>
          <w:spacing w:val="-3"/>
        </w:rPr>
        <w:t>224.30</w:t>
      </w:r>
      <w:r>
        <w:rPr>
          <w:spacing w:val="-3"/>
        </w:rPr>
        <w:t>万元，应于本公司完成系统集成并上线运</w:t>
      </w:r>
      <w:r>
        <w:rPr>
          <w:spacing w:val="-80"/>
        </w:rPr>
        <w:t> </w:t>
      </w:r>
      <w:r>
        <w:rPr>
          <w:spacing w:val="-80"/>
        </w:rPr>
      </w:r>
      <w:r>
        <w:rPr>
          <w:spacing w:val="-1"/>
        </w:rPr>
        <w:t>行，经成都农商行验收合格</w:t>
      </w:r>
      <w:r>
        <w:rPr>
          <w:rFonts w:ascii="Times New Roman" w:hAnsi="Times New Roman" w:cs="Times New Roman" w:eastAsia="Times New Roman" w:hint="default"/>
          <w:spacing w:val="-1"/>
        </w:rPr>
        <w:t>3</w:t>
      </w:r>
      <w:r>
        <w:rPr>
          <w:spacing w:val="-1"/>
        </w:rPr>
        <w:t>年后，在收到本公司有效税务发票</w:t>
      </w:r>
      <w:r>
        <w:rPr>
          <w:rFonts w:ascii="Times New Roman" w:hAnsi="Times New Roman" w:cs="Times New Roman" w:eastAsia="Times New Roman" w:hint="default"/>
          <w:spacing w:val="-1"/>
        </w:rPr>
        <w:t>7</w:t>
      </w:r>
      <w:r>
        <w:rPr>
          <w:spacing w:val="-1"/>
        </w:rPr>
        <w:t>个工作日内支付；成都农商行迟延付</w:t>
      </w:r>
      <w:r>
        <w:rPr>
          <w:w w:val="99"/>
        </w:rPr>
        <w:t> </w:t>
      </w:r>
      <w:r>
        <w:rPr/>
        <w:t>款的，应每日向本公司支付延期付款部分金额的千分之一的违约金。</w:t>
      </w:r>
    </w:p>
    <w:p>
      <w:pPr>
        <w:pStyle w:val="Heading3"/>
        <w:spacing w:line="244" w:lineRule="auto" w:before="139"/>
        <w:ind w:left="1134" w:right="1134"/>
        <w:jc w:val="both"/>
      </w:pPr>
      <w:r>
        <w:rPr>
          <w:spacing w:val="6"/>
        </w:rPr>
        <w:t>本公司已于</w:t>
      </w:r>
      <w:r>
        <w:rPr>
          <w:rFonts w:ascii="Times New Roman" w:hAnsi="Times New Roman" w:cs="Times New Roman" w:eastAsia="Times New Roman" w:hint="default"/>
          <w:spacing w:val="6"/>
        </w:rPr>
        <w:t>2014</w:t>
      </w:r>
      <w:r>
        <w:rPr>
          <w:spacing w:val="6"/>
        </w:rPr>
        <w:t>年</w:t>
      </w:r>
      <w:r>
        <w:rPr>
          <w:rFonts w:ascii="Times New Roman" w:hAnsi="Times New Roman" w:cs="Times New Roman" w:eastAsia="Times New Roman" w:hint="default"/>
          <w:spacing w:val="6"/>
        </w:rPr>
        <w:t>6</w:t>
      </w:r>
      <w:r>
        <w:rPr>
          <w:spacing w:val="6"/>
        </w:rPr>
        <w:t>月</w:t>
      </w:r>
      <w:r>
        <w:rPr>
          <w:rFonts w:ascii="Times New Roman" w:hAnsi="Times New Roman" w:cs="Times New Roman" w:eastAsia="Times New Roman" w:hint="default"/>
          <w:spacing w:val="6"/>
        </w:rPr>
        <w:t>18</w:t>
      </w:r>
      <w:r>
        <w:rPr>
          <w:spacing w:val="6"/>
        </w:rPr>
        <w:t>日完成系统集成并上线运行并经成都农商行验收合格，且本公司已于</w:t>
      </w:r>
      <w:r>
        <w:rPr>
          <w:w w:val="99"/>
        </w:rPr>
        <w:t>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7</w:t>
      </w:r>
      <w:r>
        <w:rPr/>
        <w:t>日为成都农商开具金额为</w:t>
      </w:r>
      <w:r>
        <w:rPr>
          <w:rFonts w:ascii="Times New Roman" w:hAnsi="Times New Roman" w:cs="Times New Roman" w:eastAsia="Times New Roman" w:hint="default"/>
        </w:rPr>
        <w:t>1,570.10</w:t>
      </w:r>
      <w:r>
        <w:rPr/>
        <w:t>万元的有效税务发票，截至财务报告报出日，成都农商</w:t>
      </w:r>
      <w:r>
        <w:rPr>
          <w:spacing w:val="-67"/>
        </w:rPr>
        <w:t> </w:t>
      </w:r>
      <w:r>
        <w:rPr>
          <w:spacing w:val="-67"/>
        </w:rPr>
      </w:r>
      <w:r>
        <w:rPr/>
        <w:t>行尚未支付合同约定应付本公司的第三阶段款项人民币</w:t>
      </w:r>
      <w:r>
        <w:rPr>
          <w:rFonts w:ascii="Times New Roman" w:hAnsi="Times New Roman" w:cs="Times New Roman" w:eastAsia="Times New Roman" w:hint="default"/>
        </w:rPr>
        <w:t>1,570.10</w:t>
      </w:r>
      <w:r>
        <w:rPr/>
        <w:t>万元，本公司已就该合同纠纷一案向</w:t>
      </w:r>
      <w:r>
        <w:rPr>
          <w:spacing w:val="-62"/>
        </w:rPr>
        <w:t> </w:t>
      </w:r>
      <w:r>
        <w:rPr>
          <w:spacing w:val="-62"/>
        </w:rPr>
      </w:r>
      <w:r>
        <w:rPr/>
        <w:t>成都市武侯区人民法院提起诉讼，涉案金额合计</w:t>
      </w:r>
      <w:r>
        <w:rPr>
          <w:rFonts w:ascii="Times New Roman" w:hAnsi="Times New Roman" w:cs="Times New Roman" w:eastAsia="Times New Roman" w:hint="default"/>
        </w:rPr>
        <w:t>1,570.10</w:t>
      </w:r>
      <w:r>
        <w:rPr/>
        <w:t>万元及相应违约金，该案尚在立案过程中。</w:t>
      </w:r>
    </w:p>
    <w:p>
      <w:pPr>
        <w:pStyle w:val="Heading3"/>
        <w:spacing w:line="432" w:lineRule="exact" w:before="34"/>
        <w:ind w:left="1574" w:right="1118" w:hanging="441"/>
        <w:jc w:val="left"/>
      </w:pPr>
      <w:r>
        <w:rPr>
          <w:rFonts w:ascii="Times New Roman" w:hAnsi="Times New Roman" w:cs="Times New Roman" w:eastAsia="Times New Roman" w:hint="default"/>
        </w:rPr>
        <w:t>2.</w:t>
      </w:r>
      <w:r>
        <w:rPr/>
        <w:t>对外提供担保事项</w:t>
      </w:r>
      <w:r>
        <w:rPr>
          <w:w w:val="99"/>
        </w:rPr>
        <w:t> </w:t>
      </w:r>
      <w:r>
        <w:rPr>
          <w:spacing w:val="-1"/>
        </w:rPr>
        <w:t>截至</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日，本公司为进口货物代理商北京中北万兴国际贸易有限公司以进口本公司货</w:t>
      </w:r>
    </w:p>
    <w:p>
      <w:pPr>
        <w:pStyle w:val="Heading3"/>
        <w:spacing w:line="274" w:lineRule="exact"/>
        <w:ind w:left="1134" w:right="0" w:firstLine="0"/>
        <w:jc w:val="left"/>
      </w:pPr>
      <w:r>
        <w:rPr/>
        <w:t>物为目的向中国民生银行股份有限公司亚运村支行申请的</w:t>
      </w:r>
      <w:r>
        <w:rPr>
          <w:rFonts w:ascii="Times New Roman" w:hAnsi="Times New Roman" w:cs="Times New Roman" w:eastAsia="Times New Roman" w:hint="default"/>
        </w:rPr>
        <w:t>1,000.00</w:t>
      </w:r>
      <w:r>
        <w:rPr/>
        <w:t>万美元的最高额授信业务提供连带</w:t>
      </w:r>
    </w:p>
    <w:p>
      <w:pPr>
        <w:pStyle w:val="Heading3"/>
        <w:spacing w:line="240" w:lineRule="auto" w:before="7"/>
        <w:ind w:right="0" w:firstLine="0"/>
        <w:jc w:val="left"/>
      </w:pPr>
      <w:r>
        <w:rPr/>
        <w:t>责任担保，期限为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18</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18</w:t>
      </w:r>
      <w:r>
        <w:rPr/>
        <w:t>日。</w:t>
      </w:r>
    </w:p>
    <w:p>
      <w:pPr>
        <w:pStyle w:val="Heading3"/>
        <w:spacing w:line="240" w:lineRule="auto" w:before="127"/>
        <w:ind w:right="0" w:firstLine="0"/>
        <w:jc w:val="left"/>
      </w:pPr>
      <w:r>
        <w:rPr>
          <w:rFonts w:ascii="Times New Roman" w:hAnsi="Times New Roman" w:cs="Times New Roman" w:eastAsia="Times New Roman" w:hint="default"/>
        </w:rPr>
        <w:t>3.</w:t>
      </w:r>
      <w:r>
        <w:rPr/>
        <w:t>除存在上述或有事项外，截至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日，本公司无其他重大或有事项。</w:t>
      </w:r>
    </w:p>
    <w:p>
      <w:pPr>
        <w:spacing w:after="0" w:line="240" w:lineRule="auto"/>
        <w:jc w:val="left"/>
        <w:sectPr>
          <w:type w:val="continuous"/>
          <w:pgSz w:w="11910" w:h="16840"/>
          <w:pgMar w:top="1580" w:bottom="840" w:left="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公司没有需要披露的重要或有事项，也应予以说明" w:id="366"/>
      <w:bookmarkEnd w:id="366"/>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公司不存在需要披露的重要或有事项。</w:t>
      </w:r>
    </w:p>
    <w:p>
      <w:pPr>
        <w:spacing w:line="240" w:lineRule="auto" w:before="0"/>
        <w:rPr>
          <w:rFonts w:ascii="宋体" w:hAnsi="宋体" w:cs="宋体" w:eastAsia="宋体" w:hint="default"/>
          <w:sz w:val="25"/>
          <w:szCs w:val="25"/>
        </w:rPr>
      </w:pPr>
    </w:p>
    <w:p>
      <w:pPr>
        <w:pStyle w:val="Heading2"/>
        <w:spacing w:line="240" w:lineRule="auto"/>
        <w:ind w:right="0"/>
        <w:jc w:val="left"/>
        <w:rPr>
          <w:b w:val="0"/>
          <w:bCs w:val="0"/>
        </w:rPr>
      </w:pPr>
      <w:bookmarkStart w:name="十二、资产负债表日后事项" w:id="367"/>
      <w:bookmarkEnd w:id="367"/>
      <w:r>
        <w:rPr>
          <w:b w:val="0"/>
          <w:bCs w:val="0"/>
        </w:rPr>
      </w:r>
      <w:r>
        <w:rPr/>
        <w:t>十二、资产负债表日后事项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重要的非调整事项" w:id="368"/>
      <w:bookmarkEnd w:id="368"/>
      <w:r>
        <w:rPr>
          <w:b w:val="0"/>
          <w:bCs w:val="0"/>
        </w:rPr>
      </w:r>
      <w:r>
        <w:rPr>
          <w:rFonts w:ascii="Times New Roman" w:hAnsi="Times New Roman" w:cs="Times New Roman" w:eastAsia="Times New Roman" w:hint="default"/>
        </w:rPr>
        <w:t>1</w:t>
      </w:r>
      <w:r>
        <w:rPr/>
        <w:t>、重要的非调整事项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21" w:type="dxa"/>
        <w:tblLayout w:type="fixed"/>
        <w:tblCellMar>
          <w:top w:w="0" w:type="dxa"/>
          <w:left w:w="0" w:type="dxa"/>
          <w:bottom w:w="0" w:type="dxa"/>
          <w:right w:w="0" w:type="dxa"/>
        </w:tblCellMar>
        <w:tblLook w:val="01E0"/>
      </w:tblPr>
      <w:tblGrid>
        <w:gridCol w:w="2494"/>
        <w:gridCol w:w="3318"/>
        <w:gridCol w:w="1844"/>
        <w:gridCol w:w="1913"/>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466" w:right="105" w:hanging="360"/>
              <w:jc w:val="left"/>
              <w:rPr>
                <w:rFonts w:ascii="宋体" w:hAnsi="宋体" w:cs="宋体" w:eastAsia="宋体" w:hint="default"/>
                <w:sz w:val="18"/>
                <w:szCs w:val="18"/>
              </w:rPr>
            </w:pPr>
            <w:r>
              <w:rPr>
                <w:rFonts w:ascii="宋体" w:hAnsi="宋体" w:cs="宋体" w:eastAsia="宋体" w:hint="default"/>
                <w:sz w:val="18"/>
                <w:szCs w:val="18"/>
              </w:rPr>
              <w:t>对财务状况和经营成 果的影响数</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861" w:right="139" w:hanging="720"/>
              <w:jc w:val="left"/>
              <w:rPr>
                <w:rFonts w:ascii="宋体" w:hAnsi="宋体" w:cs="宋体" w:eastAsia="宋体" w:hint="default"/>
                <w:sz w:val="18"/>
                <w:szCs w:val="18"/>
              </w:rPr>
            </w:pPr>
            <w:r>
              <w:rPr>
                <w:rFonts w:ascii="宋体" w:hAnsi="宋体" w:cs="宋体" w:eastAsia="宋体" w:hint="default"/>
                <w:sz w:val="18"/>
                <w:szCs w:val="18"/>
              </w:rPr>
              <w:t>无法估计影响数的原 因</w:t>
            </w:r>
          </w:p>
        </w:tc>
      </w:tr>
      <w:tr>
        <w:trPr>
          <w:trHeight w:val="714"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股票和债券的发行</w:t>
            </w:r>
          </w:p>
        </w:tc>
        <w:tc>
          <w:tcPr>
            <w:tcW w:w="3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日，公司授予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名股权</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激励对象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160 </w:t>
            </w:r>
            <w:r>
              <w:rPr>
                <w:rFonts w:ascii="宋体" w:hAnsi="宋体" w:cs="宋体" w:eastAsia="宋体" w:hint="default"/>
                <w:sz w:val="18"/>
                <w:szCs w:val="18"/>
              </w:rPr>
              <w:t>万股。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5" w:right="0"/>
              <w:jc w:val="left"/>
              <w:rPr>
                <w:rFonts w:ascii="Times New Roman" w:hAnsi="Times New Roman" w:cs="Times New Roman" w:eastAsia="Times New Roman" w:hint="default"/>
                <w:sz w:val="18"/>
                <w:szCs w:val="18"/>
              </w:rPr>
            </w:pPr>
            <w:r>
              <w:rPr>
                <w:rFonts w:ascii="Times New Roman"/>
                <w:sz w:val="18"/>
              </w:rPr>
              <w:t>334,240,000.00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利润分配情况" w:id="369"/>
      <w:bookmarkEnd w:id="369"/>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6,207,240.00</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6,207,240.00</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4"/>
        <w:spacing w:line="240" w:lineRule="auto" w:before="35"/>
        <w:ind w:right="0"/>
        <w:jc w:val="both"/>
        <w:rPr>
          <w:b w:val="0"/>
          <w:bCs w:val="0"/>
        </w:rPr>
      </w:pPr>
      <w:bookmarkStart w:name="3、其他资产负债表日后事项说明" w:id="370"/>
      <w:bookmarkEnd w:id="370"/>
      <w:r>
        <w:rPr>
          <w:b w:val="0"/>
          <w:bCs w:val="0"/>
        </w:rPr>
      </w:r>
      <w:r>
        <w:rPr>
          <w:rFonts w:ascii="Times New Roman" w:hAnsi="Times New Roman" w:cs="Times New Roman" w:eastAsia="Times New Roman" w:hint="default"/>
        </w:rPr>
        <w:t>3</w:t>
      </w:r>
      <w:r>
        <w:rPr/>
        <w:t>、其他资产负债表日后事项说明</w:t>
      </w:r>
      <w:r>
        <w:rPr>
          <w:b w:val="0"/>
          <w:bCs w:val="0"/>
        </w:rPr>
      </w:r>
    </w:p>
    <w:p>
      <w:pPr>
        <w:pStyle w:val="Heading3"/>
        <w:spacing w:line="430" w:lineRule="atLeast" w:before="189"/>
        <w:ind w:left="1574" w:right="0" w:hanging="441"/>
        <w:jc w:val="left"/>
      </w:pPr>
      <w:r>
        <w:rPr>
          <w:rFonts w:ascii="Times New Roman" w:hAnsi="Times New Roman" w:cs="Times New Roman" w:eastAsia="Times New Roman" w:hint="default"/>
        </w:rPr>
        <w:t>1.</w:t>
      </w:r>
      <w:r>
        <w:rPr/>
        <w:t>限制性股票激励计划事项</w:t>
      </w:r>
      <w:r>
        <w:rPr>
          <w:w w:val="99"/>
        </w:rPr>
        <w:t> </w:t>
      </w:r>
      <w:r>
        <w:rPr/>
        <w:t>根据本公司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5</w:t>
      </w:r>
      <w:r>
        <w:rPr/>
        <w:t>日召开的</w:t>
      </w:r>
      <w:r>
        <w:rPr>
          <w:rFonts w:ascii="Times New Roman" w:hAnsi="Times New Roman" w:cs="Times New Roman" w:eastAsia="Times New Roman" w:hint="default"/>
        </w:rPr>
        <w:t>2016</w:t>
      </w:r>
      <w:r>
        <w:rPr/>
        <w:t>年第一次临时股东大会审议通过的《关于</w:t>
      </w:r>
      <w:r>
        <w:rPr>
          <w:rFonts w:ascii="Times New Roman" w:hAnsi="Times New Roman" w:cs="Times New Roman" w:eastAsia="Times New Roman" w:hint="default"/>
        </w:rPr>
        <w:t>&lt;</w:t>
      </w:r>
      <w:r>
        <w:rPr/>
        <w:t>高伟达软件股份</w:t>
      </w:r>
    </w:p>
    <w:p>
      <w:pPr>
        <w:pStyle w:val="Heading3"/>
        <w:spacing w:line="244" w:lineRule="auto" w:before="7"/>
        <w:ind w:right="1131" w:firstLine="0"/>
        <w:jc w:val="both"/>
      </w:pPr>
      <w:r>
        <w:rPr/>
        <w:t>有限公司限制性股票激励计划（草案修订稿）</w:t>
      </w:r>
      <w:r>
        <w:rPr>
          <w:rFonts w:ascii="Times New Roman" w:hAnsi="Times New Roman" w:cs="Times New Roman" w:eastAsia="Times New Roman" w:hint="default"/>
        </w:rPr>
        <w:t>&gt;</w:t>
      </w:r>
      <w:r>
        <w:rPr/>
        <w:t>及其摘要的议案》，本公司拟实施股权激励计划，向</w:t>
      </w:r>
      <w:r>
        <w:rPr>
          <w:spacing w:val="-90"/>
        </w:rPr>
        <w:t> </w:t>
      </w:r>
      <w:r>
        <w:rPr>
          <w:spacing w:val="-90"/>
        </w:rPr>
      </w:r>
      <w:r>
        <w:rPr>
          <w:rFonts w:ascii="Times New Roman" w:hAnsi="Times New Roman" w:cs="Times New Roman" w:eastAsia="Times New Roman" w:hint="default"/>
          <w:spacing w:val="-4"/>
          <w:w w:val="99"/>
        </w:rPr>
        <w:t>100</w:t>
      </w:r>
      <w:r>
        <w:rPr>
          <w:spacing w:val="-4"/>
          <w:w w:val="99"/>
        </w:rPr>
        <w:t>名核心管理、业务与技术人员以定向增发的方式授予</w:t>
      </w:r>
      <w:r>
        <w:rPr>
          <w:rFonts w:ascii="Times New Roman" w:hAnsi="Times New Roman" w:cs="Times New Roman" w:eastAsia="Times New Roman" w:hint="default"/>
          <w:spacing w:val="-4"/>
          <w:w w:val="99"/>
        </w:rPr>
        <w:t>1,600,000</w:t>
      </w:r>
      <w:r>
        <w:rPr>
          <w:spacing w:val="-4"/>
          <w:w w:val="99"/>
        </w:rPr>
        <w:t>股流通受限股份，每股认购价格</w:t>
      </w:r>
      <w:r>
        <w:rPr>
          <w:rFonts w:ascii="Times New Roman" w:hAnsi="Times New Roman" w:cs="Times New Roman" w:eastAsia="Times New Roman" w:hint="default"/>
          <w:spacing w:val="-4"/>
          <w:w w:val="99"/>
        </w:rPr>
        <w:t>20.89</w:t>
      </w:r>
      <w:r>
        <w:rPr>
          <w:rFonts w:ascii="Times New Roman" w:hAnsi="Times New Roman" w:cs="Times New Roman" w:eastAsia="Times New Roman" w:hint="default"/>
          <w:spacing w:val="-43"/>
          <w:w w:val="99"/>
        </w:rPr>
        <w:t> </w:t>
      </w:r>
      <w:r>
        <w:rPr/>
        <w:t>元。截至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11</w:t>
      </w:r>
      <w:r>
        <w:rPr/>
        <w:t>日止，本公司已收到授予股权激励股份的</w:t>
      </w:r>
      <w:r>
        <w:rPr>
          <w:rFonts w:ascii="Times New Roman" w:hAnsi="Times New Roman" w:cs="Times New Roman" w:eastAsia="Times New Roman" w:hint="default"/>
        </w:rPr>
        <w:t>100</w:t>
      </w:r>
      <w:r>
        <w:rPr/>
        <w:t>名人员中全部</w:t>
      </w:r>
      <w:r>
        <w:rPr>
          <w:rFonts w:ascii="Times New Roman" w:hAnsi="Times New Roman" w:cs="Times New Roman" w:eastAsia="Times New Roman" w:hint="default"/>
        </w:rPr>
        <w:t>100</w:t>
      </w:r>
      <w:r>
        <w:rPr/>
        <w:t>名人员缴纳的股</w:t>
      </w:r>
      <w:r>
        <w:rPr>
          <w:spacing w:val="-64"/>
        </w:rPr>
        <w:t> </w:t>
      </w:r>
      <w:r>
        <w:rPr>
          <w:spacing w:val="-64"/>
        </w:rPr>
      </w:r>
      <w:r>
        <w:rPr/>
        <w:t>份认购款合计人民币</w:t>
      </w:r>
      <w:r>
        <w:rPr>
          <w:rFonts w:ascii="Times New Roman" w:hAnsi="Times New Roman" w:cs="Times New Roman" w:eastAsia="Times New Roman" w:hint="default"/>
        </w:rPr>
        <w:t>33,424,000.00</w:t>
      </w:r>
      <w:r>
        <w:rPr/>
        <w:t>元，均为货币资金缴纳，并经信永中和会计师事务所（特殊普通合</w:t>
      </w:r>
      <w:r>
        <w:rPr>
          <w:w w:val="99"/>
        </w:rPr>
        <w:t> </w:t>
      </w:r>
      <w:r>
        <w:rPr/>
        <w:t>伙）于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13</w:t>
      </w:r>
      <w:r>
        <w:rPr/>
        <w:t>日出具</w:t>
      </w:r>
      <w:r>
        <w:rPr>
          <w:rFonts w:ascii="Times New Roman" w:hAnsi="Times New Roman" w:cs="Times New Roman" w:eastAsia="Times New Roman" w:hint="default"/>
        </w:rPr>
        <w:t>XYZH/2016BJA80009</w:t>
      </w:r>
      <w:r>
        <w:rPr/>
        <w:t>号验资报告验证。</w:t>
      </w:r>
    </w:p>
    <w:p>
      <w:pPr>
        <w:pStyle w:val="Heading3"/>
        <w:spacing w:line="240" w:lineRule="auto" w:before="122"/>
        <w:ind w:left="1574" w:right="0" w:firstLine="0"/>
        <w:jc w:val="left"/>
        <w:rPr>
          <w:rFonts w:ascii="Times New Roman" w:hAnsi="Times New Roman" w:cs="Times New Roman" w:eastAsia="Times New Roman" w:hint="default"/>
        </w:rPr>
      </w:pPr>
      <w:r>
        <w:rPr/>
        <w:t>截至财务报告报出日，本公司股本</w:t>
      </w:r>
      <w:r>
        <w:rPr>
          <w:rFonts w:ascii="Times New Roman" w:hAnsi="Times New Roman" w:cs="Times New Roman" w:eastAsia="Times New Roman" w:hint="default"/>
        </w:rPr>
        <w:t>134,940,000.00</w:t>
      </w:r>
      <w:r>
        <w:rPr/>
        <w:t>元，代表每股人民币</w:t>
      </w:r>
      <w:r>
        <w:rPr>
          <w:rFonts w:ascii="Times New Roman" w:hAnsi="Times New Roman" w:cs="Times New Roman" w:eastAsia="Times New Roman" w:hint="default"/>
        </w:rPr>
        <w:t>1.00</w:t>
      </w:r>
      <w:r>
        <w:rPr/>
        <w:t>元的股份</w:t>
      </w:r>
      <w:r>
        <w:rPr>
          <w:rFonts w:ascii="Times New Roman" w:hAnsi="Times New Roman" w:cs="Times New Roman" w:eastAsia="Times New Roman" w:hint="default"/>
        </w:rPr>
        <w:t>134,940,000.00</w:t>
      </w:r>
    </w:p>
    <w:p>
      <w:pPr>
        <w:pStyle w:val="Heading3"/>
        <w:spacing w:line="240" w:lineRule="auto" w:before="7"/>
        <w:ind w:right="0" w:firstLine="0"/>
        <w:jc w:val="left"/>
      </w:pPr>
      <w:r>
        <w:rPr/>
        <w:t>股。</w:t>
      </w:r>
    </w:p>
    <w:p>
      <w:pPr>
        <w:pStyle w:val="Heading3"/>
        <w:spacing w:line="240" w:lineRule="auto" w:before="144"/>
        <w:ind w:right="0" w:firstLine="0"/>
        <w:jc w:val="left"/>
      </w:pPr>
      <w:r>
        <w:rPr>
          <w:rFonts w:ascii="Times New Roman" w:hAnsi="Times New Roman" w:cs="Times New Roman" w:eastAsia="Times New Roman" w:hint="default"/>
        </w:rPr>
        <w:t>2.</w:t>
      </w:r>
      <w:r>
        <w:rPr/>
        <w:t>控股股东股份质押事项</w:t>
      </w:r>
    </w:p>
    <w:p>
      <w:pPr>
        <w:pStyle w:val="Heading3"/>
        <w:spacing w:line="244" w:lineRule="auto" w:before="127"/>
        <w:ind w:right="1128"/>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20</w:t>
      </w:r>
      <w:r>
        <w:rPr/>
        <w:t>日，本公司控股股东鹰潭市鹰高投资咨询有限公司将其持有的本公司</w:t>
      </w:r>
      <w:r>
        <w:rPr>
          <w:rFonts w:ascii="Times New Roman" w:hAnsi="Times New Roman" w:cs="Times New Roman" w:eastAsia="Times New Roman" w:hint="default"/>
        </w:rPr>
        <w:t>300,000</w:t>
      </w:r>
      <w:r>
        <w:rPr/>
        <w:t>股股份</w:t>
      </w:r>
      <w:r>
        <w:rPr>
          <w:w w:val="99"/>
        </w:rPr>
        <w:t> </w:t>
      </w:r>
      <w:r>
        <w:rPr/>
        <w:t>质押予广州证券股份有限公司，用以补充流动资金。</w:t>
      </w:r>
    </w:p>
    <w:p>
      <w:pPr>
        <w:pStyle w:val="Heading3"/>
        <w:spacing w:line="240" w:lineRule="auto" w:before="139"/>
        <w:ind w:right="0" w:firstLine="0"/>
        <w:jc w:val="left"/>
      </w:pPr>
      <w:r>
        <w:rPr>
          <w:rFonts w:ascii="Times New Roman" w:hAnsi="Times New Roman" w:cs="Times New Roman" w:eastAsia="Times New Roman" w:hint="default"/>
        </w:rPr>
        <w:t>3.</w:t>
      </w:r>
      <w:r>
        <w:rPr/>
        <w:t>除存在上述资产负债表日后事项披露事项外，本公司无其他重大资产负债表日后事项。</w:t>
      </w:r>
    </w:p>
    <w:p>
      <w:pPr>
        <w:spacing w:after="0" w:line="240" w:lineRule="auto"/>
        <w:jc w:val="left"/>
        <w:sectPr>
          <w:pgSz w:w="11910" w:h="16840"/>
          <w:pgMar w:header="877" w:footer="1187" w:top="1060" w:bottom="1380" w:left="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十三、母公司财务报表主要项目注释" w:id="371"/>
      <w:bookmarkEnd w:id="371"/>
      <w:r>
        <w:rPr>
          <w:b w:val="0"/>
          <w:bCs w:val="0"/>
        </w:rPr>
      </w:r>
      <w:r>
        <w:rPr/>
        <w:t>十三、母公司财务报表主要项目注释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应收账款" w:id="372"/>
      <w:bookmarkEnd w:id="372"/>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应收账款分类披露" w:id="373"/>
      <w:bookmarkEnd w:id="373"/>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281,952,</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836.82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21,825,1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21.16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7.74%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260,127,7</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15.66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260,289</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,316.94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13,921,32</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4.52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5.35%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246,367,99</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2.42</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281,952,</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836.82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21,825,1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21.16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7.74%</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260,127,7</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15.66</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260,289</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,316.94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13,921,32</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4.52</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5.35%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246,367,99</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2.42</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1187" w:top="1060" w:bottom="1380" w:left="0" w:right="0"/>
        </w:sectPr>
      </w:pPr>
    </w:p>
    <w:p>
      <w:pPr>
        <w:pStyle w:val="BodyText"/>
        <w:spacing w:line="240" w:lineRule="auto" w:before="51"/>
        <w:ind w:left="1134" w:right="-20"/>
        <w:jc w:val="left"/>
      </w:pPr>
      <w:r>
        <w:rPr/>
        <w:t>期末单项金额重大并单项计提坏账准备的应收账款：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580" w:bottom="840" w:left="0" w:right="0"/>
          <w:cols w:num="2" w:equalWidth="0">
            <w:col w:w="5275" w:space="3555"/>
            <w:col w:w="3080"/>
          </w:cols>
        </w:sectPr>
      </w:pP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476"/>
        <w:gridCol w:w="2301"/>
        <w:gridCol w:w="2391"/>
        <w:gridCol w:w="2390"/>
      </w:tblGrid>
      <w:tr>
        <w:trPr>
          <w:trHeight w:val="206"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214,448,739.08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6,433,462.17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28,328,413.32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2,832,841.33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38,024,095.37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11,407,228.61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1,151,589.05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1,151,589.05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281,952,836.82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21,825,121.16</w:t>
            </w:r>
          </w:p>
        </w:tc>
        <w:tc>
          <w:tcPr>
            <w:tcW w:w="23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left="1134" w:right="6432"/>
        <w:jc w:val="left"/>
      </w:pPr>
      <w:r>
        <w:rPr/>
        <w:t>确定该组合依据的说明： 组合中，采用余额百分比法计提坏账准备的应收账款：</w:t>
      </w:r>
    </w:p>
    <w:p>
      <w:pPr>
        <w:pStyle w:val="BodyText"/>
        <w:spacing w:line="340" w:lineRule="auto" w:before="26"/>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bookmarkStart w:name="（2）本期计提、收回或转回的坏账准备情况" w:id="374"/>
      <w:bookmarkEnd w:id="374"/>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580" w:bottom="840" w:left="0" w:right="0"/>
        </w:sectPr>
      </w:pPr>
    </w:p>
    <w:p>
      <w:pPr>
        <w:pStyle w:val="BodyText"/>
        <w:spacing w:line="338" w:lineRule="auto" w:before="44"/>
        <w:ind w:right="-12"/>
        <w:jc w:val="left"/>
      </w:pPr>
      <w:r>
        <w:rPr/>
        <w:t>本期计提坏账准备金额</w:t>
      </w:r>
      <w:r>
        <w:rPr>
          <w:spacing w:val="-47"/>
        </w:rPr>
        <w:t> </w:t>
      </w:r>
      <w:r>
        <w:rPr>
          <w:rFonts w:ascii="Times New Roman" w:hAnsi="Times New Roman" w:cs="Times New Roman" w:eastAsia="Times New Roman" w:hint="default"/>
        </w:rPr>
        <w:t>7,903,796.64</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580" w:bottom="840" w:left="0" w:right="0"/>
          <w:cols w:num="2" w:equalWidth="0">
            <w:col w:w="7434" w:space="1395"/>
            <w:col w:w="3081"/>
          </w:cols>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3）本期实际核销的应收账款情况" w:id="375"/>
      <w:bookmarkEnd w:id="375"/>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left="1134" w:right="0"/>
        <w:jc w:val="left"/>
      </w:pPr>
      <w:r>
        <w:rPr/>
        <w:t>其中重要的应收账款核销情况：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left="1134" w:right="0"/>
        <w:jc w:val="left"/>
      </w:pPr>
      <w:r>
        <w:rPr/>
        <w:t>应收账款核销说明：</w:t>
      </w:r>
    </w:p>
    <w:p>
      <w:pPr>
        <w:spacing w:line="240" w:lineRule="auto" w:before="11"/>
        <w:rPr>
          <w:rFonts w:ascii="宋体" w:hAnsi="宋体" w:cs="宋体" w:eastAsia="宋体" w:hint="default"/>
          <w:sz w:val="26"/>
          <w:szCs w:val="26"/>
        </w:rPr>
      </w:pPr>
    </w:p>
    <w:p>
      <w:pPr>
        <w:pStyle w:val="Heading4"/>
        <w:spacing w:line="240" w:lineRule="auto"/>
        <w:ind w:left="1134" w:right="0"/>
        <w:jc w:val="left"/>
        <w:rPr>
          <w:b w:val="0"/>
          <w:bCs w:val="0"/>
        </w:rPr>
      </w:pPr>
      <w:bookmarkStart w:name="（4）按欠款方归集的期末余额前五名的应收账款情况" w:id="376"/>
      <w:bookmarkEnd w:id="376"/>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417"/>
        <w:gridCol w:w="1986"/>
        <w:gridCol w:w="1204"/>
        <w:gridCol w:w="1382"/>
        <w:gridCol w:w="1789"/>
      </w:tblGrid>
      <w:tr>
        <w:trPr>
          <w:trHeight w:val="654"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85" w:right="0"/>
              <w:jc w:val="left"/>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20"/>
                <w:szCs w:val="20"/>
              </w:rPr>
            </w:pPr>
            <w:r>
              <w:rPr>
                <w:rFonts w:ascii="宋体" w:hAnsi="宋体" w:cs="宋体" w:eastAsia="宋体" w:hint="default"/>
                <w:b/>
                <w:bCs/>
                <w:sz w:val="20"/>
                <w:szCs w:val="20"/>
              </w:rPr>
              <w:t>账龄</w:t>
            </w:r>
            <w:r>
              <w:rPr>
                <w:rFonts w:ascii="宋体" w:hAnsi="宋体" w:cs="宋体" w:eastAsia="宋体" w:hint="default"/>
                <w:sz w:val="20"/>
                <w:szCs w:val="20"/>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
              <w:ind w:left="116" w:right="82" w:hanging="34"/>
              <w:jc w:val="left"/>
              <w:rPr>
                <w:rFonts w:ascii="Times New Roman" w:hAnsi="Times New Roman" w:cs="Times New Roman" w:eastAsia="Times New Roman" w:hint="default"/>
                <w:sz w:val="20"/>
                <w:szCs w:val="20"/>
              </w:rPr>
            </w:pPr>
            <w:r>
              <w:rPr>
                <w:rFonts w:ascii="宋体" w:hAnsi="宋体" w:cs="宋体" w:eastAsia="宋体" w:hint="default"/>
                <w:b/>
                <w:bCs/>
                <w:sz w:val="20"/>
                <w:szCs w:val="20"/>
              </w:rPr>
              <w:t>占应收账款总</w:t>
            </w:r>
            <w:r>
              <w:rPr>
                <w:rFonts w:ascii="宋体" w:hAnsi="宋体" w:cs="宋体" w:eastAsia="宋体" w:hint="default"/>
                <w:b/>
                <w:bCs/>
                <w:w w:val="99"/>
                <w:sz w:val="20"/>
                <w:szCs w:val="20"/>
              </w:rPr>
              <w:t> </w:t>
            </w:r>
            <w:r>
              <w:rPr>
                <w:rFonts w:ascii="宋体" w:hAnsi="宋体" w:cs="宋体" w:eastAsia="宋体" w:hint="default"/>
                <w:b/>
                <w:bCs/>
                <w:sz w:val="20"/>
                <w:szCs w:val="20"/>
              </w:rPr>
              <w:t>额的比例</w:t>
            </w:r>
            <w:r>
              <w:rPr>
                <w:rFonts w:ascii="Times New Roman" w:hAnsi="Times New Roman" w:cs="Times New Roman" w:eastAsia="Times New Roman" w:hint="default"/>
                <w:b/>
                <w:bCs/>
                <w:sz w:val="20"/>
                <w:szCs w:val="20"/>
              </w:rPr>
              <w:t>(%)</w:t>
            </w:r>
            <w:r>
              <w:rPr>
                <w:rFonts w:ascii="Times New Roman" w:hAnsi="Times New Roman" w:cs="Times New Roman" w:eastAsia="Times New Roman" w:hint="default"/>
                <w:sz w:val="20"/>
                <w:szCs w:val="20"/>
              </w:rPr>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85" w:right="0"/>
              <w:jc w:val="left"/>
              <w:rPr>
                <w:rFonts w:ascii="宋体" w:hAnsi="宋体" w:cs="宋体" w:eastAsia="宋体" w:hint="default"/>
                <w:sz w:val="20"/>
                <w:szCs w:val="20"/>
              </w:rPr>
            </w:pPr>
            <w:r>
              <w:rPr>
                <w:rFonts w:ascii="宋体" w:hAnsi="宋体" w:cs="宋体" w:eastAsia="宋体" w:hint="default"/>
                <w:b/>
                <w:bCs/>
                <w:sz w:val="20"/>
                <w:szCs w:val="20"/>
              </w:rPr>
              <w:t>坏账准备年末余额</w:t>
            </w:r>
            <w:r>
              <w:rPr>
                <w:rFonts w:ascii="宋体" w:hAnsi="宋体" w:cs="宋体" w:eastAsia="宋体" w:hint="default"/>
                <w:sz w:val="20"/>
                <w:szCs w:val="20"/>
              </w:rPr>
            </w:r>
          </w:p>
        </w:tc>
      </w:tr>
      <w:tr>
        <w:trPr>
          <w:trHeight w:val="342" w:hRule="exact"/>
        </w:trPr>
        <w:tc>
          <w:tcPr>
            <w:tcW w:w="341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1"/>
              <w:jc w:val="center"/>
              <w:rPr>
                <w:rFonts w:ascii="Times New Roman" w:hAnsi="Times New Roman" w:cs="Times New Roman" w:eastAsia="Times New Roman" w:hint="default"/>
                <w:sz w:val="20"/>
                <w:szCs w:val="20"/>
              </w:rPr>
            </w:pPr>
            <w:r>
              <w:rPr>
                <w:rFonts w:ascii="宋体" w:hAnsi="宋体" w:cs="宋体" w:eastAsia="宋体" w:hint="default"/>
                <w:sz w:val="20"/>
                <w:szCs w:val="20"/>
              </w:rPr>
              <w:t>客户</w:t>
            </w:r>
            <w:r>
              <w:rPr>
                <w:rFonts w:ascii="Times New Roman" w:hAnsi="Times New Roman" w:cs="Times New Roman" w:eastAsia="Times New Roman" w:hint="default"/>
                <w:sz w:val="20"/>
                <w:szCs w:val="20"/>
              </w:rPr>
              <w:t>1</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pacing w:val="-1"/>
                <w:sz w:val="20"/>
              </w:rPr>
              <w:t>66,181,084.28</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z w:val="20"/>
              </w:rPr>
              <w:t>23.47</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pacing w:val="-1"/>
                <w:sz w:val="20"/>
              </w:rPr>
              <w:t>1,985,432.53</w:t>
            </w:r>
          </w:p>
        </w:tc>
      </w:tr>
      <w:tr>
        <w:trPr>
          <w:trHeight w:val="342" w:hRule="exact"/>
        </w:trPr>
        <w:tc>
          <w:tcPr>
            <w:tcW w:w="3417" w:type="dxa"/>
            <w:vMerge/>
            <w:tcBorders>
              <w:left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pacing w:val="-1"/>
                <w:sz w:val="20"/>
              </w:rPr>
              <w:t>4,754,872.02</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1-2</w:t>
            </w:r>
            <w:r>
              <w:rPr>
                <w:rFonts w:ascii="宋体" w:hAnsi="宋体" w:cs="宋体" w:eastAsia="宋体" w:hint="default"/>
                <w:sz w:val="20"/>
                <w:szCs w:val="20"/>
              </w:rPr>
              <w:t>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z w:val="20"/>
              </w:rPr>
              <w:t>1.69</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pacing w:val="-1"/>
                <w:sz w:val="20"/>
              </w:rPr>
              <w:t>475,487.20</w:t>
            </w:r>
          </w:p>
        </w:tc>
      </w:tr>
      <w:tr>
        <w:trPr>
          <w:trHeight w:val="342" w:hRule="exact"/>
        </w:trPr>
        <w:tc>
          <w:tcPr>
            <w:tcW w:w="3417" w:type="dxa"/>
            <w:vMerge/>
            <w:tcBorders>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pacing w:val="-1"/>
                <w:sz w:val="20"/>
              </w:rPr>
              <w:t>7,528,783.04</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2-3</w:t>
            </w:r>
            <w:r>
              <w:rPr>
                <w:rFonts w:ascii="宋体" w:hAnsi="宋体" w:cs="宋体" w:eastAsia="宋体" w:hint="default"/>
                <w:sz w:val="20"/>
                <w:szCs w:val="20"/>
              </w:rPr>
              <w:t>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z w:val="20"/>
              </w:rPr>
              <w:t>2.67</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pacing w:val="-1"/>
                <w:sz w:val="20"/>
              </w:rPr>
              <w:t>2,258,634.91</w:t>
            </w:r>
          </w:p>
        </w:tc>
      </w:tr>
      <w:tr>
        <w:trPr>
          <w:trHeight w:val="342" w:hRule="exact"/>
        </w:trPr>
        <w:tc>
          <w:tcPr>
            <w:tcW w:w="341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1"/>
              <w:jc w:val="center"/>
              <w:rPr>
                <w:rFonts w:ascii="Times New Roman" w:hAnsi="Times New Roman" w:cs="Times New Roman" w:eastAsia="Times New Roman" w:hint="default"/>
                <w:sz w:val="20"/>
                <w:szCs w:val="20"/>
              </w:rPr>
            </w:pPr>
            <w:r>
              <w:rPr>
                <w:rFonts w:ascii="宋体" w:hAnsi="宋体" w:cs="宋体" w:eastAsia="宋体" w:hint="default"/>
                <w:sz w:val="20"/>
                <w:szCs w:val="20"/>
              </w:rPr>
              <w:t>客户</w:t>
            </w:r>
            <w:r>
              <w:rPr>
                <w:rFonts w:ascii="Times New Roman" w:hAnsi="Times New Roman" w:cs="Times New Roman" w:eastAsia="Times New Roman" w:hint="default"/>
                <w:sz w:val="20"/>
                <w:szCs w:val="20"/>
              </w:rPr>
              <w:t>2</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pacing w:val="-1"/>
                <w:sz w:val="20"/>
              </w:rPr>
              <w:t>37,538,640.56</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z w:val="20"/>
              </w:rPr>
              <w:t>13.31</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pacing w:val="-1"/>
                <w:sz w:val="20"/>
              </w:rPr>
              <w:t>1,126,159.22</w:t>
            </w:r>
          </w:p>
        </w:tc>
      </w:tr>
      <w:tr>
        <w:trPr>
          <w:trHeight w:val="342" w:hRule="exact"/>
        </w:trPr>
        <w:tc>
          <w:tcPr>
            <w:tcW w:w="3417" w:type="dxa"/>
            <w:vMerge/>
            <w:tcBorders>
              <w:left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
              <w:jc w:val="right"/>
              <w:rPr>
                <w:rFonts w:ascii="Times New Roman" w:hAnsi="Times New Roman" w:cs="Times New Roman" w:eastAsia="Times New Roman" w:hint="default"/>
                <w:sz w:val="20"/>
                <w:szCs w:val="20"/>
              </w:rPr>
            </w:pPr>
            <w:r>
              <w:rPr>
                <w:rFonts w:ascii="Times New Roman"/>
                <w:spacing w:val="-1"/>
                <w:sz w:val="20"/>
              </w:rPr>
              <w:t>7,395,382.99</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1-2</w:t>
            </w:r>
            <w:r>
              <w:rPr>
                <w:rFonts w:ascii="宋体" w:hAnsi="宋体" w:cs="宋体" w:eastAsia="宋体" w:hint="default"/>
                <w:sz w:val="20"/>
                <w:szCs w:val="20"/>
              </w:rPr>
              <w:t>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
              <w:jc w:val="right"/>
              <w:rPr>
                <w:rFonts w:ascii="Times New Roman" w:hAnsi="Times New Roman" w:cs="Times New Roman" w:eastAsia="Times New Roman" w:hint="default"/>
                <w:sz w:val="20"/>
                <w:szCs w:val="20"/>
              </w:rPr>
            </w:pPr>
            <w:r>
              <w:rPr>
                <w:rFonts w:ascii="Times New Roman"/>
                <w:sz w:val="20"/>
              </w:rPr>
              <w:t>2.62</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
              <w:jc w:val="right"/>
              <w:rPr>
                <w:rFonts w:ascii="Times New Roman" w:hAnsi="Times New Roman" w:cs="Times New Roman" w:eastAsia="Times New Roman" w:hint="default"/>
                <w:sz w:val="20"/>
                <w:szCs w:val="20"/>
              </w:rPr>
            </w:pPr>
            <w:r>
              <w:rPr>
                <w:rFonts w:ascii="Times New Roman"/>
                <w:spacing w:val="-1"/>
                <w:sz w:val="20"/>
              </w:rPr>
              <w:t>739,538.30</w:t>
            </w:r>
          </w:p>
        </w:tc>
      </w:tr>
      <w:tr>
        <w:trPr>
          <w:trHeight w:val="342" w:hRule="exact"/>
        </w:trPr>
        <w:tc>
          <w:tcPr>
            <w:tcW w:w="3417" w:type="dxa"/>
            <w:vMerge/>
            <w:tcBorders>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pacing w:val="-1"/>
                <w:sz w:val="20"/>
              </w:rPr>
              <w:t>3,067,200.00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2-3</w:t>
            </w:r>
            <w:r>
              <w:rPr>
                <w:rFonts w:ascii="宋体" w:hAnsi="宋体" w:cs="宋体" w:eastAsia="宋体" w:hint="default"/>
                <w:sz w:val="20"/>
                <w:szCs w:val="20"/>
              </w:rPr>
              <w:t>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z w:val="20"/>
              </w:rPr>
              <w:t>1.09</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pacing w:val="-1"/>
                <w:sz w:val="20"/>
              </w:rPr>
              <w:t>920,160.00</w:t>
            </w:r>
          </w:p>
        </w:tc>
      </w:tr>
      <w:tr>
        <w:trPr>
          <w:trHeight w:val="342" w:hRule="exact"/>
        </w:trPr>
        <w:tc>
          <w:tcPr>
            <w:tcW w:w="3417" w:type="dxa"/>
            <w:vMerge w:val="restart"/>
            <w:tcBorders>
              <w:top w:val="single" w:sz="4" w:space="0" w:color="000000"/>
              <w:left w:val="single" w:sz="4" w:space="0" w:color="000000"/>
              <w:right w:val="single" w:sz="4" w:space="0" w:color="000000"/>
            </w:tcBorders>
          </w:tcPr>
          <w:p>
            <w:pPr>
              <w:pStyle w:val="TableParagraph"/>
              <w:spacing w:line="240" w:lineRule="auto" w:before="175"/>
              <w:ind w:right="1"/>
              <w:jc w:val="center"/>
              <w:rPr>
                <w:rFonts w:ascii="Times New Roman" w:hAnsi="Times New Roman" w:cs="Times New Roman" w:eastAsia="Times New Roman" w:hint="default"/>
                <w:sz w:val="20"/>
                <w:szCs w:val="20"/>
              </w:rPr>
            </w:pPr>
            <w:r>
              <w:rPr>
                <w:rFonts w:ascii="宋体" w:hAnsi="宋体" w:cs="宋体" w:eastAsia="宋体" w:hint="default"/>
                <w:sz w:val="20"/>
                <w:szCs w:val="20"/>
              </w:rPr>
              <w:t>客户</w:t>
            </w:r>
            <w:r>
              <w:rPr>
                <w:rFonts w:ascii="Times New Roman" w:hAnsi="Times New Roman" w:cs="Times New Roman" w:eastAsia="Times New Roman" w:hint="default"/>
                <w:sz w:val="20"/>
                <w:szCs w:val="20"/>
              </w:rPr>
              <w:t>3</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pacing w:val="-1"/>
                <w:sz w:val="20"/>
              </w:rPr>
              <w:t>26,688,439.76</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z w:val="20"/>
              </w:rPr>
              <w:t>9.47</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pacing w:val="-1"/>
                <w:sz w:val="20"/>
              </w:rPr>
              <w:t>800,653.19</w:t>
            </w:r>
          </w:p>
        </w:tc>
      </w:tr>
      <w:tr>
        <w:trPr>
          <w:trHeight w:val="342" w:hRule="exact"/>
        </w:trPr>
        <w:tc>
          <w:tcPr>
            <w:tcW w:w="3417" w:type="dxa"/>
            <w:vMerge/>
            <w:tcBorders>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pacing w:val="-1"/>
                <w:sz w:val="20"/>
              </w:rPr>
              <w:t>104,130.04</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1-2</w:t>
            </w:r>
            <w:r>
              <w:rPr>
                <w:rFonts w:ascii="宋体" w:hAnsi="宋体" w:cs="宋体" w:eastAsia="宋体" w:hint="default"/>
                <w:sz w:val="20"/>
                <w:szCs w:val="20"/>
              </w:rPr>
              <w:t>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z w:val="20"/>
              </w:rPr>
              <w:t>0.04</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pacing w:val="-1"/>
                <w:sz w:val="20"/>
              </w:rPr>
              <w:t>10,413.00</w:t>
            </w:r>
          </w:p>
        </w:tc>
      </w:tr>
      <w:tr>
        <w:trPr>
          <w:trHeight w:val="342" w:hRule="exact"/>
        </w:trPr>
        <w:tc>
          <w:tcPr>
            <w:tcW w:w="341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1"/>
              <w:jc w:val="center"/>
              <w:rPr>
                <w:rFonts w:ascii="Times New Roman" w:hAnsi="Times New Roman" w:cs="Times New Roman" w:eastAsia="Times New Roman" w:hint="default"/>
                <w:sz w:val="20"/>
                <w:szCs w:val="20"/>
              </w:rPr>
            </w:pPr>
            <w:r>
              <w:rPr>
                <w:rFonts w:ascii="宋体" w:hAnsi="宋体" w:cs="宋体" w:eastAsia="宋体" w:hint="default"/>
                <w:sz w:val="20"/>
                <w:szCs w:val="20"/>
              </w:rPr>
              <w:t>客户</w:t>
            </w:r>
            <w:r>
              <w:rPr>
                <w:rFonts w:ascii="Times New Roman" w:hAnsi="Times New Roman" w:cs="Times New Roman" w:eastAsia="Times New Roman" w:hint="default"/>
                <w:sz w:val="20"/>
                <w:szCs w:val="20"/>
              </w:rPr>
              <w:t>4</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pacing w:val="-1"/>
                <w:sz w:val="20"/>
              </w:rPr>
              <w:t>488,754.68</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z w:val="20"/>
              </w:rPr>
              <w:t>0.17</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pacing w:val="-1"/>
                <w:sz w:val="20"/>
              </w:rPr>
              <w:t>14,662.64</w:t>
            </w:r>
          </w:p>
        </w:tc>
      </w:tr>
      <w:tr>
        <w:trPr>
          <w:trHeight w:val="342" w:hRule="exact"/>
        </w:trPr>
        <w:tc>
          <w:tcPr>
            <w:tcW w:w="3417" w:type="dxa"/>
            <w:vMerge/>
            <w:tcBorders>
              <w:left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pacing w:val="-1"/>
                <w:sz w:val="20"/>
              </w:rPr>
              <w:t>251,218.47</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1-2</w:t>
            </w:r>
            <w:r>
              <w:rPr>
                <w:rFonts w:ascii="宋体" w:hAnsi="宋体" w:cs="宋体" w:eastAsia="宋体" w:hint="default"/>
                <w:sz w:val="20"/>
                <w:szCs w:val="20"/>
              </w:rPr>
              <w:t>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z w:val="20"/>
              </w:rPr>
              <w:t>0.09</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pacing w:val="-1"/>
                <w:sz w:val="20"/>
              </w:rPr>
              <w:t>25,121.85</w:t>
            </w:r>
          </w:p>
        </w:tc>
      </w:tr>
      <w:tr>
        <w:trPr>
          <w:trHeight w:val="342" w:hRule="exact"/>
        </w:trPr>
        <w:tc>
          <w:tcPr>
            <w:tcW w:w="3417" w:type="dxa"/>
            <w:vMerge/>
            <w:tcBorders>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pacing w:val="-1"/>
                <w:sz w:val="20"/>
              </w:rPr>
              <w:t>19,414,036.85</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2-3</w:t>
            </w:r>
            <w:r>
              <w:rPr>
                <w:rFonts w:ascii="宋体" w:hAnsi="宋体" w:cs="宋体" w:eastAsia="宋体" w:hint="default"/>
                <w:sz w:val="20"/>
                <w:szCs w:val="20"/>
              </w:rPr>
              <w:t>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z w:val="20"/>
              </w:rPr>
              <w:t>6.89</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pacing w:val="-1"/>
                <w:sz w:val="20"/>
              </w:rPr>
              <w:t>5,824,211.06</w:t>
            </w:r>
          </w:p>
        </w:tc>
      </w:tr>
      <w:tr>
        <w:trPr>
          <w:trHeight w:val="342" w:hRule="exact"/>
        </w:trPr>
        <w:tc>
          <w:tcPr>
            <w:tcW w:w="341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1"/>
              <w:jc w:val="center"/>
              <w:rPr>
                <w:rFonts w:ascii="Times New Roman" w:hAnsi="Times New Roman" w:cs="Times New Roman" w:eastAsia="Times New Roman" w:hint="default"/>
                <w:sz w:val="20"/>
                <w:szCs w:val="20"/>
              </w:rPr>
            </w:pPr>
            <w:r>
              <w:rPr>
                <w:rFonts w:ascii="宋体" w:hAnsi="宋体" w:cs="宋体" w:eastAsia="宋体" w:hint="default"/>
                <w:sz w:val="20"/>
                <w:szCs w:val="20"/>
              </w:rPr>
              <w:t>客户</w:t>
            </w:r>
            <w:r>
              <w:rPr>
                <w:rFonts w:ascii="Times New Roman" w:hAnsi="Times New Roman" w:cs="Times New Roman" w:eastAsia="Times New Roman" w:hint="default"/>
                <w:sz w:val="20"/>
                <w:szCs w:val="20"/>
              </w:rPr>
              <w:t>5</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pacing w:val="-1"/>
                <w:sz w:val="20"/>
              </w:rPr>
              <w:t>15,180,186.08</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z w:val="20"/>
              </w:rPr>
              <w:t>5.38</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pacing w:val="-1"/>
                <w:sz w:val="20"/>
              </w:rPr>
              <w:t>455,405.58</w:t>
            </w:r>
          </w:p>
        </w:tc>
      </w:tr>
      <w:tr>
        <w:trPr>
          <w:trHeight w:val="342" w:hRule="exact"/>
        </w:trPr>
        <w:tc>
          <w:tcPr>
            <w:tcW w:w="3417" w:type="dxa"/>
            <w:vMerge/>
            <w:tcBorders>
              <w:left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pacing w:val="-1"/>
                <w:sz w:val="20"/>
              </w:rPr>
              <w:t>1,793,000.00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1-2</w:t>
            </w:r>
            <w:r>
              <w:rPr>
                <w:rFonts w:ascii="宋体" w:hAnsi="宋体" w:cs="宋体" w:eastAsia="宋体" w:hint="default"/>
                <w:sz w:val="20"/>
                <w:szCs w:val="20"/>
              </w:rPr>
              <w:t>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z w:val="20"/>
              </w:rPr>
              <w:t>0.64</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pacing w:val="-1"/>
                <w:sz w:val="20"/>
              </w:rPr>
              <w:t>179,300.00</w:t>
            </w:r>
          </w:p>
        </w:tc>
      </w:tr>
      <w:tr>
        <w:trPr>
          <w:trHeight w:val="342" w:hRule="exact"/>
        </w:trPr>
        <w:tc>
          <w:tcPr>
            <w:tcW w:w="3417" w:type="dxa"/>
            <w:vMerge/>
            <w:tcBorders>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pacing w:val="-1"/>
                <w:sz w:val="20"/>
              </w:rPr>
              <w:t>1,986,000.00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2-3</w:t>
            </w:r>
            <w:r>
              <w:rPr>
                <w:rFonts w:ascii="宋体" w:hAnsi="宋体" w:cs="宋体" w:eastAsia="宋体" w:hint="default"/>
                <w:sz w:val="20"/>
                <w:szCs w:val="20"/>
              </w:rPr>
              <w:t>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z w:val="20"/>
              </w:rPr>
              <w:t>0.70</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pacing w:val="-1"/>
                <w:sz w:val="20"/>
              </w:rPr>
              <w:t>595,800.00</w:t>
            </w:r>
          </w:p>
        </w:tc>
      </w:tr>
      <w:tr>
        <w:trPr>
          <w:trHeight w:val="342"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
              <w:jc w:val="right"/>
              <w:rPr>
                <w:rFonts w:ascii="Times New Roman" w:hAnsi="Times New Roman" w:cs="Times New Roman" w:eastAsia="Times New Roman" w:hint="default"/>
                <w:sz w:val="20"/>
                <w:szCs w:val="20"/>
              </w:rPr>
            </w:pPr>
            <w:r>
              <w:rPr>
                <w:rFonts w:ascii="Times New Roman"/>
                <w:b/>
                <w:spacing w:val="-1"/>
                <w:sz w:val="20"/>
              </w:rPr>
              <w:t>192,371,728.77</w:t>
            </w:r>
            <w:r>
              <w:rPr>
                <w:rFonts w:ascii="Times New Roman"/>
                <w:spacing w:val="-1"/>
                <w:sz w:val="20"/>
              </w:rPr>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0"/>
                <w:szCs w:val="20"/>
              </w:rPr>
            </w:pPr>
            <w:r>
              <w:rPr>
                <w:rFonts w:ascii="Times New Roman"/>
                <w:b/>
                <w:sz w:val="20"/>
              </w:rPr>
              <w:t>--</w:t>
            </w:r>
            <w:r>
              <w:rPr>
                <w:rFonts w:ascii="Times New Roman"/>
                <w:sz w:val="20"/>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right"/>
              <w:rPr>
                <w:rFonts w:ascii="Times New Roman" w:hAnsi="Times New Roman" w:cs="Times New Roman" w:eastAsia="Times New Roman" w:hint="default"/>
                <w:sz w:val="20"/>
                <w:szCs w:val="20"/>
              </w:rPr>
            </w:pPr>
            <w:r>
              <w:rPr>
                <w:rFonts w:ascii="Times New Roman"/>
                <w:b/>
                <w:sz w:val="20"/>
              </w:rPr>
              <w:t>68.23</w:t>
            </w:r>
            <w:r>
              <w:rPr>
                <w:rFonts w:ascii="Times New Roman"/>
                <w:sz w:val="20"/>
              </w:rPr>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
              <w:jc w:val="right"/>
              <w:rPr>
                <w:rFonts w:ascii="Times New Roman" w:hAnsi="Times New Roman" w:cs="Times New Roman" w:eastAsia="Times New Roman" w:hint="default"/>
                <w:sz w:val="20"/>
                <w:szCs w:val="20"/>
              </w:rPr>
            </w:pPr>
            <w:r>
              <w:rPr>
                <w:rFonts w:ascii="Times New Roman"/>
                <w:b/>
                <w:spacing w:val="-1"/>
                <w:sz w:val="20"/>
              </w:rPr>
              <w:t>15,410,979.48</w:t>
            </w:r>
            <w:r>
              <w:rPr>
                <w:rFonts w:ascii="Times New Roman"/>
                <w:spacing w:val="-1"/>
                <w:sz w:val="20"/>
              </w:rPr>
            </w:r>
          </w:p>
        </w:tc>
      </w:tr>
    </w:tbl>
    <w:p>
      <w:pPr>
        <w:spacing w:line="240" w:lineRule="auto" w:before="2"/>
        <w:rPr>
          <w:rFonts w:ascii="宋体" w:hAnsi="宋体" w:cs="宋体" w:eastAsia="宋体" w:hint="default"/>
          <w:b/>
          <w:bCs/>
          <w:sz w:val="19"/>
          <w:szCs w:val="19"/>
        </w:rPr>
      </w:pPr>
    </w:p>
    <w:p>
      <w:pPr>
        <w:pStyle w:val="Heading4"/>
        <w:spacing w:line="240" w:lineRule="auto" w:before="35"/>
        <w:ind w:left="1134" w:right="0"/>
        <w:jc w:val="left"/>
        <w:rPr>
          <w:b w:val="0"/>
          <w:bCs w:val="0"/>
        </w:rPr>
      </w:pPr>
      <w:bookmarkStart w:name="2、其他应收款" w:id="377"/>
      <w:bookmarkEnd w:id="377"/>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1）其他应收款分类披露" w:id="378"/>
      <w:bookmarkEnd w:id="378"/>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5" w:right="0"/>
              <w:jc w:val="left"/>
              <w:rPr>
                <w:rFonts w:ascii="宋体" w:hAnsi="宋体" w:cs="宋体" w:eastAsia="宋体" w:hint="default"/>
                <w:sz w:val="18"/>
                <w:szCs w:val="18"/>
              </w:rPr>
            </w:pPr>
            <w:r>
              <w:rPr>
                <w:rFonts w:ascii="宋体" w:hAnsi="宋体" w:cs="宋体" w:eastAsia="宋体" w:hint="default"/>
                <w:sz w:val="18"/>
                <w:szCs w:val="18"/>
              </w:rPr>
              <w:t>计提比</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1187" w:top="1060" w:bottom="138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62"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例</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6,337,34</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9.20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1,706,09</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3.12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26.92%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4,631,256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12,386,</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501.83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3,732,820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30.14%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8,653,681.8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6,337,34</w:t>
            </w:r>
          </w:p>
          <w:p>
            <w:pPr>
              <w:pStyle w:val="TableParagraph"/>
              <w:spacing w:line="240" w:lineRule="auto" w:before="105"/>
              <w:ind w:left="420" w:right="0"/>
              <w:jc w:val="left"/>
              <w:rPr>
                <w:rFonts w:ascii="Times New Roman" w:hAnsi="Times New Roman" w:cs="Times New Roman" w:eastAsia="Times New Roman" w:hint="default"/>
                <w:sz w:val="18"/>
                <w:szCs w:val="18"/>
              </w:rPr>
            </w:pPr>
            <w:r>
              <w:rPr>
                <w:rFonts w:ascii="Times New Roman"/>
                <w:sz w:val="18"/>
              </w:rPr>
              <w:t>9.20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1,706,09</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3.12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26.92%</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4,631,256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.08</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12,386,</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501.83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3,732,820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.02</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30.14%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8,653,681.8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1187" w:top="1060" w:bottom="1380" w:left="0" w:right="0"/>
        </w:sectPr>
      </w:pPr>
    </w:p>
    <w:p>
      <w:pPr>
        <w:pStyle w:val="BodyText"/>
        <w:spacing w:line="240" w:lineRule="auto" w:before="51"/>
        <w:ind w:left="1134" w:right="-20"/>
        <w:jc w:val="left"/>
      </w:pPr>
      <w:r>
        <w:rPr/>
        <w:t>期末单项金额重大并单项计提坏账准备的其他应收款：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2"/>
        <w:ind w:left="113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580" w:bottom="840" w:left="0" w:right="0"/>
          <w:cols w:num="2" w:equalWidth="0">
            <w:col w:w="5455" w:space="3375"/>
            <w:col w:w="3080"/>
          </w:cols>
        </w:sectPr>
      </w:pP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482"/>
        <w:gridCol w:w="2295"/>
        <w:gridCol w:w="2391"/>
        <w:gridCol w:w="2390"/>
      </w:tblGrid>
      <w:tr>
        <w:trPr>
          <w:trHeight w:val="206" w:hRule="exact"/>
        </w:trPr>
        <w:tc>
          <w:tcPr>
            <w:tcW w:w="24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82"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2"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4,240,550.01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127,216.50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255,722.00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25,572.20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411,103.95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123,331.18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1,429,973.24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1,429,973.24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6,337,349.20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1,706,093.12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BodyText"/>
        <w:spacing w:line="360" w:lineRule="auto" w:before="51"/>
        <w:ind w:left="1134" w:right="6252"/>
        <w:jc w:val="left"/>
      </w:pPr>
      <w:r>
        <w:rPr/>
        <w:t>确定该组合依据的说明： 组合中，采用余额百分比法计提坏账准备的其他应收款：</w:t>
      </w:r>
    </w:p>
    <w:p>
      <w:pPr>
        <w:pStyle w:val="BodyText"/>
        <w:spacing w:line="340" w:lineRule="auto" w:before="26"/>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本期计提、收回或转回的坏账准备情况" w:id="379"/>
      <w:bookmarkEnd w:id="379"/>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580" w:bottom="840" w:left="0" w:right="0"/>
        </w:sectPr>
      </w:pPr>
    </w:p>
    <w:p>
      <w:pPr>
        <w:pStyle w:val="BodyText"/>
        <w:spacing w:line="338" w:lineRule="auto" w:before="44"/>
        <w:ind w:right="-12"/>
        <w:jc w:val="left"/>
      </w:pPr>
      <w:r>
        <w:rPr/>
        <w:t>本期计提坏账准备金额</w:t>
      </w:r>
      <w:r>
        <w:rPr>
          <w:rFonts w:ascii="Times New Roman" w:hAnsi="Times New Roman" w:cs="Times New Roman" w:eastAsia="Times New Roman" w:hint="default"/>
        </w:rPr>
        <w:t>-2,026,726.90</w:t>
      </w:r>
      <w:r>
        <w:rPr>
          <w:rFonts w:ascii="Times New Roman" w:hAnsi="Times New Roman" w:cs="Times New Roman" w:eastAsia="Times New Roman" w:hint="default"/>
          <w:spacing w:val="-2"/>
        </w:rPr>
        <w:t> </w:t>
      </w:r>
      <w:r>
        <w:rPr/>
        <w:t>元；本期收回或转回坏账准备金额</w:t>
      </w:r>
      <w:r>
        <w:rPr>
          <w:spacing w:val="-48"/>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580" w:bottom="840" w:left="0" w:right="0"/>
          <w:cols w:num="2" w:equalWidth="0">
            <w:col w:w="7449" w:space="1381"/>
            <w:col w:w="3080"/>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3）其他应收款按款项性质分类情况" w:id="380"/>
      <w:bookmarkEnd w:id="380"/>
      <w:r>
        <w:rPr>
          <w:b w:val="0"/>
          <w:bCs w:val="0"/>
        </w:rPr>
      </w: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68"/>
        <w:gridCol w:w="3101"/>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1,904,160.00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699,000.00</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集成履约保证金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930,654.85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846,754.85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80" w:bottom="84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368"/>
        <w:gridCol w:w="3101"/>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软件履约保证金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1,503,900.00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1,341,600.00</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备用金借款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804,482.22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1,271,263.32</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677,510.61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600,215.34</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上市中介机构费用</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6,662,641.47</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质量服务保证金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449,229.00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898,458.00</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67,412.52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66,568.85</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6,337,349.20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12,386,501.83</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4）按欠款方归集的期末余额前五名的其他应收款情况" w:id="381"/>
      <w:bookmarkEnd w:id="381"/>
      <w:r>
        <w:rPr>
          <w:b w:val="0"/>
          <w:bCs w:val="0"/>
        </w:rPr>
      </w: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85"/>
        <w:gridCol w:w="1551"/>
        <w:gridCol w:w="1552"/>
        <w:gridCol w:w="1552"/>
        <w:gridCol w:w="1615"/>
        <w:gridCol w:w="1615"/>
      </w:tblGrid>
      <w:tr>
        <w:trPr>
          <w:trHeight w:val="709"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0"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7" w:hRule="exact"/>
        </w:trPr>
        <w:tc>
          <w:tcPr>
            <w:tcW w:w="168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5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600,000.00</w:t>
            </w:r>
          </w:p>
        </w:tc>
        <w:tc>
          <w:tcPr>
            <w:tcW w:w="155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9.47%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18,000.00</w:t>
            </w:r>
          </w:p>
        </w:tc>
      </w:tr>
      <w:tr>
        <w:trPr>
          <w:trHeight w:val="402" w:hRule="exact"/>
        </w:trPr>
        <w:tc>
          <w:tcPr>
            <w:tcW w:w="168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5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投标、履约保证金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598,000.00</w:t>
            </w:r>
          </w:p>
        </w:tc>
        <w:tc>
          <w:tcPr>
            <w:tcW w:w="155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17,940.00</w:t>
            </w:r>
          </w:p>
        </w:tc>
      </w:tr>
      <w:tr>
        <w:trPr>
          <w:trHeight w:val="402" w:hRule="exact"/>
        </w:trPr>
        <w:tc>
          <w:tcPr>
            <w:tcW w:w="168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5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质量服务保证金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449,229.00</w:t>
            </w:r>
          </w:p>
        </w:tc>
        <w:tc>
          <w:tcPr>
            <w:tcW w:w="155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449,229.00</w:t>
            </w:r>
          </w:p>
        </w:tc>
      </w:tr>
      <w:tr>
        <w:trPr>
          <w:trHeight w:val="402" w:hRule="exact"/>
        </w:trPr>
        <w:tc>
          <w:tcPr>
            <w:tcW w:w="168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5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投标、履约保证金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400,000.00</w:t>
            </w:r>
          </w:p>
        </w:tc>
        <w:tc>
          <w:tcPr>
            <w:tcW w:w="155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12,000.00</w:t>
            </w:r>
          </w:p>
        </w:tc>
      </w:tr>
      <w:tr>
        <w:trPr>
          <w:trHeight w:val="402" w:hRule="exact"/>
        </w:trPr>
        <w:tc>
          <w:tcPr>
            <w:tcW w:w="168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5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集成履约保证金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c>
          <w:tcPr>
            <w:tcW w:w="155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9,000.00</w:t>
            </w:r>
          </w:p>
        </w:tc>
      </w:tr>
      <w:tr>
        <w:trPr>
          <w:trHeight w:val="402"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2,347,229.00</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37.04%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506,169.00</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3、长期股权投资" w:id="382"/>
      <w:bookmarkEnd w:id="382"/>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19,500,000.00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29,500,000.00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29,500,000.00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10,000,000.00</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1）对子公司投资" w:id="383"/>
      <w:bookmarkEnd w:id="383"/>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21" w:type="dxa"/>
        <w:tblLayout w:type="fixed"/>
        <w:tblCellMar>
          <w:top w:w="0" w:type="dxa"/>
          <w:left w:w="0" w:type="dxa"/>
          <w:bottom w:w="0" w:type="dxa"/>
          <w:right w:w="0" w:type="dxa"/>
        </w:tblCellMar>
        <w:tblLook w:val="01E0"/>
      </w:tblPr>
      <w:tblGrid>
        <w:gridCol w:w="1702"/>
        <w:gridCol w:w="1276"/>
        <w:gridCol w:w="1142"/>
        <w:gridCol w:w="1334"/>
        <w:gridCol w:w="1336"/>
        <w:gridCol w:w="1389"/>
        <w:gridCol w:w="1390"/>
      </w:tblGrid>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7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0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509" w:right="148" w:hanging="361"/>
              <w:jc w:val="left"/>
              <w:rPr>
                <w:rFonts w:ascii="宋体" w:hAnsi="宋体" w:cs="宋体" w:eastAsia="宋体" w:hint="default"/>
                <w:sz w:val="18"/>
                <w:szCs w:val="18"/>
              </w:rPr>
            </w:pPr>
            <w:r>
              <w:rPr>
                <w:rFonts w:ascii="宋体" w:hAnsi="宋体" w:cs="宋体" w:eastAsia="宋体" w:hint="default"/>
                <w:sz w:val="18"/>
                <w:szCs w:val="18"/>
              </w:rPr>
              <w:t>本期计提减值 准备</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508" w:right="149"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47"/>
              <w:jc w:val="left"/>
              <w:rPr>
                <w:rFonts w:ascii="宋体" w:hAnsi="宋体" w:cs="宋体" w:eastAsia="宋体" w:hint="default"/>
                <w:sz w:val="18"/>
                <w:szCs w:val="18"/>
              </w:rPr>
            </w:pPr>
            <w:r>
              <w:rPr>
                <w:rFonts w:ascii="宋体" w:hAnsi="宋体" w:cs="宋体" w:eastAsia="宋体" w:hint="default"/>
                <w:sz w:val="18"/>
                <w:szCs w:val="18"/>
              </w:rPr>
              <w:t>上海高伟达计算机 系统工程有限公司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5"/>
              <w:jc w:val="center"/>
              <w:rPr>
                <w:rFonts w:ascii="宋体" w:hAnsi="宋体" w:cs="宋体" w:eastAsia="宋体" w:hint="default"/>
                <w:sz w:val="18"/>
                <w:szCs w:val="18"/>
              </w:rPr>
            </w:pPr>
            <w:r>
              <w:rPr>
                <w:rFonts w:ascii="宋体" w:hAnsi="宋体" w:cs="宋体" w:eastAsia="宋体" w:hint="default"/>
                <w:sz w:val="18"/>
                <w:szCs w:val="18"/>
              </w:rPr>
              <w:t>江苏高伟达信息技</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10,000,000.00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7" w:top="1060" w:bottom="1380" w:left="0" w:right="0"/>
        </w:sectPr>
      </w:pPr>
    </w:p>
    <w:p>
      <w:pPr>
        <w:spacing w:line="240" w:lineRule="auto" w:before="6"/>
        <w:rPr>
          <w:rFonts w:ascii="宋体" w:hAnsi="宋体" w:cs="宋体" w:eastAsia="宋体" w:hint="default"/>
          <w:sz w:val="28"/>
          <w:szCs w:val="28"/>
        </w:rPr>
      </w:pPr>
    </w:p>
    <w:tbl>
      <w:tblPr>
        <w:tblW w:w="0" w:type="auto"/>
        <w:jc w:val="left"/>
        <w:tblInd w:w="1021" w:type="dxa"/>
        <w:tblLayout w:type="fixed"/>
        <w:tblCellMar>
          <w:top w:w="0" w:type="dxa"/>
          <w:left w:w="0" w:type="dxa"/>
          <w:bottom w:w="0" w:type="dxa"/>
          <w:right w:w="0" w:type="dxa"/>
        </w:tblCellMar>
        <w:tblLook w:val="01E0"/>
      </w:tblPr>
      <w:tblGrid>
        <w:gridCol w:w="1702"/>
        <w:gridCol w:w="1276"/>
        <w:gridCol w:w="1142"/>
        <w:gridCol w:w="1334"/>
        <w:gridCol w:w="1336"/>
        <w:gridCol w:w="1389"/>
        <w:gridCol w:w="1390"/>
      </w:tblGrid>
      <w:tr>
        <w:trPr>
          <w:trHeight w:val="36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术有限公司</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10,000,000.00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3" w:right="0"/>
              <w:jc w:val="lef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对联营、合营企业投资" w:id="384"/>
      <w:bookmarkEnd w:id="384"/>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2"/>
              <w:jc w:val="righ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2"/>
              <w:ind w:left="22" w:right="41"/>
              <w:jc w:val="left"/>
              <w:rPr>
                <w:rFonts w:ascii="宋体" w:hAnsi="宋体" w:cs="宋体" w:eastAsia="宋体" w:hint="default"/>
                <w:sz w:val="18"/>
                <w:szCs w:val="18"/>
              </w:rPr>
            </w:pPr>
            <w:r>
              <w:rPr>
                <w:rFonts w:ascii="宋体" w:hAnsi="宋体" w:cs="宋体" w:eastAsia="宋体" w:hint="default"/>
                <w:sz w:val="18"/>
                <w:szCs w:val="18"/>
              </w:rPr>
              <w:t>盈行金融 信息技术</w:t>
            </w:r>
          </w:p>
          <w:p>
            <w:pPr>
              <w:pStyle w:val="TableParagraph"/>
              <w:spacing w:line="319" w:lineRule="auto" w:before="19"/>
              <w:ind w:left="22" w:right="41"/>
              <w:jc w:val="left"/>
              <w:rPr>
                <w:rFonts w:ascii="宋体" w:hAnsi="宋体" w:cs="宋体" w:eastAsia="宋体" w:hint="default"/>
                <w:sz w:val="18"/>
                <w:szCs w:val="18"/>
              </w:rPr>
            </w:pPr>
            <w:r>
              <w:rPr>
                <w:rFonts w:ascii="宋体" w:hAnsi="宋体" w:cs="宋体" w:eastAsia="宋体" w:hint="default"/>
                <w:sz w:val="18"/>
                <w:szCs w:val="18"/>
              </w:rPr>
              <w:t>（上海）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19,500,00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19,500,00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62" w:hRule="exact"/>
        </w:trPr>
        <w:tc>
          <w:tcPr>
            <w:tcW w:w="796"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4"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19,500,00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19,500,00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91" w:hRule="exact"/>
        </w:trPr>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vMerge/>
            <w:tcBorders>
              <w:left w:val="single" w:sz="9" w:space="0" w:color="D2D2D2"/>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161" w:hRule="exact"/>
        </w:trPr>
        <w:tc>
          <w:tcPr>
            <w:tcW w:w="796"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9" w:space="0" w:color="D2D2D2"/>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401"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62" w:hRule="exact"/>
        </w:trPr>
        <w:tc>
          <w:tcPr>
            <w:tcW w:w="796"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4"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19,500,00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19,500,00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vMerge/>
            <w:tcBorders>
              <w:left w:val="single" w:sz="9" w:space="0" w:color="D2D2D2"/>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162" w:hRule="exact"/>
        </w:trPr>
        <w:tc>
          <w:tcPr>
            <w:tcW w:w="796"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9" w:space="0" w:color="D2D2D2"/>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4、营业收入和营业成本" w:id="385"/>
      <w:bookmarkEnd w:id="385"/>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206" w:hRule="exact"/>
        </w:trPr>
        <w:tc>
          <w:tcPr>
            <w:tcW w:w="1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95"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797,308,908.66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602,811,715.41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855,044,725.08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660,054,983.45</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797,308,908.66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602,811,715.41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855,044,725.08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660,054,983.45</w:t>
            </w:r>
          </w:p>
        </w:tc>
      </w:tr>
    </w:tbl>
    <w:p>
      <w:pPr>
        <w:pStyle w:val="BodyText"/>
        <w:spacing w:line="240" w:lineRule="auto" w:before="51"/>
        <w:ind w:left="1134" w:right="0"/>
        <w:jc w:val="left"/>
      </w:pPr>
      <w:r>
        <w:rPr/>
        <w:t>其他说明：</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十四、补充资料" w:id="386"/>
      <w:bookmarkEnd w:id="386"/>
      <w:r>
        <w:rPr>
          <w:b w:val="0"/>
          <w:bCs w:val="0"/>
        </w:rPr>
      </w:r>
      <w:r>
        <w:rPr/>
        <w:t>十四、补充资料</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当期非经常性损益明细表" w:id="387"/>
      <w:bookmarkEnd w:id="387"/>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302"/>
        <w:gridCol w:w="3071"/>
        <w:gridCol w:w="3175"/>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-59,762.29</w:t>
            </w:r>
            <w:r>
              <w:rPr>
                <w:rFonts w:ascii="Times New Roman"/>
                <w:sz w:val="18"/>
              </w:rPr>
            </w:r>
          </w:p>
        </w:tc>
        <w:tc>
          <w:tcPr>
            <w:tcW w:w="317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r>
    </w:tbl>
    <w:p>
      <w:pPr>
        <w:spacing w:after="0" w:line="240" w:lineRule="auto"/>
        <w:jc w:val="left"/>
        <w:rPr>
          <w:rFonts w:ascii="宋体" w:hAnsi="宋体" w:cs="宋体" w:eastAsia="宋体" w:hint="default"/>
          <w:sz w:val="18"/>
          <w:szCs w:val="18"/>
        </w:rPr>
        <w:sectPr>
          <w:pgSz w:w="11910" w:h="16840"/>
          <w:pgMar w:header="877" w:footer="1187" w:top="1060" w:bottom="138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75"/>
      </w:tblGrid>
      <w:tr>
        <w:trPr>
          <w:trHeight w:val="1026"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1"/>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1,400,000.00</w:t>
            </w:r>
          </w:p>
        </w:tc>
        <w:tc>
          <w:tcPr>
            <w:tcW w:w="317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0" w:lineRule="auto" w:before="51"/>
              <w:ind w:left="22" w:right="35"/>
              <w:jc w:val="both"/>
              <w:rPr>
                <w:rFonts w:ascii="宋体" w:hAnsi="宋体" w:cs="宋体" w:eastAsia="宋体" w:hint="default"/>
                <w:sz w:val="18"/>
                <w:szCs w:val="18"/>
              </w:rPr>
            </w:pPr>
            <w:r>
              <w:rPr>
                <w:rFonts w:ascii="宋体" w:hAnsi="宋体" w:cs="宋体" w:eastAsia="宋体" w:hint="default"/>
                <w:sz w:val="18"/>
                <w:szCs w:val="18"/>
              </w:rPr>
              <w:t>《高新技术成果转化》</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pacing w:val="-15"/>
                <w:sz w:val="18"/>
                <w:szCs w:val="18"/>
              </w:rPr>
              <w:t>万元，《科技</w:t>
            </w:r>
            <w:r>
              <w:rPr>
                <w:rFonts w:ascii="宋体" w:hAnsi="宋体" w:cs="宋体" w:eastAsia="宋体" w:hint="default"/>
                <w:sz w:val="18"/>
                <w:szCs w:val="18"/>
              </w:rPr>
              <w:t> 服务业促进专项》</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万元，上海《促进 经济发展专项资金》</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-451,273.40</w:t>
            </w:r>
            <w:r>
              <w:rPr>
                <w:rFonts w:ascii="Times New Roman"/>
                <w:sz w:val="18"/>
              </w:rPr>
            </w:r>
          </w:p>
        </w:tc>
        <w:tc>
          <w:tcPr>
            <w:tcW w:w="317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48 </w:t>
            </w:r>
            <w:r>
              <w:rPr>
                <w:rFonts w:ascii="宋体" w:hAnsi="宋体" w:cs="宋体" w:eastAsia="宋体" w:hint="default"/>
                <w:sz w:val="18"/>
                <w:szCs w:val="18"/>
              </w:rPr>
              <w:t>万元</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133,344.65</w:t>
            </w:r>
          </w:p>
        </w:tc>
        <w:tc>
          <w:tcPr>
            <w:tcW w:w="3175"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755,619.66</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left="113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净资产收益率及每股收益" w:id="388"/>
      <w:bookmarkEnd w:id="388"/>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0.35</w:t>
            </w:r>
          </w:p>
        </w:tc>
      </w:tr>
      <w:tr>
        <w:trPr>
          <w:trHeight w:val="71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0.34</w:t>
            </w:r>
          </w:p>
        </w:tc>
      </w:tr>
    </w:tbl>
    <w:p>
      <w:pPr>
        <w:spacing w:line="240" w:lineRule="auto" w:before="2"/>
        <w:rPr>
          <w:rFonts w:ascii="宋体" w:hAnsi="宋体" w:cs="宋体" w:eastAsia="宋体" w:hint="default"/>
          <w:b/>
          <w:bCs/>
          <w:sz w:val="19"/>
          <w:szCs w:val="19"/>
        </w:rPr>
      </w:pPr>
    </w:p>
    <w:p>
      <w:pPr>
        <w:pStyle w:val="Heading4"/>
        <w:spacing w:line="240" w:lineRule="auto" w:before="35"/>
        <w:ind w:left="1134" w:right="0"/>
        <w:jc w:val="left"/>
        <w:rPr>
          <w:b w:val="0"/>
          <w:bCs w:val="0"/>
        </w:rPr>
      </w:pPr>
      <w:bookmarkStart w:name="3、境内外会计准则下会计数据差异" w:id="389"/>
      <w:bookmarkEnd w:id="389"/>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134" w:right="0"/>
        <w:jc w:val="left"/>
        <w:rPr>
          <w:b w:val="0"/>
          <w:bCs w:val="0"/>
        </w:rPr>
      </w:pPr>
      <w:bookmarkStart w:name="（1）同时按照国际会计准则与按中国会计准则披露的财务报告中净利润和净资产差异情况" w:id="390"/>
      <w:bookmarkEnd w:id="390"/>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同时按照境外会计准则与按中国会计准则披露的财务报告中净利润和净资产差异情况" w:id="391"/>
      <w:bookmarkEnd w:id="391"/>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1187" w:top="1060" w:bottom="138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115"/>
        <w:jc w:val="center"/>
        <w:rPr>
          <w:b w:val="0"/>
          <w:bCs w:val="0"/>
        </w:rPr>
      </w:pPr>
      <w:bookmarkStart w:name="第十一节 备查文件目录" w:id="392"/>
      <w:bookmarkEnd w:id="392"/>
      <w:r>
        <w:rPr>
          <w:b w:val="0"/>
          <w:bCs w:val="0"/>
        </w:rPr>
      </w:r>
      <w:bookmarkStart w:name="_bookmark9" w:id="393"/>
      <w:bookmarkEnd w:id="393"/>
      <w:r>
        <w:rPr>
          <w:b w:val="0"/>
          <w:bCs w:val="0"/>
        </w:rPr>
      </w:r>
      <w:r>
        <w:rPr/>
        <w:t>第十一节</w:t>
      </w:r>
      <w:r>
        <w:rPr>
          <w:spacing w:val="-8"/>
        </w:rPr>
        <w:t> </w:t>
      </w:r>
      <w:r>
        <w:rPr/>
        <w:t>备查文件目录</w:t>
      </w:r>
      <w:r>
        <w:rPr>
          <w:b w:val="0"/>
          <w:bCs w:val="0"/>
        </w:rPr>
      </w:r>
    </w:p>
    <w:p>
      <w:pPr>
        <w:spacing w:line="240" w:lineRule="auto" w:before="7"/>
        <w:rPr>
          <w:rFonts w:ascii="宋体" w:hAnsi="宋体" w:cs="宋体" w:eastAsia="宋体" w:hint="default"/>
          <w:b/>
          <w:bCs/>
          <w:sz w:val="42"/>
          <w:szCs w:val="42"/>
        </w:rPr>
      </w:pPr>
    </w:p>
    <w:p>
      <w:pPr>
        <w:pStyle w:val="BodyText"/>
        <w:spacing w:line="312" w:lineRule="auto"/>
        <w:ind w:right="3193"/>
        <w:jc w:val="left"/>
      </w:pPr>
      <w:r>
        <w:rPr/>
        <w:t>一、载有公司法定代表人签名的《</w:t>
      </w:r>
      <w:r>
        <w:rPr>
          <w:rFonts w:ascii="Times New Roman" w:hAnsi="Times New Roman" w:cs="Times New Roman" w:eastAsia="Times New Roman" w:hint="default"/>
        </w:rPr>
        <w:t>2015</w:t>
      </w:r>
      <w:r>
        <w:rPr/>
        <w:t>年度报告》文本原件； 二、载有法定代表人、财务负责人、会计机构负责人签名并盖章的财务报告文本； 三、载有会计师事务所盖章、注册会计师签名并盖章的审计报告文本； 四、报告期内公司在中国证监会指定创业板信息披露媒体上公开披露过的所有文件及公告原稿；</w:t>
      </w:r>
    </w:p>
    <w:sectPr>
      <w:pgSz w:w="11910" w:h="16840"/>
      <w:pgMar w:header="877" w:footer="1187" w:top="1060" w:bottom="13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843112" type="#_x0000_t75" stroked="false">
          <v:imagedata r:id="rId1" o:titl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843040" type="#_x0000_t75" stroked="false">
          <v:imagedata r:id="rId1" o:title=""/>
        </v:shape>
      </w:pict>
    </w:r>
    <w:r>
      <w:rPr/>
      <w:pict>
        <v:shape style="position:absolute;margin-left:527.679993pt;margin-top:771.577942pt;width:13pt;height:11pt;mso-position-horizontal-relative:page;mso-position-vertical-relative:page;z-index:-8430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842992" type="#_x0000_t75" stroked="false">
          <v:imagedata r:id="rId1" o:title=""/>
        </v:shape>
      </w:pict>
    </w:r>
    <w:r>
      <w:rPr/>
      <w:pict>
        <v:shape style="position:absolute;margin-left:528.679993pt;margin-top:771.577942pt;width:11pt;height:11pt;mso-position-horizontal-relative:page;mso-position-vertical-relative:page;z-index:-84296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99</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842944" type="#_x0000_t75" stroked="false">
          <v:imagedata r:id="rId1" o:title=""/>
        </v:shape>
      </w:pict>
    </w:r>
    <w:r>
      <w:rPr/>
      <w:pict>
        <v:shape style="position:absolute;margin-left:524.179993pt;margin-top:771.577942pt;width:15.5pt;height:11pt;mso-position-horizontal-relative:page;mso-position-vertical-relative:page;z-index:-84292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842896" type="#_x0000_t75" stroked="false">
          <v:imagedata r:id="rId1" o:title=""/>
        </v:shape>
      </w:pict>
    </w:r>
    <w:r>
      <w:rPr/>
      <w:pict>
        <v:shape style="position:absolute;margin-left:523.179993pt;margin-top:771.577942pt;width:17.5pt;height:11pt;mso-position-horizontal-relative:page;mso-position-vertical-relative:page;z-index:-8428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619984pt;width:485pt;height:.1pt;mso-position-horizontal-relative:page;mso-position-vertical-relative:page;z-index:-843088"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53.220001pt;margin-top:42.865608pt;width:186.5pt;height:11.5pt;mso-position-horizontal-relative:page;mso-position-vertical-relative:page;z-index:-843064" type="#_x0000_t202" filled="false" stroked="false">
          <v:textbox inset="0,0,0,0">
            <w:txbxContent>
              <w:p>
                <w:pPr>
                  <w:pStyle w:val="BodyText"/>
                  <w:spacing w:line="214" w:lineRule="exact"/>
                  <w:ind w:left="20" w:right="0"/>
                  <w:jc w:val="left"/>
                </w:pPr>
                <w:r>
                  <w:rPr/>
                  <w:t>高伟达软件股份有限公司</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133"/>
    </w:pPr>
    <w:rPr>
      <w:rFonts w:ascii="宋体" w:hAnsi="宋体" w:eastAsia="宋体"/>
      <w:b/>
      <w:bCs/>
      <w:sz w:val="24"/>
      <w:szCs w:val="24"/>
    </w:rPr>
  </w:style>
  <w:style w:styleId="BodyText" w:type="paragraph">
    <w:name w:val="Body Text"/>
    <w:basedOn w:val="Normal"/>
    <w:uiPriority w:val="1"/>
    <w:qFormat/>
    <w:pPr>
      <w:ind w:left="1133"/>
    </w:pPr>
    <w:rPr>
      <w:rFonts w:ascii="宋体" w:hAnsi="宋体" w:eastAsia="宋体"/>
      <w:sz w:val="18"/>
      <w:szCs w:val="18"/>
    </w:rPr>
  </w:style>
  <w:style w:styleId="Heading1" w:type="paragraph">
    <w:name w:val="Heading 1"/>
    <w:basedOn w:val="Normal"/>
    <w:uiPriority w:val="1"/>
    <w:qFormat/>
    <w:pPr>
      <w:spacing w:before="1"/>
      <w:ind w:left="1114"/>
      <w:outlineLvl w:val="1"/>
    </w:pPr>
    <w:rPr>
      <w:rFonts w:ascii="宋体" w:hAnsi="宋体" w:eastAsia="宋体"/>
      <w:b/>
      <w:bCs/>
      <w:sz w:val="32"/>
      <w:szCs w:val="32"/>
    </w:rPr>
  </w:style>
  <w:style w:styleId="Heading2" w:type="paragraph">
    <w:name w:val="Heading 2"/>
    <w:basedOn w:val="Normal"/>
    <w:uiPriority w:val="1"/>
    <w:qFormat/>
    <w:pPr>
      <w:ind w:left="1133"/>
      <w:outlineLvl w:val="2"/>
    </w:pPr>
    <w:rPr>
      <w:rFonts w:ascii="宋体" w:hAnsi="宋体" w:eastAsia="宋体"/>
      <w:b/>
      <w:bCs/>
      <w:sz w:val="24"/>
      <w:szCs w:val="24"/>
    </w:rPr>
  </w:style>
  <w:style w:styleId="Heading3" w:type="paragraph">
    <w:name w:val="Heading 3"/>
    <w:basedOn w:val="Normal"/>
    <w:uiPriority w:val="1"/>
    <w:qFormat/>
    <w:pPr>
      <w:ind w:left="1133" w:firstLine="440"/>
      <w:outlineLvl w:val="3"/>
    </w:pPr>
    <w:rPr>
      <w:rFonts w:ascii="宋体" w:hAnsi="宋体" w:eastAsia="宋体"/>
      <w:sz w:val="22"/>
      <w:szCs w:val="22"/>
    </w:rPr>
  </w:style>
  <w:style w:styleId="Heading4" w:type="paragraph">
    <w:name w:val="Heading 4"/>
    <w:basedOn w:val="Normal"/>
    <w:uiPriority w:val="1"/>
    <w:qFormat/>
    <w:pPr>
      <w:ind w:left="1133"/>
      <w:outlineLvl w:val="4"/>
    </w:pPr>
    <w:rPr>
      <w:rFonts w:ascii="宋体" w:hAnsi="宋体" w:eastAsia="宋体"/>
      <w:b/>
      <w:bCs/>
      <w:sz w:val="21"/>
      <w:szCs w:val="21"/>
    </w:rPr>
  </w:style>
  <w:style w:styleId="Heading5" w:type="paragraph">
    <w:name w:val="Heading 5"/>
    <w:basedOn w:val="Normal"/>
    <w:uiPriority w:val="1"/>
    <w:qFormat/>
    <w:pPr>
      <w:spacing w:before="35"/>
      <w:outlineLvl w:val="5"/>
    </w:pPr>
    <w:rPr>
      <w:rFonts w:ascii="宋体" w:hAnsi="宋体" w:eastAsia="宋体"/>
      <w:sz w:val="21"/>
      <w:szCs w:val="21"/>
    </w:rPr>
  </w:style>
  <w:style w:styleId="Heading6" w:type="paragraph">
    <w:name w:val="Heading 6"/>
    <w:basedOn w:val="Normal"/>
    <w:uiPriority w:val="1"/>
    <w:qFormat/>
    <w:pPr>
      <w:spacing w:before="51"/>
      <w:ind w:left="1495"/>
      <w:outlineLvl w:val="6"/>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2.jpeg"/><Relationship Id="rId7" Type="http://schemas.openxmlformats.org/officeDocument/2006/relationships/header" Target="header1.xml"/><Relationship Id="rId8" Type="http://schemas.openxmlformats.org/officeDocument/2006/relationships/footer" Target="footer2.xml"/><Relationship Id="rId9" Type="http://schemas.openxmlformats.org/officeDocument/2006/relationships/hyperlink" Target="http://www.git.com.cn/" TargetMode="External"/><Relationship Id="rId10" Type="http://schemas.openxmlformats.org/officeDocument/2006/relationships/hyperlink" Target="mailto:securities@git.com.cn" TargetMode="External"/><Relationship Id="rId11" Type="http://schemas.openxmlformats.org/officeDocument/2006/relationships/hyperlink" Target="http://www.cninfo.com.cn/" TargetMode="External"/><Relationship Id="rId12" Type="http://schemas.openxmlformats.org/officeDocument/2006/relationships/hyperlink" Target="http://www/"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eg"/><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oter" Target="foot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高伟达软件股份有限公司</dc:creator>
  <dc:title>高伟达软件股份有限公司2015年年度报告全文</dc:title>
  <dcterms:created xsi:type="dcterms:W3CDTF">2020-05-04T17:05:56Z</dcterms:created>
  <dcterms:modified xsi:type="dcterms:W3CDTF">2020-05-04T17:05:56Z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2016-05-27T00:00:00Z</vt:filetime>
  </property>
  <property fmtid="{D5CDD505-2E9C-101B-9397-08002B2CF9AE}" pid="3" name="Creator">
    <vt:lpwstr>Microsoft® Office Word 2007</vt:lpwstr>
  </property>
  <property fmtid="{D5CDD505-2E9C-101B-9397-08002B2CF9AE}" pid="4" name="LastSaved">
    <vt:filetime>2020-05-04T00:00:00Z</vt:filetime>
  </property>
</Properties>
</file>