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0" w:line="240" w:lineRule="auto"/>
        <w:ind w:left="0" w:right="0" w:firstLine="0"/>
        <w:jc w:val="center"/>
        <w:rPr>
          <w:sz w:val="34"/>
          <w:szCs w:val="34"/>
        </w:rPr>
      </w:pPr>
      <w:r>
        <w:rPr>
          <w:rFonts w:ascii="SimHei" w:eastAsia="SimHei" w:hAnsi="SimHei" w:cs="SimHei"/>
          <w:color w:val="1D1D1D"/>
          <w:spacing w:val="0"/>
          <w:w w:val="100"/>
          <w:position w:val="0"/>
          <w:sz w:val="34"/>
          <w:szCs w:val="34"/>
        </w:rPr>
        <w:t>高停达</w:t>
      </w:r>
    </w:p>
    <w:p>
      <w:pPr>
        <w:pStyle w:val="Style5"/>
        <w:keepNext w:val="0"/>
        <w:keepLines w:val="0"/>
        <w:widowControl w:val="0"/>
        <w:shd w:val="clear" w:color="auto" w:fill="auto"/>
        <w:bidi w:val="0"/>
        <w:spacing w:before="0" w:after="420" w:line="211" w:lineRule="auto"/>
        <w:ind w:left="0" w:right="0" w:firstLine="0"/>
        <w:jc w:val="center"/>
        <w:rPr>
          <w:sz w:val="18"/>
          <w:szCs w:val="18"/>
        </w:rPr>
      </w:pPr>
      <w:r>
        <w:rPr>
          <w:rFonts w:ascii="Times New Roman" w:eastAsia="Times New Roman" w:hAnsi="Times New Roman" w:cs="Times New Roman"/>
          <w:b/>
          <w:bCs/>
          <w:color w:val="4E4847"/>
          <w:spacing w:val="0"/>
          <w:w w:val="100"/>
          <w:position w:val="0"/>
          <w:sz w:val="18"/>
          <w:szCs w:val="18"/>
        </w:rPr>
        <w:t>Global IftfoTech</w:t>
      </w:r>
    </w:p>
    <w:p>
      <w:pPr>
        <w:pStyle w:val="Style5"/>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高伟达软件股份有限公司</w:t>
      </w:r>
    </w:p>
    <w:p>
      <w:pPr>
        <w:pStyle w:val="Style5"/>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年年度报告</w:t>
      </w:r>
    </w:p>
    <w:p>
      <w:pPr>
        <w:pStyle w:val="Style5"/>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2017-40</w:t>
      </w:r>
    </w:p>
    <w:p>
      <w:pPr>
        <w:pStyle w:val="Style5"/>
        <w:keepNext w:val="0"/>
        <w:keepLines w:val="0"/>
        <w:widowControl w:val="0"/>
        <w:shd w:val="clear" w:color="auto" w:fill="auto"/>
        <w:bidi w:val="0"/>
        <w:spacing w:before="0" w:after="42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857" w:right="1109" w:bottom="2857"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8"/>
        <w:keepNext/>
        <w:keepLines/>
        <w:widowControl w:val="0"/>
        <w:shd w:val="clear" w:color="auto" w:fill="auto"/>
        <w:bidi w:val="0"/>
        <w:spacing w:before="38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20"/>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3"/>
    </w:p>
    <w:p>
      <w:pPr>
        <w:pStyle w:val="Style20"/>
        <w:keepNext w:val="0"/>
        <w:keepLines w:val="0"/>
        <w:widowControl w:val="0"/>
        <w:shd w:val="clear" w:color="auto" w:fill="auto"/>
        <w:bidi w:val="0"/>
        <w:spacing w:before="0" w:line="624" w:lineRule="exact"/>
        <w:ind w:left="0" w:right="0"/>
        <w:jc w:val="both"/>
      </w:pPr>
      <w:r>
        <w:rPr>
          <w:color w:val="000000"/>
          <w:spacing w:val="0"/>
          <w:w w:val="100"/>
          <w:position w:val="0"/>
        </w:rPr>
        <w:t>公司负责人于伟、主管会计工作负责人高源及会计机构负责人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 员</w:t>
      </w:r>
      <w:r>
        <w:rPr>
          <w:rFonts w:ascii="Times New Roman" w:eastAsia="Times New Roman" w:hAnsi="Times New Roman" w:cs="Times New Roman"/>
          <w:color w:val="000000"/>
          <w:spacing w:val="0"/>
          <w:w w:val="100"/>
          <w:position w:val="0"/>
        </w:rPr>
        <w:t>）</w:t>
      </w:r>
      <w:r>
        <w:rPr>
          <w:color w:val="000000"/>
          <w:spacing w:val="0"/>
          <w:w w:val="100"/>
          <w:position w:val="0"/>
        </w:rPr>
        <w:t>贾银肖声明：保证年度报告中财务报告的真实、准确、完整。</w:t>
      </w:r>
    </w:p>
    <w:p>
      <w:pPr>
        <w:pStyle w:val="Style20"/>
        <w:keepNext w:val="0"/>
        <w:keepLines w:val="0"/>
        <w:widowControl w:val="0"/>
        <w:shd w:val="clear" w:color="auto" w:fill="auto"/>
        <w:bidi w:val="0"/>
        <w:spacing w:before="0" w:line="626" w:lineRule="exact"/>
        <w:ind w:left="0" w:right="0"/>
        <w:jc w:val="both"/>
      </w:pPr>
      <w:r>
        <w:rPr>
          <w:color w:val="000000"/>
          <w:spacing w:val="0"/>
          <w:w w:val="100"/>
          <w:position w:val="0"/>
        </w:rPr>
        <w:t>所有董事均已出席了审议本报告的董事会会议。</w:t>
      </w:r>
    </w:p>
    <w:p>
      <w:pPr>
        <w:pStyle w:val="Style20"/>
        <w:keepNext w:val="0"/>
        <w:keepLines w:val="0"/>
        <w:widowControl w:val="0"/>
        <w:shd w:val="clear" w:color="auto" w:fill="auto"/>
        <w:bidi w:val="0"/>
        <w:spacing w:before="0" w:after="420" w:line="634" w:lineRule="exact"/>
        <w:ind w:left="0" w:right="0"/>
        <w:jc w:val="both"/>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rPr>
        <w:t>8</w:t>
      </w:r>
      <w:r>
        <w:rPr>
          <w:color w:val="000000"/>
          <w:spacing w:val="0"/>
          <w:w w:val="100"/>
          <w:position w:val="0"/>
        </w:rPr>
        <w:t>号——上市公 司从事互联网营销业务》的披露要求</w:t>
      </w:r>
    </w:p>
    <w:p>
      <w:pPr>
        <w:pStyle w:val="Style20"/>
        <w:keepNext w:val="0"/>
        <w:keepLines w:val="0"/>
        <w:widowControl w:val="0"/>
        <w:shd w:val="clear" w:color="auto" w:fill="auto"/>
        <w:tabs>
          <w:tab w:pos="1125" w:val="left"/>
        </w:tabs>
        <w:bidi w:val="0"/>
        <w:spacing w:before="0" w:after="0" w:line="468" w:lineRule="auto"/>
        <w:ind w:left="0" w:right="0"/>
        <w:jc w:val="both"/>
      </w:pPr>
      <w:bookmarkStart w:id="4" w:name="bookmark4"/>
      <w:r>
        <w:rPr>
          <w:rFonts w:ascii="Times New Roman" w:eastAsia="Times New Roman" w:hAnsi="Times New Roman" w:cs="Times New Roman"/>
          <w:color w:val="000000"/>
          <w:spacing w:val="0"/>
          <w:w w:val="100"/>
          <w:position w:val="0"/>
        </w:rPr>
        <w:t>1</w:t>
      </w:r>
      <w:bookmarkEnd w:id="4"/>
      <w:r>
        <w:rPr>
          <w:color w:val="000000"/>
          <w:spacing w:val="0"/>
          <w:w w:val="100"/>
          <w:position w:val="0"/>
        </w:rPr>
        <w:t>、</w:t>
        <w:tab/>
        <w:t>行业趋势波动的风险。</w:t>
      </w:r>
    </w:p>
    <w:p>
      <w:pPr>
        <w:pStyle w:val="Style20"/>
        <w:keepNext w:val="0"/>
        <w:keepLines w:val="0"/>
        <w:widowControl w:val="0"/>
        <w:shd w:val="clear" w:color="auto" w:fill="auto"/>
        <w:bidi w:val="0"/>
        <w:spacing w:before="0" w:line="614" w:lineRule="exact"/>
        <w:ind w:left="0" w:right="0"/>
        <w:jc w:val="both"/>
      </w:pPr>
      <w:r>
        <w:rPr>
          <w:color w:val="000000"/>
          <w:spacing w:val="0"/>
          <w:w w:val="100"/>
          <w:position w:val="0"/>
        </w:rPr>
        <w:t>对于金融信息服务行业，金融机构受到行业发展趋势和行业政策变化的影 响，削减</w:t>
      </w:r>
      <w:r>
        <w:rPr>
          <w:rFonts w:ascii="Times New Roman" w:eastAsia="Times New Roman" w:hAnsi="Times New Roman" w:cs="Times New Roman"/>
          <w:color w:val="000000"/>
          <w:spacing w:val="0"/>
          <w:w w:val="100"/>
          <w:position w:val="0"/>
        </w:rPr>
        <w:t>IT</w:t>
      </w:r>
      <w:r>
        <w:rPr>
          <w:color w:val="000000"/>
          <w:spacing w:val="0"/>
          <w:w w:val="100"/>
          <w:position w:val="0"/>
        </w:rPr>
        <w:t>投入，将会对公司经营产生不利影响。</w:t>
      </w:r>
    </w:p>
    <w:p>
      <w:pPr>
        <w:pStyle w:val="Style20"/>
        <w:keepNext w:val="0"/>
        <w:keepLines w:val="0"/>
        <w:widowControl w:val="0"/>
        <w:shd w:val="clear" w:color="auto" w:fill="auto"/>
        <w:bidi w:val="0"/>
        <w:spacing w:before="0" w:line="629" w:lineRule="exact"/>
        <w:ind w:left="0" w:right="0"/>
        <w:jc w:val="both"/>
      </w:pPr>
      <w:r>
        <w:rPr>
          <w:color w:val="000000"/>
          <w:spacing w:val="0"/>
          <w:w w:val="100"/>
          <w:position w:val="0"/>
        </w:rPr>
        <w:t>对于移动互联网营销行业，由于优质媒体及流量资源相对稀缺，媒体及流 量资源价格总体逐步上升。若媒体及流量资源价格未来上涨过快，将导致成本 逐步抬升。</w:t>
      </w:r>
    </w:p>
    <w:p>
      <w:pPr>
        <w:pStyle w:val="Style20"/>
        <w:keepNext w:val="0"/>
        <w:keepLines w:val="0"/>
        <w:widowControl w:val="0"/>
        <w:shd w:val="clear" w:color="auto" w:fill="auto"/>
        <w:tabs>
          <w:tab w:pos="1125" w:val="left"/>
        </w:tabs>
        <w:bidi w:val="0"/>
        <w:spacing w:before="0" w:line="626" w:lineRule="exact"/>
        <w:ind w:left="0" w:right="0"/>
        <w:jc w:val="both"/>
      </w:pPr>
      <w:bookmarkStart w:id="5" w:name="bookmark5"/>
      <w:r>
        <w:rPr>
          <w:rFonts w:ascii="Times New Roman" w:eastAsia="Times New Roman" w:hAnsi="Times New Roman" w:cs="Times New Roman"/>
          <w:color w:val="000000"/>
          <w:spacing w:val="0"/>
          <w:w w:val="100"/>
          <w:position w:val="0"/>
        </w:rPr>
        <w:t>2</w:t>
      </w:r>
      <w:bookmarkEnd w:id="5"/>
      <w:r>
        <w:rPr>
          <w:color w:val="000000"/>
          <w:spacing w:val="0"/>
          <w:w w:val="100"/>
          <w:position w:val="0"/>
        </w:rPr>
        <w:t>、</w:t>
        <w:tab/>
        <w:t>法律、法规及产业政策变化的风险。</w:t>
      </w:r>
    </w:p>
    <w:p>
      <w:pPr>
        <w:pStyle w:val="Style20"/>
        <w:keepNext w:val="0"/>
        <w:keepLines w:val="0"/>
        <w:widowControl w:val="0"/>
        <w:shd w:val="clear" w:color="auto" w:fill="auto"/>
        <w:bidi w:val="0"/>
        <w:spacing w:before="0" w:line="624" w:lineRule="exact"/>
        <w:ind w:left="0" w:right="0"/>
        <w:jc w:val="both"/>
      </w:pPr>
      <w:r>
        <w:rPr>
          <w:color w:val="000000"/>
          <w:spacing w:val="0"/>
          <w:w w:val="100"/>
          <w:position w:val="0"/>
        </w:rPr>
        <w:t>移动互联网营销行业属于新兴行业，法律、法规及产业政策相对较新且不 完善，对行业法律、法规及产业政策的诠释和执行有不确定性，随着国家陆续 颁布相关监管互联网活动的法律及规例，适用法律、法规及规则的变更可能使 公司运营收到阻碍或增加公司运营成本。</w:t>
      </w:r>
    </w:p>
    <w:p>
      <w:pPr>
        <w:pStyle w:val="Style20"/>
        <w:keepNext w:val="0"/>
        <w:keepLines w:val="0"/>
        <w:widowControl w:val="0"/>
        <w:shd w:val="clear" w:color="auto" w:fill="auto"/>
        <w:bidi w:val="0"/>
        <w:spacing w:before="0" w:line="240" w:lineRule="auto"/>
        <w:ind w:left="0" w:right="0"/>
        <w:jc w:val="both"/>
      </w:pPr>
      <w:bookmarkStart w:id="6" w:name="bookmark6"/>
      <w:r>
        <w:rPr>
          <w:rFonts w:ascii="Times New Roman" w:eastAsia="Times New Roman" w:hAnsi="Times New Roman" w:cs="Times New Roman"/>
          <w:color w:val="000000"/>
          <w:spacing w:val="0"/>
          <w:w w:val="100"/>
          <w:position w:val="0"/>
        </w:rPr>
        <w:t>3</w:t>
      </w:r>
      <w:bookmarkEnd w:id="6"/>
      <w:r>
        <w:rPr>
          <w:color w:val="000000"/>
          <w:spacing w:val="0"/>
          <w:w w:val="100"/>
          <w:position w:val="0"/>
        </w:rPr>
        <w:t>、公司对外扩张和并购带来的风险。</w:t>
      </w:r>
    </w:p>
    <w:p>
      <w:pPr>
        <w:pStyle w:val="Style20"/>
        <w:keepNext w:val="0"/>
        <w:keepLines w:val="0"/>
        <w:widowControl w:val="0"/>
        <w:shd w:val="clear" w:color="auto" w:fill="auto"/>
        <w:bidi w:val="0"/>
        <w:spacing w:before="0" w:line="622" w:lineRule="exact"/>
        <w:ind w:left="0" w:right="0"/>
        <w:jc w:val="both"/>
      </w:pPr>
      <w:r>
        <w:rPr>
          <w:color w:val="000000"/>
          <w:spacing w:val="0"/>
          <w:w w:val="100"/>
          <w:position w:val="0"/>
        </w:rPr>
        <w:t>随着并购、对外投资等外延式扩张，公司的资产规模将不断提高，公司管 理层的管理与协调能力，以及公司在资源整合、市场开拓、质量管理、内部控 制等方面都面临考验。如果公司的高级管理人员对市场发展判断不准确，不能 在现有基础上有效应对在规模扩张过程中出现的问题，不能在人力资源及财务 管理上进一步完善和改善现有模式，公司的管理体系将无法适应经营规模的快 速增长，这将对公司的未来经营产生不利影响。</w:t>
      </w:r>
    </w:p>
    <w:p>
      <w:pPr>
        <w:pStyle w:val="Style20"/>
        <w:keepNext w:val="0"/>
        <w:keepLines w:val="0"/>
        <w:widowControl w:val="0"/>
        <w:shd w:val="clear" w:color="auto" w:fill="auto"/>
        <w:bidi w:val="0"/>
        <w:spacing w:before="0" w:line="626" w:lineRule="exact"/>
        <w:ind w:left="0" w:right="0"/>
        <w:jc w:val="both"/>
        <w:sectPr>
          <w:headerReference w:type="default" r:id="rId7"/>
          <w:footerReference w:type="default" r:id="rId8"/>
          <w:footnotePr>
            <w:pos w:val="pageBottom"/>
            <w:numFmt w:val="decimal"/>
            <w:numRestart w:val="continuous"/>
          </w:footnotePr>
          <w:pgSz w:w="11900" w:h="16840"/>
          <w:pgMar w:top="1580" w:right="1110" w:bottom="1498" w:left="1103"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450,381,457</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0.08</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3"/>
        <w:keepNext w:val="0"/>
        <w:keepLines w:val="0"/>
        <w:widowControl w:val="0"/>
        <w:shd w:val="clear" w:color="auto" w:fill="auto"/>
        <w:tabs>
          <w:tab w:pos="1021" w:val="left"/>
          <w:tab w:leader="dot" w:pos="9602" w:val="right"/>
        </w:tabs>
        <w:bidi w:val="0"/>
        <w:spacing w:before="222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3"/>
        <w:keepNext w:val="0"/>
        <w:keepLines w:val="0"/>
        <w:widowControl w:val="0"/>
        <w:shd w:val="clear" w:color="auto" w:fill="auto"/>
        <w:tabs>
          <w:tab w:pos="1021" w:val="left"/>
          <w:tab w:leader="dot" w:pos="9602" w:val="right"/>
        </w:tabs>
        <w:bidi w:val="0"/>
        <w:spacing w:before="0" w:line="240" w:lineRule="auto"/>
        <w:ind w:left="0" w:right="0" w:firstLine="0"/>
        <w:jc w:val="both"/>
      </w:pPr>
      <w:hyperlink w:anchor="bookmark8"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23"/>
        <w:keepNext w:val="0"/>
        <w:keepLines w:val="0"/>
        <w:widowControl w:val="0"/>
        <w:shd w:val="clear" w:color="auto" w:fill="auto"/>
        <w:tabs>
          <w:tab w:pos="1021" w:val="left"/>
          <w:tab w:leader="dot" w:pos="9602" w:val="right"/>
        </w:tabs>
        <w:bidi w:val="0"/>
        <w:spacing w:before="0" w:line="240" w:lineRule="auto"/>
        <w:ind w:left="0" w:right="0" w:firstLine="0"/>
        <w:jc w:val="both"/>
      </w:pPr>
      <w:hyperlink w:anchor="bookmark52"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23"/>
        <w:keepNext w:val="0"/>
        <w:keepLines w:val="0"/>
        <w:widowControl w:val="0"/>
        <w:shd w:val="clear" w:color="auto" w:fill="auto"/>
        <w:tabs>
          <w:tab w:pos="1021" w:val="left"/>
          <w:tab w:leader="dot" w:pos="9602" w:val="right"/>
        </w:tabs>
        <w:bidi w:val="0"/>
        <w:spacing w:before="0" w:line="240" w:lineRule="auto"/>
        <w:ind w:left="0" w:right="0" w:firstLine="0"/>
        <w:jc w:val="both"/>
      </w:pPr>
      <w:hyperlink w:anchor="bookmark90"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13</w:t>
        </w:r>
      </w:hyperlink>
    </w:p>
    <w:p>
      <w:pPr>
        <w:pStyle w:val="Style23"/>
        <w:keepNext w:val="0"/>
        <w:keepLines w:val="0"/>
        <w:widowControl w:val="0"/>
        <w:shd w:val="clear" w:color="auto" w:fill="auto"/>
        <w:tabs>
          <w:tab w:pos="1021" w:val="left"/>
          <w:tab w:leader="dot" w:pos="9602" w:val="right"/>
        </w:tabs>
        <w:bidi w:val="0"/>
        <w:spacing w:before="0" w:line="240" w:lineRule="auto"/>
        <w:ind w:left="0" w:right="0" w:firstLine="0"/>
        <w:jc w:val="both"/>
      </w:pPr>
      <w:hyperlink w:anchor="bookmark267"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34</w:t>
        </w:r>
      </w:hyperlink>
    </w:p>
    <w:p>
      <w:pPr>
        <w:pStyle w:val="Style23"/>
        <w:keepNext w:val="0"/>
        <w:keepLines w:val="0"/>
        <w:widowControl w:val="0"/>
        <w:shd w:val="clear" w:color="auto" w:fill="auto"/>
        <w:tabs>
          <w:tab w:pos="1021" w:val="left"/>
          <w:tab w:leader="dot" w:pos="9602" w:val="right"/>
        </w:tabs>
        <w:bidi w:val="0"/>
        <w:spacing w:before="0" w:line="240" w:lineRule="auto"/>
        <w:ind w:left="0" w:right="0" w:firstLine="0"/>
        <w:jc w:val="both"/>
      </w:pPr>
      <w:hyperlink w:anchor="bookmark428" w:tooltip="Current Document">
        <w:r>
          <w:rPr>
            <w:color w:val="000000"/>
            <w:spacing w:val="0"/>
            <w:w w:val="100"/>
            <w:position w:val="0"/>
          </w:rPr>
          <w:t>第六节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55</w:t>
        </w:r>
      </w:hyperlink>
    </w:p>
    <w:p>
      <w:pPr>
        <w:pStyle w:val="Style23"/>
        <w:keepNext w:val="0"/>
        <w:keepLines w:val="0"/>
        <w:widowControl w:val="0"/>
        <w:shd w:val="clear" w:color="auto" w:fill="auto"/>
        <w:tabs>
          <w:tab w:pos="1021" w:val="left"/>
          <w:tab w:leader="dot" w:pos="9602" w:val="right"/>
        </w:tabs>
        <w:bidi w:val="0"/>
        <w:spacing w:before="0" w:line="240" w:lineRule="auto"/>
        <w:ind w:left="0" w:right="0" w:firstLine="0"/>
        <w:jc w:val="both"/>
      </w:pPr>
      <w:hyperlink w:anchor="bookmark496"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62</w:t>
        </w:r>
      </w:hyperlink>
    </w:p>
    <w:p>
      <w:pPr>
        <w:pStyle w:val="Style23"/>
        <w:keepNext w:val="0"/>
        <w:keepLines w:val="0"/>
        <w:widowControl w:val="0"/>
        <w:shd w:val="clear" w:color="auto" w:fill="auto"/>
        <w:tabs>
          <w:tab w:leader="dot" w:pos="9602" w:val="right"/>
        </w:tabs>
        <w:bidi w:val="0"/>
        <w:spacing w:before="0" w:line="240" w:lineRule="auto"/>
        <w:ind w:left="0" w:right="0" w:firstLine="0"/>
        <w:jc w:val="both"/>
      </w:pPr>
      <w:hyperlink w:anchor="bookmark500" w:tooltip="Current Document">
        <w:r>
          <w:rPr>
            <w:color w:val="000000"/>
            <w:spacing w:val="0"/>
            <w:w w:val="100"/>
            <w:position w:val="0"/>
          </w:rPr>
          <w:t>第八节董事、监事、高级管理人员和员工情况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63</w:t>
        </w:r>
      </w:hyperlink>
    </w:p>
    <w:p>
      <w:pPr>
        <w:pStyle w:val="Style23"/>
        <w:keepNext w:val="0"/>
        <w:keepLines w:val="0"/>
        <w:widowControl w:val="0"/>
        <w:shd w:val="clear" w:color="auto" w:fill="auto"/>
        <w:tabs>
          <w:tab w:pos="1021" w:val="left"/>
          <w:tab w:leader="dot" w:pos="9602" w:val="right"/>
        </w:tabs>
        <w:bidi w:val="0"/>
        <w:spacing w:before="0" w:line="240" w:lineRule="auto"/>
        <w:ind w:left="0" w:right="0" w:firstLine="0"/>
        <w:jc w:val="both"/>
      </w:pPr>
      <w:hyperlink w:anchor="bookmark543"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70</w:t>
        </w:r>
      </w:hyperlink>
    </w:p>
    <w:p>
      <w:pPr>
        <w:pStyle w:val="Style23"/>
        <w:keepNext w:val="0"/>
        <w:keepLines w:val="0"/>
        <w:widowControl w:val="0"/>
        <w:shd w:val="clear" w:color="auto" w:fill="auto"/>
        <w:tabs>
          <w:tab w:pos="1021" w:val="left"/>
          <w:tab w:leader="dot" w:pos="9602" w:val="right"/>
        </w:tabs>
        <w:bidi w:val="0"/>
        <w:spacing w:before="0" w:line="240" w:lineRule="auto"/>
        <w:ind w:left="0" w:right="0" w:firstLine="0"/>
        <w:jc w:val="both"/>
      </w:pPr>
      <w:hyperlink w:anchor="bookmark618"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74</w:t>
        </w:r>
      </w:hyperlink>
    </w:p>
    <w:p>
      <w:pPr>
        <w:pStyle w:val="Style23"/>
        <w:keepNext w:val="0"/>
        <w:keepLines w:val="0"/>
        <w:widowControl w:val="0"/>
        <w:shd w:val="clear" w:color="auto" w:fill="auto"/>
        <w:tabs>
          <w:tab w:leader="dot" w:pos="9602" w:val="right"/>
        </w:tabs>
        <w:bidi w:val="0"/>
        <w:spacing w:before="0" w:line="240" w:lineRule="auto"/>
        <w:ind w:left="0" w:right="0" w:firstLine="0"/>
        <w:jc w:val="both"/>
      </w:pPr>
      <w:hyperlink w:anchor="bookmark622" w:tooltip="Current Document">
        <w:r>
          <w:rPr>
            <w:color w:val="000000"/>
            <w:spacing w:val="0"/>
            <w:w w:val="100"/>
            <w:position w:val="0"/>
          </w:rPr>
          <w:t>第十一节 财务报告</w:t>
        </w:r>
        <w:r>
          <w:rPr>
            <w:color w:val="000000"/>
            <w:spacing w:val="0"/>
            <w:w w:val="100"/>
            <w:position w:val="0"/>
          </w:rPr>
          <w:tab/>
        </w:r>
        <w:r>
          <w:rPr>
            <w:rFonts w:ascii="Times New Roman" w:eastAsia="Times New Roman" w:hAnsi="Times New Roman" w:cs="Times New Roman"/>
            <w:color w:val="000000"/>
            <w:spacing w:val="0"/>
            <w:w w:val="100"/>
            <w:position w:val="0"/>
          </w:rPr>
          <w:t>75</w:t>
        </w:r>
      </w:hyperlink>
    </w:p>
    <w:p>
      <w:pPr>
        <w:pStyle w:val="Style23"/>
        <w:keepNext w:val="0"/>
        <w:keepLines w:val="0"/>
        <w:widowControl w:val="0"/>
        <w:shd w:val="clear" w:color="auto" w:fill="auto"/>
        <w:tabs>
          <w:tab w:leader="dot" w:pos="9602" w:val="right"/>
        </w:tabs>
        <w:bidi w:val="0"/>
        <w:spacing w:before="0" w:line="240" w:lineRule="auto"/>
        <w:ind w:left="0" w:right="0" w:firstLine="0"/>
        <w:jc w:val="both"/>
      </w:pPr>
      <w:hyperlink w:anchor="bookmark1977" w:tooltip="Current Document">
        <w:r>
          <w:rPr>
            <w:color w:val="000000"/>
            <w:spacing w:val="0"/>
            <w:w w:val="100"/>
            <w:position w:val="0"/>
          </w:rPr>
          <w:t>第十二节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178</w:t>
        </w:r>
      </w:hyperlink>
      <w:r>
        <w:br w:type="page"/>
      </w:r>
      <w:r>
        <w:fldChar w:fldCharType="end"/>
      </w:r>
    </w:p>
    <w:p>
      <w:pPr>
        <w:pStyle w:val="Style5"/>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高伟达</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鹰高投资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鹰潭市鹰高投资咨询有限公司</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银联科技</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银联科技有限公司</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贵昌有限</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贵昌有限公司</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上海睿民</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上海睿民互联网科技有限公司</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坚果技术</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海南坚果创娱信息技术有限公司</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尚河科技</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喀什尚河信息科技有限公司</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本公司发行的人民币普通股</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会计师事务所</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中汇会计师事务所（特殊普通合伙）</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《企业会计准则》</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财政部</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月颁布的并于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日起施行的《企业会计 准则》，包括基本准则、具体准则、应用指南、解释和其他相关规定</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《高伟达软件股份有限公司公司章程》</w:t>
            </w:r>
          </w:p>
        </w:tc>
      </w:tr>
      <w:tr>
        <w:trPr>
          <w:trHeight w:val="413"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bl>
    <w:p>
      <w:pPr>
        <w:spacing w:lineRule="exact" w:line="1"/>
        <w:rPr>
          <w:sz w:val="2"/>
          <w:szCs w:val="2"/>
        </w:rPr>
      </w:pPr>
      <w:r>
        <w:br w:type="page"/>
      </w:r>
    </w:p>
    <w:p>
      <w:pPr>
        <w:pStyle w:val="Style18"/>
        <w:keepNext/>
        <w:keepLines/>
        <w:widowControl w:val="0"/>
        <w:shd w:val="clear" w:color="auto" w:fill="auto"/>
        <w:bidi w:val="0"/>
        <w:spacing w:before="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7"/>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13" w:name="bookmark13"/>
      <w:bookmarkStart w:id="14" w:name="bookmark14"/>
      <w:r>
        <w:rPr>
          <w:color w:val="000000"/>
          <w:spacing w:val="0"/>
          <w:w w:val="100"/>
          <w:position w:val="0"/>
          <w:sz w:val="24"/>
          <w:szCs w:val="24"/>
        </w:rPr>
        <w:t>一</w:t>
      </w:r>
      <w:bookmarkEnd w:id="13"/>
      <w:r>
        <w:rPr>
          <w:color w:val="000000"/>
          <w:spacing w:val="0"/>
          <w:w w:val="100"/>
          <w:position w:val="0"/>
          <w:sz w:val="24"/>
          <w:szCs w:val="24"/>
        </w:rPr>
        <w:t>、公司信息</w:t>
      </w:r>
      <w:bookmarkEnd w:id="11"/>
      <w:bookmarkEnd w:id="12"/>
      <w:bookmarkEnd w:id="14"/>
      <w:bookmarkEnd w:id="10"/>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300465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GLOBAL INFOTECH CO., LTD.</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GIT</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于伟</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北京市海淀区大慧寺</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号北区</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604</w:t>
            </w:r>
            <w:r>
              <w:rPr>
                <w:color w:val="000000"/>
                <w:spacing w:val="0"/>
                <w:w w:val="100"/>
                <w:position w:val="0"/>
              </w:rPr>
              <w:t>房间</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北京市朝阳区亮马桥路</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号高斓大厦</w:t>
            </w:r>
            <w:r>
              <w:rPr>
                <w:rFonts w:ascii="Times New Roman" w:eastAsia="Times New Roman" w:hAnsi="Times New Roman" w:cs="Times New Roman"/>
                <w:color w:val="000000"/>
                <w:spacing w:val="0"/>
                <w:w w:val="100"/>
                <w:position w:val="0"/>
                <w:sz w:val="18"/>
                <w:szCs w:val="18"/>
              </w:rPr>
              <w:t>1601</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100016</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"http://www.git.com.cn" </w:instrText>
            </w:r>
            <w:r>
              <w:fldChar w:fldCharType="separate"/>
            </w:r>
            <w:r>
              <w:rPr>
                <w:rFonts w:ascii="Times New Roman" w:eastAsia="Times New Roman" w:hAnsi="Times New Roman" w:cs="Times New Roman"/>
                <w:color w:val="000000"/>
                <w:spacing w:val="0"/>
                <w:w w:val="100"/>
                <w:position w:val="0"/>
                <w:sz w:val="18"/>
                <w:szCs w:val="18"/>
              </w:rPr>
              <w:t>www.git.com.cn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"mailto:securities@git.com.cn" </w:instrText>
            </w:r>
            <w:r>
              <w:fldChar w:fldCharType="separate"/>
            </w:r>
            <w:r>
              <w:rPr>
                <w:rFonts w:ascii="Times New Roman" w:eastAsia="Times New Roman" w:hAnsi="Times New Roman" w:cs="Times New Roman"/>
                <w:color w:val="000000"/>
                <w:spacing w:val="0"/>
                <w:w w:val="100"/>
                <w:position w:val="0"/>
                <w:sz w:val="18"/>
                <w:szCs w:val="18"/>
              </w:rPr>
              <w:t>securities@git.com.cn</w:t>
            </w:r>
            <w:r>
              <w:fldChar w:fldCharType="end"/>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二</w:t>
      </w:r>
      <w:bookmarkEnd w:id="17"/>
      <w:r>
        <w:rPr>
          <w:color w:val="000000"/>
          <w:spacing w:val="0"/>
          <w:w w:val="100"/>
          <w:position w:val="0"/>
          <w:sz w:val="24"/>
          <w:szCs w:val="24"/>
        </w:rPr>
        <w:t>、联系人和联系方式</w:t>
      </w:r>
      <w:bookmarkEnd w:id="15"/>
      <w:bookmarkEnd w:id="16"/>
      <w:bookmarkEnd w:id="18"/>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高源</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郑祥云</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北京市朝阳区亮马桥路</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号高斓大厦</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1601 </w:t>
            </w:r>
            <w:r>
              <w:rPr>
                <w:color w:val="000000"/>
                <w:spacing w:val="0"/>
                <w:w w:val="100"/>
                <w:position w:val="0"/>
              </w:rPr>
              <w:t>室</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北京市朝阳区亮马桥路</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号高斓大厦</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1601 </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010-57321010</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010-57321010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010-57321000</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010-57321000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"mailto:securities@git.com.cn" </w:instrText>
            </w:r>
            <w:r>
              <w:fldChar w:fldCharType="separate"/>
            </w:r>
            <w:r>
              <w:rPr>
                <w:rFonts w:ascii="Times New Roman" w:eastAsia="Times New Roman" w:hAnsi="Times New Roman" w:cs="Times New Roman"/>
                <w:color w:val="000000"/>
                <w:spacing w:val="0"/>
                <w:w w:val="100"/>
                <w:position w:val="0"/>
                <w:sz w:val="18"/>
                <w:szCs w:val="18"/>
              </w:rPr>
              <w:t>securities@git.com.cn</w:t>
            </w:r>
            <w:r>
              <w:fldChar w:fldCharType="end"/>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"mailto:securities@git.com.cn" </w:instrText>
            </w:r>
            <w:r>
              <w:fldChar w:fldCharType="separate"/>
            </w:r>
            <w:r>
              <w:rPr>
                <w:rFonts w:ascii="Times New Roman" w:eastAsia="Times New Roman" w:hAnsi="Times New Roman" w:cs="Times New Roman"/>
                <w:color w:val="000000"/>
                <w:spacing w:val="0"/>
                <w:w w:val="100"/>
                <w:position w:val="0"/>
                <w:sz w:val="18"/>
                <w:szCs w:val="18"/>
              </w:rPr>
              <w:t>securities@git.com.cn</w:t>
            </w:r>
            <w:r>
              <w:fldChar w:fldCharType="end"/>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三</w:t>
      </w:r>
      <w:bookmarkEnd w:id="21"/>
      <w:r>
        <w:rPr>
          <w:color w:val="000000"/>
          <w:spacing w:val="0"/>
          <w:w w:val="100"/>
          <w:position w:val="0"/>
          <w:sz w:val="24"/>
          <w:szCs w:val="24"/>
        </w:rPr>
        <w:t>、信息披露及备置地点</w:t>
      </w:r>
      <w:bookmarkEnd w:id="19"/>
      <w:bookmarkEnd w:id="20"/>
      <w:bookmarkEnd w:id="22"/>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证券时报、证券日报、中国证券报、上海证券报</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北京市朝阳区亮马桥路</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号高斓大厦</w:t>
            </w:r>
            <w:r>
              <w:rPr>
                <w:rFonts w:ascii="Times New Roman" w:eastAsia="Times New Roman" w:hAnsi="Times New Roman" w:cs="Times New Roman"/>
                <w:color w:val="000000"/>
                <w:spacing w:val="0"/>
                <w:w w:val="100"/>
                <w:position w:val="0"/>
                <w:sz w:val="18"/>
                <w:szCs w:val="18"/>
              </w:rPr>
              <w:t>1601</w:t>
            </w:r>
            <w:r>
              <w:rPr>
                <w:color w:val="000000"/>
                <w:spacing w:val="0"/>
                <w:w w:val="100"/>
                <w:position w:val="0"/>
              </w:rPr>
              <w:t>室</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四</w:t>
      </w:r>
      <w:bookmarkEnd w:id="25"/>
      <w:r>
        <w:rPr>
          <w:color w:val="000000"/>
          <w:spacing w:val="0"/>
          <w:w w:val="100"/>
          <w:position w:val="0"/>
          <w:sz w:val="24"/>
          <w:szCs w:val="24"/>
        </w:rPr>
        <w:t>、其他有关资料</w:t>
      </w:r>
      <w:bookmarkEnd w:id="23"/>
      <w:bookmarkEnd w:id="24"/>
      <w:bookmarkEnd w:id="26"/>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中汇会计师事务所（特殊普通合伙）</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北京市朝阳区东三环中路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号财富金融中心</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赵亦飞、潘高峰</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北京市西城区丰盛胡同</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 丰铭国际大厦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贾鹏、吴学孔</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北京市西城区丰盛胡同</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 丰铭国际大厦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刘春楠、左宝祥、刘凯利</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299" w:line="1" w:lineRule="exact"/>
      </w:pPr>
    </w:p>
    <w:p>
      <w:pPr>
        <w:pStyle w:val="Style27"/>
        <w:keepNext/>
        <w:keepLines/>
        <w:widowControl w:val="0"/>
        <w:shd w:val="clear" w:color="auto" w:fill="auto"/>
        <w:bidi w:val="0"/>
        <w:spacing w:before="0" w:after="24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五</w:t>
      </w:r>
      <w:bookmarkEnd w:id="29"/>
      <w:r>
        <w:rPr>
          <w:color w:val="000000"/>
          <w:spacing w:val="0"/>
          <w:w w:val="100"/>
          <w:position w:val="0"/>
          <w:sz w:val="24"/>
          <w:szCs w:val="24"/>
        </w:rPr>
        <w:t>、主要会计数据和财务指标</w:t>
      </w:r>
      <w:bookmarkEnd w:id="27"/>
      <w:bookmarkEnd w:id="28"/>
      <w:bookmarkEnd w:id="30"/>
    </w:p>
    <w:p>
      <w:pPr>
        <w:pStyle w:val="Style29"/>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972,683,347.16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938,623,959.01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995,930,625.91</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23,109,577.54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41,228,939.46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-43.95%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66,080,887.67</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23,810,143.47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40,473,319.80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65,477,695.99</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52,930,225.58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30,678,846.20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72.53%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39,535,203.93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-49.95%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0.0539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-7.37%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1,699,676,083.84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866,716,087.78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96.11%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679,193,429.42</w:t>
            </w:r>
          </w:p>
        </w:tc>
      </w:tr>
      <w:tr>
        <w:trPr>
          <w:trHeight w:val="72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1,043,909,396.25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745,086,109.86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40.11%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355,415,528.40</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六</w:t>
      </w:r>
      <w:bookmarkEnd w:id="33"/>
      <w:r>
        <w:rPr>
          <w:color w:val="000000"/>
          <w:spacing w:val="0"/>
          <w:w w:val="100"/>
          <w:position w:val="0"/>
          <w:sz w:val="24"/>
          <w:szCs w:val="24"/>
        </w:rPr>
        <w:t>、分季度主要财务指标</w:t>
      </w:r>
      <w:bookmarkEnd w:id="31"/>
      <w:bookmarkEnd w:id="32"/>
      <w:bookmarkEnd w:id="3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bl>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129,763,337.40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274,136,921.16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192,583,579.40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376,199,509.20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1,980,259.93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2,746,674.46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7,063,859.58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11,318,783.57</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1,981,009.12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2,696,168.76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7,030,474.00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12,102,491.59</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-62,430,496.78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-16,056,971.30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-59,197,393.93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190,615,087.59</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tabs>
          <w:tab w:pos="517" w:val="left"/>
        </w:tabs>
        <w:bidi w:val="0"/>
        <w:spacing w:before="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sz w:val="24"/>
          <w:szCs w:val="24"/>
        </w:rPr>
        <w:t>七</w:t>
      </w:r>
      <w:bookmarkEnd w:id="37"/>
      <w:r>
        <w:rPr>
          <w:color w:val="000000"/>
          <w:spacing w:val="0"/>
          <w:w w:val="100"/>
          <w:position w:val="0"/>
          <w:sz w:val="24"/>
          <w:szCs w:val="24"/>
        </w:rPr>
        <w:t>、</w:t>
        <w:tab/>
        <w:t>境内外会计准则下会计数据差异</w:t>
      </w:r>
      <w:bookmarkEnd w:id="35"/>
      <w:bookmarkEnd w:id="36"/>
      <w:bookmarkEnd w:id="38"/>
    </w:p>
    <w:p>
      <w:pPr>
        <w:pStyle w:val="Style33"/>
        <w:keepNext/>
        <w:keepLines/>
        <w:widowControl w:val="0"/>
        <w:shd w:val="clear" w:color="auto" w:fill="auto"/>
        <w:tabs>
          <w:tab w:pos="402" w:val="left"/>
        </w:tabs>
        <w:bidi w:val="0"/>
        <w:spacing w:before="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02" w:val="left"/>
        </w:tabs>
        <w:bidi w:val="0"/>
        <w:spacing w:before="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17" w:val="left"/>
        </w:tabs>
        <w:bidi w:val="0"/>
        <w:spacing w:before="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sz w:val="24"/>
          <w:szCs w:val="24"/>
        </w:rPr>
        <w:t>八</w:t>
      </w:r>
      <w:bookmarkEnd w:id="49"/>
      <w:r>
        <w:rPr>
          <w:color w:val="000000"/>
          <w:spacing w:val="0"/>
          <w:w w:val="100"/>
          <w:position w:val="0"/>
          <w:sz w:val="24"/>
          <w:szCs w:val="24"/>
        </w:rPr>
        <w:t>、</w:t>
        <w:tab/>
        <w:t>非经常性损益项目及金额</w:t>
      </w:r>
      <w:bookmarkEnd w:id="47"/>
      <w:bookmarkEnd w:id="48"/>
      <w:bookmarkEnd w:id="50"/>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82,920.24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-59,762.29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-594.73</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固定资产清理</w:t>
            </w: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425,664.44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上海《促进经济发展 专项资金》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 稳岗补贴</w:t>
            </w:r>
            <w:r>
              <w:rPr>
                <w:rFonts w:ascii="Times New Roman" w:eastAsia="Times New Roman" w:hAnsi="Times New Roman" w:cs="Times New Roman"/>
                <w:color w:val="000000"/>
                <w:spacing w:val="0"/>
                <w:w w:val="100"/>
                <w:position w:val="0"/>
                <w:sz w:val="18"/>
                <w:szCs w:val="18"/>
              </w:rPr>
              <w:t>12.57</w:t>
            </w:r>
            <w:r>
              <w:rPr>
                <w:color w:val="000000"/>
                <w:spacing w:val="0"/>
                <w:w w:val="100"/>
                <w:position w:val="0"/>
              </w:rPr>
              <w:t>万元</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-1,173,763.00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-451,273.40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-139,768.00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35,387.61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133,344.65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106,445.59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-700,565.93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755,619.66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603,191.68</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60" w:line="317"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8"/>
        <w:keepNext/>
        <w:keepLines/>
        <w:widowControl w:val="0"/>
        <w:shd w:val="clear" w:color="auto" w:fill="auto"/>
        <w:bidi w:val="0"/>
        <w:spacing w:before="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7"/>
        <w:keepNext/>
        <w:keepLines/>
        <w:widowControl w:val="0"/>
        <w:shd w:val="clear" w:color="auto" w:fill="auto"/>
        <w:bidi w:val="0"/>
        <w:spacing w:before="0" w:after="26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、报告期内公司从事的主要业务</w:t>
      </w:r>
      <w:bookmarkEnd w:id="55"/>
      <w:bookmarkEnd w:id="56"/>
      <w:bookmarkEnd w:id="58"/>
      <w:bookmarkEnd w:id="54"/>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互联网营销业</w:t>
      </w:r>
    </w:p>
    <w:p>
      <w:pPr>
        <w:pStyle w:val="Style29"/>
        <w:keepNext w:val="0"/>
        <w:keepLines w:val="0"/>
        <w:widowControl w:val="0"/>
        <w:shd w:val="clear" w:color="auto" w:fill="auto"/>
        <w:bidi w:val="0"/>
        <w:spacing w:before="0" w:after="120" w:line="317" w:lineRule="exact"/>
        <w:ind w:left="0" w:right="0"/>
        <w:jc w:val="both"/>
      </w:pPr>
      <w:r>
        <w:rPr>
          <w:color w:val="000000"/>
          <w:spacing w:val="0"/>
          <w:w w:val="100"/>
          <w:position w:val="0"/>
        </w:rPr>
        <w:t>公司成立于</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年，近二十年来通过不断发展与创新，已成为国内领先的金融信息服务提供商。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月，公司成功 登陆资本市场，进一步提升公司知名度，也使得公司未来的发展插上了资本的翅膀。公司在深耕主业的同时，于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年完成 重大资产重组，收购上海睿民，夯实公司服务能力，丰富公司产业链条。同时为了更加丰富产品线，提升业绩，公司积极布 局移动互联网营销发展以及大数据技术，现金收购坚果技术、尚河科技两家公司。公司主营业务情况如下：</w:t>
      </w:r>
    </w:p>
    <w:p>
      <w:pPr>
        <w:pStyle w:val="Style29"/>
        <w:keepNext w:val="0"/>
        <w:keepLines w:val="0"/>
        <w:widowControl w:val="0"/>
        <w:shd w:val="clear" w:color="auto" w:fill="auto"/>
        <w:tabs>
          <w:tab w:pos="800" w:val="left"/>
        </w:tabs>
        <w:bidi w:val="0"/>
        <w:spacing w:before="0" w:after="0" w:line="314" w:lineRule="exact"/>
        <w:ind w:left="0" w:right="0"/>
        <w:jc w:val="both"/>
      </w:pPr>
      <w:bookmarkStart w:id="59" w:name="bookmark59"/>
      <w:r>
        <w:rPr>
          <w:b/>
          <w:bCs/>
          <w:color w:val="000000"/>
          <w:spacing w:val="0"/>
          <w:w w:val="100"/>
          <w:position w:val="0"/>
        </w:rPr>
        <w:t>一</w:t>
      </w:r>
      <w:bookmarkEnd w:id="59"/>
      <w:r>
        <w:rPr>
          <w:b/>
          <w:bCs/>
          <w:color w:val="000000"/>
          <w:spacing w:val="0"/>
          <w:w w:val="100"/>
          <w:position w:val="0"/>
        </w:rPr>
        <w:t>、</w:t>
        <w:tab/>
        <w:t>主营业务情况</w:t>
      </w:r>
    </w:p>
    <w:p>
      <w:pPr>
        <w:pStyle w:val="Style29"/>
        <w:keepNext w:val="0"/>
        <w:keepLines w:val="0"/>
        <w:widowControl w:val="0"/>
        <w:shd w:val="clear" w:color="auto" w:fill="auto"/>
        <w:bidi w:val="0"/>
        <w:spacing w:before="0" w:after="120" w:line="314" w:lineRule="exact"/>
        <w:ind w:left="0" w:right="0" w:firstLine="320"/>
        <w:jc w:val="left"/>
      </w:pPr>
      <w:r>
        <w:rPr>
          <w:color w:val="000000"/>
          <w:spacing w:val="0"/>
          <w:w w:val="100"/>
          <w:position w:val="0"/>
        </w:rPr>
        <w:t>公司现有主营业务分为两大块：金融信息服务、移动互联网营销</w:t>
      </w:r>
    </w:p>
    <w:p>
      <w:pPr>
        <w:pStyle w:val="Style29"/>
        <w:keepNext w:val="0"/>
        <w:keepLines w:val="0"/>
        <w:widowControl w:val="0"/>
        <w:shd w:val="clear" w:color="auto" w:fill="auto"/>
        <w:tabs>
          <w:tab w:pos="800" w:val="left"/>
        </w:tabs>
        <w:bidi w:val="0"/>
        <w:spacing w:before="0" w:after="0" w:line="314" w:lineRule="exact"/>
        <w:ind w:left="0" w:right="0"/>
        <w:jc w:val="both"/>
      </w:pPr>
      <w:bookmarkStart w:id="60" w:name="bookmark60"/>
      <w:r>
        <w:rPr>
          <w:b/>
          <w:bCs/>
          <w:color w:val="000000"/>
          <w:spacing w:val="0"/>
          <w:w w:val="100"/>
          <w:position w:val="0"/>
        </w:rPr>
        <w:t>二</w:t>
      </w:r>
      <w:bookmarkEnd w:id="60"/>
      <w:r>
        <w:rPr>
          <w:b/>
          <w:bCs/>
          <w:color w:val="000000"/>
          <w:spacing w:val="0"/>
          <w:w w:val="100"/>
          <w:position w:val="0"/>
        </w:rPr>
        <w:t>、</w:t>
        <w:tab/>
        <w:t>产品和业务用途</w:t>
      </w:r>
    </w:p>
    <w:p>
      <w:pPr>
        <w:pStyle w:val="Style29"/>
        <w:keepNext w:val="0"/>
        <w:keepLines w:val="0"/>
        <w:widowControl w:val="0"/>
        <w:shd w:val="clear" w:color="auto" w:fill="auto"/>
        <w:bidi w:val="0"/>
        <w:spacing w:before="0" w:after="120" w:line="331" w:lineRule="exact"/>
        <w:ind w:left="0" w:right="0"/>
        <w:jc w:val="both"/>
      </w:pPr>
      <w:r>
        <w:rPr>
          <w:color w:val="000000"/>
          <w:spacing w:val="0"/>
          <w:w w:val="100"/>
          <w:position w:val="0"/>
        </w:rPr>
        <w:t>金融信息服务是向以银行、保险、证券为主的金融企业客户提供</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运维服务以及系统集成服务。具体可分 为：</w:t>
      </w:r>
    </w:p>
    <w:p>
      <w:pPr>
        <w:pStyle w:val="Style29"/>
        <w:keepNext w:val="0"/>
        <w:keepLines w:val="0"/>
        <w:widowControl w:val="0"/>
        <w:shd w:val="clear" w:color="auto" w:fill="auto"/>
        <w:bidi w:val="0"/>
        <w:spacing w:before="0" w:after="120" w:line="314" w:lineRule="exact"/>
        <w:ind w:left="0" w:right="0"/>
        <w:jc w:val="both"/>
      </w:pPr>
      <w:r>
        <w:rPr>
          <w:rFonts w:ascii="Palatino Linotype" w:eastAsia="Palatino Linotype" w:hAnsi="Palatino Linotype" w:cs="Palatino Linotype"/>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解决方案是指由专业的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 xml:space="preserve">解决方案提供商为金融企业提供满足其渠道、业务、管理等需求的软件及相应服务。其中 </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解决方案软件包括解决方案供应商自有的应用软件，如银行核心业务系统、信贷管理系统、</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系统等；</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解决方案服 务包括咨询、实施、运行管理、支持和培训在内的与解决方案软件相关的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w:t>
      </w:r>
    </w:p>
    <w:p>
      <w:pPr>
        <w:pStyle w:val="Style29"/>
        <w:keepNext w:val="0"/>
        <w:keepLines w:val="0"/>
        <w:widowControl w:val="0"/>
        <w:numPr>
          <w:ilvl w:val="0"/>
          <w:numId w:val="1"/>
        </w:numPr>
        <w:shd w:val="clear" w:color="auto" w:fill="auto"/>
        <w:tabs>
          <w:tab w:pos="651" w:val="left"/>
        </w:tabs>
        <w:bidi w:val="0"/>
        <w:spacing w:before="0" w:after="120" w:line="312" w:lineRule="exact"/>
        <w:ind w:left="0" w:right="0"/>
        <w:jc w:val="both"/>
      </w:pPr>
      <w:bookmarkStart w:id="61" w:name="bookmark61"/>
      <w:bookmarkEnd w:id="61"/>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运维服务是为保障客户数据中心的稳定、安全、高效运行而提供的运营维护服务，具体包括对</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系统优化升级、日 常变更操作、健康检查、故障分析及恢复、数据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容灾管理、信息安全管理等技术服务。随着云计算技术在数据中心建 设中的逐步应用，</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运维服务也包含了越来越多的云管理服务内容，虚拟化和自动化技术得到更多的应用。</w:t>
      </w:r>
    </w:p>
    <w:p>
      <w:pPr>
        <w:pStyle w:val="Style29"/>
        <w:keepNext w:val="0"/>
        <w:keepLines w:val="0"/>
        <w:widowControl w:val="0"/>
        <w:numPr>
          <w:ilvl w:val="0"/>
          <w:numId w:val="1"/>
        </w:numPr>
        <w:shd w:val="clear" w:color="auto" w:fill="auto"/>
        <w:tabs>
          <w:tab w:pos="655" w:val="left"/>
        </w:tabs>
        <w:bidi w:val="0"/>
        <w:spacing w:before="0" w:after="120" w:line="319" w:lineRule="exact"/>
        <w:ind w:left="0" w:right="0"/>
        <w:jc w:val="both"/>
      </w:pPr>
      <w:bookmarkStart w:id="62" w:name="bookmark62"/>
      <w:bookmarkEnd w:id="62"/>
      <w:r>
        <w:rPr>
          <w:color w:val="000000"/>
          <w:spacing w:val="0"/>
          <w:w w:val="100"/>
          <w:position w:val="0"/>
        </w:rPr>
        <w:t>系统集成服务是指应客户需求，提供</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基础设施咨询及规划、数据中心集成设计、产品选型、软硬件详细配置、基础 软硬件供货、软硬件安装调试、</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系统软硬件改造升级、技术咨询、售后服务等服务。其中基础软硬件设备主要包括服务器、 存储、机房设备、网络设备等硬件设备以及中间件、数据库软件等基础软件。</w:t>
      </w:r>
    </w:p>
    <w:p>
      <w:pPr>
        <w:pStyle w:val="Style29"/>
        <w:keepNext w:val="0"/>
        <w:keepLines w:val="0"/>
        <w:widowControl w:val="0"/>
        <w:shd w:val="clear" w:color="auto" w:fill="auto"/>
        <w:bidi w:val="0"/>
        <w:spacing w:before="0" w:after="120" w:line="312" w:lineRule="exact"/>
        <w:ind w:left="0" w:right="0"/>
        <w:jc w:val="both"/>
      </w:pPr>
      <w:r>
        <w:rPr>
          <w:color w:val="000000"/>
          <w:spacing w:val="0"/>
          <w:w w:val="100"/>
          <w:position w:val="0"/>
        </w:rPr>
        <w:t>移动互联网营销亦称为移动大数据精准营销，就是以国际移动互联网络为基础，利用数字化的信息和移动互联网络媒体 的交互性来实现营销目标的一种新型的市场营销方式。公司现有移动互联网营销业务具体内容如下：</w:t>
      </w:r>
    </w:p>
    <w:p>
      <w:pPr>
        <w:pStyle w:val="Style29"/>
        <w:keepNext w:val="0"/>
        <w:keepLines w:val="0"/>
        <w:widowControl w:val="0"/>
        <w:shd w:val="clear" w:color="auto" w:fill="auto"/>
        <w:bidi w:val="0"/>
        <w:spacing w:before="0" w:after="120" w:line="314" w:lineRule="exact"/>
        <w:ind w:left="0" w:right="0"/>
        <w:jc w:val="both"/>
      </w:pPr>
      <w:r>
        <w:rPr>
          <w:color w:val="000000"/>
          <w:spacing w:val="0"/>
          <w:w w:val="100"/>
          <w:position w:val="0"/>
        </w:rPr>
        <w:t>坚果技术移动互联网营销业务：</w:t>
      </w:r>
    </w:p>
    <w:p>
      <w:pPr>
        <w:pStyle w:val="Style29"/>
        <w:keepNext w:val="0"/>
        <w:keepLines w:val="0"/>
        <w:widowControl w:val="0"/>
        <w:shd w:val="clear" w:color="auto" w:fill="auto"/>
        <w:bidi w:val="0"/>
        <w:spacing w:before="0" w:after="120" w:line="313" w:lineRule="exact"/>
        <w:ind w:left="0" w:right="0"/>
        <w:jc w:val="both"/>
      </w:pPr>
      <w:r>
        <w:rPr>
          <w:color w:val="000000"/>
          <w:spacing w:val="0"/>
          <w:w w:val="100"/>
          <w:position w:val="0"/>
        </w:rPr>
        <w:t>坚果技术，是一家从事移动互联网营销的公司。该公司一方面依托于手机刷机商、</w:t>
      </w:r>
      <w:r>
        <w:rPr>
          <w:rFonts w:ascii="Times New Roman" w:eastAsia="Times New Roman" w:hAnsi="Times New Roman" w:cs="Times New Roman"/>
          <w:color w:val="000000"/>
          <w:spacing w:val="0"/>
          <w:w w:val="100"/>
          <w:position w:val="0"/>
          <w:sz w:val="18"/>
          <w:szCs w:val="18"/>
        </w:rPr>
        <w:t>Launcher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FOTA</w:t>
      </w:r>
      <w:r>
        <w:rPr>
          <w:color w:val="000000"/>
          <w:spacing w:val="0"/>
          <w:w w:val="100"/>
          <w:position w:val="0"/>
        </w:rPr>
        <w:t>等中间商以及手机 硬件厂商、方案商，持续获得下游充足的全球用户资源。另一方面，坚果技术凭借从上游广告联盟获取的广告订单</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offer</w:t>
      </w:r>
      <w:r>
        <w:rPr>
          <w:color w:val="000000"/>
          <w:spacing w:val="0"/>
          <w:w w:val="100"/>
          <w:position w:val="0"/>
        </w:rPr>
        <w:t xml:space="preserve">）， </w:t>
      </w:r>
      <w:r>
        <w:rPr>
          <w:color w:val="000000"/>
          <w:spacing w:val="0"/>
          <w:w w:val="100"/>
          <w:position w:val="0"/>
        </w:rPr>
        <w:t>以及自己拓展的直客资源，持续获取广告业务机会。坚果技术拥有自己的大数据分析筛选和定位系统，将从下游渠道获得的 用户数据进行数据分析、用户画像，精准定位。通过大数据应用找到最具针对性的营销受众，进行精准的营销投放，从而从 根本上提高广告主广告投放的效率。</w:t>
      </w:r>
    </w:p>
    <w:p>
      <w:pPr>
        <w:pStyle w:val="Style29"/>
        <w:keepNext w:val="0"/>
        <w:keepLines w:val="0"/>
        <w:widowControl w:val="0"/>
        <w:shd w:val="clear" w:color="auto" w:fill="auto"/>
        <w:bidi w:val="0"/>
        <w:spacing w:before="0" w:after="120" w:line="314" w:lineRule="exact"/>
        <w:ind w:left="0" w:right="0"/>
        <w:jc w:val="both"/>
      </w:pPr>
      <w:r>
        <w:rPr>
          <w:color w:val="000000"/>
          <w:spacing w:val="0"/>
          <w:w w:val="100"/>
          <w:position w:val="0"/>
        </w:rPr>
        <w:t>尚河科技移动互联网营销业务：</w:t>
      </w:r>
    </w:p>
    <w:p>
      <w:pPr>
        <w:pStyle w:val="Style29"/>
        <w:keepNext w:val="0"/>
        <w:keepLines w:val="0"/>
        <w:widowControl w:val="0"/>
        <w:shd w:val="clear" w:color="auto" w:fill="auto"/>
        <w:bidi w:val="0"/>
        <w:spacing w:before="0" w:after="120" w:line="312" w:lineRule="exact"/>
        <w:ind w:left="0" w:right="0"/>
        <w:jc w:val="both"/>
      </w:pPr>
      <w:r>
        <w:rPr>
          <w:color w:val="000000"/>
          <w:spacing w:val="0"/>
          <w:w w:val="100"/>
          <w:position w:val="0"/>
        </w:rPr>
        <w:t>尚河科技通过对优秀互联网企业旗下产品提供专有品牌推广业务，相应获得代理权，根据受托方推广产品的收入，按照 协议约定比例与受托方分成。通过对移动广告投放需求方进行营销方案设计，优化产品筛选，同时通过数据分析能力以及运 营能力，对用户进行大数据分析，实现移动广告的精准投放。</w:t>
      </w:r>
    </w:p>
    <w:p>
      <w:pPr>
        <w:pStyle w:val="Style29"/>
        <w:keepNext w:val="0"/>
        <w:keepLines w:val="0"/>
        <w:widowControl w:val="0"/>
        <w:shd w:val="clear" w:color="auto" w:fill="auto"/>
        <w:bidi w:val="0"/>
        <w:spacing w:before="0" w:line="312" w:lineRule="exact"/>
        <w:ind w:left="0" w:right="0" w:firstLine="360"/>
        <w:jc w:val="both"/>
      </w:pPr>
      <w:r>
        <w:rPr>
          <w:color w:val="000000"/>
          <w:spacing w:val="0"/>
          <w:w w:val="100"/>
          <w:position w:val="0"/>
        </w:rPr>
        <w:t>尚河科技和坚果技术在经营模式和运营模式方面存在较大不同，这也直接导致了两家公司的利润率水平和发展速度的不 同。</w:t>
      </w:r>
    </w:p>
    <w:p>
      <w:pPr>
        <w:pStyle w:val="Style29"/>
        <w:keepNext w:val="0"/>
        <w:keepLines w:val="0"/>
        <w:widowControl w:val="0"/>
        <w:shd w:val="clear" w:color="auto" w:fill="auto"/>
        <w:bidi w:val="0"/>
        <w:spacing w:before="0" w:line="312" w:lineRule="exact"/>
        <w:ind w:left="0" w:right="0" w:firstLine="360"/>
        <w:jc w:val="both"/>
      </w:pPr>
      <w:bookmarkStart w:id="63" w:name="bookmark63"/>
      <w:r>
        <w:rPr>
          <w:b/>
          <w:bCs/>
          <w:color w:val="000000"/>
          <w:spacing w:val="0"/>
          <w:w w:val="100"/>
          <w:position w:val="0"/>
        </w:rPr>
        <w:t>三</w:t>
      </w:r>
      <w:bookmarkEnd w:id="63"/>
      <w:r>
        <w:rPr>
          <w:b/>
          <w:bCs/>
          <w:color w:val="000000"/>
          <w:spacing w:val="0"/>
          <w:w w:val="100"/>
          <w:position w:val="0"/>
        </w:rPr>
        <w:t>、经营模式</w:t>
      </w:r>
    </w:p>
    <w:p>
      <w:pPr>
        <w:pStyle w:val="Style2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公司金融信息服务业务围绕着金融业客户的主要</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需求展开，体现了公司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的经营模式，满足了客户各个层 次、不同阶段的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需求，贯穿了企业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系统生命周期的全过程，能够为企业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系统的价值实现提供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一站式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的综合解决方案。</w:t>
      </w:r>
    </w:p>
    <w:p>
      <w:pPr>
        <w:widowControl w:val="0"/>
        <w:jc w:val="center"/>
        <w:rPr>
          <w:sz w:val="2"/>
          <w:szCs w:val="2"/>
        </w:rPr>
      </w:pPr>
      <w:r>
        <w:drawing>
          <wp:inline>
            <wp:extent cx="4389120" cy="235902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389120" cy="2359025"/>
                    </a:xfrm>
                    <a:prstGeom prst="rect"/>
                  </pic:spPr>
                </pic:pic>
              </a:graphicData>
            </a:graphic>
          </wp:inline>
        </w:drawing>
      </w:r>
    </w:p>
    <w:p>
      <w:pPr>
        <w:widowControl w:val="0"/>
        <w:spacing w:after="99" w:line="1" w:lineRule="exact"/>
      </w:pPr>
    </w:p>
    <w:p>
      <w:pPr>
        <w:pStyle w:val="Style29"/>
        <w:keepNext w:val="0"/>
        <w:keepLines w:val="0"/>
        <w:widowControl w:val="0"/>
        <w:shd w:val="clear" w:color="auto" w:fill="auto"/>
        <w:bidi w:val="0"/>
        <w:spacing w:before="0" w:line="312" w:lineRule="exact"/>
        <w:ind w:left="0" w:right="0" w:firstLine="360"/>
        <w:jc w:val="both"/>
      </w:pPr>
      <w:r>
        <w:rPr>
          <w:color w:val="000000"/>
          <w:spacing w:val="0"/>
          <w:w w:val="100"/>
          <w:position w:val="0"/>
        </w:rPr>
        <w:t>互联网营销业务通过自有流量或者购买流量，结合客户需求，通过大数据分析，对用户精准投放广告，获取相关收益。</w:t>
      </w:r>
    </w:p>
    <w:p>
      <w:pPr>
        <w:pStyle w:val="Style29"/>
        <w:keepNext w:val="0"/>
        <w:keepLines w:val="0"/>
        <w:widowControl w:val="0"/>
        <w:shd w:val="clear" w:color="auto" w:fill="auto"/>
        <w:bidi w:val="0"/>
        <w:spacing w:before="0" w:line="312" w:lineRule="exact"/>
        <w:ind w:left="0" w:right="0" w:firstLine="360"/>
        <w:jc w:val="both"/>
      </w:pPr>
      <w:bookmarkStart w:id="64" w:name="bookmark64"/>
      <w:r>
        <w:rPr>
          <w:b/>
          <w:bCs/>
          <w:color w:val="000000"/>
          <w:spacing w:val="0"/>
          <w:w w:val="100"/>
          <w:position w:val="0"/>
        </w:rPr>
        <w:t>四</w:t>
      </w:r>
      <w:bookmarkEnd w:id="64"/>
      <w:r>
        <w:rPr>
          <w:b/>
          <w:bCs/>
          <w:color w:val="000000"/>
          <w:spacing w:val="0"/>
          <w:w w:val="100"/>
          <w:position w:val="0"/>
        </w:rPr>
        <w:t>、本年度业绩驱动因素</w:t>
      </w:r>
    </w:p>
    <w:p>
      <w:pPr>
        <w:pStyle w:val="Style29"/>
        <w:keepNext w:val="0"/>
        <w:keepLines w:val="0"/>
        <w:widowControl w:val="0"/>
        <w:shd w:val="clear" w:color="auto" w:fill="auto"/>
        <w:bidi w:val="0"/>
        <w:spacing w:before="0" w:line="312" w:lineRule="exact"/>
        <w:ind w:left="0" w:right="0" w:firstLine="360"/>
        <w:jc w:val="both"/>
      </w:pPr>
      <w:r>
        <w:rPr>
          <w:color w:val="000000"/>
          <w:spacing w:val="0"/>
          <w:w w:val="100"/>
          <w:position w:val="0"/>
        </w:rPr>
        <w:t>本年度公司主营业务之一的金融信息服务业务，积极应对核心客户需求下降带来的挑战，积极拓展城市商业银行和区域 银行客户。这些客户的成功开拓为公司弥补了核心客户需求下降带来的收入的下滑，但是新客户在业务拓展期带来的业务毛 利率低于成熟客户的业务毛利率，公司金融信息服务行业毛利以及利润水平低于往年。为了强化公司在金融信息服务业务的 市场占有率，公司于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年成功收购上海睿民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的股权。上海睿民在金融信息化领域中的支付、小微金融、金融资产交 易所、融资租赁等领域具有完善的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产品和解决方案。</w:t>
      </w:r>
    </w:p>
    <w:p>
      <w:pPr>
        <w:pStyle w:val="Style29"/>
        <w:keepNext w:val="0"/>
        <w:keepLines w:val="0"/>
        <w:widowControl w:val="0"/>
        <w:shd w:val="clear" w:color="auto" w:fill="auto"/>
        <w:bidi w:val="0"/>
        <w:spacing w:before="0" w:after="0" w:line="317"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年，公司积极拓展移动互联网营销领域的市场机会，通过并购等方式获取了坚果技术和尚河科技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的股权。虽 然移动营销领域的业绩增长迅速，但是由于合并日在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年的第四季度，导致这两家公司的业绩对公司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年合并报表的业 绩贡献不高。</w:t>
      </w:r>
    </w:p>
    <w:p>
      <w:pPr>
        <w:pStyle w:val="Style29"/>
        <w:keepNext w:val="0"/>
        <w:keepLines w:val="0"/>
        <w:widowControl w:val="0"/>
        <w:shd w:val="clear" w:color="auto" w:fill="auto"/>
        <w:bidi w:val="0"/>
        <w:spacing w:before="0" w:after="360" w:line="312" w:lineRule="exact"/>
        <w:ind w:left="0" w:right="0" w:firstLine="360"/>
        <w:jc w:val="left"/>
      </w:pPr>
      <w:r>
        <w:rPr>
          <w:color w:val="000000"/>
          <w:spacing w:val="0"/>
          <w:w w:val="100"/>
          <w:position w:val="0"/>
        </w:rPr>
        <w:t>预计</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年上述</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家的新纳入合并报表的子公司会为公司整体业绩的提升做出贡献。</w:t>
      </w:r>
    </w:p>
    <w:p>
      <w:pPr>
        <w:pStyle w:val="Style27"/>
        <w:keepNext/>
        <w:keepLines/>
        <w:widowControl w:val="0"/>
        <w:shd w:val="clear" w:color="auto" w:fill="auto"/>
        <w:bidi w:val="0"/>
        <w:spacing w:before="0" w:line="240" w:lineRule="auto"/>
        <w:ind w:left="0" w:right="0" w:firstLine="0"/>
        <w:jc w:val="left"/>
      </w:pPr>
      <w:bookmarkStart w:id="65" w:name="bookmark65"/>
      <w:bookmarkStart w:id="66" w:name="bookmark66"/>
      <w:bookmarkStart w:id="67" w:name="bookmark67"/>
      <w:bookmarkStart w:id="68" w:name="bookmark68"/>
      <w:r>
        <w:rPr>
          <w:color w:val="000000"/>
          <w:spacing w:val="0"/>
          <w:w w:val="100"/>
          <w:position w:val="0"/>
          <w:sz w:val="24"/>
          <w:szCs w:val="24"/>
        </w:rPr>
        <w:t>二</w:t>
      </w:r>
      <w:bookmarkEnd w:id="67"/>
      <w:r>
        <w:rPr>
          <w:color w:val="000000"/>
          <w:spacing w:val="0"/>
          <w:w w:val="100"/>
          <w:position w:val="0"/>
          <w:sz w:val="24"/>
          <w:szCs w:val="24"/>
        </w:rPr>
        <w:t>、主要资产重大变化情况</w:t>
      </w:r>
      <w:bookmarkEnd w:id="65"/>
      <w:bookmarkEnd w:id="66"/>
      <w:bookmarkEnd w:id="68"/>
    </w:p>
    <w:p>
      <w:pPr>
        <w:pStyle w:val="Style33"/>
        <w:keepNext/>
        <w:keepLines/>
        <w:widowControl w:val="0"/>
        <w:shd w:val="clear" w:color="auto" w:fill="auto"/>
        <w:bidi w:val="0"/>
        <w:spacing w:before="0" w:after="320" w:line="240" w:lineRule="auto"/>
        <w:ind w:left="0" w:right="0" w:firstLine="0"/>
        <w:jc w:val="left"/>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1</w:t>
      </w:r>
      <w:bookmarkEnd w:id="71"/>
      <w:r>
        <w:rPr>
          <w:color w:val="000000"/>
          <w:spacing w:val="0"/>
          <w:w w:val="100"/>
          <w:position w:val="0"/>
        </w:rPr>
        <w:t>、主要资产重大变化情况</w:t>
      </w:r>
      <w:bookmarkEnd w:id="69"/>
      <w:bookmarkEnd w:id="70"/>
      <w:bookmarkEnd w:id="72"/>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投资尚河科技</w:t>
            </w:r>
            <w:r>
              <w:rPr>
                <w:rFonts w:ascii="Times New Roman" w:eastAsia="Times New Roman" w:hAnsi="Times New Roman" w:cs="Times New Roman"/>
                <w:color w:val="000000"/>
                <w:spacing w:val="0"/>
                <w:w w:val="100"/>
                <w:position w:val="0"/>
                <w:sz w:val="18"/>
                <w:szCs w:val="18"/>
              </w:rPr>
              <w:t>11,615.25</w:t>
            </w:r>
            <w:r>
              <w:rPr>
                <w:color w:val="000000"/>
                <w:spacing w:val="0"/>
                <w:w w:val="100"/>
                <w:position w:val="0"/>
              </w:rPr>
              <w:t>万元，投资坚果技术</w:t>
            </w:r>
            <w:r>
              <w:rPr>
                <w:rFonts w:ascii="Times New Roman" w:eastAsia="Times New Roman" w:hAnsi="Times New Roman" w:cs="Times New Roman"/>
                <w:color w:val="000000"/>
                <w:spacing w:val="0"/>
                <w:w w:val="100"/>
                <w:position w:val="0"/>
                <w:sz w:val="18"/>
                <w:szCs w:val="18"/>
              </w:rPr>
              <w:t>25,366.09</w:t>
            </w:r>
            <w:r>
              <w:rPr>
                <w:color w:val="000000"/>
                <w:spacing w:val="0"/>
                <w:w w:val="100"/>
                <w:position w:val="0"/>
              </w:rPr>
              <w:t>万元，投资上海睿民</w:t>
            </w:r>
            <w:r>
              <w:rPr>
                <w:rFonts w:ascii="Times New Roman" w:eastAsia="Times New Roman" w:hAnsi="Times New Roman" w:cs="Times New Roman"/>
                <w:color w:val="000000"/>
                <w:spacing w:val="0"/>
                <w:w w:val="100"/>
                <w:position w:val="0"/>
                <w:sz w:val="18"/>
                <w:szCs w:val="18"/>
              </w:rPr>
              <w:t xml:space="preserve">30,000 </w:t>
            </w:r>
            <w:r>
              <w:rPr>
                <w:color w:val="000000"/>
                <w:spacing w:val="0"/>
                <w:w w:val="100"/>
                <w:position w:val="0"/>
              </w:rPr>
              <w:t>万元，合并抵消后形成商誉</w:t>
            </w:r>
            <w:r>
              <w:rPr>
                <w:rFonts w:ascii="Times New Roman" w:eastAsia="Times New Roman" w:hAnsi="Times New Roman" w:cs="Times New Roman"/>
                <w:color w:val="000000"/>
                <w:spacing w:val="0"/>
                <w:w w:val="100"/>
                <w:position w:val="0"/>
                <w:sz w:val="18"/>
                <w:szCs w:val="18"/>
              </w:rPr>
              <w:t>58,628.56</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年购入房产，期末净值</w:t>
            </w:r>
            <w:r>
              <w:rPr>
                <w:rFonts w:ascii="Times New Roman" w:eastAsia="Times New Roman" w:hAnsi="Times New Roman" w:cs="Times New Roman"/>
                <w:color w:val="000000"/>
                <w:spacing w:val="0"/>
                <w:w w:val="100"/>
                <w:position w:val="0"/>
                <w:sz w:val="18"/>
                <w:szCs w:val="18"/>
              </w:rPr>
              <w:t>6,160</w:t>
            </w:r>
            <w:r>
              <w:rPr>
                <w:color w:val="000000"/>
                <w:spacing w:val="0"/>
                <w:w w:val="100"/>
                <w:position w:val="0"/>
              </w:rPr>
              <w:t>万元</w:t>
            </w:r>
          </w:p>
        </w:tc>
      </w:tr>
      <w:tr>
        <w:trPr>
          <w:trHeight w:val="72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研发投入资本化形成无形资产期末净值</w:t>
            </w:r>
            <w:r>
              <w:rPr>
                <w:rFonts w:ascii="Times New Roman" w:eastAsia="Times New Roman" w:hAnsi="Times New Roman" w:cs="Times New Roman"/>
                <w:color w:val="000000"/>
                <w:spacing w:val="0"/>
                <w:w w:val="100"/>
                <w:position w:val="0"/>
                <w:sz w:val="18"/>
                <w:szCs w:val="18"/>
              </w:rPr>
              <w:t>3,644.78</w:t>
            </w:r>
            <w:r>
              <w:rPr>
                <w:color w:val="000000"/>
                <w:spacing w:val="0"/>
                <w:w w:val="100"/>
                <w:position w:val="0"/>
              </w:rPr>
              <w:t>万元，并购企业无形资产评估增值</w:t>
            </w:r>
          </w:p>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1,451.07 </w:t>
            </w:r>
            <w:r>
              <w:rPr>
                <w:color w:val="000000"/>
                <w:spacing w:val="0"/>
                <w:w w:val="100"/>
                <w:position w:val="0"/>
              </w:rPr>
              <w:t>万元</w:t>
            </w:r>
          </w:p>
        </w:tc>
      </w:tr>
    </w:tbl>
    <w:p>
      <w:pPr>
        <w:pStyle w:val="Style33"/>
        <w:keepNext/>
        <w:keepLines/>
        <w:widowControl w:val="0"/>
        <w:shd w:val="clear" w:color="auto" w:fill="auto"/>
        <w:bidi w:val="0"/>
        <w:spacing w:before="0" w:after="260" w:line="240" w:lineRule="auto"/>
        <w:ind w:left="0" w:right="0" w:firstLine="0"/>
        <w:jc w:val="left"/>
      </w:pPr>
      <w:bookmarkStart w:id="73" w:name="bookmark73"/>
      <w:bookmarkStart w:id="74" w:name="bookmark74"/>
      <w:bookmarkStart w:id="75" w:name="bookmark75"/>
      <w:bookmarkStart w:id="76" w:name="bookmark76"/>
      <w:r>
        <w:rPr>
          <w:rFonts w:ascii="Times New Roman" w:eastAsia="Times New Roman" w:hAnsi="Times New Roman" w:cs="Times New Roman"/>
          <w:color w:val="000000"/>
          <w:spacing w:val="0"/>
          <w:w w:val="100"/>
          <w:position w:val="0"/>
        </w:rPr>
        <w:t>2</w:t>
      </w:r>
      <w:bookmarkEnd w:id="75"/>
      <w:r>
        <w:rPr>
          <w:color w:val="000000"/>
          <w:spacing w:val="0"/>
          <w:w w:val="100"/>
          <w:position w:val="0"/>
        </w:rPr>
        <w:t>、主要境外资产情况</w:t>
      </w:r>
      <w:bookmarkEnd w:id="73"/>
      <w:bookmarkEnd w:id="74"/>
      <w:bookmarkEnd w:id="76"/>
    </w:p>
    <w:p>
      <w:pPr>
        <w:pStyle w:val="Style29"/>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77" w:name="bookmark77"/>
      <w:bookmarkStart w:id="78" w:name="bookmark78"/>
      <w:bookmarkStart w:id="79" w:name="bookmark79"/>
      <w:bookmarkStart w:id="80" w:name="bookmark80"/>
      <w:r>
        <w:rPr>
          <w:color w:val="000000"/>
          <w:spacing w:val="0"/>
          <w:w w:val="100"/>
          <w:position w:val="0"/>
          <w:sz w:val="24"/>
          <w:szCs w:val="24"/>
        </w:rPr>
        <w:t>三</w:t>
      </w:r>
      <w:bookmarkEnd w:id="79"/>
      <w:r>
        <w:rPr>
          <w:color w:val="000000"/>
          <w:spacing w:val="0"/>
          <w:w w:val="100"/>
          <w:position w:val="0"/>
          <w:sz w:val="24"/>
          <w:szCs w:val="24"/>
        </w:rPr>
        <w:t>、核心竞争力分析</w:t>
      </w:r>
      <w:bookmarkEnd w:id="77"/>
      <w:bookmarkEnd w:id="78"/>
      <w:bookmarkEnd w:id="80"/>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互联网营销业</w:t>
      </w:r>
    </w:p>
    <w:p>
      <w:pPr>
        <w:pStyle w:val="Style29"/>
        <w:keepNext w:val="0"/>
        <w:keepLines w:val="0"/>
        <w:widowControl w:val="0"/>
        <w:shd w:val="clear" w:color="auto" w:fill="auto"/>
        <w:tabs>
          <w:tab w:pos="724" w:val="left"/>
        </w:tabs>
        <w:bidi w:val="0"/>
        <w:spacing w:before="0" w:after="0" w:line="314" w:lineRule="exact"/>
        <w:ind w:left="0" w:right="0"/>
        <w:jc w:val="both"/>
      </w:pPr>
      <w:bookmarkStart w:id="81" w:name="bookmark81"/>
      <w:r>
        <w:rPr>
          <w:rFonts w:ascii="Palatino Linotype" w:eastAsia="Palatino Linotype" w:hAnsi="Palatino Linotype" w:cs="Palatino Linotype"/>
          <w:color w:val="000000"/>
          <w:spacing w:val="0"/>
          <w:w w:val="100"/>
          <w:position w:val="0"/>
          <w:sz w:val="18"/>
          <w:szCs w:val="18"/>
        </w:rPr>
        <w:t>1</w:t>
      </w:r>
      <w:bookmarkEnd w:id="81"/>
      <w:r>
        <w:rPr>
          <w:b/>
          <w:bCs/>
          <w:color w:val="000000"/>
          <w:spacing w:val="0"/>
          <w:w w:val="100"/>
          <w:position w:val="0"/>
        </w:rPr>
        <w:t>、</w:t>
        <w:tab/>
        <w:t>持续的技术和业务创新能力</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公司高度重视技术研发和产品创新能力的建设，坚持走产品化的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产业发展道路，通过技术创新引领产品和服务创新， 不断丰富完善技术、产品和服务模式，持续打造公司核心竞争力。公司是北京市高新技术企业，拥有</w:t>
      </w:r>
      <w:r>
        <w:rPr>
          <w:rFonts w:ascii="Times New Roman" w:eastAsia="Times New Roman" w:hAnsi="Times New Roman" w:cs="Times New Roman"/>
          <w:color w:val="000000"/>
          <w:spacing w:val="0"/>
          <w:w w:val="100"/>
          <w:position w:val="0"/>
          <w:sz w:val="18"/>
          <w:szCs w:val="18"/>
        </w:rPr>
        <w:t>CMMI3</w:t>
      </w:r>
      <w:r>
        <w:rPr>
          <w:color w:val="000000"/>
          <w:spacing w:val="0"/>
          <w:w w:val="100"/>
          <w:position w:val="0"/>
        </w:rPr>
        <w:t>级资质和国家 工业和信息化部颁发的系统集成一级资质。公司从研发理念、组织机构、创新机制和管理制度等方面进行了系统的构建。</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公司在不断提升研发能力的同时，在服务模式和服务内容上也坚持不断创新。在传统的金融</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产品和服务的基础上，公 司积极开发金融</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产业云平台，以高效的，低成本化方式满足中小微金融机构的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需求。</w:t>
      </w:r>
    </w:p>
    <w:p>
      <w:pPr>
        <w:pStyle w:val="Style29"/>
        <w:keepNext w:val="0"/>
        <w:keepLines w:val="0"/>
        <w:widowControl w:val="0"/>
        <w:shd w:val="clear" w:color="auto" w:fill="auto"/>
        <w:tabs>
          <w:tab w:pos="738" w:val="left"/>
        </w:tabs>
        <w:bidi w:val="0"/>
        <w:spacing w:before="0" w:after="0" w:line="314" w:lineRule="exact"/>
        <w:ind w:left="0" w:right="0"/>
        <w:jc w:val="both"/>
      </w:pPr>
      <w:bookmarkStart w:id="82" w:name="bookmark82"/>
      <w:r>
        <w:rPr>
          <w:rFonts w:ascii="Palatino Linotype" w:eastAsia="Palatino Linotype" w:hAnsi="Palatino Linotype" w:cs="Palatino Linotype"/>
          <w:color w:val="000000"/>
          <w:spacing w:val="0"/>
          <w:w w:val="100"/>
          <w:position w:val="0"/>
          <w:sz w:val="18"/>
          <w:szCs w:val="18"/>
        </w:rPr>
        <w:t>2</w:t>
      </w:r>
      <w:bookmarkEnd w:id="82"/>
      <w:r>
        <w:rPr>
          <w:b/>
          <w:bCs/>
          <w:color w:val="000000"/>
          <w:spacing w:val="0"/>
          <w:w w:val="100"/>
          <w:position w:val="0"/>
        </w:rPr>
        <w:t>、</w:t>
        <w:tab/>
        <w:t>品牌与客户资源优势</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在多年的发展过程中，公司积累了一批以银行业为主，涉及保险、证券、基金和能源等行业大中型企业的优质客户，形 成了涵盖政策性银行、国有商业银行、股份制银行、中国邮储银行、城商行、农商行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农村合作银行、农信社、外资银行、 证券公司、大中型保险机构、信托公司、消费金融公司、小贷公司、金融资产交易所等在内的完整的、有层次的金融行业客 户谱系，通过优质、全面的软件及服务满足不同客户的各阶段、差异化的信息化需求。</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公司与许多优质客户建立了长期稳定的合作关系，并伴随着客户信息化成长的各个阶段，成为了许多客户信息化进程的 主要参与者。在长期为银行业信息化提供服务的过程中，公司树立了良好的品牌形象。目前高伟达已成为业内拥有较高知名 度和美誉度的品牌，服务质量和技术水平得到业界公认。</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同时，作为为数不多的几家综合性解决方案提供商，依靠较强的品牌影响力，公司得以实现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以系统集成带动解决方案， 以解决方案催生服务需求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的战略，充分发挥产品和服务业务的协同效应，最大化客户价值。</w:t>
      </w:r>
    </w:p>
    <w:p>
      <w:pPr>
        <w:pStyle w:val="Style29"/>
        <w:keepNext w:val="0"/>
        <w:keepLines w:val="0"/>
        <w:widowControl w:val="0"/>
        <w:shd w:val="clear" w:color="auto" w:fill="auto"/>
        <w:tabs>
          <w:tab w:pos="738" w:val="left"/>
        </w:tabs>
        <w:bidi w:val="0"/>
        <w:spacing w:before="0" w:after="0" w:line="314" w:lineRule="exact"/>
        <w:ind w:left="0" w:right="0"/>
        <w:jc w:val="both"/>
      </w:pPr>
      <w:bookmarkStart w:id="83" w:name="bookmark83"/>
      <w:r>
        <w:rPr>
          <w:rFonts w:ascii="Palatino Linotype" w:eastAsia="Palatino Linotype" w:hAnsi="Palatino Linotype" w:cs="Palatino Linotype"/>
          <w:color w:val="000000"/>
          <w:spacing w:val="0"/>
          <w:w w:val="100"/>
          <w:position w:val="0"/>
          <w:sz w:val="18"/>
          <w:szCs w:val="18"/>
        </w:rPr>
        <w:t>3</w:t>
      </w:r>
      <w:bookmarkEnd w:id="83"/>
      <w:r>
        <w:rPr>
          <w:b/>
          <w:bCs/>
          <w:color w:val="000000"/>
          <w:spacing w:val="0"/>
          <w:w w:val="100"/>
          <w:position w:val="0"/>
        </w:rPr>
        <w:t>、</w:t>
        <w:tab/>
        <w:t>领先的行业地位和提供整体解决方案的能力</w:t>
      </w:r>
    </w:p>
    <w:p>
      <w:pPr>
        <w:pStyle w:val="Style29"/>
        <w:keepNext w:val="0"/>
        <w:keepLines w:val="0"/>
        <w:widowControl w:val="0"/>
        <w:shd w:val="clear" w:color="auto" w:fill="auto"/>
        <w:bidi w:val="0"/>
        <w:spacing w:before="0" w:after="0" w:line="322" w:lineRule="exact"/>
        <w:ind w:left="0" w:right="0"/>
        <w:jc w:val="both"/>
      </w:pPr>
      <w:r>
        <w:rPr>
          <w:color w:val="000000"/>
          <w:spacing w:val="0"/>
          <w:w w:val="100"/>
          <w:position w:val="0"/>
        </w:rPr>
        <w:t>依托公司完备的产品线，丰富的项目管理能力和突出的研发实力，公司成为能够提供金融领域信息化完整解决方案的</w:t>
      </w:r>
      <w:r>
        <w:rPr>
          <w:rFonts w:ascii="Times New Roman" w:eastAsia="Times New Roman" w:hAnsi="Times New Roman" w:cs="Times New Roman"/>
          <w:color w:val="000000"/>
          <w:spacing w:val="0"/>
          <w:w w:val="100"/>
          <w:position w:val="0"/>
          <w:sz w:val="18"/>
          <w:szCs w:val="18"/>
        </w:rPr>
        <w:t xml:space="preserve">IT </w:t>
      </w:r>
      <w:r>
        <w:rPr>
          <w:color w:val="000000"/>
          <w:spacing w:val="0"/>
          <w:w w:val="100"/>
          <w:position w:val="0"/>
        </w:rPr>
        <w:t>服务商之一。</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公司经过多年的技术研发和服务创新，形成了信贷管理系统、核心业务系统、</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ECIF</w:t>
      </w:r>
      <w:r>
        <w:rPr>
          <w:color w:val="000000"/>
          <w:spacing w:val="0"/>
          <w:w w:val="100"/>
          <w:position w:val="0"/>
        </w:rPr>
        <w:t>等具有较强市场竞争力和较 高市场占有率的解决方案，上述系统已经成功应用于政策性银行、国有商业银行、股份制银行、城商行及农信社，积累了丰 富的应用案例和广泛的客户群，为公司产品升级和市场开拓建立了良好的基础。</w:t>
      </w:r>
    </w:p>
    <w:p>
      <w:pPr>
        <w:pStyle w:val="Style29"/>
        <w:keepNext w:val="0"/>
        <w:keepLines w:val="0"/>
        <w:widowControl w:val="0"/>
        <w:shd w:val="clear" w:color="auto" w:fill="auto"/>
        <w:tabs>
          <w:tab w:pos="734" w:val="left"/>
        </w:tabs>
        <w:bidi w:val="0"/>
        <w:spacing w:before="0" w:after="0" w:line="314" w:lineRule="exact"/>
        <w:ind w:left="0" w:right="0"/>
        <w:jc w:val="both"/>
      </w:pPr>
      <w:bookmarkStart w:id="84" w:name="bookmark84"/>
      <w:r>
        <w:rPr>
          <w:rFonts w:ascii="Palatino Linotype" w:eastAsia="Palatino Linotype" w:hAnsi="Palatino Linotype" w:cs="Palatino Linotype"/>
          <w:color w:val="000000"/>
          <w:spacing w:val="0"/>
          <w:w w:val="100"/>
          <w:position w:val="0"/>
          <w:sz w:val="18"/>
          <w:szCs w:val="18"/>
        </w:rPr>
        <w:t>4</w:t>
      </w:r>
      <w:bookmarkEnd w:id="84"/>
      <w:r>
        <w:rPr>
          <w:b/>
          <w:bCs/>
          <w:color w:val="000000"/>
          <w:spacing w:val="0"/>
          <w:w w:val="100"/>
          <w:position w:val="0"/>
        </w:rPr>
        <w:t>、</w:t>
        <w:tab/>
        <w:t>丰富的项目实施经验</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公司自设立以来，专注于以银行业为主的金融信息化领域，一直伴随客户信息化建设的成长，深刻理解行业需求，并在 如何提升解决方案运行稳定性方面具备成熟的经验。</w:t>
      </w:r>
    </w:p>
    <w:p>
      <w:pPr>
        <w:pStyle w:val="Style29"/>
        <w:keepNext w:val="0"/>
        <w:keepLines w:val="0"/>
        <w:widowControl w:val="0"/>
        <w:shd w:val="clear" w:color="auto" w:fill="auto"/>
        <w:tabs>
          <w:tab w:pos="738" w:val="left"/>
        </w:tabs>
        <w:bidi w:val="0"/>
        <w:spacing w:before="0" w:after="0" w:line="314" w:lineRule="exact"/>
        <w:ind w:left="0" w:right="0"/>
        <w:jc w:val="both"/>
      </w:pPr>
      <w:bookmarkStart w:id="85" w:name="bookmark85"/>
      <w:r>
        <w:rPr>
          <w:rFonts w:ascii="Palatino Linotype" w:eastAsia="Palatino Linotype" w:hAnsi="Palatino Linotype" w:cs="Palatino Linotype"/>
          <w:color w:val="000000"/>
          <w:spacing w:val="0"/>
          <w:w w:val="100"/>
          <w:position w:val="0"/>
          <w:sz w:val="18"/>
          <w:szCs w:val="18"/>
        </w:rPr>
        <w:t>5</w:t>
      </w:r>
      <w:bookmarkEnd w:id="85"/>
      <w:r>
        <w:rPr>
          <w:b/>
          <w:bCs/>
          <w:color w:val="000000"/>
          <w:spacing w:val="0"/>
          <w:w w:val="100"/>
          <w:position w:val="0"/>
        </w:rPr>
        <w:t>、</w:t>
        <w:tab/>
        <w:t>复合型人才储备和稳定的技术、管理团队</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金融信息系统自身的复杂性和专业性以及其作为国民经济核心的行业特征，要求开发人员具备丰富的行业经验、复合的 知识结构以及技术积累。公司长期以来培养了一支融合了</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技术、银行业务知识及行业管理经验的复合型人才队伍，对于高 度复杂的银行信息系统开发具有独到的理解能力和丰富的实施经验，拥有多项核心技术和全部产品的自主知识产权。</w:t>
      </w:r>
    </w:p>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公司形成了一系列符合市场要求及公司实际的考核机制，使得团队成员的利益与公司的发展保持高度一致。公司高管深 刻认同公司的文化和经营管理理念，对金融信息化领域拥有敏感性和前瞻性。</w:t>
      </w:r>
    </w:p>
    <w:p>
      <w:pPr>
        <w:pStyle w:val="Style29"/>
        <w:keepNext w:val="0"/>
        <w:keepLines w:val="0"/>
        <w:widowControl w:val="0"/>
        <w:shd w:val="clear" w:color="auto" w:fill="auto"/>
        <w:tabs>
          <w:tab w:pos="738" w:val="left"/>
        </w:tabs>
        <w:bidi w:val="0"/>
        <w:spacing w:before="0" w:after="0" w:line="314" w:lineRule="exact"/>
        <w:ind w:left="0" w:right="0"/>
        <w:jc w:val="both"/>
      </w:pPr>
      <w:bookmarkStart w:id="86" w:name="bookmark86"/>
      <w:r>
        <w:rPr>
          <w:rFonts w:ascii="Palatino Linotype" w:eastAsia="Palatino Linotype" w:hAnsi="Palatino Linotype" w:cs="Palatino Linotype"/>
          <w:color w:val="000000"/>
          <w:spacing w:val="0"/>
          <w:w w:val="100"/>
          <w:position w:val="0"/>
          <w:sz w:val="18"/>
          <w:szCs w:val="18"/>
        </w:rPr>
        <w:t>6</w:t>
      </w:r>
      <w:bookmarkEnd w:id="86"/>
      <w:r>
        <w:rPr>
          <w:b/>
          <w:bCs/>
          <w:color w:val="000000"/>
          <w:spacing w:val="0"/>
          <w:w w:val="100"/>
          <w:position w:val="0"/>
        </w:rPr>
        <w:t>、</w:t>
        <w:tab/>
        <w:t>先进的研发模式和理念</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公司在长期的项目实践中，深化了项目运作的内涵，建立了适应未来发展的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基线式研发管理模式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，建立了公司阶梯式 </w:t>
      </w:r>
      <w:r>
        <w:rPr>
          <w:color w:val="000000"/>
          <w:spacing w:val="0"/>
          <w:w w:val="100"/>
          <w:position w:val="0"/>
        </w:rPr>
        <w:t>上升的产品结构。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基线式研发管理模式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是结合客户项目化开发的需求，以建立完善的基线产品模块库为中心，建立统一的 版本合并机制。首先，由公司研发部门建立各类产品的基线版本，在新项目启动时，从基线产品库中获取最新版本，并根据 客户个性化需求进行二次开发，满足新的功能和性能需求；在项目上线完成测试后，实施人员根据项目具备普遍适用性的新 增功能，提交公司研发部门并根据新的功能对统一版本进行合并，从而形成更新后的基线产品。目前，公司统一版本中已经 形成了组件模块库，能够快速响应客户的各种复杂定制化开发需求。</w:t>
      </w:r>
    </w:p>
    <w:p>
      <w:pPr>
        <w:pStyle w:val="Style29"/>
        <w:keepNext w:val="0"/>
        <w:keepLines w:val="0"/>
        <w:widowControl w:val="0"/>
        <w:shd w:val="clear" w:color="auto" w:fill="auto"/>
        <w:bidi w:val="0"/>
        <w:spacing w:before="0" w:after="0" w:line="317" w:lineRule="exact"/>
        <w:ind w:left="0" w:right="0"/>
        <w:jc w:val="left"/>
      </w:pPr>
      <w:r>
        <w:rPr>
          <w:color w:val="000000"/>
          <w:spacing w:val="0"/>
          <w:w w:val="100"/>
          <w:position w:val="0"/>
        </w:rPr>
        <w:t>公司依托模块化配置技术、统一版本融合的机制和自动化管理软件等核心技术支撑了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基线式研发管理模式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的实施。该 研发模式不但保持了项目化的灵活特性，并大大提高了项目实施效率。</w:t>
      </w:r>
    </w:p>
    <w:p>
      <w:pPr>
        <w:pStyle w:val="Style29"/>
        <w:keepNext w:val="0"/>
        <w:keepLines w:val="0"/>
        <w:widowControl w:val="0"/>
        <w:shd w:val="clear" w:color="auto" w:fill="auto"/>
        <w:tabs>
          <w:tab w:pos="681" w:val="left"/>
        </w:tabs>
        <w:bidi w:val="0"/>
        <w:spacing w:before="0" w:after="0" w:line="312" w:lineRule="exact"/>
        <w:ind w:left="0" w:right="0"/>
        <w:jc w:val="left"/>
      </w:pPr>
      <w:bookmarkStart w:id="87" w:name="bookmark87"/>
      <w:r>
        <w:rPr>
          <w:rFonts w:ascii="Palatino Linotype" w:eastAsia="Palatino Linotype" w:hAnsi="Palatino Linotype" w:cs="Palatino Linotype"/>
          <w:color w:val="000000"/>
          <w:spacing w:val="0"/>
          <w:w w:val="100"/>
          <w:position w:val="0"/>
          <w:sz w:val="18"/>
          <w:szCs w:val="18"/>
        </w:rPr>
        <w:t>7</w:t>
      </w:r>
      <w:bookmarkEnd w:id="87"/>
      <w:r>
        <w:rPr>
          <w:b/>
          <w:bCs/>
          <w:color w:val="000000"/>
          <w:spacing w:val="0"/>
          <w:w w:val="100"/>
          <w:position w:val="0"/>
        </w:rPr>
        <w:t>、</w:t>
        <w:tab/>
        <w:t>全国性的战略布局</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公司建立了全国性的营销和服务网络。公司总部位于北京，拥有九家子公司和北京、深圳、成都、武汉、等四家分公司， 同时公司下设北京、上海、南京、武汉、成都、厦门、广州等七家分软，形成了覆盖华北、华东、华南、华中和西南地区的 全国性营销及服务网络，公司的客户范围遍及全国除港、澳、台地区以外的所有省、市、自治区和直辖市。</w:t>
      </w:r>
    </w:p>
    <w:p>
      <w:pPr>
        <w:pStyle w:val="Style29"/>
        <w:keepNext w:val="0"/>
        <w:keepLines w:val="0"/>
        <w:widowControl w:val="0"/>
        <w:shd w:val="clear" w:color="auto" w:fill="auto"/>
        <w:bidi w:val="0"/>
        <w:spacing w:before="0" w:after="0" w:line="336" w:lineRule="exact"/>
        <w:ind w:left="0" w:right="0"/>
        <w:jc w:val="left"/>
        <w:rPr>
          <w:sz w:val="24"/>
          <w:szCs w:val="24"/>
        </w:rPr>
      </w:pPr>
      <w:r>
        <w:rPr>
          <w:color w:val="000000"/>
          <w:spacing w:val="0"/>
          <w:w w:val="100"/>
          <w:position w:val="0"/>
          <w:sz w:val="17"/>
          <w:szCs w:val="17"/>
        </w:rPr>
        <w:t>全国性的战略布局不仅提高了公司的客户响应速度，有效提高了客户服务质量，同时有利于公司对于区域性金融机构的 客户拓展，有利于公司把握未来城市商业银行和农村商业银行</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7"/>
          <w:szCs w:val="17"/>
        </w:rPr>
        <w:t>系统建设及更新换代的良好机遇</w:t>
      </w:r>
      <w:r>
        <w:rPr>
          <w:color w:val="000000"/>
          <w:spacing w:val="0"/>
          <w:w w:val="100"/>
          <w:position w:val="0"/>
          <w:sz w:val="24"/>
          <w:szCs w:val="24"/>
        </w:rPr>
        <w:t>。</w:t>
      </w:r>
    </w:p>
    <w:p>
      <w:pPr>
        <w:pStyle w:val="Style29"/>
        <w:keepNext w:val="0"/>
        <w:keepLines w:val="0"/>
        <w:widowControl w:val="0"/>
        <w:shd w:val="clear" w:color="auto" w:fill="auto"/>
        <w:tabs>
          <w:tab w:pos="676" w:val="left"/>
        </w:tabs>
        <w:bidi w:val="0"/>
        <w:spacing w:before="0" w:after="0" w:line="336" w:lineRule="exact"/>
        <w:ind w:left="0" w:right="0"/>
        <w:jc w:val="left"/>
      </w:pPr>
      <w:bookmarkStart w:id="88" w:name="bookmark88"/>
      <w:r>
        <w:rPr>
          <w:rFonts w:ascii="Palatino Linotype" w:eastAsia="Palatino Linotype" w:hAnsi="Palatino Linotype" w:cs="Palatino Linotype"/>
          <w:color w:val="000000"/>
          <w:spacing w:val="0"/>
          <w:w w:val="100"/>
          <w:position w:val="0"/>
          <w:sz w:val="18"/>
          <w:szCs w:val="18"/>
        </w:rPr>
        <w:t>8</w:t>
      </w:r>
      <w:bookmarkEnd w:id="88"/>
      <w:r>
        <w:rPr>
          <w:b/>
          <w:bCs/>
          <w:color w:val="000000"/>
          <w:spacing w:val="0"/>
          <w:w w:val="100"/>
          <w:position w:val="0"/>
        </w:rPr>
        <w:t>、</w:t>
        <w:tab/>
        <w:t>在移动互联网营销领域的大数据技术能力和运营能力</w:t>
      </w:r>
    </w:p>
    <w:p>
      <w:pPr>
        <w:pStyle w:val="Style29"/>
        <w:keepNext w:val="0"/>
        <w:keepLines w:val="0"/>
        <w:widowControl w:val="0"/>
        <w:shd w:val="clear" w:color="auto" w:fill="auto"/>
        <w:bidi w:val="0"/>
        <w:spacing w:before="0" w:after="0" w:line="312" w:lineRule="exact"/>
        <w:ind w:left="0" w:right="0"/>
        <w:jc w:val="left"/>
        <w:sectPr>
          <w:footnotePr>
            <w:pos w:val="pageBottom"/>
            <w:numFmt w:val="decimal"/>
            <w:numRestart w:val="continuous"/>
          </w:footnotePr>
          <w:pgSz w:w="11900" w:h="16840"/>
          <w:pgMar w:top="1388" w:right="1057" w:bottom="1465" w:left="1065" w:header="0" w:footer="3" w:gutter="0"/>
          <w:cols w:space="720"/>
          <w:noEndnote/>
          <w:rtlGutter w:val="0"/>
          <w:docGrid w:linePitch="360"/>
        </w:sectPr>
      </w:pPr>
      <w:r>
        <w:rPr>
          <w:color w:val="000000"/>
          <w:spacing w:val="0"/>
          <w:w w:val="100"/>
          <w:position w:val="0"/>
        </w:rPr>
        <w:t>公司全资子公司坚果技术和尚河科技在大数据分析模型方面积累了较强的技术储备，并在移动营销平台的运营和管理方 面储备了相应的人才和队伍，使之拥有了较强的平台运营能力。</w:t>
      </w:r>
    </w:p>
    <w:p>
      <w:pPr>
        <w:pStyle w:val="Style18"/>
        <w:keepNext/>
        <w:keepLines/>
        <w:widowControl w:val="0"/>
        <w:shd w:val="clear" w:color="auto" w:fill="auto"/>
        <w:bidi w:val="0"/>
        <w:spacing w:before="580" w:line="240" w:lineRule="auto"/>
        <w:ind w:left="0" w:right="0" w:firstLine="0"/>
        <w:jc w:val="center"/>
      </w:pPr>
      <w:bookmarkStart w:id="89" w:name="bookmark89"/>
      <w:bookmarkStart w:id="90" w:name="bookmark90"/>
      <w:bookmarkStart w:id="91" w:name="bookmark91"/>
      <w:r>
        <w:rPr>
          <w:color w:val="000000"/>
          <w:spacing w:val="0"/>
          <w:w w:val="100"/>
          <w:position w:val="0"/>
        </w:rPr>
        <w:t>第四节经营情况讨论与分析</w:t>
      </w:r>
      <w:bookmarkEnd w:id="89"/>
      <w:bookmarkEnd w:id="90"/>
      <w:bookmarkEnd w:id="91"/>
    </w:p>
    <w:p>
      <w:pPr>
        <w:pStyle w:val="Style27"/>
        <w:keepNext/>
        <w:keepLines/>
        <w:widowControl w:val="0"/>
        <w:shd w:val="clear" w:color="auto" w:fill="auto"/>
        <w:bidi w:val="0"/>
        <w:spacing w:before="0" w:after="220" w:line="240" w:lineRule="auto"/>
        <w:ind w:left="0" w:right="0" w:firstLine="0"/>
        <w:jc w:val="left"/>
      </w:pPr>
      <w:bookmarkStart w:id="92" w:name="bookmark92"/>
      <w:bookmarkStart w:id="93" w:name="bookmark93"/>
      <w:bookmarkStart w:id="94" w:name="bookmark94"/>
      <w:bookmarkStart w:id="95" w:name="bookmark95"/>
      <w:bookmarkStart w:id="96" w:name="bookmark96"/>
      <w:r>
        <w:rPr>
          <w:color w:val="000000"/>
          <w:spacing w:val="0"/>
          <w:w w:val="100"/>
          <w:position w:val="0"/>
          <w:sz w:val="24"/>
          <w:szCs w:val="24"/>
        </w:rPr>
        <w:t>一</w:t>
      </w:r>
      <w:bookmarkEnd w:id="95"/>
      <w:r>
        <w:rPr>
          <w:color w:val="000000"/>
          <w:spacing w:val="0"/>
          <w:w w:val="100"/>
          <w:position w:val="0"/>
          <w:sz w:val="24"/>
          <w:szCs w:val="24"/>
        </w:rPr>
        <w:t>、概述</w:t>
      </w:r>
      <w:bookmarkEnd w:id="93"/>
      <w:bookmarkEnd w:id="94"/>
      <w:bookmarkEnd w:id="96"/>
      <w:bookmarkEnd w:id="92"/>
    </w:p>
    <w:p>
      <w:pPr>
        <w:pStyle w:val="Style29"/>
        <w:keepNext w:val="0"/>
        <w:keepLines w:val="0"/>
        <w:widowControl w:val="0"/>
        <w:shd w:val="clear" w:color="auto" w:fill="auto"/>
        <w:bidi w:val="0"/>
        <w:spacing w:before="0" w:line="312" w:lineRule="exact"/>
        <w:ind w:left="0" w:right="0"/>
        <w:jc w:val="both"/>
      </w:pPr>
      <w:r>
        <w:rPr>
          <w:color w:val="000000"/>
          <w:spacing w:val="0"/>
          <w:w w:val="100"/>
          <w:position w:val="0"/>
        </w:rPr>
        <w:t>报告期内，公司主要业务为金融信息服务及移动互联网营销。公司所在的行业符合社会发展进步的趋势，迎合了经济转 型升级的要求，在可预见的将来，宏观经济及社会发展现状将有利于公司主营业务的持续发展。但短期内，公司所在金融信 息化行业面临一定的挑战和风险。报告期内，金融信息服务业务受到了来自外部的需求不振，核心客户需求下滑，新客户业 务毛利偏低等因素的挑战，以及来自内部的经营效率下降，人均产出下降，人员成本上涨等压力的双重影响，经营结果不尽 如人意。公司及时作出调整，拓展新客户、新领域，并通过收购等方式实现业务的多元化发展。具体情况如下：</w:t>
      </w:r>
    </w:p>
    <w:p>
      <w:pPr>
        <w:pStyle w:val="Style29"/>
        <w:keepNext w:val="0"/>
        <w:keepLines w:val="0"/>
        <w:widowControl w:val="0"/>
        <w:shd w:val="clear" w:color="auto" w:fill="auto"/>
        <w:bidi w:val="0"/>
        <w:spacing w:before="0" w:after="220" w:line="315" w:lineRule="exact"/>
        <w:ind w:left="0" w:right="0" w:firstLine="0"/>
        <w:jc w:val="left"/>
      </w:pPr>
      <w:bookmarkStart w:id="97" w:name="bookmark97"/>
      <w:r>
        <w:rPr>
          <w:b/>
          <w:bCs/>
          <w:color w:val="000000"/>
          <w:spacing w:val="0"/>
          <w:w w:val="100"/>
          <w:position w:val="0"/>
        </w:rPr>
        <w:t>一</w:t>
      </w:r>
      <w:bookmarkEnd w:id="97"/>
      <w:r>
        <w:rPr>
          <w:b/>
          <w:bCs/>
          <w:color w:val="000000"/>
          <w:spacing w:val="0"/>
          <w:w w:val="100"/>
          <w:position w:val="0"/>
        </w:rPr>
        <w:t>、行业分析</w:t>
      </w:r>
    </w:p>
    <w:p>
      <w:pPr>
        <w:pStyle w:val="Style29"/>
        <w:keepNext w:val="0"/>
        <w:keepLines w:val="0"/>
        <w:widowControl w:val="0"/>
        <w:shd w:val="clear" w:color="auto" w:fill="auto"/>
        <w:bidi w:val="0"/>
        <w:spacing w:before="0" w:after="0" w:line="307" w:lineRule="auto"/>
        <w:ind w:left="0" w:right="0" w:firstLine="0"/>
        <w:jc w:val="left"/>
      </w:pPr>
      <w:r>
        <w:rPr>
          <w:rFonts w:ascii="Palatino Linotype" w:eastAsia="Palatino Linotype" w:hAnsi="Palatino Linotype" w:cs="Palatino Linotype"/>
          <w:color w:val="000000"/>
          <w:spacing w:val="0"/>
          <w:w w:val="100"/>
          <w:position w:val="0"/>
          <w:sz w:val="18"/>
          <w:szCs w:val="18"/>
        </w:rPr>
        <w:t>1.</w:t>
      </w:r>
      <w:r>
        <w:rPr>
          <w:color w:val="000000"/>
          <w:spacing w:val="0"/>
          <w:w w:val="100"/>
          <w:position w:val="0"/>
        </w:rPr>
        <w:t>金融信息服务行业分析</w:t>
      </w:r>
    </w:p>
    <w:p>
      <w:pPr>
        <w:pStyle w:val="Style29"/>
        <w:keepNext w:val="0"/>
        <w:keepLines w:val="0"/>
        <w:widowControl w:val="0"/>
        <w:shd w:val="clear" w:color="auto" w:fill="auto"/>
        <w:bidi w:val="0"/>
        <w:spacing w:before="0" w:line="315" w:lineRule="exact"/>
        <w:ind w:left="0" w:right="0"/>
        <w:jc w:val="both"/>
      </w:pPr>
      <w:r>
        <w:rPr>
          <w:color w:val="000000"/>
          <w:spacing w:val="0"/>
          <w:w w:val="100"/>
          <w:position w:val="0"/>
        </w:rPr>
        <w:t>进入</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世纪以来，信息技术已逐渐成为推动国民经济发展和促进全社会生产效率提升的强大动力，信息产业作为关系到 国民经济和社会发展全局的基础性、战略性、先导性产业受到了越来越多国家和地区的重视。我国政府自上世纪</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年代中期 以来就高度重视我国软件行业的发展，相继出台一系列鼓励、支持软件行业发展的政策法规，从制度层面提供了保障行业蓬 勃发展的良好环境。</w:t>
      </w:r>
    </w:p>
    <w:p>
      <w:pPr>
        <w:pStyle w:val="Style29"/>
        <w:keepNext w:val="0"/>
        <w:keepLines w:val="0"/>
        <w:widowControl w:val="0"/>
        <w:shd w:val="clear" w:color="auto" w:fill="auto"/>
        <w:bidi w:val="0"/>
        <w:spacing w:before="0" w:after="220" w:line="317" w:lineRule="exact"/>
        <w:ind w:left="0" w:right="0"/>
        <w:jc w:val="both"/>
      </w:pPr>
      <w:r>
        <w:rPr>
          <w:color w:val="000000"/>
          <w:spacing w:val="0"/>
          <w:w w:val="100"/>
          <w:position w:val="0"/>
        </w:rPr>
        <w:t>工业和信息化部快报数据显示，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年我国软件和信息技术服务业运行态势平稳，收入保持两位数增长，盈利状况良好, 产业内部结构不断调整优化，中心城市软件业保持领先增长态势。</w:t>
      </w:r>
    </w:p>
    <w:p>
      <w:pPr>
        <w:pStyle w:val="Style29"/>
        <w:keepNext w:val="0"/>
        <w:keepLines w:val="0"/>
        <w:widowControl w:val="0"/>
        <w:shd w:val="clear" w:color="auto" w:fill="auto"/>
        <w:bidi w:val="0"/>
        <w:spacing w:before="0" w:line="240" w:lineRule="auto"/>
        <w:ind w:left="0" w:right="0"/>
        <w:jc w:val="both"/>
      </w:pPr>
      <w:r>
        <w:rPr>
          <w:color w:val="000000"/>
          <w:spacing w:val="0"/>
          <w:w w:val="100"/>
          <w:position w:val="0"/>
        </w:rPr>
        <w:t>软件业务收入增速平稳。全国软件和信息技术服务业完成软件业务收入</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万亿元，同比增长</w:t>
      </w:r>
      <w:r>
        <w:rPr>
          <w:rFonts w:ascii="Times New Roman" w:eastAsia="Times New Roman" w:hAnsi="Times New Roman" w:cs="Times New Roman"/>
          <w:color w:val="000000"/>
          <w:spacing w:val="0"/>
          <w:w w:val="100"/>
          <w:position w:val="0"/>
          <w:sz w:val="18"/>
          <w:szCs w:val="18"/>
        </w:rPr>
        <w:t>14.9%</w:t>
      </w:r>
      <w:r>
        <w:rPr>
          <w:color w:val="000000"/>
          <w:spacing w:val="0"/>
          <w:w w:val="100"/>
          <w:position w:val="0"/>
        </w:rPr>
        <w:t>,增速比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年回落</w:t>
      </w:r>
    </w:p>
    <w:p>
      <w:pPr>
        <w:pStyle w:val="Style29"/>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个百分点。</w:t>
      </w:r>
    </w:p>
    <w:p>
      <w:pPr>
        <w:framePr w:w="7584" w:h="2760" w:wrap="notBeside" w:vAnchor="text" w:hAnchor="text" w:x="1186" w:y="1"/>
        <w:widowControl w:val="0"/>
        <w:rPr>
          <w:sz w:val="2"/>
          <w:szCs w:val="2"/>
        </w:rPr>
      </w:pPr>
      <w:r>
        <w:drawing>
          <wp:inline>
            <wp:extent cx="4815840" cy="175577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815840" cy="1755775"/>
                    </a:xfrm>
                    <a:prstGeom prst="rect"/>
                  </pic:spPr>
                </pic:pic>
              </a:graphicData>
            </a:graphic>
          </wp:inline>
        </w:drawing>
      </w:r>
    </w:p>
    <w:p>
      <w:pPr>
        <w:widowControl w:val="0"/>
        <w:spacing w:line="1" w:lineRule="exact"/>
      </w:pPr>
      <w:r>
        <mc:AlternateContent>
          <mc:Choice Requires="wps">
            <w:drawing>
              <wp:anchor distT="0" distB="0" distL="752475" distR="1527175" simplePos="0" relativeHeight="125829378" behindDoc="0" locked="0" layoutInCell="1" allowOverlap="1">
                <wp:simplePos x="0" y="0"/>
                <wp:positionH relativeFrom="column">
                  <wp:posOffset>1163955</wp:posOffset>
                </wp:positionH>
                <wp:positionV relativeFrom="paragraph">
                  <wp:posOffset>1560830</wp:posOffset>
                </wp:positionV>
                <wp:extent cx="4041775" cy="173990"/>
                <wp:wrapTopAndBottom/>
                <wp:docPr id="13" name="Shape 13"/>
                <a:graphic xmlns:a="http://schemas.openxmlformats.org/drawingml/2006/main">
                  <a:graphicData uri="http://schemas.microsoft.com/office/word/2010/wordprocessingShape">
                    <wps:wsp>
                      <wps:cNvSpPr txBox="1"/>
                      <wps:spPr>
                        <a:xfrm>
                          <a:ext cx="4041775" cy="173990"/>
                        </a:xfrm>
                        <a:prstGeom prst="rect"/>
                        <a:noFill/>
                      </wps:spPr>
                      <wps:txbx>
                        <w:txbxContent>
                          <w:p>
                            <w:pPr>
                              <w:pStyle w:val="Style39"/>
                              <w:keepNext w:val="0"/>
                              <w:keepLines w:val="0"/>
                              <w:widowControl w:val="0"/>
                              <w:shd w:val="clear" w:color="auto" w:fill="auto"/>
                              <w:tabs>
                                <w:tab w:pos="605" w:val="left"/>
                                <w:tab w:pos="1118" w:val="left"/>
                                <w:tab w:pos="1723" w:val="left"/>
                                <w:tab w:pos="2285" w:val="left"/>
                                <w:tab w:pos="2890" w:val="left"/>
                                <w:tab w:pos="3494" w:val="left"/>
                                <w:tab w:pos="4051" w:val="left"/>
                                <w:tab w:pos="4613" w:val="left"/>
                                <w:tab w:pos="5170" w:val="left"/>
                              </w:tabs>
                              <w:bidi w:val="0"/>
                              <w:spacing w:before="0" w:after="0" w:line="240" w:lineRule="auto"/>
                              <w:ind w:left="0" w:right="0" w:firstLine="0"/>
                              <w:jc w:val="center"/>
                              <w:rPr>
                                <w:sz w:val="20"/>
                                <w:szCs w:val="20"/>
                              </w:rPr>
                            </w:pPr>
                            <w:r>
                              <w:rPr>
                                <w:spacing w:val="0"/>
                                <w:w w:val="100"/>
                                <w:position w:val="0"/>
                                <w:sz w:val="18"/>
                                <w:szCs w:val="18"/>
                              </w:rPr>
                              <w:t xml:space="preserve">1-2 </w:t>
                            </w:r>
                            <w:r>
                              <w:rPr>
                                <w:rFonts w:ascii="SimHei" w:eastAsia="SimHei" w:hAnsi="SimHei" w:cs="SimHei"/>
                                <w:spacing w:val="0"/>
                                <w:w w:val="100"/>
                                <w:position w:val="0"/>
                                <w:sz w:val="20"/>
                                <w:szCs w:val="20"/>
                              </w:rPr>
                              <w:t>月</w:t>
                              <w:tab/>
                            </w:r>
                            <w:r>
                              <w:rPr>
                                <w:spacing w:val="0"/>
                                <w:w w:val="100"/>
                                <w:position w:val="0"/>
                                <w:sz w:val="18"/>
                                <w:szCs w:val="18"/>
                              </w:rPr>
                              <w:t xml:space="preserve">1-3 </w:t>
                            </w:r>
                            <w:r>
                              <w:rPr>
                                <w:rFonts w:ascii="SimHei" w:eastAsia="SimHei" w:hAnsi="SimHei" w:cs="SimHei"/>
                                <w:spacing w:val="0"/>
                                <w:w w:val="100"/>
                                <w:position w:val="0"/>
                                <w:sz w:val="20"/>
                                <w:szCs w:val="20"/>
                              </w:rPr>
                              <w:t>月</w:t>
                              <w:tab/>
                            </w:r>
                            <w:r>
                              <w:rPr>
                                <w:spacing w:val="0"/>
                                <w:w w:val="100"/>
                                <w:position w:val="0"/>
                                <w:sz w:val="18"/>
                                <w:szCs w:val="18"/>
                              </w:rPr>
                              <w:t xml:space="preserve">1-4 </w:t>
                            </w:r>
                            <w:r>
                              <w:rPr>
                                <w:rFonts w:ascii="SimHei" w:eastAsia="SimHei" w:hAnsi="SimHei" w:cs="SimHei"/>
                                <w:spacing w:val="0"/>
                                <w:w w:val="100"/>
                                <w:position w:val="0"/>
                                <w:sz w:val="20"/>
                                <w:szCs w:val="20"/>
                              </w:rPr>
                              <w:t>月</w:t>
                              <w:tab/>
                            </w:r>
                            <w:r>
                              <w:rPr>
                                <w:spacing w:val="0"/>
                                <w:w w:val="100"/>
                                <w:position w:val="0"/>
                                <w:sz w:val="18"/>
                                <w:szCs w:val="18"/>
                              </w:rPr>
                              <w:t xml:space="preserve">1-5 </w:t>
                            </w:r>
                            <w:r>
                              <w:rPr>
                                <w:rFonts w:ascii="SimHei" w:eastAsia="SimHei" w:hAnsi="SimHei" w:cs="SimHei"/>
                                <w:spacing w:val="0"/>
                                <w:w w:val="100"/>
                                <w:position w:val="0"/>
                                <w:sz w:val="20"/>
                                <w:szCs w:val="20"/>
                              </w:rPr>
                              <w:t>月</w:t>
                              <w:tab/>
                            </w:r>
                            <w:r>
                              <w:rPr>
                                <w:spacing w:val="0"/>
                                <w:w w:val="100"/>
                                <w:position w:val="0"/>
                                <w:sz w:val="18"/>
                                <w:szCs w:val="18"/>
                              </w:rPr>
                              <w:t xml:space="preserve">1-6 </w:t>
                            </w:r>
                            <w:r>
                              <w:rPr>
                                <w:rFonts w:ascii="SimHei" w:eastAsia="SimHei" w:hAnsi="SimHei" w:cs="SimHei"/>
                                <w:spacing w:val="0"/>
                                <w:w w:val="100"/>
                                <w:position w:val="0"/>
                                <w:sz w:val="20"/>
                                <w:szCs w:val="20"/>
                              </w:rPr>
                              <w:t>月</w:t>
                              <w:tab/>
                            </w:r>
                            <w:r>
                              <w:rPr>
                                <w:spacing w:val="0"/>
                                <w:w w:val="100"/>
                                <w:position w:val="0"/>
                                <w:sz w:val="18"/>
                                <w:szCs w:val="18"/>
                              </w:rPr>
                              <w:t xml:space="preserve">1-7 </w:t>
                            </w:r>
                            <w:r>
                              <w:rPr>
                                <w:rFonts w:ascii="SimHei" w:eastAsia="SimHei" w:hAnsi="SimHei" w:cs="SimHei"/>
                                <w:spacing w:val="0"/>
                                <w:w w:val="100"/>
                                <w:position w:val="0"/>
                                <w:sz w:val="20"/>
                                <w:szCs w:val="20"/>
                              </w:rPr>
                              <w:t>月</w:t>
                              <w:tab/>
                            </w:r>
                            <w:r>
                              <w:rPr>
                                <w:spacing w:val="0"/>
                                <w:w w:val="100"/>
                                <w:position w:val="0"/>
                                <w:sz w:val="18"/>
                                <w:szCs w:val="18"/>
                              </w:rPr>
                              <w:t xml:space="preserve">1-8 </w:t>
                            </w:r>
                            <w:r>
                              <w:rPr>
                                <w:rFonts w:ascii="SimHei" w:eastAsia="SimHei" w:hAnsi="SimHei" w:cs="SimHei"/>
                                <w:spacing w:val="0"/>
                                <w:w w:val="100"/>
                                <w:position w:val="0"/>
                                <w:sz w:val="20"/>
                                <w:szCs w:val="20"/>
                              </w:rPr>
                              <w:t>月</w:t>
                              <w:tab/>
                            </w:r>
                            <w:r>
                              <w:rPr>
                                <w:spacing w:val="0"/>
                                <w:w w:val="100"/>
                                <w:position w:val="0"/>
                                <w:sz w:val="18"/>
                                <w:szCs w:val="18"/>
                              </w:rPr>
                              <w:t xml:space="preserve">1-9 </w:t>
                            </w:r>
                            <w:r>
                              <w:rPr>
                                <w:rFonts w:ascii="SimHei" w:eastAsia="SimHei" w:hAnsi="SimHei" w:cs="SimHei"/>
                                <w:spacing w:val="0"/>
                                <w:w w:val="100"/>
                                <w:position w:val="0"/>
                                <w:sz w:val="20"/>
                                <w:szCs w:val="20"/>
                              </w:rPr>
                              <w:t>月</w:t>
                              <w:tab/>
                            </w:r>
                            <w:r>
                              <w:rPr>
                                <w:spacing w:val="0"/>
                                <w:w w:val="100"/>
                                <w:position w:val="0"/>
                                <w:sz w:val="18"/>
                                <w:szCs w:val="18"/>
                              </w:rPr>
                              <w:t xml:space="preserve">1-10 </w:t>
                            </w:r>
                            <w:r>
                              <w:rPr>
                                <w:rFonts w:ascii="SimHei" w:eastAsia="SimHei" w:hAnsi="SimHei" w:cs="SimHei"/>
                                <w:spacing w:val="0"/>
                                <w:w w:val="100"/>
                                <w:position w:val="0"/>
                                <w:sz w:val="20"/>
                                <w:szCs w:val="20"/>
                              </w:rPr>
                              <w:t>月</w:t>
                              <w:tab/>
                            </w:r>
                            <w:r>
                              <w:rPr>
                                <w:spacing w:val="0"/>
                                <w:w w:val="100"/>
                                <w:position w:val="0"/>
                                <w:sz w:val="18"/>
                                <w:szCs w:val="18"/>
                              </w:rPr>
                              <w:t xml:space="preserve">1-11 </w:t>
                            </w:r>
                            <w:r>
                              <w:rPr>
                                <w:rFonts w:ascii="SimHei" w:eastAsia="SimHei" w:hAnsi="SimHei" w:cs="SimHei"/>
                                <w:spacing w:val="0"/>
                                <w:w w:val="100"/>
                                <w:position w:val="0"/>
                                <w:sz w:val="20"/>
                                <w:szCs w:val="20"/>
                              </w:rPr>
                              <w:t xml:space="preserve">月 </w:t>
                            </w:r>
                            <w:r>
                              <w:rPr>
                                <w:spacing w:val="0"/>
                                <w:w w:val="100"/>
                                <w:position w:val="0"/>
                                <w:sz w:val="18"/>
                                <w:szCs w:val="18"/>
                              </w:rPr>
                              <w:t xml:space="preserve">1-12 </w:t>
                            </w:r>
                            <w:r>
                              <w:rPr>
                                <w:rFonts w:ascii="SimHei" w:eastAsia="SimHei" w:hAnsi="SimHei" w:cs="SimHei"/>
                                <w:spacing w:val="0"/>
                                <w:w w:val="100"/>
                                <w:position w:val="0"/>
                                <w:sz w:val="20"/>
                                <w:szCs w:val="20"/>
                              </w:rPr>
                              <w:t>月</w:t>
                            </w:r>
                          </w:p>
                        </w:txbxContent>
                      </wps:txbx>
                      <wps:bodyPr lIns="0" tIns="0" rIns="0" bIns="0">
                        <a:noAutoFit/>
                      </wps:bodyPr>
                    </wps:wsp>
                  </a:graphicData>
                </a:graphic>
              </wp:anchor>
            </w:drawing>
          </mc:Choice>
          <mc:Fallback>
            <w:pict>
              <v:shape id="_x0000_s1039" type="#_x0000_t202" style="position:absolute;margin-left:91.650000000000006pt;margin-top:122.90000000000001pt;width:318.25pt;height:13.700000000000001pt;z-index:-125829375;mso-wrap-distance-left:59.25pt;mso-wrap-distance-right:120.25pt" filled="f" stroked="f">
                <v:textbox inset="0,0,0,0">
                  <w:txbxContent>
                    <w:p>
                      <w:pPr>
                        <w:pStyle w:val="Style39"/>
                        <w:keepNext w:val="0"/>
                        <w:keepLines w:val="0"/>
                        <w:widowControl w:val="0"/>
                        <w:shd w:val="clear" w:color="auto" w:fill="auto"/>
                        <w:tabs>
                          <w:tab w:pos="605" w:val="left"/>
                          <w:tab w:pos="1118" w:val="left"/>
                          <w:tab w:pos="1723" w:val="left"/>
                          <w:tab w:pos="2285" w:val="left"/>
                          <w:tab w:pos="2890" w:val="left"/>
                          <w:tab w:pos="3494" w:val="left"/>
                          <w:tab w:pos="4051" w:val="left"/>
                          <w:tab w:pos="4613" w:val="left"/>
                          <w:tab w:pos="5170" w:val="left"/>
                        </w:tabs>
                        <w:bidi w:val="0"/>
                        <w:spacing w:before="0" w:after="0" w:line="240" w:lineRule="auto"/>
                        <w:ind w:left="0" w:right="0" w:firstLine="0"/>
                        <w:jc w:val="center"/>
                        <w:rPr>
                          <w:sz w:val="20"/>
                          <w:szCs w:val="20"/>
                        </w:rPr>
                      </w:pPr>
                      <w:r>
                        <w:rPr>
                          <w:spacing w:val="0"/>
                          <w:w w:val="100"/>
                          <w:position w:val="0"/>
                          <w:sz w:val="18"/>
                          <w:szCs w:val="18"/>
                        </w:rPr>
                        <w:t xml:space="preserve">1-2 </w:t>
                      </w:r>
                      <w:r>
                        <w:rPr>
                          <w:rFonts w:ascii="SimHei" w:eastAsia="SimHei" w:hAnsi="SimHei" w:cs="SimHei"/>
                          <w:spacing w:val="0"/>
                          <w:w w:val="100"/>
                          <w:position w:val="0"/>
                          <w:sz w:val="20"/>
                          <w:szCs w:val="20"/>
                        </w:rPr>
                        <w:t>月</w:t>
                        <w:tab/>
                      </w:r>
                      <w:r>
                        <w:rPr>
                          <w:spacing w:val="0"/>
                          <w:w w:val="100"/>
                          <w:position w:val="0"/>
                          <w:sz w:val="18"/>
                          <w:szCs w:val="18"/>
                        </w:rPr>
                        <w:t xml:space="preserve">1-3 </w:t>
                      </w:r>
                      <w:r>
                        <w:rPr>
                          <w:rFonts w:ascii="SimHei" w:eastAsia="SimHei" w:hAnsi="SimHei" w:cs="SimHei"/>
                          <w:spacing w:val="0"/>
                          <w:w w:val="100"/>
                          <w:position w:val="0"/>
                          <w:sz w:val="20"/>
                          <w:szCs w:val="20"/>
                        </w:rPr>
                        <w:t>月</w:t>
                        <w:tab/>
                      </w:r>
                      <w:r>
                        <w:rPr>
                          <w:spacing w:val="0"/>
                          <w:w w:val="100"/>
                          <w:position w:val="0"/>
                          <w:sz w:val="18"/>
                          <w:szCs w:val="18"/>
                        </w:rPr>
                        <w:t xml:space="preserve">1-4 </w:t>
                      </w:r>
                      <w:r>
                        <w:rPr>
                          <w:rFonts w:ascii="SimHei" w:eastAsia="SimHei" w:hAnsi="SimHei" w:cs="SimHei"/>
                          <w:spacing w:val="0"/>
                          <w:w w:val="100"/>
                          <w:position w:val="0"/>
                          <w:sz w:val="20"/>
                          <w:szCs w:val="20"/>
                        </w:rPr>
                        <w:t>月</w:t>
                        <w:tab/>
                      </w:r>
                      <w:r>
                        <w:rPr>
                          <w:spacing w:val="0"/>
                          <w:w w:val="100"/>
                          <w:position w:val="0"/>
                          <w:sz w:val="18"/>
                          <w:szCs w:val="18"/>
                        </w:rPr>
                        <w:t xml:space="preserve">1-5 </w:t>
                      </w:r>
                      <w:r>
                        <w:rPr>
                          <w:rFonts w:ascii="SimHei" w:eastAsia="SimHei" w:hAnsi="SimHei" w:cs="SimHei"/>
                          <w:spacing w:val="0"/>
                          <w:w w:val="100"/>
                          <w:position w:val="0"/>
                          <w:sz w:val="20"/>
                          <w:szCs w:val="20"/>
                        </w:rPr>
                        <w:t>月</w:t>
                        <w:tab/>
                      </w:r>
                      <w:r>
                        <w:rPr>
                          <w:spacing w:val="0"/>
                          <w:w w:val="100"/>
                          <w:position w:val="0"/>
                          <w:sz w:val="18"/>
                          <w:szCs w:val="18"/>
                        </w:rPr>
                        <w:t xml:space="preserve">1-6 </w:t>
                      </w:r>
                      <w:r>
                        <w:rPr>
                          <w:rFonts w:ascii="SimHei" w:eastAsia="SimHei" w:hAnsi="SimHei" w:cs="SimHei"/>
                          <w:spacing w:val="0"/>
                          <w:w w:val="100"/>
                          <w:position w:val="0"/>
                          <w:sz w:val="20"/>
                          <w:szCs w:val="20"/>
                        </w:rPr>
                        <w:t>月</w:t>
                        <w:tab/>
                      </w:r>
                      <w:r>
                        <w:rPr>
                          <w:spacing w:val="0"/>
                          <w:w w:val="100"/>
                          <w:position w:val="0"/>
                          <w:sz w:val="18"/>
                          <w:szCs w:val="18"/>
                        </w:rPr>
                        <w:t xml:space="preserve">1-7 </w:t>
                      </w:r>
                      <w:r>
                        <w:rPr>
                          <w:rFonts w:ascii="SimHei" w:eastAsia="SimHei" w:hAnsi="SimHei" w:cs="SimHei"/>
                          <w:spacing w:val="0"/>
                          <w:w w:val="100"/>
                          <w:position w:val="0"/>
                          <w:sz w:val="20"/>
                          <w:szCs w:val="20"/>
                        </w:rPr>
                        <w:t>月</w:t>
                        <w:tab/>
                      </w:r>
                      <w:r>
                        <w:rPr>
                          <w:spacing w:val="0"/>
                          <w:w w:val="100"/>
                          <w:position w:val="0"/>
                          <w:sz w:val="18"/>
                          <w:szCs w:val="18"/>
                        </w:rPr>
                        <w:t xml:space="preserve">1-8 </w:t>
                      </w:r>
                      <w:r>
                        <w:rPr>
                          <w:rFonts w:ascii="SimHei" w:eastAsia="SimHei" w:hAnsi="SimHei" w:cs="SimHei"/>
                          <w:spacing w:val="0"/>
                          <w:w w:val="100"/>
                          <w:position w:val="0"/>
                          <w:sz w:val="20"/>
                          <w:szCs w:val="20"/>
                        </w:rPr>
                        <w:t>月</w:t>
                        <w:tab/>
                      </w:r>
                      <w:r>
                        <w:rPr>
                          <w:spacing w:val="0"/>
                          <w:w w:val="100"/>
                          <w:position w:val="0"/>
                          <w:sz w:val="18"/>
                          <w:szCs w:val="18"/>
                        </w:rPr>
                        <w:t xml:space="preserve">1-9 </w:t>
                      </w:r>
                      <w:r>
                        <w:rPr>
                          <w:rFonts w:ascii="SimHei" w:eastAsia="SimHei" w:hAnsi="SimHei" w:cs="SimHei"/>
                          <w:spacing w:val="0"/>
                          <w:w w:val="100"/>
                          <w:position w:val="0"/>
                          <w:sz w:val="20"/>
                          <w:szCs w:val="20"/>
                        </w:rPr>
                        <w:t>月</w:t>
                        <w:tab/>
                      </w:r>
                      <w:r>
                        <w:rPr>
                          <w:spacing w:val="0"/>
                          <w:w w:val="100"/>
                          <w:position w:val="0"/>
                          <w:sz w:val="18"/>
                          <w:szCs w:val="18"/>
                        </w:rPr>
                        <w:t xml:space="preserve">1-10 </w:t>
                      </w:r>
                      <w:r>
                        <w:rPr>
                          <w:rFonts w:ascii="SimHei" w:eastAsia="SimHei" w:hAnsi="SimHei" w:cs="SimHei"/>
                          <w:spacing w:val="0"/>
                          <w:w w:val="100"/>
                          <w:position w:val="0"/>
                          <w:sz w:val="20"/>
                          <w:szCs w:val="20"/>
                        </w:rPr>
                        <w:t>月</w:t>
                        <w:tab/>
                      </w:r>
                      <w:r>
                        <w:rPr>
                          <w:spacing w:val="0"/>
                          <w:w w:val="100"/>
                          <w:position w:val="0"/>
                          <w:sz w:val="18"/>
                          <w:szCs w:val="18"/>
                        </w:rPr>
                        <w:t xml:space="preserve">1-11 </w:t>
                      </w:r>
                      <w:r>
                        <w:rPr>
                          <w:rFonts w:ascii="SimHei" w:eastAsia="SimHei" w:hAnsi="SimHei" w:cs="SimHei"/>
                          <w:spacing w:val="0"/>
                          <w:w w:val="100"/>
                          <w:position w:val="0"/>
                          <w:sz w:val="20"/>
                          <w:szCs w:val="20"/>
                        </w:rPr>
                        <w:t xml:space="preserve">月 </w:t>
                      </w:r>
                      <w:r>
                        <w:rPr>
                          <w:spacing w:val="0"/>
                          <w:w w:val="100"/>
                          <w:position w:val="0"/>
                          <w:sz w:val="18"/>
                          <w:szCs w:val="18"/>
                        </w:rPr>
                        <w:t xml:space="preserve">1-12 </w:t>
                      </w:r>
                      <w:r>
                        <w:rPr>
                          <w:rFonts w:ascii="SimHei" w:eastAsia="SimHei" w:hAnsi="SimHei" w:cs="SimHei"/>
                          <w:spacing w:val="0"/>
                          <w:w w:val="100"/>
                          <w:position w:val="0"/>
                          <w:sz w:val="20"/>
                          <w:szCs w:val="20"/>
                        </w:rPr>
                        <w:t>月</w:t>
                      </w:r>
                    </w:p>
                  </w:txbxContent>
                </v:textbox>
                <w10:wrap type="topAndBottom"/>
              </v:shape>
            </w:pict>
          </mc:Fallback>
        </mc:AlternateContent>
      </w:r>
      <w:r>
        <mc:AlternateContent>
          <mc:Choice Requires="wps">
            <w:drawing>
              <wp:anchor distT="0" distB="0" distL="752475" distR="3365500" simplePos="0" relativeHeight="125829380" behindDoc="0" locked="0" layoutInCell="1" allowOverlap="1">
                <wp:simplePos x="0" y="0"/>
                <wp:positionH relativeFrom="column">
                  <wp:posOffset>2047875</wp:posOffset>
                </wp:positionH>
                <wp:positionV relativeFrom="paragraph">
                  <wp:posOffset>67310</wp:posOffset>
                </wp:positionV>
                <wp:extent cx="2203450" cy="167640"/>
                <wp:wrapTopAndBottom/>
                <wp:docPr id="15" name="Shape 15"/>
                <a:graphic xmlns:a="http://schemas.openxmlformats.org/drawingml/2006/main">
                  <a:graphicData uri="http://schemas.microsoft.com/office/word/2010/wordprocessingShape">
                    <wps:wsp>
                      <wps:cNvSpPr txBox="1"/>
                      <wps:spPr>
                        <a:xfrm>
                          <a:ext cx="2203450" cy="16764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spacing w:val="0"/>
                                <w:w w:val="100"/>
                                <w:position w:val="0"/>
                                <w:sz w:val="20"/>
                                <w:szCs w:val="20"/>
                              </w:rPr>
                              <w:t>2016</w:t>
                            </w:r>
                            <w:r>
                              <w:rPr>
                                <w:rFonts w:ascii="SimSun" w:eastAsia="SimSun" w:hAnsi="SimSun" w:cs="SimSun"/>
                                <w:b/>
                                <w:bCs/>
                                <w:spacing w:val="0"/>
                                <w:w w:val="100"/>
                                <w:position w:val="0"/>
                                <w:sz w:val="20"/>
                                <w:szCs w:val="20"/>
                              </w:rPr>
                              <w:t>年</w:t>
                            </w:r>
                            <w:r>
                              <w:rPr>
                                <w:rFonts w:ascii="Times New Roman" w:eastAsia="Times New Roman" w:hAnsi="Times New Roman" w:cs="Times New Roman"/>
                                <w:b/>
                                <w:bCs/>
                                <w:spacing w:val="0"/>
                                <w:w w:val="100"/>
                                <w:position w:val="0"/>
                                <w:sz w:val="20"/>
                                <w:szCs w:val="20"/>
                              </w:rPr>
                              <w:t xml:space="preserve">1 </w:t>
                            </w:r>
                            <w:r>
                              <w:rPr>
                                <w:rFonts w:ascii="Times New Roman" w:eastAsia="Times New Roman" w:hAnsi="Times New Roman" w:cs="Times New Roman"/>
                                <w:b/>
                                <w:bCs/>
                                <w:spacing w:val="0"/>
                                <w:w w:val="100"/>
                                <w:position w:val="0"/>
                                <w:sz w:val="20"/>
                                <w:szCs w:val="20"/>
                              </w:rPr>
                              <w:t>-1</w:t>
                            </w:r>
                            <w:r>
                              <w:rPr>
                                <w:rFonts w:ascii="Times New Roman" w:eastAsia="Times New Roman" w:hAnsi="Times New Roman" w:cs="Times New Roman"/>
                                <w:b/>
                                <w:bCs/>
                                <w:spacing w:val="0"/>
                                <w:w w:val="100"/>
                                <w:position w:val="0"/>
                                <w:sz w:val="20"/>
                                <w:szCs w:val="20"/>
                              </w:rPr>
                              <w:t>2</w:t>
                            </w:r>
                            <w:r>
                              <w:rPr>
                                <w:rFonts w:ascii="SimSun" w:eastAsia="SimSun" w:hAnsi="SimSun" w:cs="SimSun"/>
                                <w:b/>
                                <w:bCs/>
                                <w:spacing w:val="0"/>
                                <w:w w:val="100"/>
                                <w:position w:val="0"/>
                                <w:sz w:val="20"/>
                                <w:szCs w:val="20"/>
                              </w:rPr>
                              <w:t>月软件业务收入增长情况</w:t>
                            </w:r>
                          </w:p>
                        </w:txbxContent>
                      </wps:txbx>
                      <wps:bodyPr lIns="0" tIns="0" rIns="0" bIns="0">
                        <a:noAutoFit/>
                      </wps:bodyPr>
                    </wps:wsp>
                  </a:graphicData>
                </a:graphic>
              </wp:anchor>
            </w:drawing>
          </mc:Choice>
          <mc:Fallback>
            <w:pict>
              <v:shape id="_x0000_s1041" type="#_x0000_t202" style="position:absolute;margin-left:161.25pt;margin-top:5.2999999999999998pt;width:173.5pt;height:13.200000000000001pt;z-index:-125829373;mso-wrap-distance-left:59.25pt;mso-wrap-distance-right:265.pt"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spacing w:val="0"/>
                          <w:w w:val="100"/>
                          <w:position w:val="0"/>
                          <w:sz w:val="20"/>
                          <w:szCs w:val="20"/>
                        </w:rPr>
                        <w:t>2016</w:t>
                      </w:r>
                      <w:r>
                        <w:rPr>
                          <w:rFonts w:ascii="SimSun" w:eastAsia="SimSun" w:hAnsi="SimSun" w:cs="SimSun"/>
                          <w:b/>
                          <w:bCs/>
                          <w:spacing w:val="0"/>
                          <w:w w:val="100"/>
                          <w:position w:val="0"/>
                          <w:sz w:val="20"/>
                          <w:szCs w:val="20"/>
                        </w:rPr>
                        <w:t>年</w:t>
                      </w:r>
                      <w:r>
                        <w:rPr>
                          <w:rFonts w:ascii="Times New Roman" w:eastAsia="Times New Roman" w:hAnsi="Times New Roman" w:cs="Times New Roman"/>
                          <w:b/>
                          <w:bCs/>
                          <w:spacing w:val="0"/>
                          <w:w w:val="100"/>
                          <w:position w:val="0"/>
                          <w:sz w:val="20"/>
                          <w:szCs w:val="20"/>
                        </w:rPr>
                        <w:t xml:space="preserve">1 </w:t>
                      </w:r>
                      <w:r>
                        <w:rPr>
                          <w:rFonts w:ascii="Times New Roman" w:eastAsia="Times New Roman" w:hAnsi="Times New Roman" w:cs="Times New Roman"/>
                          <w:b/>
                          <w:bCs/>
                          <w:spacing w:val="0"/>
                          <w:w w:val="100"/>
                          <w:position w:val="0"/>
                          <w:sz w:val="20"/>
                          <w:szCs w:val="20"/>
                        </w:rPr>
                        <w:t>-1</w:t>
                      </w:r>
                      <w:r>
                        <w:rPr>
                          <w:rFonts w:ascii="Times New Roman" w:eastAsia="Times New Roman" w:hAnsi="Times New Roman" w:cs="Times New Roman"/>
                          <w:b/>
                          <w:bCs/>
                          <w:spacing w:val="0"/>
                          <w:w w:val="100"/>
                          <w:position w:val="0"/>
                          <w:sz w:val="20"/>
                          <w:szCs w:val="20"/>
                        </w:rPr>
                        <w:t>2</w:t>
                      </w:r>
                      <w:r>
                        <w:rPr>
                          <w:rFonts w:ascii="SimSun" w:eastAsia="SimSun" w:hAnsi="SimSun" w:cs="SimSun"/>
                          <w:b/>
                          <w:bCs/>
                          <w:spacing w:val="0"/>
                          <w:w w:val="100"/>
                          <w:position w:val="0"/>
                          <w:sz w:val="20"/>
                          <w:szCs w:val="20"/>
                        </w:rPr>
                        <w:t>月软件业务收入增长情况</w:t>
                      </w:r>
                    </w:p>
                  </w:txbxContent>
                </v:textbox>
                <w10:wrap type="topAndBottom"/>
              </v:shape>
            </w:pict>
          </mc:Fallback>
        </mc:AlternateContent>
      </w:r>
      <w:r>
        <mc:AlternateContent>
          <mc:Choice Requires="wps">
            <w:drawing>
              <wp:anchor distT="0" distB="0" distL="752475" distR="4206240" simplePos="0" relativeHeight="125829382" behindDoc="0" locked="0" layoutInCell="1" allowOverlap="1">
                <wp:simplePos x="0" y="0"/>
                <wp:positionH relativeFrom="column">
                  <wp:posOffset>3062605</wp:posOffset>
                </wp:positionH>
                <wp:positionV relativeFrom="paragraph">
                  <wp:posOffset>438785</wp:posOffset>
                </wp:positionV>
                <wp:extent cx="1362710" cy="204470"/>
                <wp:wrapTopAndBottom/>
                <wp:docPr id="17" name="Shape 17"/>
                <a:graphic xmlns:a="http://schemas.openxmlformats.org/drawingml/2006/main">
                  <a:graphicData uri="http://schemas.microsoft.com/office/word/2010/wordprocessingShape">
                    <wps:wsp>
                      <wps:cNvSpPr txBox="1"/>
                      <wps:spPr>
                        <a:xfrm>
                          <a:ext cx="1362710" cy="20447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383737"/>
                                <w:spacing w:val="0"/>
                                <w:w w:val="100"/>
                                <w:position w:val="0"/>
                                <w:sz w:val="17"/>
                                <w:szCs w:val="17"/>
                              </w:rPr>
                              <w:t xml:space="preserve">16.6 16.7 16.5 </w:t>
                            </w:r>
                            <w:r>
                              <w:rPr>
                                <w:rFonts w:ascii="SimSun" w:eastAsia="SimSun" w:hAnsi="SimSun" w:cs="SimSun"/>
                                <w:color w:val="383737"/>
                                <w:spacing w:val="0"/>
                                <w:w w:val="100"/>
                                <w:position w:val="0"/>
                                <w:sz w:val="15"/>
                                <w:szCs w:val="15"/>
                              </w:rPr>
                              <w:t>〔</w:t>
                            </w:r>
                            <w:r>
                              <w:rPr>
                                <w:rFonts w:ascii="Arial" w:eastAsia="Arial" w:hAnsi="Arial" w:cs="Arial"/>
                                <w:color w:val="383737"/>
                                <w:spacing w:val="0"/>
                                <w:w w:val="100"/>
                                <w:position w:val="0"/>
                                <w:sz w:val="17"/>
                                <w:szCs w:val="17"/>
                              </w:rPr>
                              <w:t>6.4</w:t>
                            </w:r>
                          </w:p>
                        </w:txbxContent>
                      </wps:txbx>
                      <wps:bodyPr lIns="0" tIns="0" rIns="0" bIns="0">
                        <a:noAutoFit/>
                      </wps:bodyPr>
                    </wps:wsp>
                  </a:graphicData>
                </a:graphic>
              </wp:anchor>
            </w:drawing>
          </mc:Choice>
          <mc:Fallback>
            <w:pict>
              <v:shape id="_x0000_s1043" type="#_x0000_t202" style="position:absolute;margin-left:241.15000000000001pt;margin-top:34.550000000000004pt;width:107.3pt;height:16.100000000000001pt;z-index:-125829371;mso-wrap-distance-left:59.25pt;mso-wrap-distance-right:331.19999999999999pt"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383737"/>
                          <w:spacing w:val="0"/>
                          <w:w w:val="100"/>
                          <w:position w:val="0"/>
                          <w:sz w:val="17"/>
                          <w:szCs w:val="17"/>
                        </w:rPr>
                        <w:t xml:space="preserve">16.6 16.7 16.5 </w:t>
                      </w:r>
                      <w:r>
                        <w:rPr>
                          <w:rFonts w:ascii="SimSun" w:eastAsia="SimSun" w:hAnsi="SimSun" w:cs="SimSun"/>
                          <w:color w:val="383737"/>
                          <w:spacing w:val="0"/>
                          <w:w w:val="100"/>
                          <w:position w:val="0"/>
                          <w:sz w:val="15"/>
                          <w:szCs w:val="15"/>
                        </w:rPr>
                        <w:t>〔</w:t>
                      </w:r>
                      <w:r>
                        <w:rPr>
                          <w:rFonts w:ascii="Arial" w:eastAsia="Arial" w:hAnsi="Arial" w:cs="Arial"/>
                          <w:color w:val="383737"/>
                          <w:spacing w:val="0"/>
                          <w:w w:val="100"/>
                          <w:position w:val="0"/>
                          <w:sz w:val="17"/>
                          <w:szCs w:val="17"/>
                        </w:rPr>
                        <w:t>6.4</w:t>
                      </w:r>
                    </w:p>
                  </w:txbxContent>
                </v:textbox>
                <w10:wrap type="topAndBottom"/>
              </v:shape>
            </w:pict>
          </mc:Fallback>
        </mc:AlternateContent>
      </w:r>
      <w:r>
        <mc:AlternateContent>
          <mc:Choice Requires="wps">
            <w:drawing>
              <wp:anchor distT="0" distB="0" distL="752475" distR="4733925" simplePos="0" relativeHeight="125829384" behindDoc="0" locked="0" layoutInCell="1" allowOverlap="1">
                <wp:simplePos x="0" y="0"/>
                <wp:positionH relativeFrom="column">
                  <wp:posOffset>4540885</wp:posOffset>
                </wp:positionH>
                <wp:positionV relativeFrom="paragraph">
                  <wp:posOffset>91440</wp:posOffset>
                </wp:positionV>
                <wp:extent cx="835025" cy="320040"/>
                <wp:wrapTopAndBottom/>
                <wp:docPr id="19" name="Shape 19"/>
                <a:graphic xmlns:a="http://schemas.openxmlformats.org/drawingml/2006/main">
                  <a:graphicData uri="http://schemas.microsoft.com/office/word/2010/wordprocessingShape">
                    <wps:wsp>
                      <wps:cNvSpPr txBox="1"/>
                      <wps:spPr>
                        <a:xfrm>
                          <a:ext cx="835025" cy="32004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 xml:space="preserve">-O- </w:t>
                            </w:r>
                            <w:r>
                              <w:rPr>
                                <w:spacing w:val="0"/>
                                <w:w w:val="100"/>
                                <w:position w:val="0"/>
                                <w:sz w:val="18"/>
                                <w:szCs w:val="18"/>
                              </w:rPr>
                              <w:t>201</w:t>
                            </w:r>
                            <w:r>
                              <w:rPr>
                                <w:rFonts w:ascii="SimSun" w:eastAsia="SimSun" w:hAnsi="SimSun" w:cs="SimSun"/>
                                <w:b/>
                                <w:bCs/>
                                <w:spacing w:val="0"/>
                                <w:w w:val="100"/>
                                <w:position w:val="0"/>
                                <w:sz w:val="17"/>
                                <w:szCs w:val="17"/>
                              </w:rPr>
                              <w:t>样增速％</w:t>
                            </w:r>
                          </w:p>
                          <w:p>
                            <w:pPr>
                              <w:pStyle w:val="Style39"/>
                              <w:keepNext w:val="0"/>
                              <w:keepLines w:val="0"/>
                              <w:widowControl w:val="0"/>
                              <w:shd w:val="clear" w:color="auto" w:fill="auto"/>
                              <w:bidi w:val="0"/>
                              <w:spacing w:before="0" w:after="0" w:line="240" w:lineRule="auto"/>
                              <w:ind w:left="0" w:right="0" w:firstLine="0"/>
                              <w:jc w:val="right"/>
                              <w:rPr>
                                <w:sz w:val="17"/>
                                <w:szCs w:val="17"/>
                              </w:rPr>
                            </w:pPr>
                            <w:r>
                              <w:rPr>
                                <w:spacing w:val="0"/>
                                <w:w w:val="100"/>
                                <w:position w:val="0"/>
                                <w:sz w:val="18"/>
                                <w:szCs w:val="18"/>
                              </w:rPr>
                              <w:t>201</w:t>
                            </w:r>
                            <w:r>
                              <w:rPr>
                                <w:rFonts w:ascii="SimSun" w:eastAsia="SimSun" w:hAnsi="SimSun" w:cs="SimSun"/>
                                <w:b/>
                                <w:bCs/>
                                <w:spacing w:val="0"/>
                                <w:w w:val="100"/>
                                <w:position w:val="0"/>
                                <w:sz w:val="17"/>
                                <w:szCs w:val="17"/>
                              </w:rPr>
                              <w:t>挥增速％</w:t>
                            </w:r>
                          </w:p>
                        </w:txbxContent>
                      </wps:txbx>
                      <wps:bodyPr lIns="0" tIns="0" rIns="0" bIns="0">
                        <a:noAutoFit/>
                      </wps:bodyPr>
                    </wps:wsp>
                  </a:graphicData>
                </a:graphic>
              </wp:anchor>
            </w:drawing>
          </mc:Choice>
          <mc:Fallback>
            <w:pict>
              <v:shape id="_x0000_s1045" type="#_x0000_t202" style="position:absolute;margin-left:357.55000000000001pt;margin-top:7.2000000000000002pt;width:65.75pt;height:25.199999999999999pt;z-index:-125829369;mso-wrap-distance-left:59.25pt;mso-wrap-distance-right:372.75pt" filled="f" stroked="f">
                <v:textbox inset="0,0,0,0">
                  <w:txbxContent>
                    <w:p>
                      <w:pPr>
                        <w:pStyle w:val="Style3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 xml:space="preserve">-O- </w:t>
                      </w:r>
                      <w:r>
                        <w:rPr>
                          <w:spacing w:val="0"/>
                          <w:w w:val="100"/>
                          <w:position w:val="0"/>
                          <w:sz w:val="18"/>
                          <w:szCs w:val="18"/>
                        </w:rPr>
                        <w:t>201</w:t>
                      </w:r>
                      <w:r>
                        <w:rPr>
                          <w:rFonts w:ascii="SimSun" w:eastAsia="SimSun" w:hAnsi="SimSun" w:cs="SimSun"/>
                          <w:b/>
                          <w:bCs/>
                          <w:spacing w:val="0"/>
                          <w:w w:val="100"/>
                          <w:position w:val="0"/>
                          <w:sz w:val="17"/>
                          <w:szCs w:val="17"/>
                        </w:rPr>
                        <w:t>样增速％</w:t>
                      </w:r>
                    </w:p>
                    <w:p>
                      <w:pPr>
                        <w:pStyle w:val="Style39"/>
                        <w:keepNext w:val="0"/>
                        <w:keepLines w:val="0"/>
                        <w:widowControl w:val="0"/>
                        <w:shd w:val="clear" w:color="auto" w:fill="auto"/>
                        <w:bidi w:val="0"/>
                        <w:spacing w:before="0" w:after="0" w:line="240" w:lineRule="auto"/>
                        <w:ind w:left="0" w:right="0" w:firstLine="0"/>
                        <w:jc w:val="right"/>
                        <w:rPr>
                          <w:sz w:val="17"/>
                          <w:szCs w:val="17"/>
                        </w:rPr>
                      </w:pPr>
                      <w:r>
                        <w:rPr>
                          <w:spacing w:val="0"/>
                          <w:w w:val="100"/>
                          <w:position w:val="0"/>
                          <w:sz w:val="18"/>
                          <w:szCs w:val="18"/>
                        </w:rPr>
                        <w:t>201</w:t>
                      </w:r>
                      <w:r>
                        <w:rPr>
                          <w:rFonts w:ascii="SimSun" w:eastAsia="SimSun" w:hAnsi="SimSun" w:cs="SimSun"/>
                          <w:b/>
                          <w:bCs/>
                          <w:spacing w:val="0"/>
                          <w:w w:val="100"/>
                          <w:position w:val="0"/>
                          <w:sz w:val="17"/>
                          <w:szCs w:val="17"/>
                        </w:rPr>
                        <w:t>挥增速％</w:t>
                      </w:r>
                    </w:p>
                  </w:txbxContent>
                </v:textbox>
                <w10:wrap type="topAndBottom"/>
              </v:shape>
            </w:pict>
          </mc:Fallback>
        </mc:AlternateContent>
      </w:r>
    </w:p>
    <w:p>
      <w:pPr>
        <w:pStyle w:val="Style29"/>
        <w:keepNext w:val="0"/>
        <w:keepLines w:val="0"/>
        <w:widowControl w:val="0"/>
        <w:shd w:val="clear" w:color="auto" w:fill="auto"/>
        <w:bidi w:val="0"/>
        <w:spacing w:before="0" w:after="220" w:line="326" w:lineRule="exact"/>
        <w:ind w:left="0" w:right="0"/>
        <w:jc w:val="both"/>
      </w:pPr>
      <w:r>
        <w:rPr>
          <w:color w:val="000000"/>
          <w:spacing w:val="0"/>
          <w:w w:val="100"/>
          <w:position w:val="0"/>
        </w:rPr>
        <w:t>利润总额同步增长。全行业实现利润总额</w:t>
      </w:r>
      <w:r>
        <w:rPr>
          <w:rFonts w:ascii="Times New Roman" w:eastAsia="Times New Roman" w:hAnsi="Times New Roman" w:cs="Times New Roman"/>
          <w:color w:val="000000"/>
          <w:spacing w:val="0"/>
          <w:w w:val="100"/>
          <w:position w:val="0"/>
          <w:sz w:val="18"/>
          <w:szCs w:val="18"/>
        </w:rPr>
        <w:t>6021</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14.9%</w:t>
      </w:r>
      <w:r>
        <w:rPr>
          <w:color w:val="000000"/>
          <w:spacing w:val="0"/>
          <w:w w:val="100"/>
          <w:position w:val="0"/>
        </w:rPr>
        <w:t>,与收入增长同步，比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）回落</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个百分 点。</w:t>
      </w:r>
    </w:p>
    <w:p>
      <w:pPr>
        <w:framePr w:w="7704" w:h="3024" w:wrap="notBeside" w:vAnchor="text" w:hAnchor="text" w:x="1126" w:y="1"/>
        <w:widowControl w:val="0"/>
        <w:rPr>
          <w:sz w:val="2"/>
          <w:szCs w:val="2"/>
        </w:rPr>
      </w:pPr>
      <w:r>
        <w:drawing>
          <wp:inline>
            <wp:extent cx="4895215" cy="192024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stretch/>
                  </pic:blipFill>
                  <pic:spPr>
                    <a:xfrm>
                      <a:ext cx="4895215" cy="1920240"/>
                    </a:xfrm>
                    <a:prstGeom prst="rect"/>
                  </pic:spPr>
                </pic:pic>
              </a:graphicData>
            </a:graphic>
          </wp:inline>
        </w:drawing>
      </w:r>
    </w:p>
    <w:p>
      <w:pPr>
        <w:widowControl w:val="0"/>
        <w:spacing w:line="1" w:lineRule="exact"/>
      </w:pPr>
      <w:r>
        <mc:AlternateContent>
          <mc:Choice Requires="wps">
            <w:drawing>
              <wp:anchor distT="0" distB="0" distL="714375" distR="5354320" simplePos="0" relativeHeight="125829386" behindDoc="0" locked="0" layoutInCell="1" allowOverlap="1">
                <wp:simplePos x="0" y="0"/>
                <wp:positionH relativeFrom="column">
                  <wp:posOffset>1723390</wp:posOffset>
                </wp:positionH>
                <wp:positionV relativeFrom="paragraph">
                  <wp:posOffset>1304290</wp:posOffset>
                </wp:positionV>
                <wp:extent cx="252730" cy="167640"/>
                <wp:wrapTopAndBottom/>
                <wp:docPr id="22" name="Shape 22"/>
                <a:graphic xmlns:a="http://schemas.openxmlformats.org/drawingml/2006/main">
                  <a:graphicData uri="http://schemas.microsoft.com/office/word/2010/wordprocessingShape">
                    <wps:wsp>
                      <wps:cNvSpPr txBox="1"/>
                      <wps:spPr>
                        <a:xfrm>
                          <a:ext cx="252730" cy="16764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spacing w:val="0"/>
                                <w:w w:val="100"/>
                                <w:position w:val="0"/>
                              </w:rPr>
                              <w:t>11.5</w:t>
                            </w:r>
                          </w:p>
                        </w:txbxContent>
                      </wps:txbx>
                      <wps:bodyPr lIns="0" tIns="0" rIns="0" bIns="0">
                        <a:noAutoFit/>
                      </wps:bodyPr>
                    </wps:wsp>
                  </a:graphicData>
                </a:graphic>
              </wp:anchor>
            </w:drawing>
          </mc:Choice>
          <mc:Fallback>
            <w:pict>
              <v:shape id="_x0000_s1048" type="#_x0000_t202" style="position:absolute;margin-left:135.69999999999999pt;margin-top:102.7pt;width:19.900000000000002pt;height:13.200000000000001pt;z-index:-125829367;mso-wrap-distance-left:56.25pt;mso-wrap-distance-right:421.60000000000002pt"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spacing w:val="0"/>
                          <w:w w:val="100"/>
                          <w:position w:val="0"/>
                        </w:rPr>
                        <w:t>11.5</w:t>
                      </w:r>
                    </w:p>
                  </w:txbxContent>
                </v:textbox>
                <w10:wrap type="topAndBottom"/>
              </v:shape>
            </w:pict>
          </mc:Fallback>
        </mc:AlternateContent>
      </w:r>
      <w:r>
        <mc:AlternateContent>
          <mc:Choice Requires="wps">
            <w:drawing>
              <wp:anchor distT="0" distB="0" distL="714375" distR="5351145" simplePos="0" relativeHeight="125829388" behindDoc="0" locked="0" layoutInCell="1" allowOverlap="1">
                <wp:simplePos x="0" y="0"/>
                <wp:positionH relativeFrom="column">
                  <wp:posOffset>4673600</wp:posOffset>
                </wp:positionH>
                <wp:positionV relativeFrom="paragraph">
                  <wp:posOffset>1325880</wp:posOffset>
                </wp:positionV>
                <wp:extent cx="255905" cy="167640"/>
                <wp:wrapTopAndBottom/>
                <wp:docPr id="24" name="Shape 24"/>
                <a:graphic xmlns:a="http://schemas.openxmlformats.org/drawingml/2006/main">
                  <a:graphicData uri="http://schemas.microsoft.com/office/word/2010/wordprocessingShape">
                    <wps:wsp>
                      <wps:cNvSpPr txBox="1"/>
                      <wps:spPr>
                        <a:xfrm>
                          <a:ext cx="255905" cy="16764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w:t>
                            </w:r>
                          </w:p>
                        </w:txbxContent>
                      </wps:txbx>
                      <wps:bodyPr lIns="0" tIns="0" rIns="0" bIns="0">
                        <a:noAutoFit/>
                      </wps:bodyPr>
                    </wps:wsp>
                  </a:graphicData>
                </a:graphic>
              </wp:anchor>
            </w:drawing>
          </mc:Choice>
          <mc:Fallback>
            <w:pict>
              <v:shape id="_x0000_s1050" type="#_x0000_t202" style="position:absolute;margin-left:368.pt;margin-top:104.40000000000001pt;width:20.150000000000002pt;height:13.200000000000001pt;z-index:-125829365;mso-wrap-distance-left:56.25pt;mso-wrap-distance-right:421.35000000000002pt" filled="f" stroked="f">
                <v:textbox inset="0,0,0,0">
                  <w:txbxContent>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w:t>
                      </w:r>
                    </w:p>
                  </w:txbxContent>
                </v:textbox>
                <w10:wrap type="topAndBottom"/>
              </v:shape>
            </w:pict>
          </mc:Fallback>
        </mc:AlternateContent>
      </w:r>
      <w:r>
        <mc:AlternateContent>
          <mc:Choice Requires="wps">
            <w:drawing>
              <wp:anchor distT="0" distB="0" distL="714375" distR="1065530" simplePos="0" relativeHeight="125829390" behindDoc="0" locked="0" layoutInCell="1" allowOverlap="1">
                <wp:simplePos x="0" y="0"/>
                <wp:positionH relativeFrom="column">
                  <wp:posOffset>845185</wp:posOffset>
                </wp:positionH>
                <wp:positionV relativeFrom="paragraph">
                  <wp:posOffset>1718945</wp:posOffset>
                </wp:positionV>
                <wp:extent cx="4541520" cy="173990"/>
                <wp:wrapTopAndBottom/>
                <wp:docPr id="26" name="Shape 26"/>
                <a:graphic xmlns:a="http://schemas.openxmlformats.org/drawingml/2006/main">
                  <a:graphicData uri="http://schemas.microsoft.com/office/word/2010/wordprocessingShape">
                    <wps:wsp>
                      <wps:cNvSpPr txBox="1"/>
                      <wps:spPr>
                        <a:xfrm>
                          <a:ext cx="4541520" cy="1739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18"/>
                                <w:szCs w:val="18"/>
                              </w:rPr>
                              <w:t>1</w:t>
                            </w:r>
                            <w:r>
                              <w:rPr>
                                <w:rFonts w:ascii="SimHei" w:eastAsia="SimHei" w:hAnsi="SimHei" w:cs="SimHei"/>
                                <w:spacing w:val="0"/>
                                <w:w w:val="100"/>
                                <w:position w:val="0"/>
                                <w:sz w:val="20"/>
                                <w:szCs w:val="20"/>
                              </w:rPr>
                              <w:t>一</w:t>
                            </w:r>
                            <w:r>
                              <w:rPr>
                                <w:spacing w:val="0"/>
                                <w:w w:val="100"/>
                                <w:position w:val="0"/>
                                <w:sz w:val="18"/>
                                <w:szCs w:val="18"/>
                              </w:rPr>
                              <w:t xml:space="preserve">2 </w:t>
                            </w:r>
                            <w:r>
                              <w:rPr>
                                <w:rFonts w:ascii="SimHei" w:eastAsia="SimHei" w:hAnsi="SimHei" w:cs="SimHei"/>
                                <w:spacing w:val="0"/>
                                <w:w w:val="100"/>
                                <w:position w:val="0"/>
                                <w:sz w:val="20"/>
                                <w:szCs w:val="20"/>
                              </w:rPr>
                              <w:t xml:space="preserve">月 </w:t>
                            </w:r>
                            <w:r>
                              <w:rPr>
                                <w:spacing w:val="0"/>
                                <w:w w:val="100"/>
                                <w:position w:val="0"/>
                                <w:sz w:val="18"/>
                                <w:szCs w:val="18"/>
                              </w:rPr>
                              <w:t>1</w:t>
                            </w:r>
                            <w:r>
                              <w:rPr>
                                <w:rFonts w:ascii="SimHei" w:eastAsia="SimHei" w:hAnsi="SimHei" w:cs="SimHei"/>
                                <w:spacing w:val="0"/>
                                <w:w w:val="100"/>
                                <w:position w:val="0"/>
                                <w:sz w:val="20"/>
                                <w:szCs w:val="20"/>
                              </w:rPr>
                              <w:t>一</w:t>
                            </w:r>
                            <w:r>
                              <w:rPr>
                                <w:spacing w:val="0"/>
                                <w:w w:val="100"/>
                                <w:position w:val="0"/>
                                <w:sz w:val="18"/>
                                <w:szCs w:val="18"/>
                              </w:rPr>
                              <w:t xml:space="preserve">3 </w:t>
                            </w:r>
                            <w:r>
                              <w:rPr>
                                <w:rFonts w:ascii="SimHei" w:eastAsia="SimHei" w:hAnsi="SimHei" w:cs="SimHei"/>
                                <w:spacing w:val="0"/>
                                <w:w w:val="100"/>
                                <w:position w:val="0"/>
                                <w:sz w:val="20"/>
                                <w:szCs w:val="20"/>
                              </w:rPr>
                              <w:t xml:space="preserve">月 </w:t>
                            </w:r>
                            <w:r>
                              <w:rPr>
                                <w:spacing w:val="0"/>
                                <w:w w:val="100"/>
                                <w:position w:val="0"/>
                                <w:sz w:val="18"/>
                                <w:szCs w:val="18"/>
                              </w:rPr>
                              <w:t>1</w:t>
                            </w:r>
                            <w:r>
                              <w:rPr>
                                <w:rFonts w:ascii="SimHei" w:eastAsia="SimHei" w:hAnsi="SimHei" w:cs="SimHei"/>
                                <w:spacing w:val="0"/>
                                <w:w w:val="100"/>
                                <w:position w:val="0"/>
                                <w:sz w:val="20"/>
                                <w:szCs w:val="20"/>
                              </w:rPr>
                              <w:t>一</w:t>
                            </w:r>
                            <w:r>
                              <w:rPr>
                                <w:spacing w:val="0"/>
                                <w:w w:val="100"/>
                                <w:position w:val="0"/>
                                <w:sz w:val="18"/>
                                <w:szCs w:val="18"/>
                              </w:rPr>
                              <w:t xml:space="preserve">4 </w:t>
                            </w:r>
                            <w:r>
                              <w:rPr>
                                <w:rFonts w:ascii="SimHei" w:eastAsia="SimHei" w:hAnsi="SimHei" w:cs="SimHei"/>
                                <w:spacing w:val="0"/>
                                <w:w w:val="100"/>
                                <w:position w:val="0"/>
                                <w:sz w:val="20"/>
                                <w:szCs w:val="20"/>
                              </w:rPr>
                              <w:t xml:space="preserve">月 </w:t>
                            </w:r>
                            <w:r>
                              <w:rPr>
                                <w:spacing w:val="0"/>
                                <w:w w:val="100"/>
                                <w:position w:val="0"/>
                                <w:sz w:val="18"/>
                                <w:szCs w:val="18"/>
                              </w:rPr>
                              <w:t>1</w:t>
                            </w:r>
                            <w:r>
                              <w:rPr>
                                <w:rFonts w:ascii="SimHei" w:eastAsia="SimHei" w:hAnsi="SimHei" w:cs="SimHei"/>
                                <w:spacing w:val="0"/>
                                <w:w w:val="100"/>
                                <w:position w:val="0"/>
                                <w:sz w:val="20"/>
                                <w:szCs w:val="20"/>
                              </w:rPr>
                              <w:t>一</w:t>
                            </w:r>
                            <w:r>
                              <w:rPr>
                                <w:spacing w:val="0"/>
                                <w:w w:val="100"/>
                                <w:position w:val="0"/>
                                <w:sz w:val="18"/>
                                <w:szCs w:val="18"/>
                              </w:rPr>
                              <w:t xml:space="preserve">5 </w:t>
                            </w:r>
                            <w:r>
                              <w:rPr>
                                <w:rFonts w:ascii="SimHei" w:eastAsia="SimHei" w:hAnsi="SimHei" w:cs="SimHei"/>
                                <w:spacing w:val="0"/>
                                <w:w w:val="100"/>
                                <w:position w:val="0"/>
                                <w:sz w:val="20"/>
                                <w:szCs w:val="20"/>
                              </w:rPr>
                              <w:t xml:space="preserve">月 </w:t>
                            </w:r>
                            <w:r>
                              <w:rPr>
                                <w:spacing w:val="0"/>
                                <w:w w:val="100"/>
                                <w:position w:val="0"/>
                                <w:sz w:val="18"/>
                                <w:szCs w:val="18"/>
                              </w:rPr>
                              <w:t>1</w:t>
                            </w:r>
                            <w:r>
                              <w:rPr>
                                <w:rFonts w:ascii="SimHei" w:eastAsia="SimHei" w:hAnsi="SimHei" w:cs="SimHei"/>
                                <w:spacing w:val="0"/>
                                <w:w w:val="100"/>
                                <w:position w:val="0"/>
                                <w:sz w:val="20"/>
                                <w:szCs w:val="20"/>
                              </w:rPr>
                              <w:t>一</w:t>
                            </w:r>
                            <w:r>
                              <w:rPr>
                                <w:spacing w:val="0"/>
                                <w:w w:val="100"/>
                                <w:position w:val="0"/>
                                <w:sz w:val="18"/>
                                <w:szCs w:val="18"/>
                              </w:rPr>
                              <w:t xml:space="preserve">6 </w:t>
                            </w:r>
                            <w:r>
                              <w:rPr>
                                <w:rFonts w:ascii="SimHei" w:eastAsia="SimHei" w:hAnsi="SimHei" w:cs="SimHei"/>
                                <w:spacing w:val="0"/>
                                <w:w w:val="100"/>
                                <w:position w:val="0"/>
                                <w:sz w:val="20"/>
                                <w:szCs w:val="20"/>
                              </w:rPr>
                              <w:t xml:space="preserve">月 </w:t>
                            </w:r>
                            <w:r>
                              <w:rPr>
                                <w:spacing w:val="0"/>
                                <w:w w:val="100"/>
                                <w:position w:val="0"/>
                                <w:sz w:val="18"/>
                                <w:szCs w:val="18"/>
                              </w:rPr>
                              <w:t>1</w:t>
                            </w:r>
                            <w:r>
                              <w:rPr>
                                <w:rFonts w:ascii="SimHei" w:eastAsia="SimHei" w:hAnsi="SimHei" w:cs="SimHei"/>
                                <w:spacing w:val="0"/>
                                <w:w w:val="100"/>
                                <w:position w:val="0"/>
                                <w:sz w:val="20"/>
                                <w:szCs w:val="20"/>
                              </w:rPr>
                              <w:t>一</w:t>
                            </w:r>
                            <w:r>
                              <w:rPr>
                                <w:spacing w:val="0"/>
                                <w:w w:val="100"/>
                                <w:position w:val="0"/>
                                <w:sz w:val="18"/>
                                <w:szCs w:val="18"/>
                              </w:rPr>
                              <w:t xml:space="preserve">7 </w:t>
                            </w:r>
                            <w:r>
                              <w:rPr>
                                <w:rFonts w:ascii="SimHei" w:eastAsia="SimHei" w:hAnsi="SimHei" w:cs="SimHei"/>
                                <w:spacing w:val="0"/>
                                <w:w w:val="100"/>
                                <w:position w:val="0"/>
                                <w:sz w:val="20"/>
                                <w:szCs w:val="20"/>
                              </w:rPr>
                              <w:t xml:space="preserve">月 </w:t>
                            </w:r>
                            <w:r>
                              <w:rPr>
                                <w:spacing w:val="0"/>
                                <w:w w:val="100"/>
                                <w:position w:val="0"/>
                                <w:sz w:val="18"/>
                                <w:szCs w:val="18"/>
                              </w:rPr>
                              <w:t>1</w:t>
                            </w:r>
                            <w:r>
                              <w:rPr>
                                <w:rFonts w:ascii="SimHei" w:eastAsia="SimHei" w:hAnsi="SimHei" w:cs="SimHei"/>
                                <w:spacing w:val="0"/>
                                <w:w w:val="100"/>
                                <w:position w:val="0"/>
                                <w:sz w:val="20"/>
                                <w:szCs w:val="20"/>
                              </w:rPr>
                              <w:t>一</w:t>
                            </w:r>
                            <w:r>
                              <w:rPr>
                                <w:spacing w:val="0"/>
                                <w:w w:val="100"/>
                                <w:position w:val="0"/>
                                <w:sz w:val="18"/>
                                <w:szCs w:val="18"/>
                              </w:rPr>
                              <w:t xml:space="preserve">8 </w:t>
                            </w:r>
                            <w:r>
                              <w:rPr>
                                <w:rFonts w:ascii="SimHei" w:eastAsia="SimHei" w:hAnsi="SimHei" w:cs="SimHei"/>
                                <w:spacing w:val="0"/>
                                <w:w w:val="100"/>
                                <w:position w:val="0"/>
                                <w:sz w:val="20"/>
                                <w:szCs w:val="20"/>
                              </w:rPr>
                              <w:t xml:space="preserve">月 </w:t>
                            </w:r>
                            <w:r>
                              <w:rPr>
                                <w:spacing w:val="0"/>
                                <w:w w:val="100"/>
                                <w:position w:val="0"/>
                                <w:sz w:val="18"/>
                                <w:szCs w:val="18"/>
                              </w:rPr>
                              <w:t>1</w:t>
                            </w:r>
                            <w:r>
                              <w:rPr>
                                <w:rFonts w:ascii="SimHei" w:eastAsia="SimHei" w:hAnsi="SimHei" w:cs="SimHei"/>
                                <w:spacing w:val="0"/>
                                <w:w w:val="100"/>
                                <w:position w:val="0"/>
                                <w:sz w:val="20"/>
                                <w:szCs w:val="20"/>
                              </w:rPr>
                              <w:t>一</w:t>
                            </w:r>
                            <w:r>
                              <w:rPr>
                                <w:spacing w:val="0"/>
                                <w:w w:val="100"/>
                                <w:position w:val="0"/>
                                <w:sz w:val="18"/>
                                <w:szCs w:val="18"/>
                              </w:rPr>
                              <w:t xml:space="preserve">9 </w:t>
                            </w:r>
                            <w:r>
                              <w:rPr>
                                <w:rFonts w:ascii="SimHei" w:eastAsia="SimHei" w:hAnsi="SimHei" w:cs="SimHei"/>
                                <w:spacing w:val="0"/>
                                <w:w w:val="100"/>
                                <w:position w:val="0"/>
                                <w:sz w:val="20"/>
                                <w:szCs w:val="20"/>
                              </w:rPr>
                              <w:t xml:space="preserve">月 </w:t>
                            </w:r>
                            <w:r>
                              <w:rPr>
                                <w:spacing w:val="0"/>
                                <w:w w:val="100"/>
                                <w:position w:val="0"/>
                                <w:sz w:val="18"/>
                                <w:szCs w:val="18"/>
                              </w:rPr>
                              <w:t xml:space="preserve">1—10 </w:t>
                            </w:r>
                            <w:r>
                              <w:rPr>
                                <w:rFonts w:ascii="SimHei" w:eastAsia="SimHei" w:hAnsi="SimHei" w:cs="SimHei"/>
                                <w:spacing w:val="0"/>
                                <w:w w:val="100"/>
                                <w:position w:val="0"/>
                                <w:sz w:val="20"/>
                                <w:szCs w:val="20"/>
                              </w:rPr>
                              <w:t xml:space="preserve">月 </w:t>
                            </w:r>
                            <w:r>
                              <w:rPr>
                                <w:spacing w:val="0"/>
                                <w:w w:val="100"/>
                                <w:position w:val="0"/>
                                <w:sz w:val="18"/>
                                <w:szCs w:val="18"/>
                              </w:rPr>
                              <w:t xml:space="preserve">1-11 </w:t>
                            </w:r>
                            <w:r>
                              <w:rPr>
                                <w:rFonts w:ascii="SimHei" w:eastAsia="SimHei" w:hAnsi="SimHei" w:cs="SimHei"/>
                                <w:spacing w:val="0"/>
                                <w:w w:val="100"/>
                                <w:position w:val="0"/>
                                <w:sz w:val="20"/>
                                <w:szCs w:val="20"/>
                              </w:rPr>
                              <w:t xml:space="preserve">月 </w:t>
                            </w:r>
                            <w:r>
                              <w:rPr>
                                <w:spacing w:val="0"/>
                                <w:w w:val="100"/>
                                <w:position w:val="0"/>
                                <w:sz w:val="18"/>
                                <w:szCs w:val="18"/>
                              </w:rPr>
                              <w:t>1</w:t>
                            </w:r>
                            <w:r>
                              <w:rPr>
                                <w:rFonts w:ascii="SimHei" w:eastAsia="SimHei" w:hAnsi="SimHei" w:cs="SimHei"/>
                                <w:spacing w:val="0"/>
                                <w:w w:val="100"/>
                                <w:position w:val="0"/>
                                <w:sz w:val="20"/>
                                <w:szCs w:val="20"/>
                              </w:rPr>
                              <w:t>一</w:t>
                            </w:r>
                            <w:r>
                              <w:rPr>
                                <w:spacing w:val="0"/>
                                <w:w w:val="100"/>
                                <w:position w:val="0"/>
                                <w:sz w:val="18"/>
                                <w:szCs w:val="18"/>
                              </w:rPr>
                              <w:t xml:space="preserve">12 </w:t>
                            </w:r>
                            <w:r>
                              <w:rPr>
                                <w:rFonts w:ascii="SimHei" w:eastAsia="SimHei" w:hAnsi="SimHei" w:cs="SimHei"/>
                                <w:spacing w:val="0"/>
                                <w:w w:val="100"/>
                                <w:position w:val="0"/>
                                <w:sz w:val="20"/>
                                <w:szCs w:val="20"/>
                              </w:rPr>
                              <w:t>月</w:t>
                            </w:r>
                          </w:p>
                        </w:txbxContent>
                      </wps:txbx>
                      <wps:bodyPr lIns="0" tIns="0" rIns="0" bIns="0">
                        <a:noAutoFit/>
                      </wps:bodyPr>
                    </wps:wsp>
                  </a:graphicData>
                </a:graphic>
              </wp:anchor>
            </w:drawing>
          </mc:Choice>
          <mc:Fallback>
            <w:pict>
              <v:shape id="_x0000_s1052" type="#_x0000_t202" style="position:absolute;margin-left:66.549999999999997pt;margin-top:135.34999999999999pt;width:357.60000000000002pt;height:13.700000000000001pt;z-index:-125829363;mso-wrap-distance-left:56.25pt;mso-wrap-distance-right:83.900000000000006pt"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18"/>
                          <w:szCs w:val="18"/>
                        </w:rPr>
                        <w:t>1</w:t>
                      </w:r>
                      <w:r>
                        <w:rPr>
                          <w:rFonts w:ascii="SimHei" w:eastAsia="SimHei" w:hAnsi="SimHei" w:cs="SimHei"/>
                          <w:spacing w:val="0"/>
                          <w:w w:val="100"/>
                          <w:position w:val="0"/>
                          <w:sz w:val="20"/>
                          <w:szCs w:val="20"/>
                        </w:rPr>
                        <w:t>一</w:t>
                      </w:r>
                      <w:r>
                        <w:rPr>
                          <w:spacing w:val="0"/>
                          <w:w w:val="100"/>
                          <w:position w:val="0"/>
                          <w:sz w:val="18"/>
                          <w:szCs w:val="18"/>
                        </w:rPr>
                        <w:t xml:space="preserve">2 </w:t>
                      </w:r>
                      <w:r>
                        <w:rPr>
                          <w:rFonts w:ascii="SimHei" w:eastAsia="SimHei" w:hAnsi="SimHei" w:cs="SimHei"/>
                          <w:spacing w:val="0"/>
                          <w:w w:val="100"/>
                          <w:position w:val="0"/>
                          <w:sz w:val="20"/>
                          <w:szCs w:val="20"/>
                        </w:rPr>
                        <w:t xml:space="preserve">月 </w:t>
                      </w:r>
                      <w:r>
                        <w:rPr>
                          <w:spacing w:val="0"/>
                          <w:w w:val="100"/>
                          <w:position w:val="0"/>
                          <w:sz w:val="18"/>
                          <w:szCs w:val="18"/>
                        </w:rPr>
                        <w:t>1</w:t>
                      </w:r>
                      <w:r>
                        <w:rPr>
                          <w:rFonts w:ascii="SimHei" w:eastAsia="SimHei" w:hAnsi="SimHei" w:cs="SimHei"/>
                          <w:spacing w:val="0"/>
                          <w:w w:val="100"/>
                          <w:position w:val="0"/>
                          <w:sz w:val="20"/>
                          <w:szCs w:val="20"/>
                        </w:rPr>
                        <w:t>一</w:t>
                      </w:r>
                      <w:r>
                        <w:rPr>
                          <w:spacing w:val="0"/>
                          <w:w w:val="100"/>
                          <w:position w:val="0"/>
                          <w:sz w:val="18"/>
                          <w:szCs w:val="18"/>
                        </w:rPr>
                        <w:t xml:space="preserve">3 </w:t>
                      </w:r>
                      <w:r>
                        <w:rPr>
                          <w:rFonts w:ascii="SimHei" w:eastAsia="SimHei" w:hAnsi="SimHei" w:cs="SimHei"/>
                          <w:spacing w:val="0"/>
                          <w:w w:val="100"/>
                          <w:position w:val="0"/>
                          <w:sz w:val="20"/>
                          <w:szCs w:val="20"/>
                        </w:rPr>
                        <w:t xml:space="preserve">月 </w:t>
                      </w:r>
                      <w:r>
                        <w:rPr>
                          <w:spacing w:val="0"/>
                          <w:w w:val="100"/>
                          <w:position w:val="0"/>
                          <w:sz w:val="18"/>
                          <w:szCs w:val="18"/>
                        </w:rPr>
                        <w:t>1</w:t>
                      </w:r>
                      <w:r>
                        <w:rPr>
                          <w:rFonts w:ascii="SimHei" w:eastAsia="SimHei" w:hAnsi="SimHei" w:cs="SimHei"/>
                          <w:spacing w:val="0"/>
                          <w:w w:val="100"/>
                          <w:position w:val="0"/>
                          <w:sz w:val="20"/>
                          <w:szCs w:val="20"/>
                        </w:rPr>
                        <w:t>一</w:t>
                      </w:r>
                      <w:r>
                        <w:rPr>
                          <w:spacing w:val="0"/>
                          <w:w w:val="100"/>
                          <w:position w:val="0"/>
                          <w:sz w:val="18"/>
                          <w:szCs w:val="18"/>
                        </w:rPr>
                        <w:t xml:space="preserve">4 </w:t>
                      </w:r>
                      <w:r>
                        <w:rPr>
                          <w:rFonts w:ascii="SimHei" w:eastAsia="SimHei" w:hAnsi="SimHei" w:cs="SimHei"/>
                          <w:spacing w:val="0"/>
                          <w:w w:val="100"/>
                          <w:position w:val="0"/>
                          <w:sz w:val="20"/>
                          <w:szCs w:val="20"/>
                        </w:rPr>
                        <w:t xml:space="preserve">月 </w:t>
                      </w:r>
                      <w:r>
                        <w:rPr>
                          <w:spacing w:val="0"/>
                          <w:w w:val="100"/>
                          <w:position w:val="0"/>
                          <w:sz w:val="18"/>
                          <w:szCs w:val="18"/>
                        </w:rPr>
                        <w:t>1</w:t>
                      </w:r>
                      <w:r>
                        <w:rPr>
                          <w:rFonts w:ascii="SimHei" w:eastAsia="SimHei" w:hAnsi="SimHei" w:cs="SimHei"/>
                          <w:spacing w:val="0"/>
                          <w:w w:val="100"/>
                          <w:position w:val="0"/>
                          <w:sz w:val="20"/>
                          <w:szCs w:val="20"/>
                        </w:rPr>
                        <w:t>一</w:t>
                      </w:r>
                      <w:r>
                        <w:rPr>
                          <w:spacing w:val="0"/>
                          <w:w w:val="100"/>
                          <w:position w:val="0"/>
                          <w:sz w:val="18"/>
                          <w:szCs w:val="18"/>
                        </w:rPr>
                        <w:t xml:space="preserve">5 </w:t>
                      </w:r>
                      <w:r>
                        <w:rPr>
                          <w:rFonts w:ascii="SimHei" w:eastAsia="SimHei" w:hAnsi="SimHei" w:cs="SimHei"/>
                          <w:spacing w:val="0"/>
                          <w:w w:val="100"/>
                          <w:position w:val="0"/>
                          <w:sz w:val="20"/>
                          <w:szCs w:val="20"/>
                        </w:rPr>
                        <w:t xml:space="preserve">月 </w:t>
                      </w:r>
                      <w:r>
                        <w:rPr>
                          <w:spacing w:val="0"/>
                          <w:w w:val="100"/>
                          <w:position w:val="0"/>
                          <w:sz w:val="18"/>
                          <w:szCs w:val="18"/>
                        </w:rPr>
                        <w:t>1</w:t>
                      </w:r>
                      <w:r>
                        <w:rPr>
                          <w:rFonts w:ascii="SimHei" w:eastAsia="SimHei" w:hAnsi="SimHei" w:cs="SimHei"/>
                          <w:spacing w:val="0"/>
                          <w:w w:val="100"/>
                          <w:position w:val="0"/>
                          <w:sz w:val="20"/>
                          <w:szCs w:val="20"/>
                        </w:rPr>
                        <w:t>一</w:t>
                      </w:r>
                      <w:r>
                        <w:rPr>
                          <w:spacing w:val="0"/>
                          <w:w w:val="100"/>
                          <w:position w:val="0"/>
                          <w:sz w:val="18"/>
                          <w:szCs w:val="18"/>
                        </w:rPr>
                        <w:t xml:space="preserve">6 </w:t>
                      </w:r>
                      <w:r>
                        <w:rPr>
                          <w:rFonts w:ascii="SimHei" w:eastAsia="SimHei" w:hAnsi="SimHei" w:cs="SimHei"/>
                          <w:spacing w:val="0"/>
                          <w:w w:val="100"/>
                          <w:position w:val="0"/>
                          <w:sz w:val="20"/>
                          <w:szCs w:val="20"/>
                        </w:rPr>
                        <w:t xml:space="preserve">月 </w:t>
                      </w:r>
                      <w:r>
                        <w:rPr>
                          <w:spacing w:val="0"/>
                          <w:w w:val="100"/>
                          <w:position w:val="0"/>
                          <w:sz w:val="18"/>
                          <w:szCs w:val="18"/>
                        </w:rPr>
                        <w:t>1</w:t>
                      </w:r>
                      <w:r>
                        <w:rPr>
                          <w:rFonts w:ascii="SimHei" w:eastAsia="SimHei" w:hAnsi="SimHei" w:cs="SimHei"/>
                          <w:spacing w:val="0"/>
                          <w:w w:val="100"/>
                          <w:position w:val="0"/>
                          <w:sz w:val="20"/>
                          <w:szCs w:val="20"/>
                        </w:rPr>
                        <w:t>一</w:t>
                      </w:r>
                      <w:r>
                        <w:rPr>
                          <w:spacing w:val="0"/>
                          <w:w w:val="100"/>
                          <w:position w:val="0"/>
                          <w:sz w:val="18"/>
                          <w:szCs w:val="18"/>
                        </w:rPr>
                        <w:t xml:space="preserve">7 </w:t>
                      </w:r>
                      <w:r>
                        <w:rPr>
                          <w:rFonts w:ascii="SimHei" w:eastAsia="SimHei" w:hAnsi="SimHei" w:cs="SimHei"/>
                          <w:spacing w:val="0"/>
                          <w:w w:val="100"/>
                          <w:position w:val="0"/>
                          <w:sz w:val="20"/>
                          <w:szCs w:val="20"/>
                        </w:rPr>
                        <w:t xml:space="preserve">月 </w:t>
                      </w:r>
                      <w:r>
                        <w:rPr>
                          <w:spacing w:val="0"/>
                          <w:w w:val="100"/>
                          <w:position w:val="0"/>
                          <w:sz w:val="18"/>
                          <w:szCs w:val="18"/>
                        </w:rPr>
                        <w:t>1</w:t>
                      </w:r>
                      <w:r>
                        <w:rPr>
                          <w:rFonts w:ascii="SimHei" w:eastAsia="SimHei" w:hAnsi="SimHei" w:cs="SimHei"/>
                          <w:spacing w:val="0"/>
                          <w:w w:val="100"/>
                          <w:position w:val="0"/>
                          <w:sz w:val="20"/>
                          <w:szCs w:val="20"/>
                        </w:rPr>
                        <w:t>一</w:t>
                      </w:r>
                      <w:r>
                        <w:rPr>
                          <w:spacing w:val="0"/>
                          <w:w w:val="100"/>
                          <w:position w:val="0"/>
                          <w:sz w:val="18"/>
                          <w:szCs w:val="18"/>
                        </w:rPr>
                        <w:t xml:space="preserve">8 </w:t>
                      </w:r>
                      <w:r>
                        <w:rPr>
                          <w:rFonts w:ascii="SimHei" w:eastAsia="SimHei" w:hAnsi="SimHei" w:cs="SimHei"/>
                          <w:spacing w:val="0"/>
                          <w:w w:val="100"/>
                          <w:position w:val="0"/>
                          <w:sz w:val="20"/>
                          <w:szCs w:val="20"/>
                        </w:rPr>
                        <w:t xml:space="preserve">月 </w:t>
                      </w:r>
                      <w:r>
                        <w:rPr>
                          <w:spacing w:val="0"/>
                          <w:w w:val="100"/>
                          <w:position w:val="0"/>
                          <w:sz w:val="18"/>
                          <w:szCs w:val="18"/>
                        </w:rPr>
                        <w:t>1</w:t>
                      </w:r>
                      <w:r>
                        <w:rPr>
                          <w:rFonts w:ascii="SimHei" w:eastAsia="SimHei" w:hAnsi="SimHei" w:cs="SimHei"/>
                          <w:spacing w:val="0"/>
                          <w:w w:val="100"/>
                          <w:position w:val="0"/>
                          <w:sz w:val="20"/>
                          <w:szCs w:val="20"/>
                        </w:rPr>
                        <w:t>一</w:t>
                      </w:r>
                      <w:r>
                        <w:rPr>
                          <w:spacing w:val="0"/>
                          <w:w w:val="100"/>
                          <w:position w:val="0"/>
                          <w:sz w:val="18"/>
                          <w:szCs w:val="18"/>
                        </w:rPr>
                        <w:t xml:space="preserve">9 </w:t>
                      </w:r>
                      <w:r>
                        <w:rPr>
                          <w:rFonts w:ascii="SimHei" w:eastAsia="SimHei" w:hAnsi="SimHei" w:cs="SimHei"/>
                          <w:spacing w:val="0"/>
                          <w:w w:val="100"/>
                          <w:position w:val="0"/>
                          <w:sz w:val="20"/>
                          <w:szCs w:val="20"/>
                        </w:rPr>
                        <w:t xml:space="preserve">月 </w:t>
                      </w:r>
                      <w:r>
                        <w:rPr>
                          <w:spacing w:val="0"/>
                          <w:w w:val="100"/>
                          <w:position w:val="0"/>
                          <w:sz w:val="18"/>
                          <w:szCs w:val="18"/>
                        </w:rPr>
                        <w:t xml:space="preserve">1—10 </w:t>
                      </w:r>
                      <w:r>
                        <w:rPr>
                          <w:rFonts w:ascii="SimHei" w:eastAsia="SimHei" w:hAnsi="SimHei" w:cs="SimHei"/>
                          <w:spacing w:val="0"/>
                          <w:w w:val="100"/>
                          <w:position w:val="0"/>
                          <w:sz w:val="20"/>
                          <w:szCs w:val="20"/>
                        </w:rPr>
                        <w:t xml:space="preserve">月 </w:t>
                      </w:r>
                      <w:r>
                        <w:rPr>
                          <w:spacing w:val="0"/>
                          <w:w w:val="100"/>
                          <w:position w:val="0"/>
                          <w:sz w:val="18"/>
                          <w:szCs w:val="18"/>
                        </w:rPr>
                        <w:t xml:space="preserve">1-11 </w:t>
                      </w:r>
                      <w:r>
                        <w:rPr>
                          <w:rFonts w:ascii="SimHei" w:eastAsia="SimHei" w:hAnsi="SimHei" w:cs="SimHei"/>
                          <w:spacing w:val="0"/>
                          <w:w w:val="100"/>
                          <w:position w:val="0"/>
                          <w:sz w:val="20"/>
                          <w:szCs w:val="20"/>
                        </w:rPr>
                        <w:t xml:space="preserve">月 </w:t>
                      </w:r>
                      <w:r>
                        <w:rPr>
                          <w:spacing w:val="0"/>
                          <w:w w:val="100"/>
                          <w:position w:val="0"/>
                          <w:sz w:val="18"/>
                          <w:szCs w:val="18"/>
                        </w:rPr>
                        <w:t>1</w:t>
                      </w:r>
                      <w:r>
                        <w:rPr>
                          <w:rFonts w:ascii="SimHei" w:eastAsia="SimHei" w:hAnsi="SimHei" w:cs="SimHei"/>
                          <w:spacing w:val="0"/>
                          <w:w w:val="100"/>
                          <w:position w:val="0"/>
                          <w:sz w:val="20"/>
                          <w:szCs w:val="20"/>
                        </w:rPr>
                        <w:t>一</w:t>
                      </w:r>
                      <w:r>
                        <w:rPr>
                          <w:spacing w:val="0"/>
                          <w:w w:val="100"/>
                          <w:position w:val="0"/>
                          <w:sz w:val="18"/>
                          <w:szCs w:val="18"/>
                        </w:rPr>
                        <w:t xml:space="preserve">12 </w:t>
                      </w:r>
                      <w:r>
                        <w:rPr>
                          <w:rFonts w:ascii="SimHei" w:eastAsia="SimHei" w:hAnsi="SimHei" w:cs="SimHei"/>
                          <w:spacing w:val="0"/>
                          <w:w w:val="100"/>
                          <w:position w:val="0"/>
                          <w:sz w:val="20"/>
                          <w:szCs w:val="20"/>
                        </w:rPr>
                        <w:t>月</w:t>
                      </w:r>
                    </w:p>
                  </w:txbxContent>
                </v:textbox>
                <w10:wrap type="topAndBottom"/>
              </v:shape>
            </w:pict>
          </mc:Fallback>
        </mc:AlternateContent>
      </w:r>
      <w:r>
        <mc:AlternateContent>
          <mc:Choice Requires="wps">
            <w:drawing>
              <wp:anchor distT="0" distB="0" distL="714375" distR="3546475" simplePos="0" relativeHeight="125829392" behindDoc="0" locked="0" layoutInCell="1" allowOverlap="1">
                <wp:simplePos x="0" y="0"/>
                <wp:positionH relativeFrom="column">
                  <wp:posOffset>2250440</wp:posOffset>
                </wp:positionH>
                <wp:positionV relativeFrom="paragraph">
                  <wp:posOffset>57785</wp:posOffset>
                </wp:positionV>
                <wp:extent cx="2060575" cy="167640"/>
                <wp:wrapTopAndBottom/>
                <wp:docPr id="28" name="Shape 28"/>
                <a:graphic xmlns:a="http://schemas.openxmlformats.org/drawingml/2006/main">
                  <a:graphicData uri="http://schemas.microsoft.com/office/word/2010/wordprocessingShape">
                    <wps:wsp>
                      <wps:cNvSpPr txBox="1"/>
                      <wps:spPr>
                        <a:xfrm>
                          <a:ext cx="2060575" cy="16764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spacing w:val="0"/>
                                <w:w w:val="100"/>
                                <w:position w:val="0"/>
                                <w:sz w:val="20"/>
                                <w:szCs w:val="20"/>
                              </w:rPr>
                              <w:t>2016</w:t>
                            </w:r>
                            <w:r>
                              <w:rPr>
                                <w:rFonts w:ascii="SimSun" w:eastAsia="SimSun" w:hAnsi="SimSun" w:cs="SimSun"/>
                                <w:b/>
                                <w:bCs/>
                                <w:spacing w:val="0"/>
                                <w:w w:val="100"/>
                                <w:position w:val="0"/>
                                <w:sz w:val="20"/>
                                <w:szCs w:val="20"/>
                              </w:rPr>
                              <w:t>年</w:t>
                            </w:r>
                            <w:r>
                              <w:rPr>
                                <w:rFonts w:ascii="Times New Roman" w:eastAsia="Times New Roman" w:hAnsi="Times New Roman" w:cs="Times New Roman"/>
                                <w:b/>
                                <w:bCs/>
                                <w:spacing w:val="0"/>
                                <w:w w:val="100"/>
                                <w:position w:val="0"/>
                                <w:sz w:val="20"/>
                                <w:szCs w:val="20"/>
                              </w:rPr>
                              <w:t>1-12</w:t>
                            </w:r>
                            <w:r>
                              <w:rPr>
                                <w:rFonts w:ascii="SimSun" w:eastAsia="SimSun" w:hAnsi="SimSun" w:cs="SimSun"/>
                                <w:b/>
                                <w:bCs/>
                                <w:spacing w:val="0"/>
                                <w:w w:val="100"/>
                                <w:position w:val="0"/>
                                <w:sz w:val="20"/>
                                <w:szCs w:val="20"/>
                              </w:rPr>
                              <w:t>月软件业利润总额走势</w:t>
                            </w:r>
                          </w:p>
                        </w:txbxContent>
                      </wps:txbx>
                      <wps:bodyPr lIns="0" tIns="0" rIns="0" bIns="0">
                        <a:noAutoFit/>
                      </wps:bodyPr>
                    </wps:wsp>
                  </a:graphicData>
                </a:graphic>
              </wp:anchor>
            </w:drawing>
          </mc:Choice>
          <mc:Fallback>
            <w:pict>
              <v:shape id="_x0000_s1054" type="#_x0000_t202" style="position:absolute;margin-left:177.20000000000002pt;margin-top:4.5499999999999998pt;width:162.25pt;height:13.200000000000001pt;z-index:-125829361;mso-wrap-distance-left:56.25pt;mso-wrap-distance-right:279.25pt" filled="f" stroked="f">
                <v:textbox inset="0,0,0,0">
                  <w:txbxContent>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spacing w:val="0"/>
                          <w:w w:val="100"/>
                          <w:position w:val="0"/>
                          <w:sz w:val="20"/>
                          <w:szCs w:val="20"/>
                        </w:rPr>
                        <w:t>2016</w:t>
                      </w:r>
                      <w:r>
                        <w:rPr>
                          <w:rFonts w:ascii="SimSun" w:eastAsia="SimSun" w:hAnsi="SimSun" w:cs="SimSun"/>
                          <w:b/>
                          <w:bCs/>
                          <w:spacing w:val="0"/>
                          <w:w w:val="100"/>
                          <w:position w:val="0"/>
                          <w:sz w:val="20"/>
                          <w:szCs w:val="20"/>
                        </w:rPr>
                        <w:t>年</w:t>
                      </w:r>
                      <w:r>
                        <w:rPr>
                          <w:rFonts w:ascii="Times New Roman" w:eastAsia="Times New Roman" w:hAnsi="Times New Roman" w:cs="Times New Roman"/>
                          <w:b/>
                          <w:bCs/>
                          <w:spacing w:val="0"/>
                          <w:w w:val="100"/>
                          <w:position w:val="0"/>
                          <w:sz w:val="20"/>
                          <w:szCs w:val="20"/>
                        </w:rPr>
                        <w:t>1-12</w:t>
                      </w:r>
                      <w:r>
                        <w:rPr>
                          <w:rFonts w:ascii="SimSun" w:eastAsia="SimSun" w:hAnsi="SimSun" w:cs="SimSun"/>
                          <w:b/>
                          <w:bCs/>
                          <w:spacing w:val="0"/>
                          <w:w w:val="100"/>
                          <w:position w:val="0"/>
                          <w:sz w:val="20"/>
                          <w:szCs w:val="20"/>
                        </w:rPr>
                        <w:t>月软件业利润总额走势</w:t>
                      </w:r>
                    </w:p>
                  </w:txbxContent>
                </v:textbox>
                <w10:wrap type="topAndBottom"/>
              </v:shape>
            </w:pict>
          </mc:Fallback>
        </mc:AlternateContent>
      </w:r>
      <w:r>
        <mc:AlternateContent>
          <mc:Choice Requires="wps">
            <w:drawing>
              <wp:anchor distT="0" distB="0" distL="714375" distR="5344795" simplePos="0" relativeHeight="125829394" behindDoc="0" locked="0" layoutInCell="1" allowOverlap="1">
                <wp:simplePos x="0" y="0"/>
                <wp:positionH relativeFrom="column">
                  <wp:posOffset>5182870</wp:posOffset>
                </wp:positionH>
                <wp:positionV relativeFrom="paragraph">
                  <wp:posOffset>1173480</wp:posOffset>
                </wp:positionV>
                <wp:extent cx="262255" cy="128270"/>
                <wp:wrapTopAndBottom/>
                <wp:docPr id="30" name="Shape 30"/>
                <a:graphic xmlns:a="http://schemas.openxmlformats.org/drawingml/2006/main">
                  <a:graphicData uri="http://schemas.microsoft.com/office/word/2010/wordprocessingShape">
                    <wps:wsp>
                      <wps:cNvSpPr txBox="1"/>
                      <wps:spPr>
                        <a:xfrm>
                          <a:ext cx="262255" cy="12827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14.9</w:t>
                            </w:r>
                          </w:p>
                        </w:txbxContent>
                      </wps:txbx>
                      <wps:bodyPr lIns="0" tIns="0" rIns="0" bIns="0">
                        <a:noAutoFit/>
                      </wps:bodyPr>
                    </wps:wsp>
                  </a:graphicData>
                </a:graphic>
              </wp:anchor>
            </w:drawing>
          </mc:Choice>
          <mc:Fallback>
            <w:pict>
              <v:shape id="_x0000_s1056" type="#_x0000_t202" style="position:absolute;margin-left:408.10000000000002pt;margin-top:92.400000000000006pt;width:20.650000000000002pt;height:10.1pt;z-index:-125829359;mso-wrap-distance-left:56.25pt;mso-wrap-distance-right:420.85000000000002pt"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14.9</w:t>
                      </w:r>
                    </w:p>
                  </w:txbxContent>
                </v:textbox>
                <w10:wrap type="topAndBottom"/>
              </v:shape>
            </w:pict>
          </mc:Fallback>
        </mc:AlternateContent>
      </w:r>
      <w:r>
        <mc:AlternateContent>
          <mc:Choice Requires="wps">
            <w:drawing>
              <wp:anchor distT="0" distB="0" distL="714375" distR="5351145" simplePos="0" relativeHeight="125829396" behindDoc="0" locked="0" layoutInCell="1" allowOverlap="1">
                <wp:simplePos x="0" y="0"/>
                <wp:positionH relativeFrom="column">
                  <wp:posOffset>5167630</wp:posOffset>
                </wp:positionH>
                <wp:positionV relativeFrom="paragraph">
                  <wp:posOffset>704215</wp:posOffset>
                </wp:positionV>
                <wp:extent cx="255905" cy="167640"/>
                <wp:wrapTopAndBottom/>
                <wp:docPr id="32" name="Shape 32"/>
                <a:graphic xmlns:a="http://schemas.openxmlformats.org/drawingml/2006/main">
                  <a:graphicData uri="http://schemas.microsoft.com/office/word/2010/wordprocessingShape">
                    <wps:wsp>
                      <wps:cNvSpPr txBox="1"/>
                      <wps:spPr>
                        <a:xfrm>
                          <a:ext cx="255905" cy="16764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spacing w:val="0"/>
                                <w:w w:val="100"/>
                                <w:position w:val="0"/>
                              </w:rPr>
                              <w:t>19.5</w:t>
                            </w:r>
                          </w:p>
                        </w:txbxContent>
                      </wps:txbx>
                      <wps:bodyPr lIns="0" tIns="0" rIns="0" bIns="0">
                        <a:noAutoFit/>
                      </wps:bodyPr>
                    </wps:wsp>
                  </a:graphicData>
                </a:graphic>
              </wp:anchor>
            </w:drawing>
          </mc:Choice>
          <mc:Fallback>
            <w:pict>
              <v:shape id="_x0000_s1058" type="#_x0000_t202" style="position:absolute;margin-left:406.90000000000003pt;margin-top:55.450000000000003pt;width:20.150000000000002pt;height:13.200000000000001pt;z-index:-125829357;mso-wrap-distance-left:56.25pt;mso-wrap-distance-right:421.35000000000002pt"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spacing w:val="0"/>
                          <w:w w:val="100"/>
                          <w:position w:val="0"/>
                        </w:rPr>
                        <w:t>19.5</w:t>
                      </w:r>
                    </w:p>
                  </w:txbxContent>
                </v:textbox>
                <w10:wrap type="topAndBottom"/>
              </v:shape>
            </w:pict>
          </mc:Fallback>
        </mc:AlternateContent>
      </w:r>
      <w:r>
        <mc:AlternateContent>
          <mc:Choice Requires="wps">
            <w:drawing>
              <wp:anchor distT="0" distB="0" distL="714375" distR="4549140" simplePos="0" relativeHeight="125829398" behindDoc="0" locked="0" layoutInCell="1" allowOverlap="1">
                <wp:simplePos x="0" y="0"/>
                <wp:positionH relativeFrom="column">
                  <wp:posOffset>934085</wp:posOffset>
                </wp:positionH>
                <wp:positionV relativeFrom="paragraph">
                  <wp:posOffset>688975</wp:posOffset>
                </wp:positionV>
                <wp:extent cx="1057910" cy="222250"/>
                <wp:wrapTopAndBottom/>
                <wp:docPr id="34" name="Shape 34"/>
                <a:graphic xmlns:a="http://schemas.openxmlformats.org/drawingml/2006/main">
                  <a:graphicData uri="http://schemas.microsoft.com/office/word/2010/wordprocessingShape">
                    <wps:wsp>
                      <wps:cNvSpPr txBox="1"/>
                      <wps:spPr>
                        <a:xfrm>
                          <a:ext cx="1057910" cy="222250"/>
                        </a:xfrm>
                        <a:prstGeom prst="rect"/>
                        <a:noFill/>
                      </wps:spPr>
                      <wps:txbx>
                        <w:txbxContent>
                          <w:p>
                            <w:pPr>
                              <w:pStyle w:val="Style39"/>
                              <w:keepNext w:val="0"/>
                              <w:keepLines w:val="0"/>
                              <w:widowControl w:val="0"/>
                              <w:shd w:val="clear" w:color="auto" w:fill="auto"/>
                              <w:tabs>
                                <w:tab w:pos="538" w:val="left"/>
                                <w:tab w:pos="1210" w:val="lef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vertAlign w:val="superscript"/>
                              </w:rPr>
                              <w:t>20</w:t>
                              <w:tab/>
                              <w:t>18</w:t>
                            </w:r>
                            <w:r>
                              <w:rPr>
                                <w:rFonts w:ascii="Times New Roman" w:eastAsia="Times New Roman" w:hAnsi="Times New Roman" w:cs="Times New Roman"/>
                                <w:b/>
                                <w:bCs/>
                                <w:color w:val="000000"/>
                                <w:spacing w:val="0"/>
                                <w:w w:val="100"/>
                                <w:position w:val="0"/>
                              </w:rPr>
                              <w:t xml:space="preserve">- </w:t>
                            </w:r>
                            <w:r>
                              <w:rPr>
                                <w:rFonts w:ascii="Times New Roman" w:eastAsia="Times New Roman" w:hAnsi="Times New Roman" w:cs="Times New Roman"/>
                                <w:b/>
                                <w:bCs/>
                                <w:color w:val="000000"/>
                                <w:spacing w:val="0"/>
                                <w:w w:val="100"/>
                                <w:position w:val="0"/>
                                <w:vertAlign w:val="superscript"/>
                              </w:rPr>
                              <w:t>8</w:t>
                            </w:r>
                            <w:r>
                              <w:rPr>
                                <w:rFonts w:ascii="Times New Roman" w:eastAsia="Times New Roman" w:hAnsi="Times New Roman" w:cs="Times New Roman"/>
                                <w:b/>
                                <w:bCs/>
                                <w:color w:val="000000"/>
                                <w:spacing w:val="0"/>
                                <w:w w:val="100"/>
                                <w:position w:val="0"/>
                              </w:rPr>
                              <w:tab/>
                            </w:r>
                            <w:r>
                              <w:rPr>
                                <w:rFonts w:ascii="Times New Roman" w:eastAsia="Times New Roman" w:hAnsi="Times New Roman" w:cs="Times New Roman"/>
                                <w:b/>
                                <w:bCs/>
                                <w:color w:val="000000"/>
                                <w:spacing w:val="0"/>
                                <w:w w:val="100"/>
                                <w:position w:val="0"/>
                              </w:rPr>
                              <w:t>17.</w:t>
                            </w:r>
                            <w:r>
                              <w:rPr>
                                <w:rFonts w:ascii="Times New Roman" w:eastAsia="Times New Roman" w:hAnsi="Times New Roman" w:cs="Times New Roman"/>
                                <w:b/>
                                <w:bCs/>
                                <w:color w:val="000000"/>
                                <w:spacing w:val="0"/>
                                <w:w w:val="100"/>
                                <w:position w:val="0"/>
                              </w:rPr>
                              <w:t>8</w:t>
                            </w:r>
                          </w:p>
                        </w:txbxContent>
                      </wps:txbx>
                      <wps:bodyPr lIns="0" tIns="0" rIns="0" bIns="0">
                        <a:noAutoFit/>
                      </wps:bodyPr>
                    </wps:wsp>
                  </a:graphicData>
                </a:graphic>
              </wp:anchor>
            </w:drawing>
          </mc:Choice>
          <mc:Fallback>
            <w:pict>
              <v:shape id="_x0000_s1060" type="#_x0000_t202" style="position:absolute;margin-left:73.549999999999997pt;margin-top:54.25pt;width:83.299999999999997pt;height:17.5pt;z-index:-125829355;mso-wrap-distance-left:56.25pt;mso-wrap-distance-right:358.19999999999999pt" filled="f" stroked="f">
                <v:textbox inset="0,0,0,0">
                  <w:txbxContent>
                    <w:p>
                      <w:pPr>
                        <w:pStyle w:val="Style39"/>
                        <w:keepNext w:val="0"/>
                        <w:keepLines w:val="0"/>
                        <w:widowControl w:val="0"/>
                        <w:shd w:val="clear" w:color="auto" w:fill="auto"/>
                        <w:tabs>
                          <w:tab w:pos="538" w:val="left"/>
                          <w:tab w:pos="1210" w:val="lef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vertAlign w:val="superscript"/>
                        </w:rPr>
                        <w:t>20</w:t>
                        <w:tab/>
                        <w:t>18</w:t>
                      </w:r>
                      <w:r>
                        <w:rPr>
                          <w:rFonts w:ascii="Times New Roman" w:eastAsia="Times New Roman" w:hAnsi="Times New Roman" w:cs="Times New Roman"/>
                          <w:b/>
                          <w:bCs/>
                          <w:color w:val="000000"/>
                          <w:spacing w:val="0"/>
                          <w:w w:val="100"/>
                          <w:position w:val="0"/>
                        </w:rPr>
                        <w:t xml:space="preserve">- </w:t>
                      </w:r>
                      <w:r>
                        <w:rPr>
                          <w:rFonts w:ascii="Times New Roman" w:eastAsia="Times New Roman" w:hAnsi="Times New Roman" w:cs="Times New Roman"/>
                          <w:b/>
                          <w:bCs/>
                          <w:color w:val="000000"/>
                          <w:spacing w:val="0"/>
                          <w:w w:val="100"/>
                          <w:position w:val="0"/>
                          <w:vertAlign w:val="superscript"/>
                        </w:rPr>
                        <w:t>8</w:t>
                      </w:r>
                      <w:r>
                        <w:rPr>
                          <w:rFonts w:ascii="Times New Roman" w:eastAsia="Times New Roman" w:hAnsi="Times New Roman" w:cs="Times New Roman"/>
                          <w:b/>
                          <w:bCs/>
                          <w:color w:val="000000"/>
                          <w:spacing w:val="0"/>
                          <w:w w:val="100"/>
                          <w:position w:val="0"/>
                        </w:rPr>
                        <w:tab/>
                      </w:r>
                      <w:r>
                        <w:rPr>
                          <w:rFonts w:ascii="Times New Roman" w:eastAsia="Times New Roman" w:hAnsi="Times New Roman" w:cs="Times New Roman"/>
                          <w:b/>
                          <w:bCs/>
                          <w:color w:val="000000"/>
                          <w:spacing w:val="0"/>
                          <w:w w:val="100"/>
                          <w:position w:val="0"/>
                        </w:rPr>
                        <w:t>17.</w:t>
                      </w:r>
                      <w:r>
                        <w:rPr>
                          <w:rFonts w:ascii="Times New Roman" w:eastAsia="Times New Roman" w:hAnsi="Times New Roman" w:cs="Times New Roman"/>
                          <w:b/>
                          <w:bCs/>
                          <w:color w:val="000000"/>
                          <w:spacing w:val="0"/>
                          <w:w w:val="100"/>
                          <w:position w:val="0"/>
                        </w:rPr>
                        <w:t>8</w:t>
                      </w:r>
                    </w:p>
                  </w:txbxContent>
                </v:textbox>
                <w10:wrap type="topAndBottom"/>
              </v:shape>
            </w:pict>
          </mc:Fallback>
        </mc:AlternateContent>
      </w:r>
      <w:r>
        <mc:AlternateContent>
          <mc:Choice Requires="wps">
            <w:drawing>
              <wp:anchor distT="0" distB="0" distL="714375" distR="3214370" simplePos="0" relativeHeight="125829400" behindDoc="0" locked="0" layoutInCell="1" allowOverlap="1">
                <wp:simplePos x="0" y="0"/>
                <wp:positionH relativeFrom="column">
                  <wp:posOffset>2558415</wp:posOffset>
                </wp:positionH>
                <wp:positionV relativeFrom="paragraph">
                  <wp:posOffset>612775</wp:posOffset>
                </wp:positionV>
                <wp:extent cx="2392680" cy="265430"/>
                <wp:wrapTopAndBottom/>
                <wp:docPr id="36" name="Shape 36"/>
                <a:graphic xmlns:a="http://schemas.openxmlformats.org/drawingml/2006/main">
                  <a:graphicData uri="http://schemas.microsoft.com/office/word/2010/wordprocessingShape">
                    <wps:wsp>
                      <wps:cNvSpPr txBox="1"/>
                      <wps:spPr>
                        <a:xfrm>
                          <a:ext cx="2392680" cy="2654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34"/>
                                <w:szCs w:val="34"/>
                              </w:rPr>
                              <w:t>翼 党 牛：</w:t>
                            </w:r>
                            <w:r>
                              <w:rPr>
                                <w:rFonts w:ascii="Times New Roman" w:eastAsia="Times New Roman" w:hAnsi="Times New Roman" w:cs="Times New Roman"/>
                                <w:b/>
                                <w:bCs/>
                                <w:color w:val="000000"/>
                                <w:spacing w:val="0"/>
                                <w:w w:val="100"/>
                                <w:position w:val="0"/>
                              </w:rPr>
                              <w:t>19.3 18.6 19.8</w:t>
                            </w:r>
                          </w:p>
                        </w:txbxContent>
                      </wps:txbx>
                      <wps:bodyPr lIns="0" tIns="0" rIns="0" bIns="0">
                        <a:noAutoFit/>
                      </wps:bodyPr>
                    </wps:wsp>
                  </a:graphicData>
                </a:graphic>
              </wp:anchor>
            </w:drawing>
          </mc:Choice>
          <mc:Fallback>
            <w:pict>
              <v:shape id="_x0000_s1062" type="#_x0000_t202" style="position:absolute;margin-left:201.45000000000002pt;margin-top:48.25pt;width:188.40000000000001pt;height:20.900000000000002pt;z-index:-125829353;mso-wrap-distance-left:56.25pt;mso-wrap-distance-right:253.09999999999999pt"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34"/>
                          <w:szCs w:val="34"/>
                        </w:rPr>
                        <w:t>翼 党 牛：</w:t>
                      </w:r>
                      <w:r>
                        <w:rPr>
                          <w:rFonts w:ascii="Times New Roman" w:eastAsia="Times New Roman" w:hAnsi="Times New Roman" w:cs="Times New Roman"/>
                          <w:b/>
                          <w:bCs/>
                          <w:color w:val="000000"/>
                          <w:spacing w:val="0"/>
                          <w:w w:val="100"/>
                          <w:position w:val="0"/>
                        </w:rPr>
                        <w:t>19.3 18.6 19.8</w:t>
                      </w:r>
                    </w:p>
                  </w:txbxContent>
                </v:textbox>
                <w10:wrap type="topAndBottom"/>
              </v:shape>
            </w:pict>
          </mc:Fallback>
        </mc:AlternateContent>
      </w:r>
      <w:r>
        <mc:AlternateContent>
          <mc:Choice Requires="wps">
            <w:drawing>
              <wp:anchor distT="0" distB="0" distL="714375" distR="4711065" simplePos="0" relativeHeight="125829402" behindDoc="0" locked="0" layoutInCell="1" allowOverlap="1">
                <wp:simplePos x="0" y="0"/>
                <wp:positionH relativeFrom="column">
                  <wp:posOffset>4436110</wp:posOffset>
                </wp:positionH>
                <wp:positionV relativeFrom="paragraph">
                  <wp:posOffset>247015</wp:posOffset>
                </wp:positionV>
                <wp:extent cx="895985" cy="341630"/>
                <wp:wrapTopAndBottom/>
                <wp:docPr id="38" name="Shape 38"/>
                <a:graphic xmlns:a="http://schemas.openxmlformats.org/drawingml/2006/main">
                  <a:graphicData uri="http://schemas.microsoft.com/office/word/2010/wordprocessingShape">
                    <wps:wsp>
                      <wps:cNvSpPr txBox="1"/>
                      <wps:spPr>
                        <a:xfrm>
                          <a:ext cx="895985" cy="3416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8"/>
                                <w:szCs w:val="18"/>
                              </w:rPr>
                              <w:t>+ 2016</w:t>
                            </w:r>
                            <w:r>
                              <w:rPr>
                                <w:rFonts w:ascii="SimSun" w:eastAsia="SimSun" w:hAnsi="SimSun" w:cs="SimSun"/>
                                <w:b/>
                                <w:bCs/>
                                <w:spacing w:val="0"/>
                                <w:w w:val="100"/>
                                <w:position w:val="0"/>
                                <w:sz w:val="17"/>
                                <w:szCs w:val="17"/>
                              </w:rPr>
                              <w:t>年增速%</w:t>
                            </w:r>
                          </w:p>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4E4847"/>
                                <w:spacing w:val="0"/>
                                <w:w w:val="100"/>
                                <w:position w:val="0"/>
                                <w:sz w:val="18"/>
                                <w:szCs w:val="18"/>
                              </w:rPr>
                              <w:t>*201</w:t>
                            </w:r>
                            <w:r>
                              <w:rPr>
                                <w:spacing w:val="0"/>
                                <w:w w:val="100"/>
                                <w:position w:val="0"/>
                                <w:sz w:val="18"/>
                                <w:szCs w:val="18"/>
                              </w:rPr>
                              <w:t>5</w:t>
                            </w:r>
                            <w:r>
                              <w:rPr>
                                <w:rFonts w:ascii="SimSun" w:eastAsia="SimSun" w:hAnsi="SimSun" w:cs="SimSun"/>
                                <w:b/>
                                <w:bCs/>
                                <w:spacing w:val="0"/>
                                <w:w w:val="100"/>
                                <w:position w:val="0"/>
                                <w:sz w:val="17"/>
                                <w:szCs w:val="17"/>
                              </w:rPr>
                              <w:t>年增速%</w:t>
                            </w:r>
                          </w:p>
                        </w:txbxContent>
                      </wps:txbx>
                      <wps:bodyPr lIns="0" tIns="0" rIns="0" bIns="0">
                        <a:noAutoFit/>
                      </wps:bodyPr>
                    </wps:wsp>
                  </a:graphicData>
                </a:graphic>
              </wp:anchor>
            </w:drawing>
          </mc:Choice>
          <mc:Fallback>
            <w:pict>
              <v:shape id="_x0000_s1064" type="#_x0000_t202" style="position:absolute;margin-left:349.30000000000001pt;margin-top:19.449999999999999pt;width:70.549999999999997pt;height:26.900000000000002pt;z-index:-125829351;mso-wrap-distance-left:56.25pt;mso-wrap-distance-right:370.94999999999999pt" filled="f" stroked="f">
                <v:textbox inset="0,0,0,0">
                  <w:txbxContent>
                    <w:p>
                      <w:pPr>
                        <w:pStyle w:val="Style39"/>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8"/>
                          <w:szCs w:val="18"/>
                        </w:rPr>
                        <w:t>+ 2016</w:t>
                      </w:r>
                      <w:r>
                        <w:rPr>
                          <w:rFonts w:ascii="SimSun" w:eastAsia="SimSun" w:hAnsi="SimSun" w:cs="SimSun"/>
                          <w:b/>
                          <w:bCs/>
                          <w:spacing w:val="0"/>
                          <w:w w:val="100"/>
                          <w:position w:val="0"/>
                          <w:sz w:val="17"/>
                          <w:szCs w:val="17"/>
                        </w:rPr>
                        <w:t>年增速%</w:t>
                      </w:r>
                    </w:p>
                    <w:p>
                      <w:pPr>
                        <w:pStyle w:val="Style39"/>
                        <w:keepNext w:val="0"/>
                        <w:keepLines w:val="0"/>
                        <w:widowControl w:val="0"/>
                        <w:shd w:val="clear" w:color="auto" w:fill="auto"/>
                        <w:bidi w:val="0"/>
                        <w:spacing w:before="0" w:after="0" w:line="240" w:lineRule="auto"/>
                        <w:ind w:left="0" w:right="0" w:firstLine="0"/>
                        <w:jc w:val="center"/>
                        <w:rPr>
                          <w:sz w:val="17"/>
                          <w:szCs w:val="17"/>
                        </w:rPr>
                      </w:pPr>
                      <w:r>
                        <w:rPr>
                          <w:color w:val="4E4847"/>
                          <w:spacing w:val="0"/>
                          <w:w w:val="100"/>
                          <w:position w:val="0"/>
                          <w:sz w:val="18"/>
                          <w:szCs w:val="18"/>
                        </w:rPr>
                        <w:t>*201</w:t>
                      </w:r>
                      <w:r>
                        <w:rPr>
                          <w:spacing w:val="0"/>
                          <w:w w:val="100"/>
                          <w:position w:val="0"/>
                          <w:sz w:val="18"/>
                          <w:szCs w:val="18"/>
                        </w:rPr>
                        <w:t>5</w:t>
                      </w:r>
                      <w:r>
                        <w:rPr>
                          <w:rFonts w:ascii="SimSun" w:eastAsia="SimSun" w:hAnsi="SimSun" w:cs="SimSun"/>
                          <w:b/>
                          <w:bCs/>
                          <w:spacing w:val="0"/>
                          <w:w w:val="100"/>
                          <w:position w:val="0"/>
                          <w:sz w:val="17"/>
                          <w:szCs w:val="17"/>
                        </w:rPr>
                        <w:t>年增速%</w:t>
                      </w:r>
                    </w:p>
                  </w:txbxContent>
                </v:textbox>
                <w10:wrap type="topAndBottom"/>
              </v:shape>
            </w:pict>
          </mc:Fallback>
        </mc:AlternateContent>
      </w:r>
    </w:p>
    <w:p>
      <w:pPr>
        <w:pStyle w:val="Style29"/>
        <w:keepNext w:val="0"/>
        <w:keepLines w:val="0"/>
        <w:widowControl w:val="0"/>
        <w:shd w:val="clear" w:color="auto" w:fill="auto"/>
        <w:bidi w:val="0"/>
        <w:spacing w:before="0" w:line="314" w:lineRule="exact"/>
        <w:ind w:left="0" w:right="0"/>
        <w:jc w:val="both"/>
      </w:pPr>
      <w:r>
        <w:rPr>
          <w:color w:val="000000"/>
          <w:spacing w:val="0"/>
          <w:w w:val="100"/>
          <w:position w:val="0"/>
        </w:rPr>
        <w:t>虽然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年软件行业收入及利润增速相比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年有所回落，但整体呈现增长态势，软件行业发展仍处于高速发展阶段：</w:t>
      </w:r>
    </w:p>
    <w:p>
      <w:pPr>
        <w:pStyle w:val="Style29"/>
        <w:keepNext w:val="0"/>
        <w:keepLines w:val="0"/>
        <w:widowControl w:val="0"/>
        <w:shd w:val="clear" w:color="auto" w:fill="auto"/>
        <w:bidi w:val="0"/>
        <w:spacing w:before="0" w:line="312" w:lineRule="exact"/>
        <w:ind w:left="0" w:right="0"/>
        <w:jc w:val="both"/>
      </w:pPr>
      <w:r>
        <w:rPr>
          <w:color w:val="000000"/>
          <w:spacing w:val="0"/>
          <w:w w:val="100"/>
          <w:position w:val="0"/>
        </w:rPr>
        <w:t>当前，全球软件行业正处于成长期向成熟期转变的阶段，而我国的软件行业正处于高速发展的成长期。未来随着我国软 件行业的逐渐成熟，我国软件及</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服务收入将持续提高，发展空间广阔。我国企业用户的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需求已经由基于信息系统基础构 建转变成基于自身业务发展需要，因此各行业对于基于其自身行业特点的应用软件，连接应用软件和底层操作软件之间的中 间件，跨行业的管理软件以及基于现有系统的专业化服务呈现出旺盛的需求。</w:t>
      </w:r>
    </w:p>
    <w:p>
      <w:pPr>
        <w:pStyle w:val="Style29"/>
        <w:keepNext w:val="0"/>
        <w:keepLines w:val="0"/>
        <w:widowControl w:val="0"/>
        <w:shd w:val="clear" w:color="auto" w:fill="auto"/>
        <w:bidi w:val="0"/>
        <w:spacing w:before="0" w:line="314" w:lineRule="exact"/>
        <w:ind w:left="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年，工业和信息化部制定的软件和信息技术服务业发展规划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年）规划要求目标到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年，业务收入突 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万亿元，年均增长</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以上，占信息产业比重超过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,其中信息技术服务收入占业务收入比重达到</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。信息安全产品 收入达到</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亿元，年均增长</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以上。软件出口超过</w:t>
      </w:r>
      <w:r>
        <w:rPr>
          <w:rFonts w:ascii="Times New Roman" w:eastAsia="Times New Roman" w:hAnsi="Times New Roman" w:cs="Times New Roman"/>
          <w:color w:val="000000"/>
          <w:spacing w:val="0"/>
          <w:w w:val="100"/>
          <w:position w:val="0"/>
          <w:sz w:val="18"/>
          <w:szCs w:val="18"/>
        </w:rPr>
        <w:t>680</w:t>
      </w:r>
      <w:r>
        <w:rPr>
          <w:color w:val="000000"/>
          <w:spacing w:val="0"/>
          <w:w w:val="100"/>
          <w:position w:val="0"/>
        </w:rPr>
        <w:t>亿美元。软件从业人员达到</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万人。计划产生</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家收入千亿级 企业。</w:t>
      </w:r>
    </w:p>
    <w:p>
      <w:pPr>
        <w:pStyle w:val="Style29"/>
        <w:keepNext w:val="0"/>
        <w:keepLines w:val="0"/>
        <w:widowControl w:val="0"/>
        <w:shd w:val="clear" w:color="auto" w:fill="auto"/>
        <w:bidi w:val="0"/>
        <w:spacing w:before="0" w:line="319" w:lineRule="exact"/>
        <w:ind w:left="0" w:right="0"/>
        <w:jc w:val="both"/>
      </w:pPr>
      <w:r>
        <w:rPr>
          <w:color w:val="000000"/>
          <w:spacing w:val="0"/>
          <w:w w:val="100"/>
          <w:position w:val="0"/>
        </w:rPr>
        <w:t>公司自成立以来，始终专注于金融信息化领域，为以银行业、保险业、证券业为主的金融客户提供软件及</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服务。在金 融业信息化市场积累了丰富的实践经验和大量的优质客户，在业内享有较高的品牌知名度和领先的行业地位，是我国金融业 信息化领域的领先企业之一。</w:t>
      </w:r>
    </w:p>
    <w:p>
      <w:pPr>
        <w:pStyle w:val="Style29"/>
        <w:keepNext w:val="0"/>
        <w:keepLines w:val="0"/>
        <w:widowControl w:val="0"/>
        <w:shd w:val="clear" w:color="auto" w:fill="auto"/>
        <w:bidi w:val="0"/>
        <w:spacing w:before="0" w:line="317" w:lineRule="exact"/>
        <w:ind w:left="0" w:right="0"/>
        <w:jc w:val="both"/>
      </w:pPr>
      <w:r>
        <w:rPr>
          <w:color w:val="000000"/>
          <w:spacing w:val="0"/>
          <w:w w:val="100"/>
          <w:position w:val="0"/>
        </w:rPr>
        <w:t>金融信息化行业在过去五年经历了快速增长，其发展速度要快于其他</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行业的平均值。过去几年也是中国传统金融行业 转型升级的重要时期，银行、保险和证券行业在</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方面的投入不断提高。金融</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的发展直接关系到传统金融领域的业务创新 和技术升级的成功与否。</w:t>
      </w:r>
    </w:p>
    <w:p>
      <w:pPr>
        <w:pStyle w:val="Style29"/>
        <w:keepNext w:val="0"/>
        <w:keepLines w:val="0"/>
        <w:widowControl w:val="0"/>
        <w:shd w:val="clear" w:color="auto" w:fill="auto"/>
        <w:bidi w:val="0"/>
        <w:spacing w:before="0" w:line="317" w:lineRule="exact"/>
        <w:ind w:left="0" w:right="0"/>
        <w:jc w:val="both"/>
      </w:pPr>
      <w:r>
        <w:rPr>
          <w:color w:val="000000"/>
          <w:spacing w:val="0"/>
          <w:w w:val="100"/>
          <w:position w:val="0"/>
        </w:rPr>
        <w:t>公司在多年的经营过程中，深耕金融</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领域，积累了众多的优质客户和丰富的案例经验。公司上市后，积极开展资本运 作，报告期内完成重大资产重组，将上海睿民纳入麾下，进一步提升公司金融信息服务能力，增强客户服务粘性，提高市场 占有率。</w:t>
      </w:r>
    </w:p>
    <w:p>
      <w:pPr>
        <w:pStyle w:val="Style29"/>
        <w:keepNext w:val="0"/>
        <w:keepLines w:val="0"/>
        <w:widowControl w:val="0"/>
        <w:shd w:val="clear" w:color="auto" w:fill="auto"/>
        <w:bidi w:val="0"/>
        <w:spacing w:before="0" w:line="314" w:lineRule="exact"/>
        <w:ind w:left="0" w:right="0" w:firstLine="0"/>
        <w:jc w:val="left"/>
      </w:pPr>
      <w:r>
        <w:rPr>
          <w:rFonts w:ascii="Palatino Linotype" w:eastAsia="Palatino Linotype" w:hAnsi="Palatino Linotype" w:cs="Palatino Linotype"/>
          <w:color w:val="000000"/>
          <w:spacing w:val="0"/>
          <w:w w:val="100"/>
          <w:position w:val="0"/>
          <w:sz w:val="18"/>
          <w:szCs w:val="18"/>
        </w:rPr>
        <w:t>2.</w:t>
      </w:r>
      <w:r>
        <w:rPr>
          <w:color w:val="000000"/>
          <w:spacing w:val="0"/>
          <w:w w:val="100"/>
          <w:position w:val="0"/>
        </w:rPr>
        <w:t>移动互联网营销行业分析</w:t>
      </w:r>
    </w:p>
    <w:p>
      <w:pPr>
        <w:pStyle w:val="Style29"/>
        <w:keepNext w:val="0"/>
        <w:keepLines w:val="0"/>
        <w:widowControl w:val="0"/>
        <w:shd w:val="clear" w:color="auto" w:fill="auto"/>
        <w:bidi w:val="0"/>
        <w:spacing w:before="0" w:line="314" w:lineRule="exact"/>
        <w:ind w:left="0" w:right="0"/>
        <w:jc w:val="both"/>
      </w:pPr>
      <w:r>
        <w:rPr>
          <w:color w:val="000000"/>
          <w:spacing w:val="0"/>
          <w:w w:val="100"/>
          <w:position w:val="0"/>
        </w:rPr>
        <w:t>近年来，中国移动互联网市场整体发展迅速。首先，智能手机的普及率非常高，</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年中国智能手机用户规模已达</w:t>
      </w:r>
      <w:r>
        <w:rPr>
          <w:rFonts w:ascii="Times New Roman" w:eastAsia="Times New Roman" w:hAnsi="Times New Roman" w:cs="Times New Roman"/>
          <w:color w:val="000000"/>
          <w:spacing w:val="0"/>
          <w:w w:val="100"/>
          <w:position w:val="0"/>
          <w:sz w:val="18"/>
          <w:szCs w:val="18"/>
        </w:rPr>
        <w:t xml:space="preserve">6.17 </w:t>
      </w:r>
      <w:r>
        <w:rPr>
          <w:color w:val="000000"/>
          <w:spacing w:val="0"/>
          <w:w w:val="100"/>
          <w:position w:val="0"/>
        </w:rPr>
        <w:t>亿人，依托于庞大的移动互联网用户群体，移动互联网营销业务发展如火如荼，广泛应用于金融、能源、社交、媒体等多行 业中，但移动互联网营销公司千差万别，只有拥有领先的技术优势才能真正顺应行业发展，公司正是着眼于坚果技术、尚河 科技两家移动互联网公司的大数据技术能力以及技术实力带来的业绩回报，通过现金收购的方式，将人才与技术一并纳入公 司体系；未来通过企业之间的技术整合，将移动互联网营销与公司的传统服务互通互融，进一步提升公司整体服务优势，为 客户带来更好的体验。</w:t>
      </w:r>
    </w:p>
    <w:p>
      <w:pPr>
        <w:pStyle w:val="Style29"/>
        <w:keepNext w:val="0"/>
        <w:keepLines w:val="0"/>
        <w:widowControl w:val="0"/>
        <w:shd w:val="clear" w:color="auto" w:fill="auto"/>
        <w:bidi w:val="0"/>
        <w:spacing w:before="0" w:line="314" w:lineRule="exact"/>
        <w:ind w:left="0" w:right="0" w:firstLine="0"/>
        <w:jc w:val="both"/>
      </w:pPr>
      <w:bookmarkStart w:id="98" w:name="bookmark98"/>
      <w:r>
        <w:rPr>
          <w:b/>
          <w:bCs/>
          <w:color w:val="000000"/>
          <w:spacing w:val="0"/>
          <w:w w:val="100"/>
          <w:position w:val="0"/>
        </w:rPr>
        <w:t>二</w:t>
      </w:r>
      <w:bookmarkEnd w:id="98"/>
      <w:r>
        <w:rPr>
          <w:b/>
          <w:bCs/>
          <w:color w:val="000000"/>
          <w:spacing w:val="0"/>
          <w:w w:val="100"/>
          <w:position w:val="0"/>
        </w:rPr>
        <w:t>、报告期内经营情况</w:t>
      </w:r>
    </w:p>
    <w:p>
      <w:pPr>
        <w:pStyle w:val="Style29"/>
        <w:keepNext w:val="0"/>
        <w:keepLines w:val="0"/>
        <w:widowControl w:val="0"/>
        <w:shd w:val="clear" w:color="auto" w:fill="auto"/>
        <w:bidi w:val="0"/>
        <w:spacing w:before="0" w:line="314" w:lineRule="exact"/>
        <w:ind w:left="0" w:right="0"/>
        <w:jc w:val="both"/>
      </w:pPr>
      <w:r>
        <w:rPr>
          <w:color w:val="000000"/>
          <w:spacing w:val="0"/>
          <w:w w:val="100"/>
          <w:position w:val="0"/>
        </w:rPr>
        <w:t>报告期内，公司金融信息服务业务承受了较大压力：</w:t>
      </w:r>
    </w:p>
    <w:p>
      <w:pPr>
        <w:pStyle w:val="Style29"/>
        <w:keepNext w:val="0"/>
        <w:keepLines w:val="0"/>
        <w:widowControl w:val="0"/>
        <w:shd w:val="clear" w:color="auto" w:fill="auto"/>
        <w:bidi w:val="0"/>
        <w:spacing w:before="0" w:line="307" w:lineRule="exact"/>
        <w:ind w:left="0" w:right="0"/>
        <w:jc w:val="both"/>
      </w:pPr>
      <w:r>
        <w:rPr>
          <w:color w:val="000000"/>
          <w:spacing w:val="0"/>
          <w:w w:val="100"/>
          <w:position w:val="0"/>
        </w:rPr>
        <w:t>一方面，建设银行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新一代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系统成功上线后，该客户的需求短时间出现下滑。为此公司积极拓展城市商业银行的客户， 并积极调配营销资源突破了一些股份商业银行和区域银行客户，为公司的业务调整带来回报。本报告期，公司的营业收入为 </w:t>
      </w:r>
      <w:r>
        <w:rPr>
          <w:rFonts w:ascii="Times New Roman" w:eastAsia="Times New Roman" w:hAnsi="Times New Roman" w:cs="Times New Roman"/>
          <w:color w:val="000000"/>
          <w:spacing w:val="0"/>
          <w:w w:val="100"/>
          <w:position w:val="0"/>
          <w:sz w:val="18"/>
          <w:szCs w:val="18"/>
        </w:rPr>
        <w:t>97,268.33</w:t>
      </w:r>
      <w:r>
        <w:rPr>
          <w:color w:val="000000"/>
          <w:spacing w:val="0"/>
          <w:w w:val="100"/>
          <w:position w:val="0"/>
        </w:rPr>
        <w:t>万元，同比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93,862.4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3.63%</w:t>
      </w:r>
      <w:r>
        <w:rPr>
          <w:color w:val="000000"/>
          <w:spacing w:val="0"/>
          <w:w w:val="100"/>
          <w:position w:val="0"/>
        </w:rPr>
        <w:t xml:space="preserve">。但这些新客户所带来的业务量短时间不足以完全弥补或者超过核心 客户需求下滑对业绩的影响，而新拓展的客户所贡献的业绩在业务拓展期内的毛利率普遍不高。报告期公司毛利率为 </w:t>
      </w:r>
      <w:r>
        <w:rPr>
          <w:rFonts w:ascii="Times New Roman" w:eastAsia="Times New Roman" w:hAnsi="Times New Roman" w:cs="Times New Roman"/>
          <w:color w:val="000000"/>
          <w:spacing w:val="0"/>
          <w:w w:val="100"/>
          <w:position w:val="0"/>
          <w:sz w:val="18"/>
          <w:szCs w:val="18"/>
        </w:rPr>
        <w:t>24.15%</w:t>
      </w:r>
      <w:r>
        <w:rPr>
          <w:color w:val="000000"/>
          <w:spacing w:val="0"/>
          <w:w w:val="100"/>
          <w:position w:val="0"/>
        </w:rPr>
        <w:t>，同比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24.12%</w:t>
      </w:r>
      <w:r>
        <w:rPr>
          <w:color w:val="000000"/>
          <w:spacing w:val="0"/>
          <w:w w:val="100"/>
          <w:position w:val="0"/>
        </w:rPr>
        <w:t>增长了</w:t>
      </w:r>
      <w:r>
        <w:rPr>
          <w:rFonts w:ascii="Times New Roman" w:eastAsia="Times New Roman" w:hAnsi="Times New Roman" w:cs="Times New Roman"/>
          <w:color w:val="000000"/>
          <w:spacing w:val="0"/>
          <w:w w:val="100"/>
          <w:position w:val="0"/>
          <w:sz w:val="18"/>
          <w:szCs w:val="18"/>
        </w:rPr>
        <w:t>0.03%</w:t>
      </w:r>
      <w:r>
        <w:rPr>
          <w:color w:val="000000"/>
          <w:spacing w:val="0"/>
          <w:w w:val="100"/>
          <w:position w:val="0"/>
        </w:rPr>
        <w:t>,基本持平。</w:t>
      </w:r>
    </w:p>
    <w:p>
      <w:pPr>
        <w:pStyle w:val="Style29"/>
        <w:keepNext w:val="0"/>
        <w:keepLines w:val="0"/>
        <w:widowControl w:val="0"/>
        <w:shd w:val="clear" w:color="auto" w:fill="auto"/>
        <w:bidi w:val="0"/>
        <w:spacing w:before="0" w:line="311" w:lineRule="exact"/>
        <w:ind w:left="0" w:right="0"/>
        <w:jc w:val="both"/>
      </w:pPr>
      <w:r>
        <w:rPr>
          <w:color w:val="000000"/>
          <w:spacing w:val="0"/>
          <w:w w:val="100"/>
          <w:position w:val="0"/>
        </w:rPr>
        <w:t>另一方面，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年公司运营效率同比有所降低，人均成本上升，人均产出没有明显提升。人员利用水平和商机转化水平 下降。与此同时，公司为逆势进行市场拓展和提升产品化率水平，继续探索市场和新技术发展方向，在研发和创新业务领域 保持持续投入，这些前期投入使得管理费用和销售费用同比上涨，报告期公司管理费用和销售费用分别为</w:t>
      </w:r>
      <w:r>
        <w:rPr>
          <w:rFonts w:ascii="Times New Roman" w:eastAsia="Times New Roman" w:hAnsi="Times New Roman" w:cs="Times New Roman"/>
          <w:color w:val="000000"/>
          <w:spacing w:val="0"/>
          <w:w w:val="100"/>
          <w:position w:val="0"/>
          <w:sz w:val="18"/>
          <w:szCs w:val="18"/>
        </w:rPr>
        <w:t>10,564.49</w:t>
      </w:r>
      <w:r>
        <w:rPr>
          <w:color w:val="000000"/>
          <w:spacing w:val="0"/>
          <w:w w:val="100"/>
          <w:position w:val="0"/>
        </w:rPr>
        <w:t xml:space="preserve">万元和 </w:t>
      </w:r>
      <w:r>
        <w:rPr>
          <w:rFonts w:ascii="Times New Roman" w:eastAsia="Times New Roman" w:hAnsi="Times New Roman" w:cs="Times New Roman"/>
          <w:color w:val="000000"/>
          <w:spacing w:val="0"/>
          <w:w w:val="100"/>
          <w:position w:val="0"/>
          <w:sz w:val="18"/>
          <w:szCs w:val="18"/>
        </w:rPr>
        <w:t>10,187.65</w:t>
      </w:r>
      <w:r>
        <w:rPr>
          <w:color w:val="000000"/>
          <w:spacing w:val="0"/>
          <w:w w:val="100"/>
          <w:position w:val="0"/>
        </w:rPr>
        <w:t>万元。这些因素进一步挤压了公司的盈利空间。由于上述原因，报告期归属上市公司股东净利润</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,310.96</w:t>
      </w:r>
      <w:r>
        <w:rPr>
          <w:color w:val="000000"/>
          <w:spacing w:val="0"/>
          <w:w w:val="100"/>
          <w:position w:val="0"/>
        </w:rPr>
        <w:t>万元，较 上年同期</w:t>
      </w:r>
      <w:r>
        <w:rPr>
          <w:rFonts w:ascii="Times New Roman" w:eastAsia="Times New Roman" w:hAnsi="Times New Roman" w:cs="Times New Roman"/>
          <w:color w:val="000000"/>
          <w:spacing w:val="0"/>
          <w:w w:val="100"/>
          <w:position w:val="0"/>
          <w:sz w:val="18"/>
          <w:szCs w:val="18"/>
        </w:rPr>
        <w:t>4,122.89</w:t>
      </w:r>
      <w:r>
        <w:rPr>
          <w:color w:val="000000"/>
          <w:spacing w:val="0"/>
          <w:w w:val="100"/>
          <w:position w:val="0"/>
        </w:rPr>
        <w:t>万元下降</w:t>
      </w:r>
      <w:r>
        <w:rPr>
          <w:rFonts w:ascii="Times New Roman" w:eastAsia="Times New Roman" w:hAnsi="Times New Roman" w:cs="Times New Roman"/>
          <w:color w:val="000000"/>
          <w:spacing w:val="0"/>
          <w:w w:val="100"/>
          <w:position w:val="0"/>
          <w:sz w:val="18"/>
          <w:szCs w:val="18"/>
        </w:rPr>
        <w:t>43.95%</w:t>
      </w:r>
      <w:r>
        <w:rPr>
          <w:color w:val="000000"/>
          <w:spacing w:val="0"/>
          <w:w w:val="100"/>
          <w:position w:val="0"/>
        </w:rPr>
        <w:t>。</w:t>
      </w:r>
    </w:p>
    <w:p>
      <w:pPr>
        <w:pStyle w:val="Style29"/>
        <w:keepNext w:val="0"/>
        <w:keepLines w:val="0"/>
        <w:widowControl w:val="0"/>
        <w:shd w:val="clear" w:color="auto" w:fill="auto"/>
        <w:bidi w:val="0"/>
        <w:spacing w:before="0" w:line="317" w:lineRule="exact"/>
        <w:ind w:left="0" w:right="0"/>
        <w:jc w:val="both"/>
      </w:pPr>
      <w:r>
        <w:rPr>
          <w:color w:val="000000"/>
          <w:spacing w:val="0"/>
          <w:w w:val="100"/>
          <w:position w:val="0"/>
        </w:rPr>
        <w:t>综上所述，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年公司金融信息服务业务面临内部和外部双重压力。从外部而言，核心客户需求周期波动，新客户拓展 期毛利率不高，行业人才成本上涨。从内部看，公司内部运营效率下降，前期费用投入较高，而回报期高峰滞后，这一系列 的问题共同导致了公司业绩的下滑。</w:t>
      </w:r>
    </w:p>
    <w:p>
      <w:pPr>
        <w:pStyle w:val="Style29"/>
        <w:keepNext w:val="0"/>
        <w:keepLines w:val="0"/>
        <w:widowControl w:val="0"/>
        <w:shd w:val="clear" w:color="auto" w:fill="auto"/>
        <w:bidi w:val="0"/>
        <w:spacing w:before="0" w:after="480" w:line="310"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年公司通过收购兼并，使得主营业务进一步多元化。新收购的公司中两家公司的主营业务都属于移动互联网大数 据营销行业，但在经营模式和客户来源方面有所区别。报告期，坚果技术的整体收入为</w:t>
      </w:r>
      <w:r>
        <w:rPr>
          <w:rFonts w:ascii="Times New Roman" w:eastAsia="Times New Roman" w:hAnsi="Times New Roman" w:cs="Times New Roman"/>
          <w:color w:val="000000"/>
          <w:spacing w:val="0"/>
          <w:w w:val="100"/>
          <w:position w:val="0"/>
          <w:sz w:val="18"/>
          <w:szCs w:val="18"/>
        </w:rPr>
        <w:t>4,652.03</w:t>
      </w:r>
      <w:r>
        <w:rPr>
          <w:color w:val="000000"/>
          <w:spacing w:val="0"/>
          <w:w w:val="100"/>
          <w:position w:val="0"/>
        </w:rPr>
        <w:t>万元，实现利润</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,513.01</w:t>
      </w:r>
      <w:r>
        <w:rPr>
          <w:color w:val="000000"/>
          <w:spacing w:val="0"/>
          <w:w w:val="100"/>
          <w:position w:val="0"/>
        </w:rPr>
        <w:t>万 元。尚河科技的整体收入为</w:t>
      </w:r>
      <w:r>
        <w:rPr>
          <w:rFonts w:ascii="Times New Roman" w:eastAsia="Times New Roman" w:hAnsi="Times New Roman" w:cs="Times New Roman"/>
          <w:color w:val="000000"/>
          <w:spacing w:val="0"/>
          <w:w w:val="100"/>
          <w:position w:val="0"/>
          <w:sz w:val="18"/>
          <w:szCs w:val="18"/>
        </w:rPr>
        <w:t>8,966.27</w:t>
      </w:r>
      <w:r>
        <w:rPr>
          <w:color w:val="000000"/>
          <w:spacing w:val="0"/>
          <w:w w:val="100"/>
          <w:position w:val="0"/>
        </w:rPr>
        <w:t>万元，实现利润</w:t>
      </w:r>
      <w:r>
        <w:rPr>
          <w:rFonts w:ascii="Times New Roman" w:eastAsia="Times New Roman" w:hAnsi="Times New Roman" w:cs="Times New Roman"/>
          <w:color w:val="000000"/>
          <w:spacing w:val="0"/>
          <w:w w:val="100"/>
          <w:position w:val="0"/>
          <w:sz w:val="18"/>
          <w:szCs w:val="18"/>
        </w:rPr>
        <w:t>1,483.78</w:t>
      </w:r>
      <w:r>
        <w:rPr>
          <w:color w:val="000000"/>
          <w:spacing w:val="0"/>
          <w:w w:val="100"/>
          <w:position w:val="0"/>
        </w:rPr>
        <w:t>万元。由于上述收购的子公司的并表基准日都在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年的第四季 度，因此这些新收购主体对于公司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年的整体业绩贡献有限。</w:t>
      </w:r>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号——上市公司从事互联网营销业务》的披露要求：</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坚果技术，是一家从事移动互联网营销的公司。该公司一方面依托于手机刷机商、</w:t>
      </w:r>
      <w:r>
        <w:rPr>
          <w:rFonts w:ascii="Times New Roman" w:eastAsia="Times New Roman" w:hAnsi="Times New Roman" w:cs="Times New Roman"/>
          <w:color w:val="000000"/>
          <w:spacing w:val="0"/>
          <w:w w:val="100"/>
          <w:position w:val="0"/>
          <w:sz w:val="18"/>
          <w:szCs w:val="18"/>
        </w:rPr>
        <w:t>Launcher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FOTA</w:t>
      </w:r>
      <w:r>
        <w:rPr>
          <w:color w:val="000000"/>
          <w:spacing w:val="0"/>
          <w:w w:val="100"/>
          <w:position w:val="0"/>
        </w:rPr>
        <w:t>等中间商以及手机 硬件厂商、方案商，持续获得下游充足的全球用户资源。另一方面，坚果技术凭借从上游广告联盟获取的广告订单</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offer</w:t>
      </w:r>
      <w:r>
        <w:rPr>
          <w:color w:val="000000"/>
          <w:spacing w:val="0"/>
          <w:w w:val="100"/>
          <w:position w:val="0"/>
        </w:rPr>
        <w:t xml:space="preserve">）， </w:t>
      </w:r>
      <w:r>
        <w:rPr>
          <w:color w:val="000000"/>
          <w:spacing w:val="0"/>
          <w:w w:val="100"/>
          <w:position w:val="0"/>
        </w:rPr>
        <w:t>以及自己拓展的直客资源，持续获取广告业务机会。坚果技术拥有自己的大数据分析筛选和定位系统，将从下游渠道获得的 用户数据进行数据分析、用户画像，精准定位。通过大数据应用找到最具针对性的营销受众，进行精准的营销投放，从而从 根本上提高广告主广告投放的效率。</w:t>
      </w:r>
    </w:p>
    <w:p>
      <w:pPr>
        <w:pStyle w:val="Style51"/>
        <w:keepNext w:val="0"/>
        <w:keepLines w:val="0"/>
        <w:widowControl w:val="0"/>
        <w:shd w:val="clear" w:color="auto" w:fill="auto"/>
        <w:bidi w:val="0"/>
        <w:spacing w:before="0" w:after="0" w:line="240" w:lineRule="auto"/>
        <w:ind w:left="442" w:right="0" w:firstLine="0"/>
        <w:jc w:val="left"/>
      </w:pPr>
      <w:r>
        <w:rPr>
          <w:color w:val="000000"/>
          <w:spacing w:val="0"/>
          <w:w w:val="100"/>
          <w:position w:val="0"/>
        </w:rPr>
        <w:t>（一）公司流量的导入方式以及占比情况</w:t>
      </w:r>
    </w:p>
    <w:tbl>
      <w:tblPr>
        <w:tblOverlap w:val="never"/>
        <w:jc w:val="left"/>
        <w:tblLayout w:type="fixed"/>
      </w:tblPr>
      <w:tblGrid>
        <w:gridCol w:w="2597"/>
        <w:gridCol w:w="2587"/>
        <w:gridCol w:w="2597"/>
      </w:tblGrid>
      <w:tr>
        <w:trPr>
          <w:trHeight w:val="35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流量导入方式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Palatino Linotype" w:eastAsia="Palatino Linotype" w:hAnsi="Palatino Linotype" w:cs="Palatino Linotype"/>
                <w:color w:val="000000"/>
                <w:spacing w:val="0"/>
                <w:w w:val="100"/>
                <w:position w:val="0"/>
                <w:sz w:val="18"/>
                <w:szCs w:val="18"/>
              </w:rPr>
              <w:t>2016</w:t>
            </w:r>
            <w:r>
              <w:rPr>
                <w:b/>
                <w:bCs/>
                <w:color w:val="000000"/>
                <w:spacing w:val="0"/>
                <w:w w:val="100"/>
                <w:position w:val="0"/>
              </w:rPr>
              <w:t>年导入量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导入占比（</w:t>
            </w:r>
            <w:r>
              <w:rPr>
                <w:rFonts w:ascii="Palatino Linotype" w:eastAsia="Palatino Linotype" w:hAnsi="Palatino Linotype" w:cs="Palatino Linotype"/>
                <w:color w:val="000000"/>
                <w:spacing w:val="0"/>
                <w:w w:val="100"/>
                <w:position w:val="0"/>
                <w:sz w:val="18"/>
                <w:szCs w:val="18"/>
              </w:rPr>
              <w:t>%</w:t>
            </w:r>
            <w:r>
              <w:rPr>
                <w:b/>
                <w:bCs/>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自有平台导入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3,499,365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4.66%</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第三方导入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71,600,438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95.34%</w:t>
            </w:r>
          </w:p>
        </w:tc>
      </w:tr>
      <w:tr>
        <w:trPr>
          <w:trHeight w:val="35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Palatino Linotype" w:eastAsia="Palatino Linotype" w:hAnsi="Palatino Linotype" w:cs="Palatino Linotype"/>
                <w:color w:val="000000"/>
                <w:spacing w:val="0"/>
                <w:w w:val="100"/>
                <w:position w:val="0"/>
                <w:sz w:val="18"/>
                <w:szCs w:val="18"/>
              </w:rPr>
              <w:t>75,099,803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Palatino Linotype" w:eastAsia="Palatino Linotype" w:hAnsi="Palatino Linotype" w:cs="Palatino Linotype"/>
                <w:color w:val="000000"/>
                <w:spacing w:val="0"/>
                <w:w w:val="100"/>
                <w:position w:val="0"/>
                <w:sz w:val="18"/>
                <w:szCs w:val="18"/>
              </w:rPr>
              <w:t>-</w:t>
            </w:r>
          </w:p>
        </w:tc>
      </w:tr>
    </w:tbl>
    <w:p>
      <w:pPr>
        <w:widowControl w:val="0"/>
        <w:spacing w:after="159" w:line="1" w:lineRule="exact"/>
      </w:pPr>
    </w:p>
    <w:p>
      <w:pPr>
        <w:pStyle w:val="Style51"/>
        <w:keepNext w:val="0"/>
        <w:keepLines w:val="0"/>
        <w:widowControl w:val="0"/>
        <w:shd w:val="clear" w:color="auto" w:fill="auto"/>
        <w:bidi w:val="0"/>
        <w:spacing w:before="0" w:after="0" w:line="240" w:lineRule="auto"/>
        <w:ind w:left="442" w:right="0" w:firstLine="0"/>
        <w:jc w:val="left"/>
      </w:pPr>
      <w:r>
        <w:rPr>
          <w:color w:val="000000"/>
          <w:spacing w:val="0"/>
          <w:w w:val="100"/>
          <w:position w:val="0"/>
        </w:rPr>
        <w:t>（二）反映公司主要业务的标准相关的技术指标</w:t>
      </w:r>
    </w:p>
    <w:tbl>
      <w:tblPr>
        <w:tblOverlap w:val="never"/>
        <w:jc w:val="left"/>
        <w:tblLayout w:type="fixed"/>
      </w:tblPr>
      <w:tblGrid>
        <w:gridCol w:w="1570"/>
        <w:gridCol w:w="1560"/>
        <w:gridCol w:w="1560"/>
        <w:gridCol w:w="1555"/>
        <w:gridCol w:w="1570"/>
      </w:tblGrid>
      <w:tr>
        <w:trPr>
          <w:trHeight w:val="36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业务技术指标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Palatino Linotype" w:eastAsia="Palatino Linotype" w:hAnsi="Palatino Linotype" w:cs="Palatino Linotype"/>
                <w:color w:val="000000"/>
                <w:spacing w:val="0"/>
                <w:w w:val="100"/>
                <w:position w:val="0"/>
                <w:sz w:val="18"/>
                <w:szCs w:val="18"/>
              </w:rPr>
              <w:t>2016</w:t>
            </w:r>
            <w:r>
              <w:rPr>
                <w:b/>
                <w:bCs/>
                <w:color w:val="000000"/>
                <w:spacing w:val="0"/>
                <w:w w:val="100"/>
                <w:position w:val="0"/>
              </w:rPr>
              <w:t>年第一季度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Palatino Linotype" w:eastAsia="Palatino Linotype" w:hAnsi="Palatino Linotype" w:cs="Palatino Linotype"/>
                <w:color w:val="000000"/>
                <w:spacing w:val="0"/>
                <w:w w:val="100"/>
                <w:position w:val="0"/>
                <w:sz w:val="18"/>
                <w:szCs w:val="18"/>
              </w:rPr>
              <w:t>2016</w:t>
            </w:r>
            <w:r>
              <w:rPr>
                <w:b/>
                <w:bCs/>
                <w:color w:val="000000"/>
                <w:spacing w:val="0"/>
                <w:w w:val="100"/>
                <w:position w:val="0"/>
              </w:rPr>
              <w:t>年第二季度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Palatino Linotype" w:eastAsia="Palatino Linotype" w:hAnsi="Palatino Linotype" w:cs="Palatino Linotype"/>
                <w:color w:val="000000"/>
                <w:spacing w:val="0"/>
                <w:w w:val="100"/>
                <w:position w:val="0"/>
                <w:sz w:val="18"/>
                <w:szCs w:val="18"/>
              </w:rPr>
              <w:t>2016</w:t>
            </w:r>
            <w:r>
              <w:rPr>
                <w:b/>
                <w:bCs/>
                <w:color w:val="000000"/>
                <w:spacing w:val="0"/>
                <w:w w:val="100"/>
                <w:position w:val="0"/>
              </w:rPr>
              <w:t>年第三季度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Palatino Linotype" w:eastAsia="Palatino Linotype" w:hAnsi="Palatino Linotype" w:cs="Palatino Linotype"/>
                <w:color w:val="000000"/>
                <w:spacing w:val="0"/>
                <w:w w:val="100"/>
                <w:position w:val="0"/>
                <w:sz w:val="18"/>
                <w:szCs w:val="18"/>
              </w:rPr>
              <w:t>2016</w:t>
            </w:r>
            <w:r>
              <w:rPr>
                <w:b/>
                <w:bCs/>
                <w:color w:val="000000"/>
                <w:spacing w:val="0"/>
                <w:w w:val="100"/>
                <w:position w:val="0"/>
              </w:rPr>
              <w:t>年第四季度</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转化率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29.07%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26.10%</w:t>
            </w:r>
          </w:p>
        </w:tc>
      </w:tr>
      <w:tr>
        <w:trPr>
          <w:trHeight w:val="35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点击率</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19.62%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26.31%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22.97%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19.38%</w:t>
            </w:r>
          </w:p>
        </w:tc>
      </w:tr>
    </w:tbl>
    <w:p>
      <w:pPr>
        <w:widowControl w:val="0"/>
        <w:spacing w:after="159" w:line="1" w:lineRule="exact"/>
      </w:pPr>
    </w:p>
    <w:p>
      <w:pPr>
        <w:pStyle w:val="Style51"/>
        <w:keepNext w:val="0"/>
        <w:keepLines w:val="0"/>
        <w:widowControl w:val="0"/>
        <w:shd w:val="clear" w:color="auto" w:fill="auto"/>
        <w:bidi w:val="0"/>
        <w:spacing w:before="0" w:after="0" w:line="240" w:lineRule="auto"/>
        <w:ind w:left="442" w:right="0" w:firstLine="0"/>
        <w:jc w:val="left"/>
      </w:pPr>
      <w:r>
        <w:rPr>
          <w:color w:val="000000"/>
          <w:spacing w:val="0"/>
          <w:w w:val="100"/>
          <w:position w:val="0"/>
        </w:rPr>
        <w:t>（三）按照直接类客户和代理类客户分别披露客户数量、收入金额及客户留存率</w:t>
      </w:r>
    </w:p>
    <w:tbl>
      <w:tblPr>
        <w:tblOverlap w:val="never"/>
        <w:jc w:val="left"/>
        <w:tblLayout w:type="fixed"/>
      </w:tblPr>
      <w:tblGrid>
        <w:gridCol w:w="2318"/>
        <w:gridCol w:w="2731"/>
        <w:gridCol w:w="2741"/>
      </w:tblGrid>
      <w:tr>
        <w:trPr>
          <w:trHeight w:val="36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客户数量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收入金额（万元）</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代理类客户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4,652.03</w:t>
            </w:r>
          </w:p>
        </w:tc>
      </w:tr>
      <w:tr>
        <w:trPr>
          <w:trHeight w:val="35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4, </w:t>
            </w:r>
            <w:r>
              <w:rPr>
                <w:rFonts w:ascii="Times New Roman" w:eastAsia="Times New Roman" w:hAnsi="Times New Roman" w:cs="Times New Roman"/>
                <w:color w:val="000000"/>
                <w:spacing w:val="0"/>
                <w:w w:val="100"/>
                <w:position w:val="0"/>
                <w:sz w:val="18"/>
                <w:szCs w:val="18"/>
              </w:rPr>
              <w:t>652.03</w:t>
            </w:r>
          </w:p>
        </w:tc>
      </w:tr>
    </w:tbl>
    <w:p>
      <w:pPr>
        <w:widowControl w:val="0"/>
        <w:spacing w:after="159" w:line="1" w:lineRule="exact"/>
      </w:pPr>
    </w:p>
    <w:p>
      <w:pPr>
        <w:pStyle w:val="Style51"/>
        <w:keepNext w:val="0"/>
        <w:keepLines w:val="0"/>
        <w:widowControl w:val="0"/>
        <w:shd w:val="clear" w:color="auto" w:fill="auto"/>
        <w:bidi w:val="0"/>
        <w:spacing w:before="0" w:after="0" w:line="240" w:lineRule="auto"/>
        <w:ind w:left="446" w:right="0" w:firstLine="0"/>
        <w:jc w:val="left"/>
      </w:pPr>
      <w:r>
        <w:rPr>
          <w:color w:val="000000"/>
          <w:spacing w:val="0"/>
          <w:w w:val="100"/>
          <w:position w:val="0"/>
        </w:rPr>
        <w:t>（四）按照终端类型披露不同业务类别的收入金额</w:t>
      </w:r>
    </w:p>
    <w:tbl>
      <w:tblPr>
        <w:tblOverlap w:val="never"/>
        <w:jc w:val="left"/>
        <w:tblLayout w:type="fixed"/>
      </w:tblPr>
      <w:tblGrid>
        <w:gridCol w:w="2314"/>
        <w:gridCol w:w="2741"/>
        <w:gridCol w:w="2750"/>
      </w:tblGrid>
      <w:tr>
        <w:trPr>
          <w:trHeight w:val="67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广告平台推广 收入金额（万元）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center"/>
            </w:pPr>
            <w:r>
              <w:rPr>
                <w:b/>
                <w:bCs/>
                <w:color w:val="000000"/>
                <w:spacing w:val="0"/>
                <w:w w:val="100"/>
                <w:position w:val="0"/>
              </w:rPr>
              <w:t>单包推广</w:t>
            </w:r>
          </w:p>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收入金额（万元）</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移动端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3,765.06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886.97</w:t>
            </w:r>
          </w:p>
        </w:tc>
      </w:tr>
      <w:tr>
        <w:trPr>
          <w:trHeight w:val="35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非移动端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59" w:line="1" w:lineRule="exact"/>
      </w:pPr>
    </w:p>
    <w:p>
      <w:pPr>
        <w:pStyle w:val="Style51"/>
        <w:keepNext w:val="0"/>
        <w:keepLines w:val="0"/>
        <w:widowControl w:val="0"/>
        <w:shd w:val="clear" w:color="auto" w:fill="auto"/>
        <w:bidi w:val="0"/>
        <w:spacing w:before="0" w:after="0" w:line="240" w:lineRule="auto"/>
        <w:ind w:left="446" w:right="0" w:firstLine="0"/>
        <w:jc w:val="left"/>
      </w:pPr>
      <w:r>
        <w:rPr>
          <w:color w:val="000000"/>
          <w:spacing w:val="0"/>
          <w:w w:val="100"/>
          <w:position w:val="0"/>
        </w:rPr>
        <w:t>（五）按照合作媒体的类别汇总披露采购金额</w:t>
      </w:r>
    </w:p>
    <w:tbl>
      <w:tblPr>
        <w:tblOverlap w:val="never"/>
        <w:jc w:val="left"/>
        <w:tblLayout w:type="fixed"/>
      </w:tblPr>
      <w:tblGrid>
        <w:gridCol w:w="1723"/>
        <w:gridCol w:w="2040"/>
        <w:gridCol w:w="2045"/>
        <w:gridCol w:w="2050"/>
      </w:tblGrid>
      <w:tr>
        <w:trPr>
          <w:trHeight w:val="67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760"/>
              <w:jc w:val="left"/>
            </w:pPr>
            <w:r>
              <w:rPr>
                <w:b/>
                <w:bCs/>
                <w:color w:val="000000"/>
                <w:spacing w:val="0"/>
                <w:w w:val="100"/>
                <w:position w:val="0"/>
              </w:rPr>
              <w:t>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center"/>
            </w:pPr>
            <w:r>
              <w:rPr>
                <w:b/>
                <w:bCs/>
                <w:color w:val="000000"/>
                <w:spacing w:val="0"/>
                <w:w w:val="100"/>
                <w:position w:val="0"/>
              </w:rPr>
              <w:t>包断计费</w:t>
            </w:r>
          </w:p>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采购金额（万元）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流量计费</w:t>
            </w:r>
          </w:p>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采购金额（万元）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合计采购金额</w:t>
            </w:r>
          </w:p>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（万元）</w:t>
            </w:r>
          </w:p>
        </w:tc>
      </w:tr>
      <w:tr>
        <w:trPr>
          <w:trHeight w:val="35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刷机商</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553.5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553.5</w:t>
            </w:r>
          </w:p>
        </w:tc>
      </w:tr>
    </w:tbl>
    <w:p>
      <w:pPr>
        <w:widowControl w:val="0"/>
        <w:spacing w:after="479" w:line="1" w:lineRule="exact"/>
      </w:pPr>
    </w:p>
    <w:p>
      <w:pPr>
        <w:pStyle w:val="Style29"/>
        <w:keepNext w:val="0"/>
        <w:keepLines w:val="0"/>
        <w:widowControl w:val="0"/>
        <w:shd w:val="clear" w:color="auto" w:fill="auto"/>
        <w:bidi w:val="0"/>
        <w:spacing w:before="0" w:line="314" w:lineRule="exact"/>
        <w:ind w:left="0" w:right="0"/>
        <w:jc w:val="both"/>
      </w:pPr>
      <w:r>
        <w:rPr>
          <w:color w:val="000000"/>
          <w:spacing w:val="0"/>
          <w:w w:val="100"/>
          <w:position w:val="0"/>
        </w:rPr>
        <w:t>尚河科技通过对优秀互联网企业旗下产品提供专有品牌推广业务，相应获得代理权，根据受托方推广产品的收入，按照 协议约定比例与受托方分成。通过对移动广告投放需求方进行营销方案设计，优化产品筛选，同时通过数据分析能力以及运 营能力，对用户进行大数据分析，实现移动广告的精准投放。</w:t>
      </w:r>
    </w:p>
    <w:p>
      <w:pPr>
        <w:pStyle w:val="Style29"/>
        <w:keepNext w:val="0"/>
        <w:keepLines w:val="0"/>
        <w:widowControl w:val="0"/>
        <w:shd w:val="clear" w:color="auto" w:fill="auto"/>
        <w:bidi w:val="0"/>
        <w:spacing w:before="0" w:after="160" w:line="314" w:lineRule="exact"/>
        <w:ind w:left="0" w:right="0"/>
        <w:jc w:val="both"/>
      </w:pPr>
      <w:r>
        <w:rPr>
          <w:color w:val="000000"/>
          <w:spacing w:val="0"/>
          <w:w w:val="100"/>
          <w:position w:val="0"/>
        </w:rPr>
        <w:t>（一）公司数据或者流量的导入方式以及占比情况</w:t>
      </w:r>
    </w:p>
    <w:tbl>
      <w:tblPr>
        <w:tblOverlap w:val="never"/>
        <w:jc w:val="left"/>
        <w:tblLayout w:type="fixed"/>
      </w:tblPr>
      <w:tblGrid>
        <w:gridCol w:w="2218"/>
        <w:gridCol w:w="3149"/>
        <w:gridCol w:w="2688"/>
      </w:tblGrid>
      <w:tr>
        <w:trPr>
          <w:trHeight w:val="35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流量导入方式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Palatino Linotype" w:eastAsia="Palatino Linotype" w:hAnsi="Palatino Linotype" w:cs="Palatino Linotype"/>
                <w:color w:val="000000"/>
                <w:spacing w:val="0"/>
                <w:w w:val="100"/>
                <w:position w:val="0"/>
                <w:sz w:val="18"/>
                <w:szCs w:val="18"/>
              </w:rPr>
              <w:t>2016</w:t>
            </w:r>
            <w:r>
              <w:rPr>
                <w:b/>
                <w:bCs/>
                <w:color w:val="000000"/>
                <w:spacing w:val="0"/>
                <w:w w:val="100"/>
                <w:position w:val="0"/>
              </w:rPr>
              <w:t>年导入量（元）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导入占比（</w:t>
            </w:r>
            <w:r>
              <w:rPr>
                <w:rFonts w:ascii="Palatino Linotype" w:eastAsia="Palatino Linotype" w:hAnsi="Palatino Linotype" w:cs="Palatino Linotype"/>
                <w:color w:val="000000"/>
                <w:spacing w:val="0"/>
                <w:w w:val="100"/>
                <w:position w:val="0"/>
                <w:sz w:val="18"/>
                <w:szCs w:val="18"/>
              </w:rPr>
              <w:t>%</w:t>
            </w:r>
            <w:r>
              <w:rPr>
                <w:b/>
                <w:bCs/>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自有平台导入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12,871,330.57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第三方导入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60,134,735.37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82.37%</w:t>
            </w:r>
          </w:p>
        </w:tc>
      </w:tr>
      <w:tr>
        <w:trPr>
          <w:trHeight w:val="36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73,006,065.94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51"/>
        <w:keepNext w:val="0"/>
        <w:keepLines w:val="0"/>
        <w:widowControl w:val="0"/>
        <w:shd w:val="clear" w:color="auto" w:fill="auto"/>
        <w:bidi w:val="0"/>
        <w:spacing w:before="0" w:after="0" w:line="240" w:lineRule="auto"/>
        <w:ind w:left="442" w:right="0" w:firstLine="0"/>
        <w:jc w:val="left"/>
      </w:pPr>
      <w:r>
        <w:rPr>
          <w:color w:val="000000"/>
          <w:spacing w:val="0"/>
          <w:w w:val="100"/>
          <w:position w:val="0"/>
        </w:rPr>
        <w:t>（二）按照客户类别分别披露客户数量、收入金额及客户留存率</w:t>
      </w:r>
    </w:p>
    <w:tbl>
      <w:tblPr>
        <w:tblOverlap w:val="never"/>
        <w:jc w:val="left"/>
        <w:tblLayout w:type="fixed"/>
      </w:tblPr>
      <w:tblGrid>
        <w:gridCol w:w="1891"/>
        <w:gridCol w:w="1738"/>
        <w:gridCol w:w="2611"/>
        <w:gridCol w:w="1891"/>
      </w:tblGrid>
      <w:tr>
        <w:trPr>
          <w:trHeight w:val="35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客户数量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收入金额（万元）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客户留存率（</w:t>
            </w:r>
            <w:r>
              <w:rPr>
                <w:rFonts w:ascii="Palatino Linotype" w:eastAsia="Palatino Linotype" w:hAnsi="Palatino Linotype" w:cs="Palatino Linotype"/>
                <w:color w:val="000000"/>
                <w:spacing w:val="0"/>
                <w:w w:val="100"/>
                <w:position w:val="0"/>
                <w:sz w:val="18"/>
                <w:szCs w:val="18"/>
              </w:rPr>
              <w:t>%</w:t>
            </w:r>
            <w:r>
              <w:rPr>
                <w:b/>
                <w:bCs/>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直接类客户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6,997.04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代理类客户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1,969.23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12.50%</w:t>
            </w:r>
          </w:p>
        </w:tc>
      </w:tr>
      <w:tr>
        <w:trPr>
          <w:trHeight w:val="35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8,966.27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26.80%</w:t>
            </w:r>
          </w:p>
        </w:tc>
      </w:tr>
    </w:tbl>
    <w:p>
      <w:pPr>
        <w:widowControl w:val="0"/>
        <w:spacing w:after="139" w:line="1" w:lineRule="exact"/>
      </w:pPr>
    </w:p>
    <w:p>
      <w:pPr>
        <w:pStyle w:val="Style51"/>
        <w:keepNext w:val="0"/>
        <w:keepLines w:val="0"/>
        <w:widowControl w:val="0"/>
        <w:shd w:val="clear" w:color="auto" w:fill="auto"/>
        <w:bidi w:val="0"/>
        <w:spacing w:before="0" w:after="0" w:line="240" w:lineRule="auto"/>
        <w:ind w:left="442" w:right="0" w:firstLine="0"/>
        <w:jc w:val="left"/>
      </w:pPr>
      <w:r>
        <w:rPr>
          <w:color w:val="000000"/>
          <w:spacing w:val="0"/>
          <w:w w:val="100"/>
          <w:position w:val="0"/>
        </w:rPr>
        <w:t>（三）按照终端类型披露不同业务类别的收入金额</w:t>
      </w:r>
    </w:p>
    <w:tbl>
      <w:tblPr>
        <w:tblOverlap w:val="never"/>
        <w:jc w:val="left"/>
        <w:tblLayout w:type="fixed"/>
      </w:tblPr>
      <w:tblGrid>
        <w:gridCol w:w="1056"/>
        <w:gridCol w:w="1834"/>
        <w:gridCol w:w="1834"/>
        <w:gridCol w:w="1704"/>
        <w:gridCol w:w="1714"/>
      </w:tblGrid>
      <w:tr>
        <w:trPr>
          <w:trHeight w:val="66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440"/>
              <w:jc w:val="left"/>
            </w:pPr>
            <w:r>
              <w:rPr>
                <w:b/>
                <w:bCs/>
                <w:color w:val="000000"/>
                <w:spacing w:val="0"/>
                <w:w w:val="100"/>
                <w:position w:val="0"/>
              </w:rPr>
              <w:t>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center"/>
            </w:pPr>
            <w:r>
              <w:rPr>
                <w:b/>
                <w:bCs/>
                <w:color w:val="000000"/>
                <w:spacing w:val="0"/>
                <w:w w:val="100"/>
                <w:position w:val="0"/>
              </w:rPr>
              <w:t>电商推广</w:t>
            </w:r>
          </w:p>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收入金额（万元）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第三方平台</w:t>
            </w:r>
          </w:p>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收入金额（万元）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专有品牌推广 收入金额（万元）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自有平台业务 收入金额（万元）</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移动端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1,849.39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3,817.54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2,432.41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866.93</w:t>
            </w:r>
          </w:p>
        </w:tc>
      </w:tr>
      <w:tr>
        <w:trPr>
          <w:trHeight w:val="35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非移动端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51"/>
        <w:keepNext w:val="0"/>
        <w:keepLines w:val="0"/>
        <w:widowControl w:val="0"/>
        <w:shd w:val="clear" w:color="auto" w:fill="auto"/>
        <w:bidi w:val="0"/>
        <w:spacing w:before="0" w:after="0" w:line="240" w:lineRule="auto"/>
        <w:ind w:left="442" w:right="0" w:firstLine="0"/>
        <w:jc w:val="left"/>
      </w:pPr>
      <w:r>
        <w:rPr>
          <w:color w:val="000000"/>
          <w:spacing w:val="0"/>
          <w:w w:val="100"/>
          <w:position w:val="0"/>
        </w:rPr>
        <w:t>（四）按照合作媒体的类别汇总披露采购金额</w:t>
      </w:r>
    </w:p>
    <w:tbl>
      <w:tblPr>
        <w:tblOverlap w:val="never"/>
        <w:jc w:val="left"/>
        <w:tblLayout w:type="fixed"/>
      </w:tblPr>
      <w:tblGrid>
        <w:gridCol w:w="859"/>
        <w:gridCol w:w="2549"/>
        <w:gridCol w:w="2410"/>
        <w:gridCol w:w="2280"/>
      </w:tblGrid>
      <w:tr>
        <w:trPr>
          <w:trHeight w:val="47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包断计费采购金额（万元）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流量计费采购金额（万元）</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合计采购金额（万元）</w:t>
            </w:r>
          </w:p>
        </w:tc>
      </w:tr>
      <w:tr>
        <w:trPr>
          <w:trHeight w:val="480"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总采购</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7,300.61</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7,300.61</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100" w:name="bookmark100"/>
      <w:bookmarkStart w:id="101" w:name="bookmark101"/>
      <w:bookmarkStart w:id="102" w:name="bookmark102"/>
      <w:bookmarkStart w:id="99" w:name="bookmark99"/>
      <w:r>
        <w:rPr>
          <w:color w:val="000000"/>
          <w:spacing w:val="0"/>
          <w:w w:val="100"/>
          <w:position w:val="0"/>
          <w:sz w:val="24"/>
          <w:szCs w:val="24"/>
        </w:rPr>
        <w:t>二</w:t>
      </w:r>
      <w:bookmarkEnd w:id="101"/>
      <w:r>
        <w:rPr>
          <w:color w:val="000000"/>
          <w:spacing w:val="0"/>
          <w:w w:val="100"/>
          <w:position w:val="0"/>
          <w:sz w:val="24"/>
          <w:szCs w:val="24"/>
        </w:rPr>
        <w:t>、主营业务分析</w:t>
      </w:r>
      <w:bookmarkEnd w:id="100"/>
      <w:bookmarkEnd w:id="102"/>
      <w:bookmarkEnd w:id="99"/>
    </w:p>
    <w:p>
      <w:pPr>
        <w:pStyle w:val="Style33"/>
        <w:keepNext/>
        <w:keepLines/>
        <w:widowControl w:val="0"/>
        <w:shd w:val="clear" w:color="auto" w:fill="auto"/>
        <w:tabs>
          <w:tab w:pos="368" w:val="left"/>
        </w:tabs>
        <w:bidi w:val="0"/>
        <w:spacing w:before="0" w:after="380" w:line="240" w:lineRule="auto"/>
        <w:ind w:left="0" w:right="0" w:firstLine="0"/>
        <w:jc w:val="left"/>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1</w:t>
      </w:r>
      <w:bookmarkEnd w:id="105"/>
      <w:r>
        <w:rPr>
          <w:color w:val="000000"/>
          <w:spacing w:val="0"/>
          <w:w w:val="100"/>
          <w:position w:val="0"/>
        </w:rPr>
        <w:t>、</w:t>
        <w:tab/>
        <w:t>概述</w:t>
      </w:r>
      <w:bookmarkEnd w:id="103"/>
      <w:bookmarkEnd w:id="104"/>
      <w:bookmarkEnd w:id="10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2</w:t>
      </w:r>
      <w:bookmarkEnd w:id="109"/>
      <w:r>
        <w:rPr>
          <w:color w:val="000000"/>
          <w:spacing w:val="0"/>
          <w:w w:val="100"/>
          <w:position w:val="0"/>
        </w:rPr>
        <w:t>、</w:t>
        <w:tab/>
        <w:t>收入与成本</w:t>
      </w:r>
      <w:bookmarkEnd w:id="107"/>
      <w:bookmarkEnd w:id="108"/>
      <w:bookmarkEnd w:id="110"/>
    </w:p>
    <w:p>
      <w:pPr>
        <w:pStyle w:val="Style55"/>
        <w:keepNext/>
        <w:keepLines/>
        <w:widowControl w:val="0"/>
        <w:shd w:val="clear" w:color="auto" w:fill="auto"/>
        <w:bidi w:val="0"/>
        <w:spacing w:before="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1"/>
      <w:bookmarkEnd w:id="112"/>
      <w:bookmarkEnd w:id="11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公司是否需要遵守光伏产业链相关业的披露要求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产业链相关业务》的披露要求：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w:t>
      </w:r>
      <w:r>
        <w:rPr>
          <w:color w:val="000000"/>
          <w:spacing w:val="0"/>
          <w:w w:val="100"/>
          <w:position w:val="0"/>
        </w:rPr>
        <w:t>一</w:t>
      </w:r>
      <w:r>
        <w:rPr>
          <w:color w:val="000000"/>
          <w:spacing w:val="0"/>
          <w:w w:val="100"/>
          <w:position w:val="0"/>
        </w:rPr>
        <w:t>上市公司从事医疗器械业务》的披露要求：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598"/>
        <w:gridCol w:w="1594"/>
        <w:gridCol w:w="1598"/>
        <w:gridCol w:w="1594"/>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972,683,347.16</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938,623,959.01</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r>
      <w:tr>
        <w:trPr>
          <w:trHeight w:val="403" w:hRule="exact"/>
        </w:trPr>
        <w:tc>
          <w:tcPr>
            <w:gridSpan w:val="6"/>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741,775,596.46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676,837,266.01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39,622,169.00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133,610,006.76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53,329,409.28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57,659,613.08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61,523,609.12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76,432,563.30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70,517,073.16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403" w:hRule="exact"/>
        </w:trPr>
        <w:tc>
          <w:tcPr>
            <w:gridSpan w:val="6"/>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415,522,894.97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418,496,452.71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389,361,018.11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415,181,654.66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100,228,448.30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104,945,851.64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移动数据推广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31,654,393.97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专有品牌推广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12,525,388.86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自有平台广告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12,500,860.56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6,047,376.66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电商推广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4,842,965.73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03" w:hRule="exact"/>
        </w:trPr>
        <w:tc>
          <w:tcPr>
            <w:gridSpan w:val="6"/>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24,389,949.24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13,416,250.90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492,249,751.32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520,817,380.50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254,959,646.12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227,349,185.16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70,204,569.09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59,862,196.29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51,564,474.19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36,173,978.73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8,719,541.33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1,285,518.02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46,132,043.09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79,719,449.41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r>
      <w:tr>
        <w:trPr>
          <w:trHeight w:val="413"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其他国家</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24,463,372.78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r>
    </w:tbl>
    <w:p>
      <w:pPr>
        <w:widowControl w:val="0"/>
        <w:spacing w:after="319" w:line="1" w:lineRule="exact"/>
      </w:pPr>
    </w:p>
    <w:p>
      <w:pPr>
        <w:pStyle w:val="Style55"/>
        <w:keepNext/>
        <w:keepLines/>
        <w:widowControl w:val="0"/>
        <w:numPr>
          <w:ilvl w:val="0"/>
          <w:numId w:val="3"/>
        </w:numPr>
        <w:shd w:val="clear" w:color="auto" w:fill="auto"/>
        <w:bidi w:val="0"/>
        <w:spacing w:before="0" w:line="240" w:lineRule="auto"/>
        <w:ind w:left="0" w:right="0" w:firstLine="0"/>
        <w:jc w:val="left"/>
      </w:pPr>
      <w:bookmarkStart w:id="115" w:name="bookmark115"/>
      <w:bookmarkStart w:id="116" w:name="bookmark116"/>
      <w:bookmarkStart w:id="117" w:name="bookmark117"/>
      <w:bookmarkStart w:id="118" w:name="bookmark118"/>
      <w:bookmarkEnd w:id="117"/>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5"/>
      <w:bookmarkEnd w:id="116"/>
      <w:bookmarkEnd w:id="118"/>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互联网营销业</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营业收入比上年</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营业成本比上年</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毛利率比上年同</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3"/>
        <w:gridCol w:w="1368"/>
        <w:gridCol w:w="138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同期增减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同期增减</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期增减</w:t>
            </w:r>
          </w:p>
        </w:tc>
      </w:tr>
      <w:tr>
        <w:trPr>
          <w:trHeight w:val="403" w:hRule="exact"/>
        </w:trPr>
        <w:tc>
          <w:tcPr>
            <w:gridSpan w:val="7"/>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741,775,596.46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565,979,388.24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r>
      <w:tr>
        <w:trPr>
          <w:trHeight w:val="398" w:hRule="exact"/>
        </w:trPr>
        <w:tc>
          <w:tcPr>
            <w:gridSpan w:val="7"/>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415,522,894.97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256,107,797.43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100,228,448.30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75,698,744.76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389,361,018.11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363,043,652.64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398" w:hRule="exact"/>
        </w:trPr>
        <w:tc>
          <w:tcPr>
            <w:gridSpan w:val="7"/>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492,249,751.32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361,366,536.80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r>
      <w:tr>
        <w:trPr>
          <w:trHeight w:val="413"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254,959,646.12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193,584,993.89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r>
    </w:tbl>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tabs>
          <w:tab w:pos="493" w:val="left"/>
        </w:tabs>
        <w:bidi w:val="0"/>
        <w:spacing w:before="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9"/>
      <w:bookmarkEnd w:id="120"/>
      <w:bookmarkEnd w:id="122"/>
    </w:p>
    <w:p>
      <w:pPr>
        <w:pStyle w:val="Style29"/>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55"/>
        <w:keepNext/>
        <w:keepLines/>
        <w:widowControl w:val="0"/>
        <w:shd w:val="clear" w:color="auto" w:fill="auto"/>
        <w:tabs>
          <w:tab w:pos="493" w:val="left"/>
        </w:tabs>
        <w:bidi w:val="0"/>
        <w:spacing w:before="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3"/>
      <w:bookmarkEnd w:id="124"/>
      <w:bookmarkEnd w:id="126"/>
    </w:p>
    <w:p>
      <w:pPr>
        <w:pStyle w:val="Style29"/>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tabs>
          <w:tab w:pos="493" w:val="left"/>
        </w:tabs>
        <w:bidi w:val="0"/>
        <w:spacing w:before="0" w:after="24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7"/>
      <w:bookmarkEnd w:id="128"/>
      <w:bookmarkEnd w:id="130"/>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产品分类</w:t>
      </w:r>
    </w:p>
    <w:p>
      <w:pPr>
        <w:pStyle w:val="Style29"/>
        <w:keepNext w:val="0"/>
        <w:keepLines w:val="0"/>
        <w:widowControl w:val="0"/>
        <w:shd w:val="clear" w:color="auto" w:fill="auto"/>
        <w:bidi w:val="0"/>
        <w:spacing w:before="0" w:after="120" w:line="341" w:lineRule="exact"/>
        <w:ind w:left="0" w:right="0" w:firstLine="0"/>
        <w:jc w:val="left"/>
      </w:pPr>
      <w:r>
        <w:rPr>
          <w:color w:val="000000"/>
          <w:spacing w:val="0"/>
          <w:w w:val="100"/>
          <w:position w:val="0"/>
        </w:rPr>
        <w:t>产品分类</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216,594,865.40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194,973,858.55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24,823,534.90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25,028,236.97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14,689,397.13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23,862,467.19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运维服务</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24,744,444.98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38,933,144.08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运维服务</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1,635,704.21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2,718,234.29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运维服务</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49,318,595.57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40,982,260.44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363,043,652.64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385,699,770.52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移动数据推广</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292,128.86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移动数据推广</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159,541.85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移动数据推广</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外购成本</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17,924,893.69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专有品牌推广</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9,679,218.88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自有平台广告</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8,709,479.15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软件外包服务</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3,268,768.32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软件外包服务</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136,198.68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电商推广</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外购成本</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2,726,716.76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变动成本主要是指合同实施过程中发生的差旅费、住宿费、交通费等。</w:t>
      </w:r>
    </w:p>
    <w:p>
      <w:pPr>
        <w:pStyle w:val="Style55"/>
        <w:keepNext/>
        <w:keepLines/>
        <w:widowControl w:val="0"/>
        <w:shd w:val="clear" w:color="auto" w:fill="auto"/>
        <w:tabs>
          <w:tab w:pos="449" w:val="left"/>
        </w:tabs>
        <w:bidi w:val="0"/>
        <w:spacing w:before="0" w:after="28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1"/>
      <w:bookmarkEnd w:id="132"/>
      <w:bookmarkEnd w:id="134"/>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tabs>
          <w:tab w:pos="660" w:val="left"/>
        </w:tabs>
        <w:bidi w:val="0"/>
        <w:spacing w:before="0" w:after="0" w:line="313" w:lineRule="exact"/>
        <w:ind w:left="0" w:right="0" w:firstLine="360"/>
        <w:jc w:val="both"/>
      </w:pPr>
      <w:bookmarkStart w:id="135" w:name="bookmark135"/>
      <w:r>
        <w:rPr>
          <w:rFonts w:ascii="Times New Roman" w:eastAsia="Times New Roman" w:hAnsi="Times New Roman" w:cs="Times New Roman"/>
          <w:color w:val="000000"/>
          <w:spacing w:val="0"/>
          <w:w w:val="100"/>
          <w:position w:val="0"/>
          <w:sz w:val="18"/>
          <w:szCs w:val="18"/>
        </w:rPr>
        <w:t>1</w:t>
      </w:r>
      <w:bookmarkEnd w:id="135"/>
      <w:r>
        <w:rPr>
          <w:color w:val="000000"/>
          <w:spacing w:val="0"/>
          <w:w w:val="100"/>
          <w:position w:val="0"/>
        </w:rPr>
        <w:t>、</w:t>
        <w:tab/>
        <w:t>经中国证券监督管理委员会《关于核准高伟达软件股份有限公司向北京睿韬科技有限责任公司等发行股份购买资产 并募集配套资金的批复》核准，公司向上海睿民互联网科技有限公司原股东非公开发行股份并支付现金的方式购买其</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日，上海市徐汇区市场监督管理局核准了上海睿民互联网科技有限公司的股东变更事宜，并核发变 更后的营业执照。至此，标的资产过户手续已办理完成，高伟达已持有上海睿民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股权，上海睿民互联网科技有限公司 成为公司全资子公司。</w:t>
      </w:r>
    </w:p>
    <w:p>
      <w:pPr>
        <w:pStyle w:val="Style29"/>
        <w:keepNext w:val="0"/>
        <w:keepLines w:val="0"/>
        <w:widowControl w:val="0"/>
        <w:shd w:val="clear" w:color="auto" w:fill="auto"/>
        <w:tabs>
          <w:tab w:pos="665" w:val="left"/>
        </w:tabs>
        <w:bidi w:val="0"/>
        <w:spacing w:before="0" w:after="0" w:line="313" w:lineRule="exact"/>
        <w:ind w:left="0" w:right="0" w:firstLine="360"/>
        <w:jc w:val="both"/>
      </w:pPr>
      <w:bookmarkStart w:id="136" w:name="bookmark136"/>
      <w:r>
        <w:rPr>
          <w:rFonts w:ascii="Times New Roman" w:eastAsia="Times New Roman" w:hAnsi="Times New Roman" w:cs="Times New Roman"/>
          <w:color w:val="000000"/>
          <w:spacing w:val="0"/>
          <w:w w:val="100"/>
          <w:position w:val="0"/>
          <w:sz w:val="18"/>
          <w:szCs w:val="18"/>
        </w:rPr>
        <w:t>2</w:t>
      </w:r>
      <w:bookmarkEnd w:id="13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日，公司第二届董事会第二十四次会议审议通过了《关于使用自有资金收购海南坚果创娱信息技术有限 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股权的议案》，公司使用自有资金</w:t>
      </w:r>
      <w:r>
        <w:rPr>
          <w:rFonts w:ascii="Times New Roman" w:eastAsia="Times New Roman" w:hAnsi="Times New Roman" w:cs="Times New Roman"/>
          <w:color w:val="000000"/>
          <w:spacing w:val="0"/>
          <w:w w:val="100"/>
          <w:position w:val="0"/>
          <w:sz w:val="18"/>
          <w:szCs w:val="18"/>
        </w:rPr>
        <w:t>25,020</w:t>
      </w:r>
      <w:r>
        <w:rPr>
          <w:color w:val="000000"/>
          <w:spacing w:val="0"/>
          <w:w w:val="100"/>
          <w:position w:val="0"/>
        </w:rPr>
        <w:t>万元，在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年期间以分期支付现金的形式，收购海南坚果创 娱信息技术有限公司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日坚果技术已完成股东变更等工商变更登记手续，取得海南省澄迈县工商行政 管理局核发的《营业执照》，至此，标的资产过户手续已办理完成，高伟达已持有坚果技术</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股权，海南坚果创娱信息 技术有限公司成为公司全资子公司。</w:t>
      </w:r>
    </w:p>
    <w:p>
      <w:pPr>
        <w:pStyle w:val="Style29"/>
        <w:keepNext w:val="0"/>
        <w:keepLines w:val="0"/>
        <w:widowControl w:val="0"/>
        <w:shd w:val="clear" w:color="auto" w:fill="auto"/>
        <w:tabs>
          <w:tab w:pos="660" w:val="left"/>
        </w:tabs>
        <w:bidi w:val="0"/>
        <w:spacing w:before="0" w:after="380" w:line="313" w:lineRule="exact"/>
        <w:ind w:left="0" w:right="0" w:firstLine="360"/>
        <w:jc w:val="both"/>
      </w:pPr>
      <w:bookmarkStart w:id="137" w:name="bookmark137"/>
      <w:r>
        <w:rPr>
          <w:rFonts w:ascii="Times New Roman" w:eastAsia="Times New Roman" w:hAnsi="Times New Roman" w:cs="Times New Roman"/>
          <w:color w:val="000000"/>
          <w:spacing w:val="0"/>
          <w:w w:val="100"/>
          <w:position w:val="0"/>
          <w:sz w:val="18"/>
          <w:szCs w:val="18"/>
        </w:rPr>
        <w:t>3</w:t>
      </w:r>
      <w:bookmarkEnd w:id="13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日，公司第二届董事会第二十五次会议审议通过了《关于使用自有资金收购喀什尚河信息科技有限公 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股权的议案》，公司使用自有资金</w:t>
      </w:r>
      <w:r>
        <w:rPr>
          <w:rFonts w:ascii="Times New Roman" w:eastAsia="Times New Roman" w:hAnsi="Times New Roman" w:cs="Times New Roman"/>
          <w:color w:val="000000"/>
          <w:spacing w:val="0"/>
          <w:w w:val="100"/>
          <w:position w:val="0"/>
          <w:sz w:val="18"/>
          <w:szCs w:val="18"/>
        </w:rPr>
        <w:t>12,006</w:t>
      </w:r>
      <w:r>
        <w:rPr>
          <w:color w:val="000000"/>
          <w:spacing w:val="0"/>
          <w:w w:val="100"/>
          <w:position w:val="0"/>
        </w:rPr>
        <w:t>万元，在</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年期间以分期支付现金的形式，收购喀什尚河信息 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日尚河科技已完成股东变更等工商变更登记手续，并于近日取得喀什地区喀什市工 商行政管理局核发的《营业执照》，至此，标的资产过户手续已办理完成，高伟达已持有尚河科技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股权，喀什尚河信 息科技有限公司成为公司全资子公司。</w:t>
      </w:r>
    </w:p>
    <w:p>
      <w:pPr>
        <w:pStyle w:val="Style55"/>
        <w:keepNext/>
        <w:keepLines/>
        <w:widowControl w:val="0"/>
        <w:shd w:val="clear" w:color="auto" w:fill="auto"/>
        <w:tabs>
          <w:tab w:pos="449" w:val="left"/>
        </w:tabs>
        <w:bidi w:val="0"/>
        <w:spacing w:before="0" w:after="28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8"/>
      <w:bookmarkEnd w:id="139"/>
      <w:bookmarkEnd w:id="141"/>
    </w:p>
    <w:p>
      <w:pPr>
        <w:pStyle w:val="Style29"/>
        <w:keepNext w:val="0"/>
        <w:keepLines w:val="0"/>
        <w:widowControl w:val="0"/>
        <w:shd w:val="clear" w:color="auto" w:fill="auto"/>
        <w:bidi w:val="0"/>
        <w:spacing w:before="0" w:after="38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tabs>
          <w:tab w:pos="449" w:val="left"/>
        </w:tabs>
        <w:bidi w:val="0"/>
        <w:spacing w:before="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2"/>
      <w:bookmarkEnd w:id="143"/>
      <w:bookmarkEnd w:id="145"/>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400,562,480.18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41.18%</w:t>
            </w:r>
          </w:p>
        </w:tc>
      </w:tr>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261,756,076.32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w:t>
            </w:r>
          </w:p>
        </w:tc>
      </w:tr>
    </w:tbl>
    <w:p>
      <w:pPr>
        <w:spacing w:lineRule="exact" w:line="1"/>
        <w:rPr>
          <w:sz w:val="2"/>
          <w:szCs w:val="2"/>
        </w:rPr>
      </w:pPr>
      <w:r>
        <w:br w:type="page"/>
      </w: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41,769,017.07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35,229,566.38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30,981,863.64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30,825,956.77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400,562,480.18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41.18%</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302,337,358.99</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52.30%</w:t>
            </w:r>
          </w:p>
        </w:tc>
      </w:tr>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117,072,278.77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58,499,387.57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47,313,643.00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44,193,197.65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35,258,852.00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302,337,358.99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3</w:t>
      </w:r>
      <w:bookmarkEnd w:id="148"/>
      <w:r>
        <w:rPr>
          <w:color w:val="000000"/>
          <w:spacing w:val="0"/>
          <w:w w:val="100"/>
          <w:position w:val="0"/>
        </w:rPr>
        <w:t>、费用</w:t>
      </w:r>
      <w:bookmarkEnd w:id="146"/>
      <w:bookmarkEnd w:id="147"/>
      <w:bookmarkEnd w:id="14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560"/>
        <w:gridCol w:w="1416"/>
        <w:gridCol w:w="1277"/>
        <w:gridCol w:w="404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101,876,529.82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82,332,899.18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主要系销售人员薪酬较去年同期增加所致，同时公 司为拓展市场，提高团队营销能力建设费用增加。</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105,644,938.18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89,780,376.08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主要系薪酬、房产折旧摊销增加、管理咨询费用的 增加，以及公司发行限制性股票计提股份支付所致</w:t>
            </w:r>
          </w:p>
        </w:tc>
      </w:tr>
      <w:tr>
        <w:trPr>
          <w:trHeight w:val="72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-1,679,590.78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1,584,209.67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主要系募集资到位后，企业经营资金充足，降低筹 资成本所致</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4</w:t>
      </w:r>
      <w:bookmarkEnd w:id="152"/>
      <w:r>
        <w:rPr>
          <w:color w:val="000000"/>
          <w:spacing w:val="0"/>
          <w:w w:val="100"/>
          <w:position w:val="0"/>
        </w:rPr>
        <w:t>、研发投入</w:t>
      </w:r>
      <w:bookmarkEnd w:id="150"/>
      <w:bookmarkEnd w:id="151"/>
      <w:bookmarkEnd w:id="15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line="293" w:lineRule="exact"/>
        <w:ind w:left="0" w:right="0"/>
        <w:jc w:val="both"/>
      </w:pPr>
      <w:r>
        <w:rPr>
          <w:b/>
          <w:bCs/>
          <w:color w:val="000000"/>
          <w:spacing w:val="0"/>
          <w:w w:val="100"/>
          <w:position w:val="0"/>
        </w:rPr>
        <w:t>报告期已完成研发工作的主要有以下项目：</w:t>
      </w:r>
    </w:p>
    <w:p>
      <w:pPr>
        <w:pStyle w:val="Style29"/>
        <w:keepNext w:val="0"/>
        <w:keepLines w:val="0"/>
        <w:widowControl w:val="0"/>
        <w:shd w:val="clear" w:color="auto" w:fill="auto"/>
        <w:tabs>
          <w:tab w:pos="664" w:val="left"/>
        </w:tabs>
        <w:bidi w:val="0"/>
        <w:spacing w:before="0" w:line="293" w:lineRule="exact"/>
        <w:ind w:left="0" w:right="0"/>
        <w:jc w:val="both"/>
      </w:pPr>
      <w:bookmarkStart w:id="154" w:name="bookmark154"/>
      <w:r>
        <w:rPr>
          <w:rFonts w:ascii="Palatino Linotype" w:eastAsia="Palatino Linotype" w:hAnsi="Palatino Linotype" w:cs="Palatino Linotype"/>
          <w:color w:val="000000"/>
          <w:spacing w:val="0"/>
          <w:w w:val="100"/>
          <w:position w:val="0"/>
          <w:sz w:val="18"/>
          <w:szCs w:val="18"/>
        </w:rPr>
        <w:t>1</w:t>
      </w:r>
      <w:bookmarkEnd w:id="154"/>
      <w:r>
        <w:rPr>
          <w:b/>
          <w:bCs/>
          <w:color w:val="000000"/>
          <w:spacing w:val="0"/>
          <w:w w:val="100"/>
          <w:position w:val="0"/>
        </w:rPr>
        <w:t>、</w:t>
        <w:tab/>
        <w:t>高伟达新信贷业务系统（信贷风险预警）</w:t>
      </w:r>
    </w:p>
    <w:p>
      <w:pPr>
        <w:pStyle w:val="Style29"/>
        <w:keepNext w:val="0"/>
        <w:keepLines w:val="0"/>
        <w:widowControl w:val="0"/>
        <w:shd w:val="clear" w:color="auto" w:fill="auto"/>
        <w:bidi w:val="0"/>
        <w:spacing w:before="0" w:line="293" w:lineRule="exact"/>
        <w:ind w:left="0" w:right="0"/>
        <w:jc w:val="both"/>
      </w:pPr>
      <w:r>
        <w:rPr>
          <w:color w:val="000000"/>
          <w:spacing w:val="0"/>
          <w:w w:val="100"/>
          <w:position w:val="0"/>
        </w:rPr>
        <w:t>近年来各金融机构加强信贷业务风险管理的主动性和前瞻性，成为信贷风险管理工作的主要任务。创新信贷风控技术， 实现从被动预警、手工预警向主动预警、系统预警转变成为银行信贷风险管理的主要方向。本产品的目的就是为满足银行信 贷风险预警开发的系统。</w:t>
      </w:r>
    </w:p>
    <w:p>
      <w:pPr>
        <w:pStyle w:val="Style29"/>
        <w:keepNext w:val="0"/>
        <w:keepLines w:val="0"/>
        <w:widowControl w:val="0"/>
        <w:shd w:val="clear" w:color="auto" w:fill="auto"/>
        <w:bidi w:val="0"/>
        <w:spacing w:before="0" w:after="180" w:line="298"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年高伟达公司对产品研发完成了客户管理、预警全过程管理、预警规则模型管理、综合查询统一视图、知识库管 理、数据管理、报表统计分析等功能模块。主要适用对象为商业银行，以及从事金融贷款服务的其他金融机构，通过使用本 产品，可实现全行的信贷风险预警体系建设。该产品已经在民生银行零售信贷风险管理系统使用，市场前景较为广阔。</w:t>
      </w:r>
    </w:p>
    <w:p>
      <w:pPr>
        <w:pStyle w:val="Style29"/>
        <w:keepNext w:val="0"/>
        <w:keepLines w:val="0"/>
        <w:widowControl w:val="0"/>
        <w:shd w:val="clear" w:color="auto" w:fill="auto"/>
        <w:tabs>
          <w:tab w:pos="674" w:val="left"/>
        </w:tabs>
        <w:bidi w:val="0"/>
        <w:spacing w:before="0" w:after="40" w:line="286" w:lineRule="auto"/>
        <w:ind w:left="0" w:right="0"/>
        <w:jc w:val="both"/>
      </w:pPr>
      <w:bookmarkStart w:id="155" w:name="bookmark155"/>
      <w:r>
        <w:rPr>
          <w:rFonts w:ascii="Palatino Linotype" w:eastAsia="Palatino Linotype" w:hAnsi="Palatino Linotype" w:cs="Palatino Linotype"/>
          <w:color w:val="000000"/>
          <w:spacing w:val="0"/>
          <w:w w:val="100"/>
          <w:position w:val="0"/>
          <w:sz w:val="18"/>
          <w:szCs w:val="18"/>
        </w:rPr>
        <w:t>2</w:t>
      </w:r>
      <w:bookmarkEnd w:id="155"/>
      <w:r>
        <w:rPr>
          <w:b/>
          <w:bCs/>
          <w:color w:val="000000"/>
          <w:spacing w:val="0"/>
          <w:w w:val="100"/>
          <w:position w:val="0"/>
        </w:rPr>
        <w:t>、</w:t>
        <w:tab/>
        <w:t>高伟达云平台</w:t>
      </w:r>
    </w:p>
    <w:p>
      <w:pPr>
        <w:pStyle w:val="Style29"/>
        <w:keepNext w:val="0"/>
        <w:keepLines w:val="0"/>
        <w:widowControl w:val="0"/>
        <w:shd w:val="clear" w:color="auto" w:fill="auto"/>
        <w:bidi w:val="0"/>
        <w:spacing w:before="0" w:line="298" w:lineRule="exact"/>
        <w:ind w:left="0" w:right="0"/>
        <w:jc w:val="both"/>
      </w:pPr>
      <w:r>
        <w:rPr>
          <w:color w:val="000000"/>
          <w:spacing w:val="0"/>
          <w:w w:val="100"/>
          <w:position w:val="0"/>
        </w:rPr>
        <w:t>本项目主要目的为整合公司现有</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资源</w:t>
      </w:r>
      <w:r>
        <w:rPr>
          <w:color w:val="000000"/>
          <w:spacing w:val="0"/>
          <w:w w:val="100"/>
          <w:position w:val="0"/>
          <w:sz w:val="18"/>
          <w:szCs w:val="18"/>
        </w:rPr>
        <w:t>，</w:t>
      </w:r>
      <w:r>
        <w:rPr>
          <w:color w:val="000000"/>
          <w:spacing w:val="0"/>
          <w:w w:val="100"/>
          <w:position w:val="0"/>
        </w:rPr>
        <w:t>支撑高伟达公司金融互联网创新转型，以云服务方式提供高效、敏捷的交付</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并为公司研发、测试和金融互联网等产品提供生产运行环境。</w:t>
      </w:r>
    </w:p>
    <w:p>
      <w:pPr>
        <w:pStyle w:val="Style29"/>
        <w:keepNext w:val="0"/>
        <w:keepLines w:val="0"/>
        <w:widowControl w:val="0"/>
        <w:shd w:val="clear" w:color="auto" w:fill="auto"/>
        <w:bidi w:val="0"/>
        <w:spacing w:before="0" w:after="180" w:line="298"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年已经完成了基础设施软硬件环境集成、云管理平台建设、监控系统的初步搭建、流程平台和运维体系的初步构 建，基本满足了云平台运行的主要需求。目前已运行在该云环境中的应用系统共计</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套、操作系统实例</w:t>
      </w:r>
      <w:r>
        <w:rPr>
          <w:rFonts w:ascii="Times New Roman" w:eastAsia="Times New Roman" w:hAnsi="Times New Roman" w:cs="Times New Roman"/>
          <w:color w:val="000000"/>
          <w:spacing w:val="0"/>
          <w:w w:val="100"/>
          <w:position w:val="0"/>
          <w:sz w:val="18"/>
          <w:szCs w:val="18"/>
        </w:rPr>
        <w:t>230</w:t>
      </w:r>
      <w:r>
        <w:rPr>
          <w:color w:val="000000"/>
          <w:spacing w:val="0"/>
          <w:w w:val="100"/>
          <w:position w:val="0"/>
        </w:rPr>
        <w:t>套以上。今后 将继续完善现有云管理系统的建设，以良好的运维工作保持云的健康运行，同时积极优化存储系统的管理和</w:t>
      </w:r>
      <w:r>
        <w:rPr>
          <w:rFonts w:ascii="Times New Roman" w:eastAsia="Times New Roman" w:hAnsi="Times New Roman" w:cs="Times New Roman"/>
          <w:color w:val="000000"/>
          <w:spacing w:val="0"/>
          <w:w w:val="100"/>
          <w:position w:val="0"/>
          <w:sz w:val="18"/>
          <w:szCs w:val="18"/>
        </w:rPr>
        <w:t>KVM</w:t>
      </w:r>
      <w:r>
        <w:rPr>
          <w:color w:val="000000"/>
          <w:spacing w:val="0"/>
          <w:w w:val="100"/>
          <w:position w:val="0"/>
        </w:rPr>
        <w:t>虚拟化支 持，以更好支撑现有业务和未来新业务系统的需求。</w:t>
      </w:r>
    </w:p>
    <w:p>
      <w:pPr>
        <w:pStyle w:val="Style29"/>
        <w:keepNext w:val="0"/>
        <w:keepLines w:val="0"/>
        <w:widowControl w:val="0"/>
        <w:shd w:val="clear" w:color="auto" w:fill="auto"/>
        <w:tabs>
          <w:tab w:pos="674" w:val="left"/>
        </w:tabs>
        <w:bidi w:val="0"/>
        <w:spacing w:before="0" w:after="40" w:line="286" w:lineRule="auto"/>
        <w:ind w:left="0" w:right="0"/>
        <w:jc w:val="both"/>
      </w:pPr>
      <w:bookmarkStart w:id="156" w:name="bookmark156"/>
      <w:r>
        <w:rPr>
          <w:rFonts w:ascii="Palatino Linotype" w:eastAsia="Palatino Linotype" w:hAnsi="Palatino Linotype" w:cs="Palatino Linotype"/>
          <w:color w:val="000000"/>
          <w:spacing w:val="0"/>
          <w:w w:val="100"/>
          <w:position w:val="0"/>
          <w:sz w:val="18"/>
          <w:szCs w:val="18"/>
        </w:rPr>
        <w:t>3</w:t>
      </w:r>
      <w:bookmarkEnd w:id="156"/>
      <w:r>
        <w:rPr>
          <w:b/>
          <w:bCs/>
          <w:color w:val="000000"/>
          <w:spacing w:val="0"/>
          <w:w w:val="100"/>
          <w:position w:val="0"/>
        </w:rPr>
        <w:t>、</w:t>
        <w:tab/>
        <w:t>高伟达企业级统一额度管控系统</w:t>
      </w:r>
    </w:p>
    <w:p>
      <w:pPr>
        <w:pStyle w:val="Style29"/>
        <w:keepNext w:val="0"/>
        <w:keepLines w:val="0"/>
        <w:widowControl w:val="0"/>
        <w:shd w:val="clear" w:color="auto" w:fill="auto"/>
        <w:bidi w:val="0"/>
        <w:spacing w:before="0" w:after="180" w:line="295" w:lineRule="exact"/>
        <w:ind w:left="0" w:right="0"/>
        <w:jc w:val="both"/>
      </w:pPr>
      <w:r>
        <w:rPr>
          <w:color w:val="000000"/>
          <w:spacing w:val="0"/>
          <w:w w:val="100"/>
          <w:position w:val="0"/>
        </w:rPr>
        <w:t>按照银监会《关于进一步加强信用风险管理的通知》</w:t>
      </w:r>
      <w:r>
        <w:rPr>
          <w:color w:val="000000"/>
          <w:spacing w:val="0"/>
          <w:w w:val="100"/>
          <w:position w:val="0"/>
          <w:sz w:val="18"/>
          <w:szCs w:val="18"/>
        </w:rPr>
        <w:t>（</w:t>
      </w:r>
      <w:r>
        <w:rPr>
          <w:color w:val="000000"/>
          <w:spacing w:val="0"/>
          <w:w w:val="100"/>
          <w:position w:val="0"/>
        </w:rPr>
        <w:t>银监发【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的要求，其核心是要求银行落实对信贷资产 集中统一授信要求，因此各家银行对企业级统一额度管理系统的需求迅速升温；基于此市场需求，公司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年启动了企业 级统一额度管理系统研发工作，通过一系列产品研发，迅速做到了产品在现有银行的落地，并上线投产运行，满足了银行的 业务管理要求。后续在股份制银行、省级农信社、农商行、城商行都存在大量商机，预计该研发成果将为公司创造出可观经 济效益。</w:t>
      </w:r>
    </w:p>
    <w:p>
      <w:pPr>
        <w:pStyle w:val="Style29"/>
        <w:keepNext w:val="0"/>
        <w:keepLines w:val="0"/>
        <w:widowControl w:val="0"/>
        <w:shd w:val="clear" w:color="auto" w:fill="auto"/>
        <w:tabs>
          <w:tab w:pos="674" w:val="left"/>
        </w:tabs>
        <w:bidi w:val="0"/>
        <w:spacing w:before="0" w:after="40" w:line="286" w:lineRule="auto"/>
        <w:ind w:left="0" w:right="0"/>
        <w:jc w:val="both"/>
      </w:pPr>
      <w:bookmarkStart w:id="157" w:name="bookmark157"/>
      <w:r>
        <w:rPr>
          <w:rFonts w:ascii="Palatino Linotype" w:eastAsia="Palatino Linotype" w:hAnsi="Palatino Linotype" w:cs="Palatino Linotype"/>
          <w:color w:val="000000"/>
          <w:spacing w:val="0"/>
          <w:w w:val="100"/>
          <w:position w:val="0"/>
          <w:sz w:val="18"/>
          <w:szCs w:val="18"/>
        </w:rPr>
        <w:t>4</w:t>
      </w:r>
      <w:bookmarkEnd w:id="157"/>
      <w:r>
        <w:rPr>
          <w:b/>
          <w:bCs/>
          <w:color w:val="000000"/>
          <w:spacing w:val="0"/>
          <w:w w:val="100"/>
          <w:position w:val="0"/>
        </w:rPr>
        <w:t>、</w:t>
        <w:tab/>
        <w:t>高伟达互联网架构消息中心</w:t>
      </w:r>
    </w:p>
    <w:p>
      <w:pPr>
        <w:pStyle w:val="Style29"/>
        <w:keepNext w:val="0"/>
        <w:keepLines w:val="0"/>
        <w:widowControl w:val="0"/>
        <w:shd w:val="clear" w:color="auto" w:fill="auto"/>
        <w:bidi w:val="0"/>
        <w:spacing w:before="0" w:line="292" w:lineRule="exact"/>
        <w:ind w:left="0" w:right="0"/>
        <w:jc w:val="both"/>
      </w:pPr>
      <w:r>
        <w:rPr>
          <w:color w:val="000000"/>
          <w:spacing w:val="0"/>
          <w:w w:val="100"/>
          <w:position w:val="0"/>
        </w:rPr>
        <w:t>近年来，随着银行业务应用复杂程度的提高，传统的基于同步事务进行的通讯中间件已经无法满足</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系统建设的要求。 本报告期高伟达公司针对这个领域，进行了基于互联网架构的消息中心的产品研发，开发出基于异步消息服务方式的消息中 心产品，该产品可实现数据大批量同步复制、高吞吐量实时批量处理、系统间大批量异步调用等应用场景。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年末该产 品已经研发完成，并已经在多家银行进行项目前期交流，未来在股份制银行及省级农信存在大量的商机，预计能为企业创造 不错的效益。</w:t>
      </w:r>
    </w:p>
    <w:p>
      <w:pPr>
        <w:pStyle w:val="Style29"/>
        <w:keepNext w:val="0"/>
        <w:keepLines w:val="0"/>
        <w:widowControl w:val="0"/>
        <w:shd w:val="clear" w:color="auto" w:fill="auto"/>
        <w:bidi w:val="0"/>
        <w:spacing w:before="0" w:after="180" w:line="293" w:lineRule="exact"/>
        <w:ind w:left="0" w:right="0"/>
        <w:jc w:val="both"/>
      </w:pPr>
      <w:r>
        <w:rPr>
          <w:b/>
          <w:bCs/>
          <w:color w:val="000000"/>
          <w:spacing w:val="0"/>
          <w:w w:val="100"/>
          <w:position w:val="0"/>
        </w:rPr>
        <w:t>报告期末尚在开发中的主要项目如下：</w:t>
      </w:r>
    </w:p>
    <w:p>
      <w:pPr>
        <w:pStyle w:val="Style29"/>
        <w:keepNext w:val="0"/>
        <w:keepLines w:val="0"/>
        <w:widowControl w:val="0"/>
        <w:shd w:val="clear" w:color="auto" w:fill="auto"/>
        <w:tabs>
          <w:tab w:pos="664" w:val="left"/>
        </w:tabs>
        <w:bidi w:val="0"/>
        <w:spacing w:before="0" w:after="40" w:line="286" w:lineRule="auto"/>
        <w:ind w:left="0" w:right="0"/>
        <w:jc w:val="both"/>
      </w:pPr>
      <w:bookmarkStart w:id="158" w:name="bookmark158"/>
      <w:r>
        <w:rPr>
          <w:rFonts w:ascii="Palatino Linotype" w:eastAsia="Palatino Linotype" w:hAnsi="Palatino Linotype" w:cs="Palatino Linotype"/>
          <w:color w:val="000000"/>
          <w:spacing w:val="0"/>
          <w:w w:val="100"/>
          <w:position w:val="0"/>
          <w:sz w:val="18"/>
          <w:szCs w:val="18"/>
        </w:rPr>
        <w:t>1</w:t>
      </w:r>
      <w:bookmarkEnd w:id="158"/>
      <w:r>
        <w:rPr>
          <w:b/>
          <w:bCs/>
          <w:color w:val="000000"/>
          <w:spacing w:val="0"/>
          <w:w w:val="100"/>
          <w:position w:val="0"/>
        </w:rPr>
        <w:t>、</w:t>
        <w:tab/>
        <w:t>高伟达保险业务开发平台（二期）：</w:t>
      </w:r>
    </w:p>
    <w:p>
      <w:pPr>
        <w:pStyle w:val="Style29"/>
        <w:keepNext w:val="0"/>
        <w:keepLines w:val="0"/>
        <w:widowControl w:val="0"/>
        <w:shd w:val="clear" w:color="auto" w:fill="auto"/>
        <w:bidi w:val="0"/>
        <w:spacing w:before="0" w:line="290" w:lineRule="exact"/>
        <w:ind w:left="0" w:right="0"/>
        <w:jc w:val="both"/>
      </w:pPr>
      <w:r>
        <w:rPr>
          <w:color w:val="000000"/>
          <w:spacing w:val="0"/>
          <w:w w:val="100"/>
          <w:position w:val="0"/>
        </w:rPr>
        <w:t>公司为了进入保险核心领域，成为保险核心主流供应商。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年开始启动保险业务系统的研发工作，并完成了开发框 架、数据模型、接口组件等工作。</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年在一期的基础上，基本完成所有业务功能模块开发工作和测试案例的准备工作， 以及相关过程文档的检查工作，</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年末项目进入到测试阶段。</w:t>
      </w:r>
    </w:p>
    <w:p>
      <w:pPr>
        <w:pStyle w:val="Style29"/>
        <w:keepNext w:val="0"/>
        <w:keepLines w:val="0"/>
        <w:widowControl w:val="0"/>
        <w:shd w:val="clear" w:color="auto" w:fill="auto"/>
        <w:bidi w:val="0"/>
        <w:spacing w:before="0" w:after="180" w:line="290" w:lineRule="exact"/>
        <w:ind w:left="0" w:right="0"/>
        <w:jc w:val="both"/>
      </w:pPr>
      <w:r>
        <w:rPr>
          <w:color w:val="000000"/>
          <w:spacing w:val="0"/>
          <w:w w:val="100"/>
          <w:position w:val="0"/>
        </w:rPr>
        <w:t>在新国十条及一系列利好政策的刺激下，保险业未来将会进入一个高速发展的时期，诸多资本开始转向再保险、健康保 险、相互保险、信用保险、互联网保险、保证保险等专业保险领域，我公司所开发产品将广泛地得到应用，为企业带来巨大 效益。</w:t>
      </w:r>
    </w:p>
    <w:p>
      <w:pPr>
        <w:pStyle w:val="Style29"/>
        <w:keepNext w:val="0"/>
        <w:keepLines w:val="0"/>
        <w:widowControl w:val="0"/>
        <w:shd w:val="clear" w:color="auto" w:fill="auto"/>
        <w:tabs>
          <w:tab w:pos="678" w:val="left"/>
        </w:tabs>
        <w:bidi w:val="0"/>
        <w:spacing w:before="0" w:after="40" w:line="286" w:lineRule="auto"/>
        <w:ind w:left="0" w:right="0"/>
        <w:jc w:val="both"/>
      </w:pPr>
      <w:bookmarkStart w:id="159" w:name="bookmark159"/>
      <w:r>
        <w:rPr>
          <w:rFonts w:ascii="Palatino Linotype" w:eastAsia="Palatino Linotype" w:hAnsi="Palatino Linotype" w:cs="Palatino Linotype"/>
          <w:color w:val="000000"/>
          <w:spacing w:val="0"/>
          <w:w w:val="100"/>
          <w:position w:val="0"/>
          <w:sz w:val="18"/>
          <w:szCs w:val="18"/>
        </w:rPr>
        <w:t>2</w:t>
      </w:r>
      <w:bookmarkEnd w:id="159"/>
      <w:r>
        <w:rPr>
          <w:b/>
          <w:bCs/>
          <w:color w:val="000000"/>
          <w:spacing w:val="0"/>
          <w:w w:val="100"/>
          <w:position w:val="0"/>
        </w:rPr>
        <w:t>、</w:t>
        <w:tab/>
        <w:t>高伟达资产交易平台</w:t>
      </w:r>
    </w:p>
    <w:p>
      <w:pPr>
        <w:pStyle w:val="Style29"/>
        <w:keepNext w:val="0"/>
        <w:keepLines w:val="0"/>
        <w:widowControl w:val="0"/>
        <w:shd w:val="clear" w:color="auto" w:fill="auto"/>
        <w:bidi w:val="0"/>
        <w:spacing w:before="0" w:line="293" w:lineRule="exact"/>
        <w:ind w:left="0" w:right="0"/>
        <w:jc w:val="both"/>
      </w:pPr>
      <w:r>
        <w:rPr>
          <w:color w:val="000000"/>
          <w:spacing w:val="0"/>
          <w:w w:val="100"/>
          <w:position w:val="0"/>
        </w:rPr>
        <w:t>该平台利用互联网技术与银行合作撮合双方金融需求，通过票据流转搭建资管平台的基础设施。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年已经实现的主 要功能包括前台（面向平台使用者）和后台（管理操作）系统。小额银行承兑票据市场前景不仅巨大，而且具有低风险、高 溢价、短期限的特点，是机构过去难以企及的优质投资标的。同时，企业在平台能够兑现在经营过程中所积累的大量难以贴 现的小银票，进而降低其整体融资成本。目前已有多家金融机构表示合作的意愿，现正在进行具体的业务合作、技术共享的 细节讨论过程之中。</w:t>
      </w:r>
    </w:p>
    <w:p>
      <w:pPr>
        <w:pStyle w:val="Style29"/>
        <w:keepNext w:val="0"/>
        <w:keepLines w:val="0"/>
        <w:widowControl w:val="0"/>
        <w:shd w:val="clear" w:color="auto" w:fill="auto"/>
        <w:tabs>
          <w:tab w:pos="687" w:val="left"/>
        </w:tabs>
        <w:bidi w:val="0"/>
        <w:spacing w:before="0" w:after="120" w:line="295" w:lineRule="exact"/>
        <w:ind w:left="0" w:right="0"/>
        <w:jc w:val="left"/>
      </w:pPr>
      <w:bookmarkStart w:id="160" w:name="bookmark160"/>
      <w:r>
        <w:rPr>
          <w:rFonts w:ascii="Palatino Linotype" w:eastAsia="Palatino Linotype" w:hAnsi="Palatino Linotype" w:cs="Palatino Linotype"/>
          <w:color w:val="000000"/>
          <w:spacing w:val="0"/>
          <w:w w:val="100"/>
          <w:position w:val="0"/>
          <w:sz w:val="18"/>
          <w:szCs w:val="18"/>
        </w:rPr>
        <w:t>3</w:t>
      </w:r>
      <w:bookmarkEnd w:id="160"/>
      <w:r>
        <w:rPr>
          <w:b/>
          <w:bCs/>
          <w:color w:val="000000"/>
          <w:spacing w:val="0"/>
          <w:w w:val="100"/>
          <w:position w:val="0"/>
        </w:rPr>
        <w:t>、</w:t>
        <w:tab/>
        <w:t>高伟达新信贷业务系统（零售信贷核算系统）</w:t>
      </w:r>
    </w:p>
    <w:p>
      <w:pPr>
        <w:pStyle w:val="Style29"/>
        <w:keepNext w:val="0"/>
        <w:keepLines w:val="0"/>
        <w:widowControl w:val="0"/>
        <w:shd w:val="clear" w:color="auto" w:fill="auto"/>
        <w:bidi w:val="0"/>
        <w:spacing w:before="0" w:after="120" w:line="283" w:lineRule="exact"/>
        <w:ind w:left="0" w:right="0"/>
        <w:jc w:val="left"/>
      </w:pPr>
      <w:r>
        <w:rPr>
          <w:color w:val="000000"/>
          <w:spacing w:val="0"/>
          <w:w w:val="100"/>
          <w:position w:val="0"/>
        </w:rPr>
        <w:t>随着银行信贷业务的不断创新与发展，贷款核算从原来传统核心系统分离是目前比较流行的模式。为了支撑信贷业务的 持续创新与发展，迫切需要在开放平台</w:t>
      </w:r>
      <w:r>
        <w:rPr>
          <w:rFonts w:ascii="Times New Roman" w:eastAsia="Times New Roman" w:hAnsi="Times New Roman" w:cs="Times New Roman"/>
          <w:color w:val="000000"/>
          <w:spacing w:val="0"/>
          <w:w w:val="100"/>
          <w:position w:val="0"/>
          <w:sz w:val="18"/>
          <w:szCs w:val="18"/>
        </w:rPr>
        <w:t>（java）</w:t>
      </w:r>
      <w:r>
        <w:rPr>
          <w:color w:val="000000"/>
          <w:spacing w:val="0"/>
          <w:w w:val="100"/>
          <w:position w:val="0"/>
        </w:rPr>
        <w:t>上开发一套多法人体系架构的信贷核算系统，满足市场的需求。</w:t>
      </w:r>
    </w:p>
    <w:p>
      <w:pPr>
        <w:pStyle w:val="Style29"/>
        <w:keepNext w:val="0"/>
        <w:keepLines w:val="0"/>
        <w:widowControl w:val="0"/>
        <w:shd w:val="clear" w:color="auto" w:fill="auto"/>
        <w:bidi w:val="0"/>
        <w:spacing w:before="0" w:after="120" w:line="298"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年产品研发主要完成了：实现了多法人、多币种的信贷核算体系；采用配置化的模版开发模式，完成了包括放款、 还款、结息、计提利息、计提减值准备、核销、核销收回等功能；同时实现了多台应用服务器集群模式的日终批处理作业功 能。</w:t>
      </w:r>
    </w:p>
    <w:p>
      <w:pPr>
        <w:pStyle w:val="Style29"/>
        <w:keepNext w:val="0"/>
        <w:keepLines w:val="0"/>
        <w:widowControl w:val="0"/>
        <w:shd w:val="clear" w:color="auto" w:fill="auto"/>
        <w:bidi w:val="0"/>
        <w:spacing w:before="0" w:after="120" w:line="298" w:lineRule="exact"/>
        <w:ind w:left="0" w:right="0"/>
        <w:jc w:val="left"/>
      </w:pPr>
      <w:r>
        <w:rPr>
          <w:color w:val="000000"/>
          <w:spacing w:val="0"/>
          <w:w w:val="100"/>
          <w:position w:val="0"/>
        </w:rPr>
        <w:t>本产品的主要适用对象为商业银行，以及从事金融贷款服务的其他金融机构。目前该产品已被绵阳商业银行、柳州银行 信贷核算子系统，以及天津融鑫小贷公司采用。</w:t>
      </w:r>
    </w:p>
    <w:p>
      <w:pPr>
        <w:pStyle w:val="Style29"/>
        <w:keepNext w:val="0"/>
        <w:keepLines w:val="0"/>
        <w:widowControl w:val="0"/>
        <w:shd w:val="clear" w:color="auto" w:fill="auto"/>
        <w:tabs>
          <w:tab w:pos="687" w:val="left"/>
        </w:tabs>
        <w:bidi w:val="0"/>
        <w:spacing w:before="0" w:after="120" w:line="295" w:lineRule="exact"/>
        <w:ind w:left="0" w:right="0"/>
        <w:jc w:val="left"/>
      </w:pPr>
      <w:bookmarkStart w:id="161" w:name="bookmark161"/>
      <w:r>
        <w:rPr>
          <w:rFonts w:ascii="Palatino Linotype" w:eastAsia="Palatino Linotype" w:hAnsi="Palatino Linotype" w:cs="Palatino Linotype"/>
          <w:color w:val="000000"/>
          <w:spacing w:val="0"/>
          <w:w w:val="100"/>
          <w:position w:val="0"/>
          <w:sz w:val="18"/>
          <w:szCs w:val="18"/>
        </w:rPr>
        <w:t>4</w:t>
      </w:r>
      <w:bookmarkEnd w:id="161"/>
      <w:r>
        <w:rPr>
          <w:b/>
          <w:bCs/>
          <w:color w:val="000000"/>
          <w:spacing w:val="0"/>
          <w:w w:val="100"/>
          <w:position w:val="0"/>
        </w:rPr>
        <w:t>、</w:t>
        <w:tab/>
        <w:t>高伟达核心业务系统（基于</w:t>
      </w:r>
      <w:r>
        <w:rPr>
          <w:rFonts w:ascii="Palatino Linotype" w:eastAsia="Palatino Linotype" w:hAnsi="Palatino Linotype" w:cs="Palatino Linotype"/>
          <w:color w:val="000000"/>
          <w:spacing w:val="0"/>
          <w:w w:val="100"/>
          <w:position w:val="0"/>
          <w:sz w:val="18"/>
          <w:szCs w:val="18"/>
        </w:rPr>
        <w:t>JAVA</w:t>
      </w:r>
      <w:r>
        <w:rPr>
          <w:b/>
          <w:bCs/>
          <w:color w:val="000000"/>
          <w:spacing w:val="0"/>
          <w:w w:val="100"/>
          <w:position w:val="0"/>
        </w:rPr>
        <w:t>的交易平台）</w:t>
      </w:r>
    </w:p>
    <w:p>
      <w:pPr>
        <w:pStyle w:val="Style29"/>
        <w:keepNext w:val="0"/>
        <w:keepLines w:val="0"/>
        <w:widowControl w:val="0"/>
        <w:shd w:val="clear" w:color="auto" w:fill="auto"/>
        <w:bidi w:val="0"/>
        <w:spacing w:before="0" w:after="120" w:line="295"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年以来，国内中小商业银行基于</w:t>
      </w:r>
      <w:r>
        <w:rPr>
          <w:rFonts w:ascii="Times New Roman" w:eastAsia="Times New Roman" w:hAnsi="Times New Roman" w:cs="Times New Roman"/>
          <w:color w:val="000000"/>
          <w:spacing w:val="0"/>
          <w:w w:val="100"/>
          <w:position w:val="0"/>
          <w:sz w:val="18"/>
          <w:szCs w:val="18"/>
        </w:rPr>
        <w:t>COBOL</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语言的核心业务系统、支付业务系统等交易系统到了升级换代的阶段， 这些商业银行接受基于</w:t>
      </w:r>
      <w:r>
        <w:rPr>
          <w:rFonts w:ascii="Times New Roman" w:eastAsia="Times New Roman" w:hAnsi="Times New Roman" w:cs="Times New Roman"/>
          <w:color w:val="000000"/>
          <w:spacing w:val="0"/>
          <w:w w:val="100"/>
          <w:position w:val="0"/>
          <w:sz w:val="18"/>
          <w:szCs w:val="18"/>
        </w:rPr>
        <w:t>JAVA</w:t>
      </w:r>
      <w:r>
        <w:rPr>
          <w:color w:val="000000"/>
          <w:spacing w:val="0"/>
          <w:w w:val="100"/>
          <w:position w:val="0"/>
        </w:rPr>
        <w:t>语言重构其核心业务系统、支付业务系统；新成立的民营银行、村镇银行大部分也选择</w:t>
      </w:r>
      <w:r>
        <w:rPr>
          <w:rFonts w:ascii="Times New Roman" w:eastAsia="Times New Roman" w:hAnsi="Times New Roman" w:cs="Times New Roman"/>
          <w:color w:val="000000"/>
          <w:spacing w:val="0"/>
          <w:w w:val="100"/>
          <w:position w:val="0"/>
          <w:sz w:val="18"/>
          <w:szCs w:val="18"/>
        </w:rPr>
        <w:t xml:space="preserve">JAVA </w:t>
      </w:r>
      <w:r>
        <w:rPr>
          <w:color w:val="000000"/>
          <w:spacing w:val="0"/>
          <w:w w:val="100"/>
          <w:position w:val="0"/>
        </w:rPr>
        <w:t>体系的交易系统，在此需求下公司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年启动了该项目的研发，年末已完成了总体设计，编码工作，预计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年下半年能 完成测试和验收结项。该系统主要面向中小商业银行、农信社、农商行以及众多村镇银行，实施基于</w:t>
      </w:r>
      <w:r>
        <w:rPr>
          <w:rFonts w:ascii="Times New Roman" w:eastAsia="Times New Roman" w:hAnsi="Times New Roman" w:cs="Times New Roman"/>
          <w:color w:val="000000"/>
          <w:spacing w:val="0"/>
          <w:w w:val="100"/>
          <w:position w:val="0"/>
          <w:sz w:val="18"/>
          <w:szCs w:val="18"/>
        </w:rPr>
        <w:t>JAVA</w:t>
      </w:r>
      <w:r>
        <w:rPr>
          <w:color w:val="000000"/>
          <w:spacing w:val="0"/>
          <w:w w:val="100"/>
          <w:position w:val="0"/>
        </w:rPr>
        <w:t>交易的核心业务 系统、支付业务系统以及其他交易类系统，预计为企业带来可观收益。</w:t>
      </w:r>
    </w:p>
    <w:p>
      <w:pPr>
        <w:pStyle w:val="Style29"/>
        <w:keepNext w:val="0"/>
        <w:keepLines w:val="0"/>
        <w:widowControl w:val="0"/>
        <w:shd w:val="clear" w:color="auto" w:fill="auto"/>
        <w:tabs>
          <w:tab w:pos="687" w:val="left"/>
        </w:tabs>
        <w:bidi w:val="0"/>
        <w:spacing w:before="0" w:after="120" w:line="295" w:lineRule="exact"/>
        <w:ind w:left="0" w:right="0"/>
        <w:jc w:val="left"/>
      </w:pPr>
      <w:bookmarkStart w:id="162" w:name="bookmark162"/>
      <w:r>
        <w:rPr>
          <w:rFonts w:ascii="Palatino Linotype" w:eastAsia="Palatino Linotype" w:hAnsi="Palatino Linotype" w:cs="Palatino Linotype"/>
          <w:color w:val="000000"/>
          <w:spacing w:val="0"/>
          <w:w w:val="100"/>
          <w:position w:val="0"/>
          <w:sz w:val="18"/>
          <w:szCs w:val="18"/>
        </w:rPr>
        <w:t>5</w:t>
      </w:r>
      <w:bookmarkEnd w:id="162"/>
      <w:r>
        <w:rPr>
          <w:b/>
          <w:bCs/>
          <w:color w:val="000000"/>
          <w:spacing w:val="0"/>
          <w:w w:val="100"/>
          <w:position w:val="0"/>
        </w:rPr>
        <w:t>、</w:t>
        <w:tab/>
        <w:t>高伟达业务管理集成系统（二期）</w:t>
      </w:r>
    </w:p>
    <w:p>
      <w:pPr>
        <w:pStyle w:val="Style29"/>
        <w:keepNext w:val="0"/>
        <w:keepLines w:val="0"/>
        <w:widowControl w:val="0"/>
        <w:shd w:val="clear" w:color="auto" w:fill="auto"/>
        <w:bidi w:val="0"/>
        <w:spacing w:before="0" w:after="120" w:line="295" w:lineRule="exact"/>
        <w:ind w:left="0" w:right="0"/>
        <w:jc w:val="left"/>
      </w:pPr>
      <w:r>
        <w:rPr>
          <w:color w:val="000000"/>
          <w:spacing w:val="0"/>
          <w:w w:val="100"/>
          <w:position w:val="0"/>
        </w:rPr>
        <w:t>公司上市后，各项管理要求逐步细化。</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年，高伟达业务管理集成系统平台从面向单纯项目管理逐步转向项目的全 生命周期管控，目前已完成开工率计划功能，人员派工功能，商机、合同、项目预算与实际工时对接功能，打通了经营管理 数据流程，为公司管理层提供报表与查询功能，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年末该项目还在开发中，预计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月结项，将为公司在资源分派， 统计查询，提升流程效率等方面提供有利保障，未来还将提供更多的信息服务功能以及信息推送、提醒、预警、以及其他功 能。</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981"/>
        <w:gridCol w:w="181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78,632,865.96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65,712,573.28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38,045,884.06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36,822,349.85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18,063,080.18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120" w:line="313" w:lineRule="exact"/>
        <w:ind w:left="0" w:right="0" w:firstLine="0"/>
        <w:jc w:val="left"/>
      </w:pPr>
      <w:r>
        <w:rPr>
          <w:color w:val="000000"/>
          <w:spacing w:val="0"/>
          <w:w w:val="100"/>
          <w:position w:val="0"/>
        </w:rPr>
        <w:t>研发投入总额占营业收入的比重较上年发生显著变化的原因</w:t>
      </w:r>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313" w:lineRule="exact"/>
        <w:ind w:left="0" w:right="0" w:firstLine="0"/>
        <w:jc w:val="left"/>
      </w:pPr>
      <w:r>
        <w:rPr>
          <w:color w:val="000000"/>
          <w:spacing w:val="0"/>
          <w:w w:val="100"/>
          <w:position w:val="0"/>
        </w:rPr>
        <w:t>研发投入资本化率大幅变动的原因及其合理性说明</w:t>
      </w:r>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20" w:line="313" w:lineRule="exact"/>
        <w:ind w:left="0" w:right="0" w:firstLine="0"/>
        <w:jc w:val="left"/>
      </w:pPr>
      <w:r>
        <w:rPr>
          <w:color w:val="000000"/>
          <w:spacing w:val="0"/>
          <w:w w:val="100"/>
          <w:position w:val="0"/>
        </w:rPr>
        <w:t>本报告期研发支出资本化率为</w:t>
      </w:r>
      <w:r>
        <w:rPr>
          <w:rFonts w:ascii="Times New Roman" w:eastAsia="Times New Roman" w:hAnsi="Times New Roman" w:cs="Times New Roman"/>
          <w:color w:val="000000"/>
          <w:spacing w:val="0"/>
          <w:w w:val="100"/>
          <w:position w:val="0"/>
          <w:sz w:val="18"/>
          <w:szCs w:val="18"/>
        </w:rPr>
        <w:t>46.83%</w:t>
      </w:r>
      <w:r>
        <w:rPr>
          <w:color w:val="000000"/>
          <w:spacing w:val="0"/>
          <w:w w:val="100"/>
          <w:position w:val="0"/>
        </w:rPr>
        <w:t>，比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年提高</w:t>
      </w:r>
      <w:r>
        <w:rPr>
          <w:rFonts w:ascii="Times New Roman" w:eastAsia="Times New Roman" w:hAnsi="Times New Roman" w:cs="Times New Roman"/>
          <w:color w:val="000000"/>
          <w:spacing w:val="0"/>
          <w:w w:val="100"/>
          <w:position w:val="0"/>
          <w:sz w:val="18"/>
          <w:szCs w:val="18"/>
        </w:rPr>
        <w:t>19.34%</w:t>
      </w:r>
      <w:r>
        <w:rPr>
          <w:color w:val="000000"/>
          <w:spacing w:val="0"/>
          <w:w w:val="100"/>
          <w:position w:val="0"/>
        </w:rPr>
        <w:t>。主要是公司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年为了应对金融市场</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化需求的变化，拓展 新技术领域和推进解决方案产品化，在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新金融信贷云平台企业级统一额度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个项目投入</w:t>
      </w:r>
      <w:r>
        <w:rPr>
          <w:rFonts w:ascii="Times New Roman" w:eastAsia="Times New Roman" w:hAnsi="Times New Roman" w:cs="Times New Roman"/>
          <w:color w:val="000000"/>
          <w:spacing w:val="0"/>
          <w:w w:val="100"/>
          <w:position w:val="0"/>
          <w:sz w:val="18"/>
          <w:szCs w:val="18"/>
        </w:rPr>
        <w:t>2,314.27</w:t>
      </w:r>
      <w:r>
        <w:rPr>
          <w:color w:val="000000"/>
          <w:spacing w:val="0"/>
          <w:w w:val="100"/>
          <w:position w:val="0"/>
        </w:rPr>
        <w:t>万元，均已结项验收, 并获得国家版权局颁发的计算机软件著作权等级证书，从技术可行性、出售意图、市场可行性以及其他资源支持等方面均符 合资本化的条件，转入无形资产；另有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保险业务平台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资产交易平台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核心</w:t>
      </w:r>
      <w:r>
        <w:rPr>
          <w:rFonts w:ascii="Times New Roman" w:eastAsia="Times New Roman" w:hAnsi="Times New Roman" w:cs="Times New Roman"/>
          <w:color w:val="000000"/>
          <w:spacing w:val="0"/>
          <w:w w:val="100"/>
          <w:position w:val="0"/>
          <w:sz w:val="18"/>
          <w:szCs w:val="18"/>
        </w:rPr>
        <w:t>JAVA</w:t>
      </w:r>
      <w:r>
        <w:rPr>
          <w:color w:val="000000"/>
          <w:spacing w:val="0"/>
          <w:w w:val="100"/>
          <w:position w:val="0"/>
        </w:rPr>
        <w:t>交易平台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个项目投入</w:t>
      </w:r>
      <w:r>
        <w:rPr>
          <w:rFonts w:ascii="Times New Roman" w:eastAsia="Times New Roman" w:hAnsi="Times New Roman" w:cs="Times New Roman"/>
          <w:color w:val="000000"/>
          <w:spacing w:val="0"/>
          <w:w w:val="100"/>
          <w:position w:val="0"/>
          <w:sz w:val="18"/>
          <w:szCs w:val="18"/>
        </w:rPr>
        <w:t>1,368.04</w:t>
      </w:r>
      <w:r>
        <w:rPr>
          <w:color w:val="000000"/>
          <w:spacing w:val="0"/>
          <w:w w:val="100"/>
          <w:position w:val="0"/>
        </w:rPr>
        <w:t>万 元，截止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日尚未完成开发，处于实施阶段，</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年陆续结项。</w:t>
      </w:r>
      <w:r>
        <w:br w:type="page"/>
      </w:r>
    </w:p>
    <w:p>
      <w:pPr>
        <w:pStyle w:val="Style33"/>
        <w:keepNext/>
        <w:keepLines/>
        <w:widowControl w:val="0"/>
        <w:shd w:val="clear" w:color="auto" w:fill="auto"/>
        <w:bidi w:val="0"/>
        <w:spacing w:before="0" w:after="38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5</w:t>
      </w:r>
      <w:bookmarkEnd w:id="165"/>
      <w:r>
        <w:rPr>
          <w:color w:val="000000"/>
          <w:spacing w:val="0"/>
          <w:w w:val="100"/>
          <w:position w:val="0"/>
        </w:rPr>
        <w:t>、现金流</w:t>
      </w:r>
      <w:bookmarkEnd w:id="163"/>
      <w:bookmarkEnd w:id="164"/>
      <w:bookmarkEnd w:id="16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2093"/>
        <w:gridCol w:w="2390"/>
        <w:gridCol w:w="2400"/>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1,047,911,008.50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990,425,921.21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994,980,782.92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959,747,075.01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52,930,225.58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30,678,846.20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72.53%</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113,299.04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203,186.93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310,528,787.33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100,392,945.61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-310,415,488.29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-100,189,758.68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192,075,350.65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418,441,642.00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31,320,273.21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200,930,682.37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160,755,077.44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217,510,959.63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-96,547,012.92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148,000,051.34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-165.23%</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336" w:lineRule="exact"/>
        <w:ind w:left="0" w:right="0" w:firstLine="440"/>
        <w:jc w:val="left"/>
      </w:pPr>
      <w:r>
        <w:rPr>
          <w:color w:val="000000"/>
          <w:spacing w:val="0"/>
          <w:w w:val="100"/>
          <w:position w:val="0"/>
        </w:rPr>
        <w:t>报告期经营活动产生的现金流净额比去年同期高出</w:t>
      </w:r>
      <w:r>
        <w:rPr>
          <w:rFonts w:ascii="Times New Roman" w:eastAsia="Times New Roman" w:hAnsi="Times New Roman" w:cs="Times New Roman"/>
          <w:color w:val="000000"/>
          <w:spacing w:val="0"/>
          <w:w w:val="100"/>
          <w:position w:val="0"/>
          <w:sz w:val="18"/>
          <w:szCs w:val="18"/>
        </w:rPr>
        <w:t>72.53%</w:t>
      </w:r>
      <w:r>
        <w:rPr>
          <w:color w:val="000000"/>
          <w:spacing w:val="0"/>
          <w:w w:val="100"/>
          <w:position w:val="0"/>
        </w:rPr>
        <w:t>，主要是由于销售商品、提供劳务收到现金增加所致；投资 活动流出较上年同期增加</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亿元，主要是本报告期投资固定资产、现金收购公司和定向增发支付现金对价等原因所致。 报告期内公司经营活动产生的现金净流量与本年度净利润存在重大差异的原因说明</w:t>
      </w:r>
    </w:p>
    <w:p>
      <w:pPr>
        <w:pStyle w:val="Style29"/>
        <w:keepNext w:val="0"/>
        <w:keepLines w:val="0"/>
        <w:widowControl w:val="0"/>
        <w:shd w:val="clear" w:color="auto" w:fill="auto"/>
        <w:bidi w:val="0"/>
        <w:spacing w:before="0" w:after="220" w:line="38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8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sz w:val="24"/>
          <w:szCs w:val="24"/>
        </w:rPr>
        <w:t>三</w:t>
      </w:r>
      <w:bookmarkEnd w:id="169"/>
      <w:r>
        <w:rPr>
          <w:color w:val="000000"/>
          <w:spacing w:val="0"/>
          <w:w w:val="100"/>
          <w:position w:val="0"/>
          <w:sz w:val="24"/>
          <w:szCs w:val="24"/>
        </w:rPr>
        <w:t>、</w:t>
        <w:tab/>
        <w:t>非主营业务情况</w:t>
      </w:r>
      <w:bookmarkEnd w:id="167"/>
      <w:bookmarkEnd w:id="168"/>
      <w:bookmarkEnd w:id="170"/>
    </w:p>
    <w:p>
      <w:pPr>
        <w:pStyle w:val="Style29"/>
        <w:keepNext w:val="0"/>
        <w:keepLines w:val="0"/>
        <w:widowControl w:val="0"/>
        <w:shd w:val="clear" w:color="auto" w:fill="auto"/>
        <w:bidi w:val="0"/>
        <w:spacing w:before="0" w:after="220" w:line="38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8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sz w:val="24"/>
          <w:szCs w:val="24"/>
        </w:rPr>
        <w:t>四</w:t>
      </w:r>
      <w:bookmarkEnd w:id="173"/>
      <w:r>
        <w:rPr>
          <w:color w:val="000000"/>
          <w:spacing w:val="0"/>
          <w:w w:val="100"/>
          <w:position w:val="0"/>
          <w:sz w:val="24"/>
          <w:szCs w:val="24"/>
        </w:rPr>
        <w:t>、</w:t>
        <w:tab/>
        <w:t>资产及负债状况</w:t>
      </w:r>
      <w:bookmarkEnd w:id="171"/>
      <w:bookmarkEnd w:id="172"/>
      <w:bookmarkEnd w:id="174"/>
    </w:p>
    <w:p>
      <w:pPr>
        <w:pStyle w:val="Style33"/>
        <w:keepNext/>
        <w:keepLines/>
        <w:widowControl w:val="0"/>
        <w:shd w:val="clear" w:color="auto" w:fill="auto"/>
        <w:bidi w:val="0"/>
        <w:spacing w:before="0" w:after="38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1</w:t>
      </w:r>
      <w:bookmarkEnd w:id="177"/>
      <w:r>
        <w:rPr>
          <w:color w:val="000000"/>
          <w:spacing w:val="0"/>
          <w:w w:val="100"/>
          <w:position w:val="0"/>
        </w:rPr>
        <w:t>、资产构成重大变动情况</w:t>
      </w:r>
      <w:bookmarkEnd w:id="175"/>
      <w:bookmarkEnd w:id="176"/>
      <w:bookmarkEnd w:id="17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253"/>
        <w:gridCol w:w="1066"/>
        <w:gridCol w:w="1195"/>
        <w:gridCol w:w="1061"/>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260,222,261.58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411,329,772.48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-32.15%</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主要系募集资金支出用于募投项目 实施、公司购买银行理财产品及支付 股权收购现金对价所致</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391,703,500.73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275,433,209.10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主要系新收购公司增加应收账款所 致</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50,557,122.69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19,618,448.61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主要系年末采购所致</w:t>
            </w:r>
          </w:p>
        </w:tc>
      </w:tr>
    </w:tbl>
    <w:p>
      <w:pPr>
        <w:spacing w:lineRule="exact" w:line="1"/>
        <w:rPr>
          <w:sz w:val="2"/>
          <w:szCs w:val="2"/>
        </w:rPr>
      </w:pPr>
      <w:r>
        <w:br w:type="page"/>
      </w:r>
    </w:p>
    <w:tbl>
      <w:tblPr>
        <w:tblOverlap w:val="never"/>
        <w:jc w:val="center"/>
        <w:tblLayout w:type="fixed"/>
      </w:tblPr>
      <w:tblGrid>
        <w:gridCol w:w="1282"/>
        <w:gridCol w:w="1253"/>
        <w:gridCol w:w="1066"/>
        <w:gridCol w:w="1195"/>
        <w:gridCol w:w="1061"/>
        <w:gridCol w:w="802"/>
        <w:gridCol w:w="2923"/>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主要系投资意图变化所致</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118,275,007.57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55,806,509.33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主要系购买房产所致</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73,400,000.00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主要系经营需要向银行借款所致</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32,526,000.00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主要系收购股权并购贷款增加所致</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586,285,565.17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主要系收购公司溢价所致</w:t>
            </w:r>
          </w:p>
        </w:tc>
      </w:tr>
      <w:tr>
        <w:trPr>
          <w:trHeight w:val="1027"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53,262,756.10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6,411,890.33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主要系研发投入资本化形成无形资 产及并购企业无形资产评估增值所 致</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可供出售的金</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69,500,000.00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主要系投资意图变化所致</w:t>
            </w:r>
          </w:p>
        </w:tc>
      </w:tr>
      <w:tr>
        <w:trPr>
          <w:trHeight w:val="725"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130,757,082.94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主要系公司购买银行理财产品、预缴 所得税及待抵扣认证进项税所致</w:t>
            </w:r>
          </w:p>
        </w:tc>
      </w:tr>
    </w:tbl>
    <w:p>
      <w:pPr>
        <w:widowControl w:val="0"/>
        <w:spacing w:after="359" w:line="1" w:lineRule="exact"/>
      </w:pPr>
    </w:p>
    <w:p>
      <w:pPr>
        <w:pStyle w:val="Style33"/>
        <w:keepNext/>
        <w:keepLines/>
        <w:widowControl w:val="0"/>
        <w:shd w:val="clear" w:color="auto" w:fill="auto"/>
        <w:tabs>
          <w:tab w:pos="378" w:val="left"/>
        </w:tabs>
        <w:bidi w:val="0"/>
        <w:spacing w:before="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2</w:t>
      </w:r>
      <w:bookmarkEnd w:id="181"/>
      <w:r>
        <w:rPr>
          <w:color w:val="000000"/>
          <w:spacing w:val="0"/>
          <w:w w:val="100"/>
          <w:position w:val="0"/>
        </w:rPr>
        <w:t>、</w:t>
        <w:tab/>
        <w:t>以公允价值计量的资产和负债</w:t>
      </w:r>
      <w:bookmarkEnd w:id="179"/>
      <w:bookmarkEnd w:id="180"/>
      <w:bookmarkEnd w:id="182"/>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3</w:t>
      </w:r>
      <w:bookmarkEnd w:id="185"/>
      <w:r>
        <w:rPr>
          <w:color w:val="000000"/>
          <w:spacing w:val="0"/>
          <w:w w:val="100"/>
          <w:position w:val="0"/>
        </w:rPr>
        <w:t>、</w:t>
        <w:tab/>
        <w:t>截至报告期末的资产权利受限情况</w:t>
      </w:r>
      <w:bookmarkEnd w:id="183"/>
      <w:bookmarkEnd w:id="184"/>
      <w:bookmarkEnd w:id="186"/>
    </w:p>
    <w:p>
      <w:pPr>
        <w:pStyle w:val="Style29"/>
        <w:keepNext w:val="0"/>
        <w:keepLines w:val="0"/>
        <w:widowControl w:val="0"/>
        <w:shd w:val="clear" w:color="auto" w:fill="auto"/>
        <w:bidi w:val="0"/>
        <w:spacing w:before="0" w:after="360" w:line="240" w:lineRule="auto"/>
        <w:ind w:left="0" w:right="0" w:firstLine="0"/>
        <w:jc w:val="left"/>
        <w:rPr>
          <w:sz w:val="18"/>
          <w:szCs w:val="18"/>
        </w:rPr>
      </w:pPr>
      <w:r>
        <w:rPr>
          <w:color w:val="000000"/>
          <w:spacing w:val="0"/>
          <w:w w:val="100"/>
          <w:position w:val="0"/>
          <w:sz w:val="17"/>
          <w:szCs w:val="17"/>
        </w:rPr>
        <w:t>见第十一节七、</w:t>
      </w:r>
      <w:r>
        <w:rPr>
          <w:rFonts w:ascii="Times New Roman" w:eastAsia="Times New Roman" w:hAnsi="Times New Roman" w:cs="Times New Roman"/>
          <w:color w:val="000000"/>
          <w:spacing w:val="0"/>
          <w:w w:val="100"/>
          <w:position w:val="0"/>
          <w:sz w:val="18"/>
          <w:szCs w:val="18"/>
        </w:rPr>
        <w:t>76</w:t>
      </w:r>
    </w:p>
    <w:p>
      <w:pPr>
        <w:pStyle w:val="Style27"/>
        <w:keepNext/>
        <w:keepLines/>
        <w:widowControl w:val="0"/>
        <w:shd w:val="clear" w:color="auto" w:fill="auto"/>
        <w:bidi w:val="0"/>
        <w:spacing w:before="0" w:line="240" w:lineRule="auto"/>
        <w:ind w:left="0" w:right="0" w:firstLine="0"/>
        <w:jc w:val="left"/>
      </w:pPr>
      <w:bookmarkStart w:id="187" w:name="bookmark187"/>
      <w:bookmarkStart w:id="188" w:name="bookmark188"/>
      <w:bookmarkStart w:id="189" w:name="bookmark189"/>
      <w:bookmarkStart w:id="190" w:name="bookmark190"/>
      <w:r>
        <w:rPr>
          <w:color w:val="000000"/>
          <w:spacing w:val="0"/>
          <w:w w:val="100"/>
          <w:position w:val="0"/>
          <w:sz w:val="24"/>
          <w:szCs w:val="24"/>
        </w:rPr>
        <w:t>五</w:t>
      </w:r>
      <w:bookmarkEnd w:id="189"/>
      <w:r>
        <w:rPr>
          <w:color w:val="000000"/>
          <w:spacing w:val="0"/>
          <w:w w:val="100"/>
          <w:position w:val="0"/>
          <w:sz w:val="24"/>
          <w:szCs w:val="24"/>
        </w:rPr>
        <w:t>、投资状况分析</w:t>
      </w:r>
      <w:bookmarkEnd w:id="187"/>
      <w:bookmarkEnd w:id="188"/>
      <w:bookmarkEnd w:id="190"/>
    </w:p>
    <w:p>
      <w:pPr>
        <w:pStyle w:val="Style33"/>
        <w:keepNext/>
        <w:keepLines/>
        <w:widowControl w:val="0"/>
        <w:shd w:val="clear" w:color="auto" w:fill="auto"/>
        <w:bidi w:val="0"/>
        <w:spacing w:before="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1</w:t>
      </w:r>
      <w:bookmarkEnd w:id="193"/>
      <w:r>
        <w:rPr>
          <w:color w:val="000000"/>
          <w:spacing w:val="0"/>
          <w:w w:val="100"/>
          <w:position w:val="0"/>
        </w:rPr>
        <w:t>、总体情况</w:t>
      </w:r>
      <w:bookmarkEnd w:id="191"/>
      <w:bookmarkEnd w:id="192"/>
      <w:bookmarkEnd w:id="194"/>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670,259,982.22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69,500,000.00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864.40%</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2</w:t>
      </w:r>
      <w:bookmarkEnd w:id="197"/>
      <w:r>
        <w:rPr>
          <w:color w:val="000000"/>
          <w:spacing w:val="0"/>
          <w:w w:val="100"/>
          <w:position w:val="0"/>
        </w:rPr>
        <w:t>、报告期内获取的重大的股权投资情况</w:t>
      </w:r>
      <w:bookmarkEnd w:id="195"/>
      <w:bookmarkEnd w:id="196"/>
      <w:bookmarkEnd w:id="198"/>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96"/>
        <w:gridCol w:w="696"/>
        <w:gridCol w:w="662"/>
        <w:gridCol w:w="662"/>
        <w:gridCol w:w="662"/>
        <w:gridCol w:w="662"/>
        <w:gridCol w:w="658"/>
        <w:gridCol w:w="653"/>
        <w:gridCol w:w="658"/>
        <w:gridCol w:w="629"/>
        <w:gridCol w:w="739"/>
        <w:gridCol w:w="734"/>
        <w:gridCol w:w="734"/>
        <w:gridCol w:w="734"/>
      </w:tblGrid>
      <w:tr>
        <w:trPr>
          <w:trHeight w:val="103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预计收</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披露日 期（如</w:t>
            </w:r>
          </w:p>
          <w:p>
            <w:pPr>
              <w:pStyle w:val="Style5"/>
              <w:keepNext w:val="0"/>
              <w:keepLines w:val="0"/>
              <w:widowControl w:val="0"/>
              <w:shd w:val="clear" w:color="auto" w:fill="auto"/>
              <w:bidi w:val="0"/>
              <w:spacing w:before="0" w:after="0" w:line="312" w:lineRule="exact"/>
              <w:ind w:left="0" w:right="0" w:firstLine="180"/>
              <w:jc w:val="left"/>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1661"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上海睿 民互联 网科技 有限公 司</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金融信</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息服务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公司募</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集资金</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5,122,16</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ind w:left="0" w:right="0" w:firstLine="0"/>
              <w:jc w:val="both"/>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p>
          <w:p>
            <w:pPr>
              <w:pStyle w:val="Style5"/>
              <w:keepNext w:val="0"/>
              <w:keepLines w:val="0"/>
              <w:widowControl w:val="0"/>
              <w:shd w:val="clear" w:color="auto" w:fill="auto"/>
              <w:bidi w:val="0"/>
              <w:spacing w:before="0" w:after="0"/>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ww.cninf</w:t>
            </w:r>
          </w:p>
          <w:p>
            <w:pPr>
              <w:pStyle w:val="Style5"/>
              <w:keepNext w:val="0"/>
              <w:keepLines w:val="0"/>
              <w:widowControl w:val="0"/>
              <w:shd w:val="clear" w:color="auto" w:fill="auto"/>
              <w:bidi w:val="0"/>
              <w:spacing w:before="0" w:after="0"/>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o.com.cn</w:t>
            </w:r>
            <w:r>
              <w:rPr>
                <w:rFonts w:ascii="Times New Roman" w:eastAsia="Times New Roman" w:hAnsi="Times New Roman" w:cs="Times New Roman"/>
                <w:color w:val="000000"/>
                <w:spacing w:val="0"/>
                <w:w w:val="100"/>
                <w:position w:val="0"/>
                <w:sz w:val="18"/>
                <w:szCs w:val="18"/>
              </w:rPr>
              <w:t xml:space="preserve"> /cninfo-n ew/discl</w:t>
            </w:r>
          </w:p>
        </w:tc>
      </w:tr>
    </w:tbl>
    <w:p>
      <w:pPr>
        <w:spacing w:lineRule="exact" w:line="1"/>
        <w:rPr>
          <w:sz w:val="2"/>
          <w:szCs w:val="2"/>
        </w:rPr>
      </w:pPr>
      <w:r>
        <w:br w:type="page"/>
      </w:r>
    </w:p>
    <w:tbl>
      <w:tblPr>
        <w:tblOverlap w:val="never"/>
        <w:jc w:val="center"/>
        <w:tblLayout w:type="fixed"/>
      </w:tblPr>
      <w:tblGrid>
        <w:gridCol w:w="696"/>
        <w:gridCol w:w="696"/>
        <w:gridCol w:w="662"/>
        <w:gridCol w:w="662"/>
        <w:gridCol w:w="662"/>
        <w:gridCol w:w="662"/>
        <w:gridCol w:w="658"/>
        <w:gridCol w:w="653"/>
        <w:gridCol w:w="658"/>
        <w:gridCol w:w="629"/>
        <w:gridCol w:w="739"/>
        <w:gridCol w:w="734"/>
        <w:gridCol w:w="734"/>
        <w:gridCol w:w="734"/>
      </w:tblGrid>
      <w:tr>
        <w:trPr>
          <w:trHeight w:val="2861"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osure/szs e_gem/b ulletin_d etail/true /120243 7298?an nounceT ime=201 6-06-30</w:t>
            </w:r>
          </w:p>
        </w:tc>
      </w:tr>
      <w:tr>
        <w:trPr>
          <w:trHeight w:val="508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海南坚 果创娱 信息技 术有限 公司</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移动互 联网营 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250,200</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公司自 有资金</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11,386,4</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ind w:left="0" w:right="0" w:firstLine="0"/>
              <w:jc w:val="left"/>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ww.cninf </w:t>
            </w:r>
            <w:r>
              <w:rPr>
                <w:rFonts w:ascii="Times New Roman" w:eastAsia="Times New Roman" w:hAnsi="Times New Roman" w:cs="Times New Roman"/>
                <w:color w:val="000000"/>
                <w:spacing w:val="0"/>
                <w:w w:val="100"/>
                <w:position w:val="0"/>
                <w:sz w:val="18"/>
                <w:szCs w:val="18"/>
              </w:rPr>
              <w:t>o.com.cn</w:t>
            </w:r>
            <w:r>
              <w:rPr>
                <w:rFonts w:ascii="Times New Roman" w:eastAsia="Times New Roman" w:hAnsi="Times New Roman" w:cs="Times New Roman"/>
                <w:color w:val="000000"/>
                <w:spacing w:val="0"/>
                <w:w w:val="100"/>
                <w:position w:val="0"/>
                <w:sz w:val="18"/>
                <w:szCs w:val="18"/>
              </w:rPr>
              <w:t xml:space="preserve"> /cninfo-n ew/discl osure/szs e_gem/b ulletin_d etail/true /120267 6995?an nounceT ime=201 6-09-05 %2019:4</w:t>
            </w:r>
          </w:p>
          <w:p>
            <w:pPr>
              <w:pStyle w:val="Style5"/>
              <w:keepNext w:val="0"/>
              <w:keepLines w:val="0"/>
              <w:widowControl w:val="0"/>
              <w:shd w:val="clear" w:color="auto" w:fill="auto"/>
              <w:bidi w:val="0"/>
              <w:spacing w:before="0" w:after="0"/>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508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喀什尚 河信息 科技有 限公司</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移动互 联网营 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120,060</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公司自 有资金</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7,936,79</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40"/>
              <w:ind w:left="0" w:right="0" w:firstLine="0"/>
              <w:jc w:val="left"/>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ww.cninf </w:t>
            </w:r>
            <w:r>
              <w:rPr>
                <w:rFonts w:ascii="Times New Roman" w:eastAsia="Times New Roman" w:hAnsi="Times New Roman" w:cs="Times New Roman"/>
                <w:color w:val="000000"/>
                <w:spacing w:val="0"/>
                <w:w w:val="100"/>
                <w:position w:val="0"/>
                <w:sz w:val="18"/>
                <w:szCs w:val="18"/>
              </w:rPr>
              <w:t>o.com.cn</w:t>
            </w:r>
            <w:r>
              <w:rPr>
                <w:rFonts w:ascii="Times New Roman" w:eastAsia="Times New Roman" w:hAnsi="Times New Roman" w:cs="Times New Roman"/>
                <w:color w:val="000000"/>
                <w:spacing w:val="0"/>
                <w:w w:val="100"/>
                <w:position w:val="0"/>
                <w:sz w:val="18"/>
                <w:szCs w:val="18"/>
              </w:rPr>
              <w:t xml:space="preserve"> /cninfo-n ew/discl osure/szs e_gem/b ulletin_d etail/true /120276 5855?an nounceT ime=201 6-10-17 %2019:2</w:t>
            </w:r>
          </w:p>
          <w:p>
            <w:pPr>
              <w:pStyle w:val="Style5"/>
              <w:keepNext w:val="0"/>
              <w:keepLines w:val="0"/>
              <w:widowControl w:val="0"/>
              <w:shd w:val="clear" w:color="auto" w:fill="auto"/>
              <w:bidi w:val="0"/>
              <w:spacing w:before="0" w:after="0"/>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72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670,260</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38,700,</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24,445,4</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40" w:line="317" w:lineRule="exact"/>
        <w:ind w:left="0" w:right="0" w:firstLine="0"/>
        <w:jc w:val="left"/>
      </w:pPr>
      <w:r>
        <w:rPr>
          <w:color w:val="000000"/>
          <w:spacing w:val="0"/>
          <w:w w:val="100"/>
          <w:position w:val="0"/>
        </w:rPr>
        <w:t>注：</w:t>
      </w:r>
    </w:p>
    <w:p>
      <w:pPr>
        <w:pStyle w:val="Style29"/>
        <w:keepNext w:val="0"/>
        <w:keepLines w:val="0"/>
        <w:widowControl w:val="0"/>
        <w:shd w:val="clear" w:color="auto" w:fill="auto"/>
        <w:tabs>
          <w:tab w:pos="344" w:val="left"/>
        </w:tabs>
        <w:bidi w:val="0"/>
        <w:spacing w:before="0" w:after="40" w:line="312" w:lineRule="exact"/>
        <w:ind w:left="0" w:right="0" w:firstLine="0"/>
        <w:jc w:val="left"/>
      </w:pPr>
      <w:bookmarkStart w:id="199" w:name="bookmark199"/>
      <w:r>
        <w:rPr>
          <w:rFonts w:ascii="Times New Roman" w:eastAsia="Times New Roman" w:hAnsi="Times New Roman" w:cs="Times New Roman"/>
          <w:color w:val="000000"/>
          <w:spacing w:val="0"/>
          <w:w w:val="100"/>
          <w:position w:val="0"/>
          <w:sz w:val="18"/>
          <w:szCs w:val="18"/>
        </w:rPr>
        <w:t>1</w:t>
      </w:r>
      <w:bookmarkEnd w:id="199"/>
      <w:r>
        <w:rPr>
          <w:color w:val="000000"/>
          <w:spacing w:val="0"/>
          <w:w w:val="100"/>
          <w:position w:val="0"/>
        </w:rPr>
        <w:t>、</w:t>
        <w:tab/>
        <w:t>上海睿民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年度实际实现的归属于母公司所有者的净利润为</w:t>
      </w:r>
      <w:r>
        <w:rPr>
          <w:rFonts w:ascii="Times New Roman" w:eastAsia="Times New Roman" w:hAnsi="Times New Roman" w:cs="Times New Roman"/>
          <w:color w:val="000000"/>
          <w:spacing w:val="0"/>
          <w:w w:val="100"/>
          <w:position w:val="0"/>
          <w:sz w:val="18"/>
          <w:szCs w:val="18"/>
        </w:rPr>
        <w:t>-4,415.17</w:t>
      </w:r>
      <w:r>
        <w:rPr>
          <w:color w:val="000000"/>
          <w:spacing w:val="0"/>
          <w:w w:val="100"/>
          <w:position w:val="0"/>
        </w:rPr>
        <w:t>万元，扣除非经常性损益及股份支付形成的管 理费用影响后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年度归属于母公司所有者的净利润为</w:t>
      </w:r>
      <w:r>
        <w:rPr>
          <w:rFonts w:ascii="Times New Roman" w:eastAsia="Times New Roman" w:hAnsi="Times New Roman" w:cs="Times New Roman"/>
          <w:color w:val="000000"/>
          <w:spacing w:val="0"/>
          <w:w w:val="100"/>
          <w:position w:val="0"/>
          <w:sz w:val="18"/>
          <w:szCs w:val="18"/>
        </w:rPr>
        <w:t>2,083.83</w:t>
      </w:r>
      <w:r>
        <w:rPr>
          <w:color w:val="000000"/>
          <w:spacing w:val="0"/>
          <w:w w:val="100"/>
          <w:position w:val="0"/>
        </w:rPr>
        <w:t>万元，超出业绩承诺</w:t>
      </w:r>
      <w:r>
        <w:rPr>
          <w:rFonts w:ascii="Times New Roman" w:eastAsia="Times New Roman" w:hAnsi="Times New Roman" w:cs="Times New Roman"/>
          <w:color w:val="000000"/>
          <w:spacing w:val="0"/>
          <w:w w:val="100"/>
          <w:position w:val="0"/>
          <w:sz w:val="18"/>
          <w:szCs w:val="18"/>
        </w:rPr>
        <w:t>83.83</w:t>
      </w:r>
      <w:r>
        <w:rPr>
          <w:color w:val="000000"/>
          <w:spacing w:val="0"/>
          <w:w w:val="100"/>
          <w:position w:val="0"/>
        </w:rPr>
        <w:t xml:space="preserve">万元，实际实现业绩承诺的 </w:t>
      </w:r>
      <w:r>
        <w:rPr>
          <w:rFonts w:ascii="Times New Roman" w:eastAsia="Times New Roman" w:hAnsi="Times New Roman" w:cs="Times New Roman"/>
          <w:color w:val="000000"/>
          <w:spacing w:val="0"/>
          <w:w w:val="100"/>
          <w:position w:val="0"/>
          <w:sz w:val="18"/>
          <w:szCs w:val="18"/>
        </w:rPr>
        <w:t>104.19%</w:t>
      </w:r>
      <w:r>
        <w:rPr>
          <w:color w:val="000000"/>
          <w:spacing w:val="0"/>
          <w:w w:val="100"/>
          <w:position w:val="0"/>
        </w:rPr>
        <w:t>。</w:t>
      </w:r>
    </w:p>
    <w:p>
      <w:pPr>
        <w:pStyle w:val="Style29"/>
        <w:keepNext w:val="0"/>
        <w:keepLines w:val="0"/>
        <w:widowControl w:val="0"/>
        <w:shd w:val="clear" w:color="auto" w:fill="auto"/>
        <w:tabs>
          <w:tab w:pos="354" w:val="left"/>
        </w:tabs>
        <w:bidi w:val="0"/>
        <w:spacing w:before="0" w:after="40" w:line="317" w:lineRule="exact"/>
        <w:ind w:left="0" w:right="0" w:firstLine="0"/>
        <w:jc w:val="left"/>
      </w:pPr>
      <w:bookmarkStart w:id="200" w:name="bookmark200"/>
      <w:r>
        <w:rPr>
          <w:rFonts w:ascii="Times New Roman" w:eastAsia="Times New Roman" w:hAnsi="Times New Roman" w:cs="Times New Roman"/>
          <w:color w:val="000000"/>
          <w:spacing w:val="0"/>
          <w:w w:val="100"/>
          <w:position w:val="0"/>
          <w:sz w:val="18"/>
          <w:szCs w:val="18"/>
        </w:rPr>
        <w:t>2</w:t>
      </w:r>
      <w:bookmarkEnd w:id="200"/>
      <w:r>
        <w:rPr>
          <w:color w:val="000000"/>
          <w:spacing w:val="0"/>
          <w:w w:val="100"/>
          <w:position w:val="0"/>
        </w:rPr>
        <w:t>、</w:t>
        <w:tab/>
        <w:t>坚果技术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年第四季度实际实现的归属于母公司所有者的净利润为</w:t>
      </w:r>
      <w:r>
        <w:rPr>
          <w:rFonts w:ascii="Times New Roman" w:eastAsia="Times New Roman" w:hAnsi="Times New Roman" w:cs="Times New Roman"/>
          <w:color w:val="000000"/>
          <w:spacing w:val="0"/>
          <w:w w:val="100"/>
          <w:position w:val="0"/>
          <w:sz w:val="18"/>
          <w:szCs w:val="18"/>
        </w:rPr>
        <w:t>1,138.64</w:t>
      </w:r>
      <w:r>
        <w:rPr>
          <w:color w:val="000000"/>
          <w:spacing w:val="0"/>
          <w:w w:val="100"/>
          <w:position w:val="0"/>
        </w:rPr>
        <w:t>万元，扣除非经常性损益影响后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度归属于母公司所有者的净利润为</w:t>
      </w:r>
      <w:r>
        <w:rPr>
          <w:rFonts w:ascii="Times New Roman" w:eastAsia="Times New Roman" w:hAnsi="Times New Roman" w:cs="Times New Roman"/>
          <w:color w:val="000000"/>
          <w:spacing w:val="0"/>
          <w:w w:val="100"/>
          <w:position w:val="0"/>
          <w:sz w:val="18"/>
          <w:szCs w:val="18"/>
        </w:rPr>
        <w:t>1,138.75</w:t>
      </w:r>
      <w:r>
        <w:rPr>
          <w:color w:val="000000"/>
          <w:spacing w:val="0"/>
          <w:w w:val="100"/>
          <w:position w:val="0"/>
        </w:rPr>
        <w:t>万元，超出业绩承诺</w:t>
      </w:r>
      <w:r>
        <w:rPr>
          <w:rFonts w:ascii="Times New Roman" w:eastAsia="Times New Roman" w:hAnsi="Times New Roman" w:cs="Times New Roman"/>
          <w:color w:val="000000"/>
          <w:spacing w:val="0"/>
          <w:w w:val="100"/>
          <w:position w:val="0"/>
          <w:sz w:val="18"/>
          <w:szCs w:val="18"/>
        </w:rPr>
        <w:t>438.75</w:t>
      </w:r>
      <w:r>
        <w:rPr>
          <w:color w:val="000000"/>
          <w:spacing w:val="0"/>
          <w:w w:val="100"/>
          <w:position w:val="0"/>
        </w:rPr>
        <w:t>万元，实际实现业绩承诺的</w:t>
      </w:r>
      <w:r>
        <w:rPr>
          <w:rFonts w:ascii="Times New Roman" w:eastAsia="Times New Roman" w:hAnsi="Times New Roman" w:cs="Times New Roman"/>
          <w:color w:val="000000"/>
          <w:spacing w:val="0"/>
          <w:w w:val="100"/>
          <w:position w:val="0"/>
          <w:sz w:val="18"/>
          <w:szCs w:val="18"/>
        </w:rPr>
        <w:t>162.68%</w:t>
      </w:r>
      <w:r>
        <w:rPr>
          <w:color w:val="000000"/>
          <w:spacing w:val="0"/>
          <w:w w:val="100"/>
          <w:position w:val="0"/>
        </w:rPr>
        <w:t>。</w:t>
      </w:r>
    </w:p>
    <w:p>
      <w:pPr>
        <w:pStyle w:val="Style29"/>
        <w:keepNext w:val="0"/>
        <w:keepLines w:val="0"/>
        <w:widowControl w:val="0"/>
        <w:shd w:val="clear" w:color="auto" w:fill="auto"/>
        <w:tabs>
          <w:tab w:pos="358" w:val="left"/>
        </w:tabs>
        <w:bidi w:val="0"/>
        <w:spacing w:before="0" w:after="380" w:line="317" w:lineRule="exact"/>
        <w:ind w:left="0" w:right="0" w:firstLine="0"/>
        <w:jc w:val="left"/>
      </w:pPr>
      <w:bookmarkStart w:id="201" w:name="bookmark201"/>
      <w:r>
        <w:rPr>
          <w:rFonts w:ascii="Times New Roman" w:eastAsia="Times New Roman" w:hAnsi="Times New Roman" w:cs="Times New Roman"/>
          <w:color w:val="000000"/>
          <w:spacing w:val="0"/>
          <w:w w:val="100"/>
          <w:position w:val="0"/>
          <w:sz w:val="18"/>
          <w:szCs w:val="18"/>
        </w:rPr>
        <w:t>3</w:t>
      </w:r>
      <w:bookmarkEnd w:id="201"/>
      <w:r>
        <w:rPr>
          <w:color w:val="000000"/>
          <w:spacing w:val="0"/>
          <w:w w:val="100"/>
          <w:position w:val="0"/>
        </w:rPr>
        <w:t>、</w:t>
        <w:tab/>
        <w:t>尚河科技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11-12</w:t>
      </w:r>
      <w:r>
        <w:rPr>
          <w:color w:val="000000"/>
          <w:spacing w:val="0"/>
          <w:w w:val="100"/>
          <w:position w:val="0"/>
        </w:rPr>
        <w:t>月实际实现的归属于母公司所有者的净利润为</w:t>
      </w:r>
      <w:r>
        <w:rPr>
          <w:rFonts w:ascii="Times New Roman" w:eastAsia="Times New Roman" w:hAnsi="Times New Roman" w:cs="Times New Roman"/>
          <w:color w:val="000000"/>
          <w:spacing w:val="0"/>
          <w:w w:val="100"/>
          <w:position w:val="0"/>
          <w:sz w:val="18"/>
          <w:szCs w:val="18"/>
        </w:rPr>
        <w:t>793.68</w:t>
      </w:r>
      <w:r>
        <w:rPr>
          <w:color w:val="000000"/>
          <w:spacing w:val="0"/>
          <w:w w:val="100"/>
          <w:position w:val="0"/>
        </w:rPr>
        <w:t>万元，扣除非经常性损益影响后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度归属于母公司所有者的净利润为</w:t>
      </w:r>
      <w:r>
        <w:rPr>
          <w:rFonts w:ascii="Times New Roman" w:eastAsia="Times New Roman" w:hAnsi="Times New Roman" w:cs="Times New Roman"/>
          <w:color w:val="000000"/>
          <w:spacing w:val="0"/>
          <w:w w:val="100"/>
          <w:position w:val="0"/>
          <w:sz w:val="18"/>
          <w:szCs w:val="18"/>
        </w:rPr>
        <w:t>793.68</w:t>
      </w:r>
      <w:r>
        <w:rPr>
          <w:color w:val="000000"/>
          <w:spacing w:val="0"/>
          <w:w w:val="100"/>
          <w:position w:val="0"/>
        </w:rPr>
        <w:t>万元，超出业绩承诺</w:t>
      </w:r>
      <w:r>
        <w:rPr>
          <w:rFonts w:ascii="Times New Roman" w:eastAsia="Times New Roman" w:hAnsi="Times New Roman" w:cs="Times New Roman"/>
          <w:color w:val="000000"/>
          <w:spacing w:val="0"/>
          <w:w w:val="100"/>
          <w:position w:val="0"/>
          <w:sz w:val="18"/>
          <w:szCs w:val="18"/>
        </w:rPr>
        <w:t>393.68</w:t>
      </w:r>
      <w:r>
        <w:rPr>
          <w:color w:val="000000"/>
          <w:spacing w:val="0"/>
          <w:w w:val="100"/>
          <w:position w:val="0"/>
        </w:rPr>
        <w:t>万元，实际实现业绩承诺的</w:t>
      </w:r>
      <w:r>
        <w:rPr>
          <w:rFonts w:ascii="Times New Roman" w:eastAsia="Times New Roman" w:hAnsi="Times New Roman" w:cs="Times New Roman"/>
          <w:color w:val="000000"/>
          <w:spacing w:val="0"/>
          <w:w w:val="100"/>
          <w:position w:val="0"/>
          <w:sz w:val="18"/>
          <w:szCs w:val="18"/>
        </w:rPr>
        <w:t>198.42%</w:t>
      </w:r>
      <w:r>
        <w:rPr>
          <w:color w:val="000000"/>
          <w:spacing w:val="0"/>
          <w:w w:val="100"/>
          <w:position w:val="0"/>
        </w:rPr>
        <w:t>。</w:t>
      </w:r>
    </w:p>
    <w:p>
      <w:pPr>
        <w:pStyle w:val="Style33"/>
        <w:keepNext/>
        <w:keepLines/>
        <w:widowControl w:val="0"/>
        <w:shd w:val="clear" w:color="auto" w:fill="auto"/>
        <w:tabs>
          <w:tab w:pos="378" w:val="left"/>
        </w:tabs>
        <w:bidi w:val="0"/>
        <w:spacing w:before="0" w:after="26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3</w:t>
      </w:r>
      <w:bookmarkEnd w:id="204"/>
      <w:r>
        <w:rPr>
          <w:color w:val="000000"/>
          <w:spacing w:val="0"/>
          <w:w w:val="100"/>
          <w:position w:val="0"/>
        </w:rPr>
        <w:t>、</w:t>
        <w:tab/>
        <w:t>报告期内正在进行的重大的非股权投资情况</w:t>
      </w:r>
      <w:bookmarkEnd w:id="202"/>
      <w:bookmarkEnd w:id="203"/>
      <w:bookmarkEnd w:id="205"/>
    </w:p>
    <w:p>
      <w:pPr>
        <w:pStyle w:val="Style29"/>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26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4</w:t>
      </w:r>
      <w:bookmarkEnd w:id="208"/>
      <w:r>
        <w:rPr>
          <w:color w:val="000000"/>
          <w:spacing w:val="0"/>
          <w:w w:val="100"/>
          <w:position w:val="0"/>
        </w:rPr>
        <w:t>、</w:t>
        <w:tab/>
        <w:t>以公允价值计量的金融资产</w:t>
      </w:r>
      <w:bookmarkEnd w:id="206"/>
      <w:bookmarkEnd w:id="207"/>
      <w:bookmarkEnd w:id="209"/>
    </w:p>
    <w:p>
      <w:pPr>
        <w:pStyle w:val="Style29"/>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26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5</w:t>
      </w:r>
      <w:bookmarkEnd w:id="212"/>
      <w:r>
        <w:rPr>
          <w:color w:val="000000"/>
          <w:spacing w:val="0"/>
          <w:w w:val="100"/>
          <w:position w:val="0"/>
        </w:rPr>
        <w:t>、</w:t>
        <w:tab/>
        <w:t>募集资金使用情况</w:t>
      </w:r>
      <w:bookmarkEnd w:id="210"/>
      <w:bookmarkEnd w:id="211"/>
      <w:bookmarkEnd w:id="213"/>
    </w:p>
    <w:p>
      <w:pPr>
        <w:pStyle w:val="Style29"/>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5"/>
        <w:keepNext/>
        <w:keepLines/>
        <w:widowControl w:val="0"/>
        <w:shd w:val="clear" w:color="auto" w:fill="auto"/>
        <w:bidi w:val="0"/>
        <w:spacing w:before="0" w:after="26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rPr>
        <w:t>（</w:t>
      </w:r>
      <w:bookmarkEnd w:id="216"/>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4"/>
      <w:bookmarkEnd w:id="215"/>
      <w:bookmarkEnd w:id="217"/>
    </w:p>
    <w:p>
      <w:pPr>
        <w:pStyle w:val="Style29"/>
        <w:keepNext w:val="0"/>
        <w:keepLines w:val="0"/>
        <w:widowControl w:val="0"/>
        <w:shd w:val="clear" w:color="auto" w:fill="auto"/>
        <w:bidi w:val="0"/>
        <w:spacing w:before="0" w:after="12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571"/>
        <w:gridCol w:w="1166"/>
        <w:gridCol w:w="874"/>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 年份</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5"/>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5"/>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027"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发行普通股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33,644.16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15,791.55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31,153.89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2,643.5</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按照募集 资金用途 使用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发行股份购买</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资产并募集配</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套资金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4,683.36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4,683.36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4,683.36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按照募集 资金用途 使用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38,327.52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20,474.91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35,837.25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2,643.5</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622" w:hRule="exact"/>
        </w:trPr>
        <w:tc>
          <w:tcPr>
            <w:gridSpan w:val="11"/>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）经中国证券监督管理委员会《关于核准高伟达软件股份有限公司首次公开发行股票的批复》（证监许可</w:t>
            </w:r>
            <w:r>
              <w:rPr>
                <w:rFonts w:ascii="Times New Roman" w:eastAsia="Times New Roman" w:hAnsi="Times New Roman" w:cs="Times New Roman"/>
                <w:color w:val="000000"/>
                <w:spacing w:val="0"/>
                <w:w w:val="100"/>
                <w:position w:val="0"/>
                <w:sz w:val="18"/>
                <w:szCs w:val="18"/>
              </w:rPr>
              <w:t>[2015]833</w:t>
            </w:r>
            <w:r>
              <w:rPr>
                <w:color w:val="000000"/>
                <w:spacing w:val="0"/>
                <w:w w:val="100"/>
                <w:position w:val="0"/>
              </w:rPr>
              <w:t>号） 核准，高伟达软件股份有限公司（以下简称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高伟达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日获准向社会公众发行人民币普通股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3,334</w:t>
            </w:r>
            <w:r>
              <w:rPr>
                <w:color w:val="000000"/>
                <w:spacing w:val="0"/>
                <w:w w:val="100"/>
                <w:position w:val="0"/>
              </w:rPr>
              <w:t>万股，每股面值人民币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sz w:val="18"/>
                <w:szCs w:val="18"/>
              </w:rPr>
              <w:t>11.26</w:t>
            </w:r>
            <w:r>
              <w:rPr>
                <w:color w:val="000000"/>
                <w:spacing w:val="0"/>
                <w:w w:val="100"/>
                <w:position w:val="0"/>
              </w:rPr>
              <w:t>元，募集资金总额为</w:t>
            </w:r>
            <w:r>
              <w:rPr>
                <w:rFonts w:ascii="Times New Roman" w:eastAsia="Times New Roman" w:hAnsi="Times New Roman" w:cs="Times New Roman"/>
                <w:color w:val="000000"/>
                <w:spacing w:val="0"/>
                <w:w w:val="100"/>
                <w:position w:val="0"/>
                <w:sz w:val="18"/>
                <w:szCs w:val="18"/>
              </w:rPr>
              <w:t>37,540.84</w:t>
            </w:r>
            <w:r>
              <w:rPr>
                <w:color w:val="000000"/>
                <w:spacing w:val="0"/>
                <w:w w:val="100"/>
                <w:position w:val="0"/>
              </w:rPr>
              <w:t xml:space="preserve">万元，扣除发行费用 </w:t>
            </w:r>
            <w:r>
              <w:rPr>
                <w:rFonts w:ascii="Times New Roman" w:eastAsia="Times New Roman" w:hAnsi="Times New Roman" w:cs="Times New Roman"/>
                <w:color w:val="000000"/>
                <w:spacing w:val="0"/>
                <w:w w:val="100"/>
                <w:position w:val="0"/>
                <w:sz w:val="18"/>
                <w:szCs w:val="18"/>
              </w:rPr>
              <w:t>3,896.68</w:t>
            </w:r>
            <w:r>
              <w:rPr>
                <w:color w:val="000000"/>
                <w:spacing w:val="0"/>
                <w:w w:val="100"/>
                <w:position w:val="0"/>
              </w:rPr>
              <w:t>万元，募集资金净额为</w:t>
            </w:r>
            <w:r>
              <w:rPr>
                <w:rFonts w:ascii="Times New Roman" w:eastAsia="Times New Roman" w:hAnsi="Times New Roman" w:cs="Times New Roman"/>
                <w:color w:val="000000"/>
                <w:spacing w:val="0"/>
                <w:w w:val="100"/>
                <w:position w:val="0"/>
                <w:sz w:val="18"/>
                <w:szCs w:val="18"/>
              </w:rPr>
              <w:t>33,644.16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年使用募集资金</w:t>
            </w:r>
            <w:r>
              <w:rPr>
                <w:rFonts w:ascii="Times New Roman" w:eastAsia="Times New Roman" w:hAnsi="Times New Roman" w:cs="Times New Roman"/>
                <w:color w:val="000000"/>
                <w:spacing w:val="0"/>
                <w:w w:val="100"/>
                <w:position w:val="0"/>
                <w:sz w:val="18"/>
                <w:szCs w:val="18"/>
              </w:rPr>
              <w:t>15,362.34</w:t>
            </w:r>
            <w:r>
              <w:rPr>
                <w:color w:val="000000"/>
                <w:spacing w:val="0"/>
                <w:w w:val="100"/>
                <w:position w:val="0"/>
              </w:rPr>
              <w:t>万元，本年度使用募集资金</w:t>
            </w:r>
            <w:r>
              <w:rPr>
                <w:rFonts w:ascii="Times New Roman" w:eastAsia="Times New Roman" w:hAnsi="Times New Roman" w:cs="Times New Roman"/>
                <w:color w:val="000000"/>
                <w:spacing w:val="0"/>
                <w:w w:val="100"/>
                <w:position w:val="0"/>
                <w:sz w:val="18"/>
                <w:szCs w:val="18"/>
              </w:rPr>
              <w:t>15,791.55</w:t>
            </w:r>
            <w:r>
              <w:rPr>
                <w:color w:val="000000"/>
                <w:spacing w:val="0"/>
                <w:w w:val="100"/>
                <w:position w:val="0"/>
              </w:rPr>
              <w:t>万 元，累计使用募集资金</w:t>
            </w:r>
            <w:r>
              <w:rPr>
                <w:rFonts w:ascii="Times New Roman" w:eastAsia="Times New Roman" w:hAnsi="Times New Roman" w:cs="Times New Roman"/>
                <w:color w:val="000000"/>
                <w:spacing w:val="0"/>
                <w:w w:val="100"/>
                <w:position w:val="0"/>
                <w:sz w:val="18"/>
                <w:szCs w:val="18"/>
              </w:rPr>
              <w:t>31,153.89</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日止，结余募集资金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含利息收入扣除银行手续费的净额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w:t>
            </w:r>
          </w:p>
        </w:tc>
      </w:tr>
    </w:tbl>
    <w:p>
      <w:pPr>
        <w:pStyle w:val="Style29"/>
        <w:keepNext w:val="0"/>
        <w:keepLines w:val="0"/>
        <w:widowControl w:val="0"/>
        <w:pBdr>
          <w:top w:val="single" w:sz="4" w:space="4" w:color="C8EDCC"/>
          <w:left w:val="single" w:sz="4" w:space="0" w:color="C8EDCC"/>
          <w:bottom w:val="single" w:sz="4" w:space="7" w:color="C8EDCC"/>
          <w:right w:val="single" w:sz="4" w:space="0" w:color="C8EDCC"/>
        </w:pBdr>
        <w:shd w:val="clear" w:color="auto" w:fill="C8EDCC"/>
        <w:bidi w:val="0"/>
        <w:spacing w:before="0" w:after="0" w:line="317" w:lineRule="exact"/>
        <w:ind w:left="0" w:right="0" w:firstLine="0"/>
        <w:jc w:val="left"/>
      </w:pPr>
      <w:r>
        <w:rPr>
          <w:color w:val="000000"/>
          <w:spacing w:val="0"/>
          <w:w w:val="100"/>
          <w:position w:val="0"/>
        </w:rPr>
        <w:t>额为</w:t>
      </w:r>
      <w:r>
        <w:rPr>
          <w:rFonts w:ascii="Times New Roman" w:eastAsia="Times New Roman" w:hAnsi="Times New Roman" w:cs="Times New Roman"/>
          <w:color w:val="000000"/>
          <w:spacing w:val="0"/>
          <w:w w:val="100"/>
          <w:position w:val="0"/>
          <w:sz w:val="18"/>
          <w:szCs w:val="18"/>
        </w:rPr>
        <w:t>2,643.50</w:t>
      </w:r>
      <w:r>
        <w:rPr>
          <w:color w:val="000000"/>
          <w:spacing w:val="0"/>
          <w:w w:val="100"/>
          <w:position w:val="0"/>
        </w:rPr>
        <w:t>万元。其中，募集资金专户存储余额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含利息收入扣除银行手续费的净额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503.50</w:t>
      </w:r>
      <w:r>
        <w:rPr>
          <w:color w:val="000000"/>
          <w:spacing w:val="0"/>
          <w:w w:val="100"/>
          <w:position w:val="0"/>
        </w:rPr>
        <w:t>万元、闲置募集资金暂时补 充流动资金余额</w:t>
      </w:r>
      <w:r>
        <w:rPr>
          <w:rFonts w:ascii="Times New Roman" w:eastAsia="Times New Roman" w:hAnsi="Times New Roman" w:cs="Times New Roman"/>
          <w:color w:val="000000"/>
          <w:spacing w:val="0"/>
          <w:w w:val="100"/>
          <w:position w:val="0"/>
          <w:sz w:val="18"/>
          <w:szCs w:val="18"/>
        </w:rPr>
        <w:t>2,140.00</w:t>
      </w:r>
      <w:r>
        <w:rPr>
          <w:color w:val="000000"/>
          <w:spacing w:val="0"/>
          <w:w w:val="100"/>
          <w:position w:val="0"/>
        </w:rPr>
        <w:t>万元。</w:t>
      </w:r>
    </w:p>
    <w:p>
      <w:pPr>
        <w:pStyle w:val="Style29"/>
        <w:keepNext w:val="0"/>
        <w:keepLines w:val="0"/>
        <w:widowControl w:val="0"/>
        <w:pBdr>
          <w:top w:val="single" w:sz="4" w:space="4" w:color="C8EDCC"/>
          <w:left w:val="single" w:sz="4" w:space="0" w:color="C8EDCC"/>
          <w:bottom w:val="single" w:sz="4" w:space="7" w:color="C8EDCC"/>
          <w:right w:val="single" w:sz="4" w:space="0" w:color="C8EDCC"/>
        </w:pBdr>
        <w:shd w:val="clear" w:color="auto" w:fill="C8EDCC"/>
        <w:bidi w:val="0"/>
        <w:spacing w:before="0" w:after="281"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）本公司经中国证券监督管理委员会证监许可</w:t>
      </w:r>
      <w:r>
        <w:rPr>
          <w:rFonts w:ascii="Times New Roman" w:eastAsia="Times New Roman" w:hAnsi="Times New Roman" w:cs="Times New Roman"/>
          <w:color w:val="000000"/>
          <w:spacing w:val="0"/>
          <w:w w:val="100"/>
          <w:position w:val="0"/>
          <w:sz w:val="18"/>
          <w:szCs w:val="18"/>
        </w:rPr>
        <w:t>[2016]2562</w:t>
      </w:r>
      <w:r>
        <w:rPr>
          <w:color w:val="000000"/>
          <w:spacing w:val="0"/>
          <w:w w:val="100"/>
          <w:position w:val="0"/>
        </w:rPr>
        <w:t>号文核准，向北京睿韬科技有限责任公司和宁波镇海翔易融 联投资管理合伙企业（有限合伙）以每股</w:t>
      </w:r>
      <w:r>
        <w:rPr>
          <w:rFonts w:ascii="Times New Roman" w:eastAsia="Times New Roman" w:hAnsi="Times New Roman" w:cs="Times New Roman"/>
          <w:color w:val="000000"/>
          <w:spacing w:val="0"/>
          <w:w w:val="100"/>
          <w:position w:val="0"/>
          <w:sz w:val="18"/>
          <w:szCs w:val="18"/>
        </w:rPr>
        <w:t>15.91</w:t>
      </w:r>
      <w:r>
        <w:rPr>
          <w:color w:val="000000"/>
          <w:spacing w:val="0"/>
          <w:w w:val="100"/>
          <w:position w:val="0"/>
        </w:rPr>
        <w:t>元的价格，发行人民币普通股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14,745,442</w:t>
      </w:r>
      <w:r>
        <w:rPr>
          <w:color w:val="000000"/>
          <w:spacing w:val="0"/>
          <w:w w:val="100"/>
          <w:position w:val="0"/>
        </w:rPr>
        <w:t>股，购买由北京睿 韬科技有限责任公司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北京睿韬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和宁波镇海翔易融联投资管理合伙企业（有限合伙）</w:t>
      </w:r>
      <w:r>
        <w:rPr>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宁波翔易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 的上海睿民互联网科技有限公司（以下简称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上海睿民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78.20%</w:t>
      </w:r>
      <w:r>
        <w:rPr>
          <w:color w:val="000000"/>
          <w:spacing w:val="0"/>
          <w:w w:val="100"/>
          <w:position w:val="0"/>
        </w:rPr>
        <w:t>股权，并以支付现金</w:t>
      </w:r>
      <w:r>
        <w:rPr>
          <w:rFonts w:ascii="Times New Roman" w:eastAsia="Times New Roman" w:hAnsi="Times New Roman" w:cs="Times New Roman"/>
          <w:color w:val="000000"/>
          <w:spacing w:val="0"/>
          <w:w w:val="100"/>
          <w:position w:val="0"/>
          <w:sz w:val="18"/>
          <w:szCs w:val="18"/>
        </w:rPr>
        <w:t>65,400,000.00</w:t>
      </w:r>
      <w:r>
        <w:rPr>
          <w:color w:val="000000"/>
          <w:spacing w:val="0"/>
          <w:w w:val="100"/>
          <w:position w:val="0"/>
        </w:rPr>
        <w:t>元的方式，购买以上两 家公司持有的上海睿民其余</w:t>
      </w:r>
      <w:r>
        <w:rPr>
          <w:rFonts w:ascii="Times New Roman" w:eastAsia="Times New Roman" w:hAnsi="Times New Roman" w:cs="Times New Roman"/>
          <w:color w:val="000000"/>
          <w:spacing w:val="0"/>
          <w:w w:val="100"/>
          <w:position w:val="0"/>
          <w:sz w:val="18"/>
          <w:szCs w:val="18"/>
        </w:rPr>
        <w:t>21.80%</w:t>
      </w:r>
      <w:r>
        <w:rPr>
          <w:color w:val="000000"/>
          <w:spacing w:val="0"/>
          <w:w w:val="100"/>
          <w:position w:val="0"/>
        </w:rPr>
        <w:t>的股权。本公司向鹰潭市鹰高投资咨询有限公司和余江县泰和睿思技术服务中心（有 限合伙）非公开发行人民币普通股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3,639,215</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sz w:val="18"/>
          <w:szCs w:val="18"/>
        </w:rPr>
        <w:t>15.91</w:t>
      </w:r>
      <w:r>
        <w:rPr>
          <w:color w:val="000000"/>
          <w:spacing w:val="0"/>
          <w:w w:val="100"/>
          <w:position w:val="0"/>
        </w:rPr>
        <w:t>元，募集配套 资金总额为人民币</w:t>
      </w:r>
      <w:r>
        <w:rPr>
          <w:rFonts w:ascii="Times New Roman" w:eastAsia="Times New Roman" w:hAnsi="Times New Roman" w:cs="Times New Roman"/>
          <w:color w:val="000000"/>
          <w:spacing w:val="0"/>
          <w:w w:val="100"/>
          <w:position w:val="0"/>
          <w:sz w:val="18"/>
          <w:szCs w:val="18"/>
        </w:rPr>
        <w:t>57,899,910.65</w:t>
      </w:r>
      <w:r>
        <w:rPr>
          <w:color w:val="000000"/>
          <w:spacing w:val="0"/>
          <w:w w:val="100"/>
          <w:position w:val="0"/>
        </w:rPr>
        <w:t>元。扣除承销费人民币</w:t>
      </w:r>
      <w:r>
        <w:rPr>
          <w:rFonts w:ascii="Times New Roman" w:eastAsia="Times New Roman" w:hAnsi="Times New Roman" w:cs="Times New Roman"/>
          <w:color w:val="000000"/>
          <w:spacing w:val="0"/>
          <w:w w:val="100"/>
          <w:position w:val="0"/>
          <w:sz w:val="18"/>
          <w:szCs w:val="18"/>
        </w:rPr>
        <w:t>9,500,000.00</w:t>
      </w:r>
      <w:r>
        <w:rPr>
          <w:color w:val="000000"/>
          <w:spacing w:val="0"/>
          <w:w w:val="100"/>
          <w:position w:val="0"/>
        </w:rPr>
        <w:t>元（含税）后的募集资金为人民币</w:t>
      </w:r>
      <w:r>
        <w:rPr>
          <w:rFonts w:ascii="Times New Roman" w:eastAsia="Times New Roman" w:hAnsi="Times New Roman" w:cs="Times New Roman"/>
          <w:color w:val="000000"/>
          <w:spacing w:val="0"/>
          <w:w w:val="100"/>
          <w:position w:val="0"/>
          <w:sz w:val="18"/>
          <w:szCs w:val="18"/>
        </w:rPr>
        <w:t>48,399,910.65</w:t>
      </w:r>
      <w:r>
        <w:rPr>
          <w:color w:val="000000"/>
          <w:spacing w:val="0"/>
          <w:w w:val="100"/>
          <w:position w:val="0"/>
        </w:rPr>
        <w:t>元， 已由主承销商华泰联合证券有限责任公司于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日汇入本公司在招商银行股份有限公司北京分行朝阳公园支 行开立的账号为</w:t>
      </w:r>
      <w:r>
        <w:rPr>
          <w:rFonts w:ascii="Times New Roman" w:eastAsia="Times New Roman" w:hAnsi="Times New Roman" w:cs="Times New Roman"/>
          <w:color w:val="000000"/>
          <w:spacing w:val="0"/>
          <w:w w:val="100"/>
          <w:position w:val="0"/>
          <w:sz w:val="18"/>
          <w:szCs w:val="18"/>
        </w:rPr>
        <w:t>010900097710608</w:t>
      </w:r>
      <w:r>
        <w:rPr>
          <w:color w:val="000000"/>
          <w:spacing w:val="0"/>
          <w:w w:val="100"/>
          <w:position w:val="0"/>
        </w:rPr>
        <w:t>的人民币账户内。另考虑承销费可抵扣的增值税进项税额</w:t>
      </w:r>
      <w:r>
        <w:rPr>
          <w:rFonts w:ascii="Times New Roman" w:eastAsia="Times New Roman" w:hAnsi="Times New Roman" w:cs="Times New Roman"/>
          <w:color w:val="000000"/>
          <w:spacing w:val="0"/>
          <w:w w:val="100"/>
          <w:position w:val="0"/>
          <w:sz w:val="18"/>
          <w:szCs w:val="18"/>
        </w:rPr>
        <w:t>537,735.85</w:t>
      </w:r>
      <w:r>
        <w:rPr>
          <w:color w:val="000000"/>
          <w:spacing w:val="0"/>
          <w:w w:val="100"/>
          <w:position w:val="0"/>
        </w:rPr>
        <w:t>元，并扣除财务顾 问费、律师费、审计及验资费等发行费用</w:t>
      </w:r>
      <w:r>
        <w:rPr>
          <w:rFonts w:ascii="Times New Roman" w:eastAsia="Times New Roman" w:hAnsi="Times New Roman" w:cs="Times New Roman"/>
          <w:color w:val="000000"/>
          <w:spacing w:val="0"/>
          <w:w w:val="100"/>
          <w:position w:val="0"/>
          <w:sz w:val="18"/>
          <w:szCs w:val="18"/>
        </w:rPr>
        <w:t>2,104,030.63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后，募集资金净额为人民币</w:t>
      </w:r>
      <w:r>
        <w:rPr>
          <w:rFonts w:ascii="Times New Roman" w:eastAsia="Times New Roman" w:hAnsi="Times New Roman" w:cs="Times New Roman"/>
          <w:color w:val="000000"/>
          <w:spacing w:val="0"/>
          <w:w w:val="100"/>
          <w:position w:val="0"/>
          <w:sz w:val="18"/>
          <w:szCs w:val="18"/>
        </w:rPr>
        <w:t>46,833,615.87</w:t>
      </w:r>
      <w:r>
        <w:rPr>
          <w:color w:val="000000"/>
          <w:spacing w:val="0"/>
          <w:w w:val="100"/>
          <w:position w:val="0"/>
        </w:rPr>
        <w:t>元。上述募集 资金到位情况业经中汇会计师事务所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审验，并由其于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日出具了《验资报告》</w:t>
      </w:r>
      <w:r>
        <w:rPr>
          <w:color w:val="000000"/>
          <w:spacing w:val="0"/>
          <w:w w:val="100"/>
          <w:position w:val="0"/>
          <w:sz w:val="18"/>
          <w:szCs w:val="18"/>
        </w:rPr>
        <w:t>（</w:t>
      </w:r>
      <w:r>
        <w:rPr>
          <w:color w:val="000000"/>
          <w:spacing w:val="0"/>
          <w:w w:val="100"/>
          <w:position w:val="0"/>
        </w:rPr>
        <w:t xml:space="preserve">中汇会验 </w:t>
      </w:r>
      <w:r>
        <w:rPr>
          <w:rFonts w:ascii="Times New Roman" w:eastAsia="Times New Roman" w:hAnsi="Times New Roman" w:cs="Times New Roman"/>
          <w:color w:val="000000"/>
          <w:spacing w:val="0"/>
          <w:w w:val="100"/>
          <w:position w:val="0"/>
          <w:sz w:val="18"/>
          <w:szCs w:val="18"/>
        </w:rPr>
        <w:t>[2016]4648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日止，该次募集资金净额已全部使用，无结余。</w:t>
      </w:r>
    </w:p>
    <w:p>
      <w:pPr>
        <w:pStyle w:val="Style55"/>
        <w:keepNext/>
        <w:keepLines/>
        <w:widowControl w:val="0"/>
        <w:shd w:val="clear" w:color="auto" w:fill="auto"/>
        <w:bidi w:val="0"/>
        <w:spacing w:before="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rPr>
        <w:t>（</w:t>
      </w:r>
      <w:bookmarkEnd w:id="220"/>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18"/>
      <w:bookmarkEnd w:id="219"/>
      <w:bookmarkEnd w:id="221"/>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987"/>
        <w:gridCol w:w="566"/>
        <w:gridCol w:w="778"/>
        <w:gridCol w:w="782"/>
        <w:gridCol w:w="778"/>
        <w:gridCol w:w="782"/>
        <w:gridCol w:w="778"/>
        <w:gridCol w:w="782"/>
        <w:gridCol w:w="778"/>
        <w:gridCol w:w="782"/>
        <w:gridCol w:w="787"/>
      </w:tblGrid>
      <w:tr>
        <w:trPr>
          <w:trHeight w:val="196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承诺投资项目和超募资</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金投向</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是否 已变 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 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截至期末 投资进度</w:t>
            </w:r>
          </w:p>
          <w:p>
            <w:pPr>
              <w:pStyle w:val="Style5"/>
              <w:keepNext w:val="0"/>
              <w:keepLines w:val="0"/>
              <w:widowControl w:val="0"/>
              <w:shd w:val="clear" w:color="auto" w:fill="auto"/>
              <w:bidi w:val="0"/>
              <w:spacing w:before="0" w:after="0"/>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5"/>
              <w:keepNext w:val="0"/>
              <w:keepLines w:val="0"/>
              <w:widowControl w:val="0"/>
              <w:shd w:val="clear" w:color="auto" w:fill="auto"/>
              <w:bidi w:val="0"/>
              <w:spacing w:before="0" w:after="0"/>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是否达到</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项目可行 性是否发 生重大变</w:t>
            </w:r>
          </w:p>
          <w:p>
            <w:pPr>
              <w:pStyle w:val="Style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整体解决方案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10,013.21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10,013.21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3,717.42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10,046.17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2"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整体解决方案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7,060.52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7,060.52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3,803.16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证券业客户营销与服务</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整体解决方案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2,161.56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2,161.56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1,789.46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云计算数据中心一体化</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运营管理平台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8,271.19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8,271.19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3,859.84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6,730.23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37"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基于大数据的金融业客 户体验与分析管理平台</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2,790.04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2,790.04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1,587.03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2,795.49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82"/>
        <w:gridCol w:w="571"/>
        <w:gridCol w:w="778"/>
        <w:gridCol w:w="782"/>
        <w:gridCol w:w="778"/>
        <w:gridCol w:w="782"/>
        <w:gridCol w:w="778"/>
        <w:gridCol w:w="782"/>
        <w:gridCol w:w="778"/>
        <w:gridCol w:w="782"/>
        <w:gridCol w:w="787"/>
      </w:tblGrid>
      <w:tr>
        <w:trPr>
          <w:trHeight w:val="1027"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产品研发中心建设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3,073.56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3,073.56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1,731.36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3,078.16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1027"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偿还银行贷款或补充流 动资金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274.08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1027"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购买上海睿民互联网科 技有限公司</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的股 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4,683.36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4,683.36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4,683.36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4,683.36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2,083.83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38,327.52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38,327.52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20,474.91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35,837.25</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2,933.93</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1"/>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38,327.52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38,327.52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20,474.91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35,837.25</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2,933.93</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未达到计划进度或预计 收益的情况和原因（分具 体项目）</w:t>
            </w:r>
          </w:p>
        </w:tc>
        <w:tc>
          <w:tcPr>
            <w:gridSpan w:val="10"/>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项目可行性发生重大变</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化的情况说明</w:t>
            </w:r>
          </w:p>
        </w:tc>
        <w:tc>
          <w:tcPr>
            <w:gridSpan w:val="10"/>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超募资金的金额、用途及 使用进展情况</w:t>
            </w:r>
          </w:p>
        </w:tc>
        <w:tc>
          <w:tcPr>
            <w:gridSpan w:val="10"/>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募集资金投资项目实施</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地点变更情况</w:t>
            </w:r>
          </w:p>
        </w:tc>
        <w:tc>
          <w:tcPr>
            <w:gridSpan w:val="10"/>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报告期内发生</w:t>
            </w:r>
          </w:p>
        </w:tc>
      </w:tr>
      <w:tr>
        <w:trPr>
          <w:trHeight w:val="2275"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公司第二届董事会第二十五次临时会议审议通过了《关于部分变更募集资金投资项目的议案》， 审核通过该公告事项，同意公司变更部分募集资金投资项目实施地点、实施主体和实施进度。本 次部分募集资金投资项目变更实施地点、实施主体情况及原因：由于业务发展的需要，公司逐渐 将服务于证券行业客户的研发实施团队向全资子公司江苏高伟达进行集中配置。为保证募投项目 的顺利实施，以及加快募投项目的实施效率，公司将本次募投资金投资项目中的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证券业客户营 销与服务整体解决方案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的实施地点由北京调整为南京，实施主体由高伟达软件股份有限公司（母 公司）变更为江苏高伟达。</w:t>
            </w:r>
          </w:p>
        </w:tc>
      </w:tr>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募集资金投资项目实施</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方式调整情况</w:t>
            </w:r>
          </w:p>
        </w:tc>
        <w:tc>
          <w:tcPr>
            <w:gridSpan w:val="10"/>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报告期内发生</w:t>
            </w:r>
          </w:p>
        </w:tc>
      </w:tr>
      <w:tr>
        <w:trPr>
          <w:trHeight w:val="196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09" w:lineRule="exact"/>
              <w:ind w:left="0" w:right="0" w:firstLine="0"/>
              <w:jc w:val="both"/>
            </w:pPr>
            <w:r>
              <w:rPr>
                <w:color w:val="000000"/>
                <w:spacing w:val="0"/>
                <w:w w:val="100"/>
                <w:position w:val="0"/>
              </w:rPr>
              <w:t>本次部分募集资金投资项目变更实施进度情况及原因：公司对金融信息行业进行深入分析后，为 进一步贴合客户需求以及行业技术发展的最新动态，在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保险业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整体解决方案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云计算数据 中心一体化运营管理平台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证券业客户营销与服务整体解决方案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等募集资金投资项目的建设 中更多的融入新的技术和应用，以便满足客户在业务实际中的需求，使上述项目更具市场性和领 先性，也使得募投的研发成果符合公司长期发展的需要，将以上三个项目的实施周期延长至</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39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募集资金投资项目先期 投入及置换情况</w:t>
            </w:r>
          </w:p>
        </w:tc>
        <w:tc>
          <w:tcPr>
            <w:gridSpan w:val="10"/>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74"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）为加快募集资金投资项目的实施，提高募集资金的使用效率，截至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w:t>
            </w:r>
          </w:p>
        </w:tc>
      </w:tr>
    </w:tbl>
    <w:p>
      <w:pPr>
        <w:spacing w:lineRule="exact" w:line="1"/>
        <w:rPr>
          <w:sz w:val="2"/>
          <w:szCs w:val="2"/>
        </w:rPr>
      </w:pPr>
      <w:r>
        <w:br w:type="page"/>
      </w:r>
    </w:p>
    <w:tbl>
      <w:tblPr>
        <w:tblOverlap w:val="never"/>
        <w:jc w:val="center"/>
        <w:tblLayout w:type="fixed"/>
      </w:tblPr>
      <w:tblGrid>
        <w:gridCol w:w="1987"/>
        <w:gridCol w:w="7594"/>
      </w:tblGrid>
      <w:tr>
        <w:trPr>
          <w:trHeight w:val="508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募集资金投资项目中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银行业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整体解决方案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已由公司利用自筹资金</w:t>
            </w:r>
            <w:r>
              <w:rPr>
                <w:rFonts w:ascii="Times New Roman" w:eastAsia="Times New Roman" w:hAnsi="Times New Roman" w:cs="Times New Roman"/>
                <w:color w:val="000000"/>
                <w:spacing w:val="0"/>
                <w:w w:val="100"/>
                <w:position w:val="0"/>
                <w:sz w:val="18"/>
                <w:szCs w:val="18"/>
              </w:rPr>
              <w:t>37,689,565.52</w:t>
            </w:r>
            <w:r>
              <w:rPr>
                <w:color w:val="000000"/>
                <w:spacing w:val="0"/>
                <w:w w:val="100"/>
                <w:position w:val="0"/>
              </w:rPr>
              <w:t xml:space="preserve">元先行投入；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证券业客户营销与服务整体解决方案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项目已由公司利用自筹资金</w:t>
            </w:r>
            <w:r>
              <w:rPr>
                <w:rFonts w:ascii="Times New Roman" w:eastAsia="Times New Roman" w:hAnsi="Times New Roman" w:cs="Times New Roman"/>
                <w:color w:val="000000"/>
                <w:spacing w:val="0"/>
                <w:w w:val="100"/>
                <w:position w:val="0"/>
                <w:sz w:val="18"/>
                <w:szCs w:val="18"/>
              </w:rPr>
              <w:t>5,552,581.93</w:t>
            </w:r>
            <w:r>
              <w:rPr>
                <w:color w:val="000000"/>
                <w:spacing w:val="0"/>
                <w:w w:val="100"/>
                <w:position w:val="0"/>
              </w:rPr>
              <w:t>元先行投入；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 计算数据中心一体化运营管理平台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项目已由公司利用自筹资金</w:t>
            </w:r>
            <w:r>
              <w:rPr>
                <w:rFonts w:ascii="Times New Roman" w:eastAsia="Times New Roman" w:hAnsi="Times New Roman" w:cs="Times New Roman"/>
                <w:color w:val="000000"/>
                <w:spacing w:val="0"/>
                <w:w w:val="100"/>
                <w:position w:val="0"/>
                <w:sz w:val="18"/>
                <w:szCs w:val="18"/>
              </w:rPr>
              <w:t>20,487,124.62</w:t>
            </w:r>
            <w:r>
              <w:rPr>
                <w:color w:val="000000"/>
                <w:spacing w:val="0"/>
                <w:w w:val="100"/>
                <w:position w:val="0"/>
              </w:rPr>
              <w:t>元先行投入；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 于大数据的金融业客户体验与分析管理平台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项目已由公司利用自筹资金</w:t>
            </w:r>
            <w:r>
              <w:rPr>
                <w:rFonts w:ascii="Times New Roman" w:eastAsia="Times New Roman" w:hAnsi="Times New Roman" w:cs="Times New Roman"/>
                <w:color w:val="000000"/>
                <w:spacing w:val="0"/>
                <w:w w:val="100"/>
                <w:position w:val="0"/>
                <w:sz w:val="18"/>
                <w:szCs w:val="18"/>
              </w:rPr>
              <w:t>6,910,665.39</w:t>
            </w:r>
            <w:r>
              <w:rPr>
                <w:color w:val="000000"/>
                <w:spacing w:val="0"/>
                <w:w w:val="100"/>
                <w:position w:val="0"/>
              </w:rPr>
              <w:t>元先行投 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产品研发中心建设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项目已由公司利用自筹资金</w:t>
            </w:r>
            <w:r>
              <w:rPr>
                <w:rFonts w:ascii="Times New Roman" w:eastAsia="Times New Roman" w:hAnsi="Times New Roman" w:cs="Times New Roman"/>
                <w:color w:val="000000"/>
                <w:spacing w:val="0"/>
                <w:w w:val="100"/>
                <w:position w:val="0"/>
                <w:sz w:val="18"/>
                <w:szCs w:val="18"/>
              </w:rPr>
              <w:t>7,405,971.87</w:t>
            </w:r>
            <w:r>
              <w:rPr>
                <w:color w:val="000000"/>
                <w:spacing w:val="0"/>
                <w:w w:val="100"/>
                <w:position w:val="0"/>
              </w:rPr>
              <w:t>元先行投入。信永中和会计师 事务所就上述募集资金投资项目的预先投入情况进行了核验，并于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日出具了 </w:t>
            </w:r>
            <w:r>
              <w:rPr>
                <w:rFonts w:ascii="Times New Roman" w:eastAsia="Times New Roman" w:hAnsi="Times New Roman" w:cs="Times New Roman"/>
                <w:color w:val="000000"/>
                <w:spacing w:val="0"/>
                <w:w w:val="100"/>
                <w:position w:val="0"/>
                <w:sz w:val="18"/>
                <w:szCs w:val="18"/>
              </w:rPr>
              <w:t>XYZH/2015BJA80071</w:t>
            </w:r>
            <w:r>
              <w:rPr>
                <w:color w:val="000000"/>
                <w:spacing w:val="0"/>
                <w:w w:val="100"/>
                <w:position w:val="0"/>
              </w:rPr>
              <w:t>号《高伟达软件股份有限公司关于以募集资金置换预先已投入募投项目自 筹资金的专项说明鉴证报告》。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日，公司以募集资金人民币</w:t>
            </w:r>
            <w:r>
              <w:rPr>
                <w:rFonts w:ascii="Times New Roman" w:eastAsia="Times New Roman" w:hAnsi="Times New Roman" w:cs="Times New Roman"/>
                <w:color w:val="000000"/>
                <w:spacing w:val="0"/>
                <w:w w:val="100"/>
                <w:position w:val="0"/>
                <w:sz w:val="18"/>
                <w:szCs w:val="18"/>
              </w:rPr>
              <w:t>78,045,909.33</w:t>
            </w:r>
            <w:r>
              <w:rPr>
                <w:color w:val="000000"/>
                <w:spacing w:val="0"/>
                <w:w w:val="100"/>
                <w:position w:val="0"/>
              </w:rPr>
              <w:t>元置换 先期投入募集资金投资项目的自筹资金。</w:t>
            </w:r>
          </w:p>
          <w:p>
            <w:pPr>
              <w:pStyle w:val="Style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）本公司前次募集资金置换先期募集资金投资项目投入</w:t>
            </w:r>
            <w:r>
              <w:rPr>
                <w:rFonts w:ascii="Times New Roman" w:eastAsia="Times New Roman" w:hAnsi="Times New Roman" w:cs="Times New Roman"/>
                <w:color w:val="000000"/>
                <w:spacing w:val="0"/>
                <w:w w:val="100"/>
                <w:position w:val="0"/>
                <w:sz w:val="18"/>
                <w:szCs w:val="18"/>
              </w:rPr>
              <w:t>46,833,615.87</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日，本公司实际投入募集资金投资项目的自筹资金共计</w:t>
            </w:r>
            <w:r>
              <w:rPr>
                <w:rFonts w:ascii="Times New Roman" w:eastAsia="Times New Roman" w:hAnsi="Times New Roman" w:cs="Times New Roman"/>
                <w:color w:val="000000"/>
                <w:spacing w:val="0"/>
                <w:w w:val="100"/>
                <w:position w:val="0"/>
                <w:sz w:val="18"/>
                <w:szCs w:val="18"/>
              </w:rPr>
              <w:t>50,000,000.00</w:t>
            </w:r>
            <w:r>
              <w:rPr>
                <w:color w:val="000000"/>
                <w:spacing w:val="0"/>
                <w:w w:val="100"/>
                <w:position w:val="0"/>
              </w:rPr>
              <w:t>元。本公司第二届董事会第 三十次会议审议通过了《关于公司用募集资金置换前期投入募集资金项目的自筹资金的议案》， 同意以募集资金</w:t>
            </w:r>
            <w:r>
              <w:rPr>
                <w:rFonts w:ascii="Times New Roman" w:eastAsia="Times New Roman" w:hAnsi="Times New Roman" w:cs="Times New Roman"/>
                <w:color w:val="000000"/>
                <w:spacing w:val="0"/>
                <w:w w:val="100"/>
                <w:position w:val="0"/>
                <w:sz w:val="18"/>
                <w:szCs w:val="18"/>
              </w:rPr>
              <w:t>46,833,615.87</w:t>
            </w:r>
            <w:r>
              <w:rPr>
                <w:color w:val="000000"/>
                <w:spacing w:val="0"/>
                <w:w w:val="100"/>
                <w:position w:val="0"/>
              </w:rPr>
              <w:t>元置换先期投入募集资金投资项目的自筹资金。上述先期投入募集 资金投资项目的自筹资金额度，业经中汇会计师事务所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日出具</w:t>
            </w:r>
          </w:p>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《关于高伟达软件股份有限公司以自筹资金预先投入募投项目的鉴证报告》</w:t>
            </w:r>
            <w:r>
              <w:rPr>
                <w:color w:val="000000"/>
                <w:spacing w:val="0"/>
                <w:w w:val="100"/>
                <w:position w:val="0"/>
                <w:sz w:val="18"/>
                <w:szCs w:val="18"/>
              </w:rPr>
              <w:t>（</w:t>
            </w:r>
            <w:r>
              <w:rPr>
                <w:color w:val="000000"/>
                <w:spacing w:val="0"/>
                <w:w w:val="100"/>
                <w:position w:val="0"/>
              </w:rPr>
              <w:t>中汇会鉴</w:t>
            </w:r>
            <w:r>
              <w:rPr>
                <w:rFonts w:ascii="Times New Roman" w:eastAsia="Times New Roman" w:hAnsi="Times New Roman" w:cs="Times New Roman"/>
                <w:color w:val="000000"/>
                <w:spacing w:val="0"/>
                <w:w w:val="100"/>
                <w:position w:val="0"/>
                <w:sz w:val="18"/>
                <w:szCs w:val="18"/>
              </w:rPr>
              <w:t xml:space="preserve">[2016]4678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验证。</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899" w:hRule="exact"/>
        </w:trPr>
        <w:tc>
          <w:tcPr>
            <w:tcBorders>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用闲置募集资金暂时补 充流动资金情况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日，经公司第二届董事会第二十九次会议、第二届监事会第二十五次会议审议通 过《关于使用部分闲置募集资金暂时补充流动资金的议案》，根据《上市公司监管指引第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 上市公司募集资金管理和使用的监管要求》和《深圳证券交易所创业板上市公司规范运作指引》 等相关规定，公司使用闲置的募集资金</w:t>
            </w:r>
            <w:r>
              <w:rPr>
                <w:rFonts w:ascii="Times New Roman" w:eastAsia="Times New Roman" w:hAnsi="Times New Roman" w:cs="Times New Roman"/>
                <w:color w:val="000000"/>
                <w:spacing w:val="0"/>
                <w:w w:val="100"/>
                <w:position w:val="0"/>
                <w:sz w:val="18"/>
                <w:szCs w:val="18"/>
              </w:rPr>
              <w:t>2,500.00</w:t>
            </w:r>
            <w:r>
              <w:rPr>
                <w:color w:val="000000"/>
                <w:spacing w:val="0"/>
                <w:w w:val="100"/>
                <w:position w:val="0"/>
              </w:rPr>
              <w:t>万元暂时补充公司的流动资金，使用期限为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月。本次实际使用募集资金暂时补充流动资金金额为</w:t>
            </w:r>
            <w:r>
              <w:rPr>
                <w:rFonts w:ascii="Times New Roman" w:eastAsia="Times New Roman" w:hAnsi="Times New Roman" w:cs="Times New Roman"/>
                <w:color w:val="000000"/>
                <w:spacing w:val="0"/>
                <w:w w:val="100"/>
                <w:position w:val="0"/>
                <w:sz w:val="18"/>
                <w:szCs w:val="18"/>
              </w:rPr>
              <w:t>2,460.00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日，公司将 </w:t>
            </w:r>
            <w:r>
              <w:rPr>
                <w:rFonts w:ascii="Times New Roman" w:eastAsia="Times New Roman" w:hAnsi="Times New Roman" w:cs="Times New Roman"/>
                <w:color w:val="000000"/>
                <w:spacing w:val="0"/>
                <w:w w:val="100"/>
                <w:position w:val="0"/>
                <w:sz w:val="18"/>
                <w:szCs w:val="18"/>
              </w:rPr>
              <w:t>320.00</w:t>
            </w:r>
            <w:r>
              <w:rPr>
                <w:color w:val="000000"/>
                <w:spacing w:val="0"/>
                <w:w w:val="100"/>
                <w:position w:val="0"/>
              </w:rPr>
              <w:t>万元人民币归还至公司募集资金专户，并将上述归还情况通知了保荐机构及保荐代表人。</w:t>
            </w:r>
          </w:p>
          <w:p>
            <w:pPr>
              <w:pStyle w:val="Style5"/>
              <w:keepNext w:val="0"/>
              <w:keepLines w:val="0"/>
              <w:widowControl w:val="0"/>
              <w:shd w:val="clear" w:color="auto" w:fill="auto"/>
              <w:bidi w:val="0"/>
              <w:spacing w:before="0" w:after="0" w:line="311"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日，公司已总计归还</w:t>
            </w:r>
            <w:r>
              <w:rPr>
                <w:rFonts w:ascii="Times New Roman" w:eastAsia="Times New Roman" w:hAnsi="Times New Roman" w:cs="Times New Roman"/>
                <w:color w:val="000000"/>
                <w:spacing w:val="0"/>
                <w:w w:val="100"/>
                <w:position w:val="0"/>
                <w:sz w:val="18"/>
                <w:szCs w:val="18"/>
              </w:rPr>
              <w:t>320.00</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日，公司将</w:t>
            </w:r>
            <w:r>
              <w:rPr>
                <w:rFonts w:ascii="Times New Roman" w:eastAsia="Times New Roman" w:hAnsi="Times New Roman" w:cs="Times New Roman"/>
                <w:color w:val="000000"/>
                <w:spacing w:val="0"/>
                <w:w w:val="100"/>
                <w:position w:val="0"/>
                <w:sz w:val="18"/>
                <w:szCs w:val="18"/>
              </w:rPr>
              <w:t xml:space="preserve">2,140.00 </w:t>
            </w:r>
            <w:r>
              <w:rPr>
                <w:color w:val="000000"/>
                <w:spacing w:val="0"/>
                <w:w w:val="100"/>
                <w:position w:val="0"/>
              </w:rPr>
              <w:t>万元人民币归还至公司募集资金专户，并将上述归还情况通知了保荐机构及保荐代表人。至此， 公司已将</w:t>
            </w:r>
            <w:r>
              <w:rPr>
                <w:rFonts w:ascii="Times New Roman" w:eastAsia="Times New Roman" w:hAnsi="Times New Roman" w:cs="Times New Roman"/>
                <w:color w:val="000000"/>
                <w:spacing w:val="0"/>
                <w:w w:val="100"/>
                <w:position w:val="0"/>
                <w:sz w:val="18"/>
                <w:szCs w:val="18"/>
              </w:rPr>
              <w:t>2,460.00</w:t>
            </w:r>
            <w:r>
              <w:rPr>
                <w:color w:val="000000"/>
                <w:spacing w:val="0"/>
                <w:w w:val="100"/>
                <w:position w:val="0"/>
              </w:rPr>
              <w:t>万元闲置募集资金足额归还至募集资金专户。</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结余的金额及原因</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尚未使用的募集资金用 途及去向</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尚未使用的募集资金均存放在公司的募集资金专户，公司将有计划的投资于募投项目。</w:t>
            </w:r>
          </w:p>
        </w:tc>
      </w:tr>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募集资金使用及披露中 存在的问题或其他情况</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注：上海睿民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年度按照承诺利润计算口径实现利润数（扣除非经常性损益后）</w:t>
      </w:r>
      <w:r>
        <w:rPr>
          <w:rFonts w:ascii="Times New Roman" w:eastAsia="Times New Roman" w:hAnsi="Times New Roman" w:cs="Times New Roman"/>
          <w:color w:val="000000"/>
          <w:spacing w:val="0"/>
          <w:w w:val="100"/>
          <w:position w:val="0"/>
          <w:sz w:val="18"/>
          <w:szCs w:val="18"/>
        </w:rPr>
        <w:t>2,083.83</w:t>
      </w:r>
      <w:r>
        <w:rPr>
          <w:color w:val="000000"/>
          <w:spacing w:val="0"/>
          <w:w w:val="100"/>
          <w:position w:val="0"/>
        </w:rPr>
        <w:t>万元中，于购买日后计入本公 司合并利润表的金额为</w:t>
      </w:r>
      <w:r>
        <w:rPr>
          <w:rFonts w:ascii="Times New Roman" w:eastAsia="Times New Roman" w:hAnsi="Times New Roman" w:cs="Times New Roman"/>
          <w:color w:val="000000"/>
          <w:spacing w:val="0"/>
          <w:w w:val="100"/>
          <w:position w:val="0"/>
          <w:sz w:val="18"/>
          <w:szCs w:val="18"/>
        </w:rPr>
        <w:t>512.22</w:t>
      </w:r>
      <w:r>
        <w:rPr>
          <w:color w:val="000000"/>
          <w:spacing w:val="0"/>
          <w:w w:val="100"/>
          <w:position w:val="0"/>
        </w:rPr>
        <w:t>万元。</w:t>
      </w:r>
    </w:p>
    <w:p>
      <w:pPr>
        <w:pStyle w:val="Style55"/>
        <w:keepNext/>
        <w:keepLines/>
        <w:widowControl w:val="0"/>
        <w:shd w:val="clear" w:color="auto" w:fill="auto"/>
        <w:bidi w:val="0"/>
        <w:spacing w:before="0" w:line="240" w:lineRule="auto"/>
        <w:ind w:left="0" w:right="0" w:firstLine="0"/>
        <w:jc w:val="both"/>
      </w:pPr>
      <w:bookmarkStart w:id="222" w:name="bookmark222"/>
      <w:bookmarkStart w:id="223" w:name="bookmark223"/>
      <w:bookmarkStart w:id="224" w:name="bookmark224"/>
      <w:bookmarkStart w:id="225" w:name="bookmark225"/>
      <w:r>
        <w:rPr>
          <w:color w:val="000000"/>
          <w:spacing w:val="0"/>
          <w:w w:val="100"/>
          <w:position w:val="0"/>
        </w:rPr>
        <w:t>（</w:t>
      </w:r>
      <w:bookmarkEnd w:id="224"/>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2"/>
      <w:bookmarkEnd w:id="223"/>
      <w:bookmarkEnd w:id="225"/>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公司报告期不存在募集资金变更项目情况。</w:t>
      </w:r>
    </w:p>
    <w:p>
      <w:pPr>
        <w:pStyle w:val="Style27"/>
        <w:keepNext/>
        <w:keepLines/>
        <w:widowControl w:val="0"/>
        <w:shd w:val="clear" w:color="auto" w:fill="auto"/>
        <w:tabs>
          <w:tab w:pos="517" w:val="left"/>
        </w:tabs>
        <w:bidi w:val="0"/>
        <w:spacing w:before="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sz w:val="24"/>
          <w:szCs w:val="24"/>
        </w:rPr>
        <w:t>六</w:t>
      </w:r>
      <w:bookmarkEnd w:id="228"/>
      <w:r>
        <w:rPr>
          <w:color w:val="000000"/>
          <w:spacing w:val="0"/>
          <w:w w:val="100"/>
          <w:position w:val="0"/>
          <w:sz w:val="24"/>
          <w:szCs w:val="24"/>
        </w:rPr>
        <w:t>、</w:t>
        <w:tab/>
        <w:t>重大资产和股权出售</w:t>
      </w:r>
      <w:bookmarkEnd w:id="226"/>
      <w:bookmarkEnd w:id="227"/>
      <w:bookmarkEnd w:id="229"/>
    </w:p>
    <w:p>
      <w:pPr>
        <w:pStyle w:val="Style33"/>
        <w:keepNext/>
        <w:keepLines/>
        <w:widowControl w:val="0"/>
        <w:shd w:val="clear" w:color="auto" w:fill="auto"/>
        <w:tabs>
          <w:tab w:pos="401" w:val="left"/>
        </w:tabs>
        <w:bidi w:val="0"/>
        <w:spacing w:before="0" w:line="240" w:lineRule="auto"/>
        <w:ind w:left="0" w:right="0" w:firstLine="0"/>
        <w:jc w:val="left"/>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1</w:t>
      </w:r>
      <w:bookmarkEnd w:id="232"/>
      <w:r>
        <w:rPr>
          <w:color w:val="000000"/>
          <w:spacing w:val="0"/>
          <w:w w:val="100"/>
          <w:position w:val="0"/>
        </w:rPr>
        <w:t>、</w:t>
        <w:tab/>
        <w:t>出售重大资产情况</w:t>
      </w:r>
      <w:bookmarkEnd w:id="230"/>
      <w:bookmarkEnd w:id="231"/>
      <w:bookmarkEnd w:id="23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3"/>
        <w:keepNext/>
        <w:keepLines/>
        <w:widowControl w:val="0"/>
        <w:shd w:val="clear" w:color="auto" w:fill="auto"/>
        <w:tabs>
          <w:tab w:pos="401" w:val="left"/>
        </w:tabs>
        <w:bidi w:val="0"/>
        <w:spacing w:before="0" w:line="240" w:lineRule="auto"/>
        <w:ind w:left="0" w:right="0" w:firstLine="0"/>
        <w:jc w:val="left"/>
      </w:pPr>
      <w:bookmarkStart w:id="234" w:name="bookmark234"/>
      <w:bookmarkStart w:id="235" w:name="bookmark235"/>
      <w:bookmarkStart w:id="236" w:name="bookmark236"/>
      <w:bookmarkStart w:id="237" w:name="bookmark237"/>
      <w:r>
        <w:rPr>
          <w:rFonts w:ascii="Times New Roman" w:eastAsia="Times New Roman" w:hAnsi="Times New Roman" w:cs="Times New Roman"/>
          <w:color w:val="000000"/>
          <w:spacing w:val="0"/>
          <w:w w:val="100"/>
          <w:position w:val="0"/>
        </w:rPr>
        <w:t>2</w:t>
      </w:r>
      <w:bookmarkEnd w:id="236"/>
      <w:r>
        <w:rPr>
          <w:color w:val="000000"/>
          <w:spacing w:val="0"/>
          <w:w w:val="100"/>
          <w:position w:val="0"/>
        </w:rPr>
        <w:t>、</w:t>
        <w:tab/>
        <w:t>出售重大股权情况</w:t>
      </w:r>
      <w:bookmarkEnd w:id="234"/>
      <w:bookmarkEnd w:id="235"/>
      <w:bookmarkEnd w:id="237"/>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sz w:val="24"/>
          <w:szCs w:val="24"/>
        </w:rPr>
        <w:t>七</w:t>
      </w:r>
      <w:bookmarkEnd w:id="240"/>
      <w:r>
        <w:rPr>
          <w:color w:val="000000"/>
          <w:spacing w:val="0"/>
          <w:w w:val="100"/>
          <w:position w:val="0"/>
          <w:sz w:val="24"/>
          <w:szCs w:val="24"/>
        </w:rPr>
        <w:t>、</w:t>
        <w:tab/>
        <w:t>主要控股参股公司分析</w:t>
      </w:r>
      <w:bookmarkEnd w:id="238"/>
      <w:bookmarkEnd w:id="239"/>
      <w:bookmarkEnd w:id="241"/>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51"/>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056"/>
        <w:gridCol w:w="792"/>
        <w:gridCol w:w="1277"/>
        <w:gridCol w:w="1133"/>
        <w:gridCol w:w="1133"/>
        <w:gridCol w:w="1133"/>
        <w:gridCol w:w="1138"/>
        <w:gridCol w:w="1133"/>
        <w:gridCol w:w="1142"/>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公司类型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227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江苏高伟达 信息技术有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计算机软件、硬</w:t>
            </w:r>
          </w:p>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件及相关技术 研发、技术咨 询、技术服务； 生产、销售计算 机软、硬件；计 算机系统集成</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38,712,907.64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24,560,555.05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63,578,929.12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5,147,439.66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4,415,165.44</w:t>
            </w:r>
          </w:p>
        </w:tc>
      </w:tr>
      <w:tr>
        <w:trPr>
          <w:trHeight w:val="4766"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喀什尚河信 息科技有限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计算机技术开 发与咨询；互联 网技术开发；软 件开发与生产； 电子商务与电 子政务系统开 发及应用服务； 数字音乐、手机 媒体、动漫游戏 产品的开发；设 计、制作、代理、 发布国内各类 广告；组织文化 艺术交流活动</w:t>
            </w:r>
          </w:p>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（不含演出）。</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23,546,717.00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16,613,475.02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29,869,215.15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7,936,795.06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7,936,795.06</w:t>
            </w:r>
          </w:p>
        </w:tc>
      </w:tr>
      <w:tr>
        <w:trPr>
          <w:trHeight w:val="1310"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海南坚果创 娱信息技术 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0" w:lineRule="exact"/>
              <w:ind w:left="0" w:right="0" w:firstLine="0"/>
              <w:jc w:val="both"/>
            </w:pPr>
            <w:r>
              <w:rPr>
                <w:color w:val="000000"/>
                <w:spacing w:val="0"/>
                <w:w w:val="100"/>
                <w:position w:val="0"/>
              </w:rPr>
              <w:t>经济贸易信息 咨询；技术咨 询；技术开发； 技术服务；技术</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31,150,089.54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16,392,177.46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31,654,393.97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11,392,481.08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11,386,448.92</w:t>
            </w:r>
          </w:p>
        </w:tc>
      </w:tr>
    </w:tbl>
    <w:p>
      <w:pPr>
        <w:spacing w:lineRule="exact" w:line="1"/>
        <w:rPr>
          <w:sz w:val="2"/>
          <w:szCs w:val="2"/>
        </w:rPr>
      </w:pPr>
      <w:r>
        <w:br w:type="page"/>
      </w:r>
    </w:p>
    <w:tbl>
      <w:tblPr>
        <w:tblOverlap w:val="never"/>
        <w:jc w:val="center"/>
        <w:tblLayout w:type="fixed"/>
      </w:tblPr>
      <w:tblGrid>
        <w:gridCol w:w="1056"/>
        <w:gridCol w:w="792"/>
        <w:gridCol w:w="1277"/>
        <w:gridCol w:w="1133"/>
        <w:gridCol w:w="1133"/>
        <w:gridCol w:w="1133"/>
        <w:gridCol w:w="1138"/>
        <w:gridCol w:w="1133"/>
        <w:gridCol w:w="1142"/>
      </w:tblGrid>
      <w:tr>
        <w:trPr>
          <w:trHeight w:val="1301"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转让；技术推 广；广告发布、 广告代理、广告 推广。</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37"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上海睿民互 联网科技有 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计算机网络科 技、互联网科技 专业领域内的 技术开发、技术 咨询、技术转 让、技术服务， 电子商务（不得 从事增值电信、 金融业务），计 算机系统集成， 计算机网络工 程，计算机软硬 件开发、销售， 接受金融机构 委托从事金融 信息技术外包， 接受金融机构 委托从事金融 业务流程外包， 市场信息咨询 与调查（不得从 事社会调查、社 会调研、民意调 查、民意测验）， 会务服务，市场 营销策划，设 计、制作各类广 告。</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106,443,749.0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62,476,518.85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22,074,434.29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5,385,199.52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5,122,167.49</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主要控股参股公司情况说明</w:t>
      </w:r>
    </w:p>
    <w:p>
      <w:pPr>
        <w:pStyle w:val="Style27"/>
        <w:keepNext/>
        <w:keepLines/>
        <w:widowControl w:val="0"/>
        <w:shd w:val="clear" w:color="auto" w:fill="auto"/>
        <w:tabs>
          <w:tab w:pos="517" w:val="left"/>
        </w:tabs>
        <w:bidi w:val="0"/>
        <w:spacing w:before="0" w:line="240" w:lineRule="auto"/>
        <w:ind w:left="0" w:right="0" w:firstLine="0"/>
        <w:jc w:val="left"/>
      </w:pPr>
      <w:bookmarkStart w:id="242" w:name="bookmark242"/>
      <w:bookmarkStart w:id="243" w:name="bookmark243"/>
      <w:bookmarkStart w:id="244" w:name="bookmark244"/>
      <w:bookmarkStart w:id="245" w:name="bookmark245"/>
      <w:r>
        <w:rPr>
          <w:color w:val="000000"/>
          <w:spacing w:val="0"/>
          <w:w w:val="100"/>
          <w:position w:val="0"/>
          <w:sz w:val="24"/>
          <w:szCs w:val="24"/>
        </w:rPr>
        <w:t>八</w:t>
      </w:r>
      <w:bookmarkEnd w:id="244"/>
      <w:r>
        <w:rPr>
          <w:color w:val="000000"/>
          <w:spacing w:val="0"/>
          <w:w w:val="100"/>
          <w:position w:val="0"/>
          <w:sz w:val="24"/>
          <w:szCs w:val="24"/>
        </w:rPr>
        <w:t>、</w:t>
        <w:tab/>
        <w:t>公司控制的结构化主体情况</w:t>
      </w:r>
      <w:bookmarkEnd w:id="242"/>
      <w:bookmarkEnd w:id="243"/>
      <w:bookmarkEnd w:id="245"/>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line="240" w:lineRule="auto"/>
        <w:ind w:left="0" w:right="0" w:firstLine="0"/>
        <w:jc w:val="left"/>
      </w:pPr>
      <w:bookmarkStart w:id="246" w:name="bookmark246"/>
      <w:bookmarkStart w:id="247" w:name="bookmark247"/>
      <w:bookmarkStart w:id="248" w:name="bookmark248"/>
      <w:bookmarkStart w:id="249" w:name="bookmark249"/>
      <w:r>
        <w:rPr>
          <w:color w:val="000000"/>
          <w:spacing w:val="0"/>
          <w:w w:val="100"/>
          <w:position w:val="0"/>
          <w:sz w:val="24"/>
          <w:szCs w:val="24"/>
        </w:rPr>
        <w:t>九</w:t>
      </w:r>
      <w:bookmarkEnd w:id="248"/>
      <w:r>
        <w:rPr>
          <w:color w:val="000000"/>
          <w:spacing w:val="0"/>
          <w:w w:val="100"/>
          <w:position w:val="0"/>
          <w:sz w:val="24"/>
          <w:szCs w:val="24"/>
        </w:rPr>
        <w:t>、</w:t>
        <w:tab/>
        <w:t>公司未来发展的展望</w:t>
      </w:r>
      <w:bookmarkEnd w:id="246"/>
      <w:bookmarkEnd w:id="247"/>
      <w:bookmarkEnd w:id="249"/>
    </w:p>
    <w:p>
      <w:pPr>
        <w:pStyle w:val="Style29"/>
        <w:keepNext w:val="0"/>
        <w:keepLines w:val="0"/>
        <w:widowControl w:val="0"/>
        <w:shd w:val="clear" w:color="auto" w:fill="auto"/>
        <w:bidi w:val="0"/>
        <w:spacing w:before="0" w:after="120" w:line="240" w:lineRule="auto"/>
        <w:ind w:left="0" w:right="0"/>
        <w:jc w:val="left"/>
      </w:pPr>
      <w:r>
        <w:rPr>
          <w:color w:val="000000"/>
          <w:spacing w:val="0"/>
          <w:w w:val="100"/>
          <w:position w:val="0"/>
        </w:rPr>
        <w:t>新的时期，公司面临新的机遇，也将面对新的挑战。为适应行业发展的客观要求和公司业务演进的需要，公司将在未来</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年坚持两大战略方向。首先，持续进行业务结构的调整，在现有的金融信息服务业务稳定发展的同时，积极寻求变革和 </w:t>
      </w:r>
      <w:r>
        <w:rPr>
          <w:color w:val="000000"/>
          <w:spacing w:val="0"/>
          <w:w w:val="100"/>
          <w:position w:val="0"/>
        </w:rPr>
        <w:t>突破，激发内部活力，培养移动互联网营销等新的业务增长点。其次，坚持外延扩张，妥善利用资本市场和融资工具，保持 现有的资本运作的频率，尽快做大做强上市公司。</w:t>
      </w:r>
    </w:p>
    <w:p>
      <w:pPr>
        <w:pStyle w:val="Style29"/>
        <w:keepNext w:val="0"/>
        <w:keepLines w:val="0"/>
        <w:widowControl w:val="0"/>
        <w:shd w:val="clear" w:color="auto" w:fill="auto"/>
        <w:bidi w:val="0"/>
        <w:spacing w:before="0" w:line="312" w:lineRule="exact"/>
        <w:ind w:left="0" w:right="0"/>
        <w:jc w:val="both"/>
      </w:pPr>
      <w:r>
        <w:rPr>
          <w:color w:val="000000"/>
          <w:spacing w:val="0"/>
          <w:w w:val="100"/>
          <w:position w:val="0"/>
        </w:rPr>
        <w:t>具体而言，有以下几个方面：</w:t>
      </w:r>
    </w:p>
    <w:p>
      <w:pPr>
        <w:pStyle w:val="Style29"/>
        <w:keepNext w:val="0"/>
        <w:keepLines w:val="0"/>
        <w:widowControl w:val="0"/>
        <w:shd w:val="clear" w:color="auto" w:fill="auto"/>
        <w:bidi w:val="0"/>
        <w:spacing w:before="0" w:line="314" w:lineRule="exact"/>
        <w:ind w:left="0" w:right="0"/>
        <w:jc w:val="both"/>
      </w:pPr>
      <w:r>
        <w:rPr>
          <w:color w:val="000000"/>
          <w:spacing w:val="0"/>
          <w:w w:val="100"/>
          <w:position w:val="0"/>
        </w:rPr>
        <w:t>调整现有业务结构，从单一的金融信息化行业，向多元化主业共同发展过渡。在此过程中，原有的金融</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领域依然是公 司发展的根基，要在原有基础上优化资源配置和人员配置，提高运营和产出效率。对于原有的主营业务要从以下几个方面进 行调整：</w:t>
      </w:r>
    </w:p>
    <w:p>
      <w:pPr>
        <w:pStyle w:val="Style29"/>
        <w:keepNext w:val="0"/>
        <w:keepLines w:val="0"/>
        <w:widowControl w:val="0"/>
        <w:shd w:val="clear" w:color="auto" w:fill="auto"/>
        <w:bidi w:val="0"/>
        <w:spacing w:before="0" w:line="312" w:lineRule="exact"/>
        <w:ind w:left="0" w:right="0"/>
        <w:jc w:val="both"/>
      </w:pPr>
      <w:bookmarkStart w:id="250" w:name="bookmark250"/>
      <w:r>
        <w:rPr>
          <w:rFonts w:ascii="Times New Roman" w:eastAsia="Times New Roman" w:hAnsi="Times New Roman" w:cs="Times New Roman"/>
          <w:color w:val="000000"/>
          <w:spacing w:val="0"/>
          <w:w w:val="100"/>
          <w:position w:val="0"/>
          <w:sz w:val="18"/>
          <w:szCs w:val="18"/>
        </w:rPr>
        <w:t>1</w:t>
      </w:r>
      <w:bookmarkEnd w:id="250"/>
      <w:r>
        <w:rPr>
          <w:color w:val="000000"/>
          <w:spacing w:val="0"/>
          <w:w w:val="100"/>
          <w:position w:val="0"/>
        </w:rPr>
        <w:t>、 坚持自主研发和技术升级。保持必要的研发投入，通过研发和新技术、新产品带动公司主营业务的创新发展。同时 要让研发更加适应行业发展的最新动态和需求，不逾越行业发展阶段。在研发立项、跟踪、成本控制等方面有所提高，从而 提升研发成本的使用效率。密切跟踪新技术和新产品对行业的影响，保持在技术领域的行业领先性。鼓励内部研发成果的转 化，支持内部创业。</w:t>
      </w:r>
    </w:p>
    <w:p>
      <w:pPr>
        <w:pStyle w:val="Style29"/>
        <w:keepNext w:val="0"/>
        <w:keepLines w:val="0"/>
        <w:widowControl w:val="0"/>
        <w:shd w:val="clear" w:color="auto" w:fill="auto"/>
        <w:tabs>
          <w:tab w:pos="646" w:val="left"/>
        </w:tabs>
        <w:bidi w:val="0"/>
        <w:spacing w:before="0" w:line="317" w:lineRule="exact"/>
        <w:ind w:left="0" w:right="0"/>
        <w:jc w:val="both"/>
      </w:pPr>
      <w:bookmarkStart w:id="251" w:name="bookmark251"/>
      <w:r>
        <w:rPr>
          <w:rFonts w:ascii="Times New Roman" w:eastAsia="Times New Roman" w:hAnsi="Times New Roman" w:cs="Times New Roman"/>
          <w:color w:val="000000"/>
          <w:spacing w:val="0"/>
          <w:w w:val="100"/>
          <w:position w:val="0"/>
          <w:sz w:val="18"/>
          <w:szCs w:val="18"/>
        </w:rPr>
        <w:t>2</w:t>
      </w:r>
      <w:bookmarkEnd w:id="251"/>
      <w:r>
        <w:rPr>
          <w:color w:val="000000"/>
          <w:spacing w:val="0"/>
          <w:w w:val="100"/>
          <w:position w:val="0"/>
        </w:rPr>
        <w:t>、</w:t>
        <w:tab/>
        <w:t>坚持业务模式的创新。积极布局大数据、</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和云计算等领域。积极尝试现有业务在商业模式和业务模式上的创 新。利用商业模式和业务模式的创新，提高现有业务的运营效率，提升业务的毛利率水平。以人员投入的方式实现</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服务输 出，进而获取收益，这是目前</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行业的主流业务模式。近年来这种模式在管理和成本方面的面临的挑战十分明显。新的业务 模式将带来行业革命性发展，随之而来的是运营效率的提升和毛利水平的回升。</w:t>
      </w:r>
    </w:p>
    <w:p>
      <w:pPr>
        <w:pStyle w:val="Style29"/>
        <w:keepNext w:val="0"/>
        <w:keepLines w:val="0"/>
        <w:widowControl w:val="0"/>
        <w:shd w:val="clear" w:color="auto" w:fill="auto"/>
        <w:tabs>
          <w:tab w:pos="656" w:val="left"/>
        </w:tabs>
        <w:bidi w:val="0"/>
        <w:spacing w:before="0" w:line="322" w:lineRule="exact"/>
        <w:ind w:left="0" w:right="0"/>
        <w:jc w:val="both"/>
      </w:pPr>
      <w:bookmarkStart w:id="252" w:name="bookmark252"/>
      <w:r>
        <w:rPr>
          <w:rFonts w:ascii="Times New Roman" w:eastAsia="Times New Roman" w:hAnsi="Times New Roman" w:cs="Times New Roman"/>
          <w:color w:val="000000"/>
          <w:spacing w:val="0"/>
          <w:w w:val="100"/>
          <w:position w:val="0"/>
          <w:sz w:val="18"/>
          <w:szCs w:val="18"/>
        </w:rPr>
        <w:t>3</w:t>
      </w:r>
      <w:bookmarkEnd w:id="252"/>
      <w:r>
        <w:rPr>
          <w:color w:val="000000"/>
          <w:spacing w:val="0"/>
          <w:w w:val="100"/>
          <w:position w:val="0"/>
        </w:rPr>
        <w:t>、</w:t>
        <w:tab/>
        <w:t>优化组织结构，以创新的观念，突破现有的业务格局和组织架构，逐渐将现有团队子公司化、小型化和运营独立化。 给予团队更多的经营和管理的自主性。</w:t>
      </w:r>
    </w:p>
    <w:p>
      <w:pPr>
        <w:pStyle w:val="Style29"/>
        <w:keepNext w:val="0"/>
        <w:keepLines w:val="0"/>
        <w:widowControl w:val="0"/>
        <w:shd w:val="clear" w:color="auto" w:fill="auto"/>
        <w:bidi w:val="0"/>
        <w:spacing w:before="0" w:after="220" w:line="312" w:lineRule="exact"/>
        <w:ind w:left="0" w:right="0"/>
        <w:jc w:val="both"/>
      </w:pPr>
      <w:bookmarkStart w:id="253" w:name="bookmark253"/>
      <w:r>
        <w:rPr>
          <w:rFonts w:ascii="Times New Roman" w:eastAsia="Times New Roman" w:hAnsi="Times New Roman" w:cs="Times New Roman"/>
          <w:color w:val="000000"/>
          <w:spacing w:val="0"/>
          <w:w w:val="100"/>
          <w:position w:val="0"/>
          <w:sz w:val="18"/>
          <w:szCs w:val="18"/>
        </w:rPr>
        <w:t>4</w:t>
      </w:r>
      <w:bookmarkEnd w:id="253"/>
      <w:r>
        <w:rPr>
          <w:color w:val="000000"/>
          <w:spacing w:val="0"/>
          <w:w w:val="100"/>
          <w:position w:val="0"/>
        </w:rPr>
        <w:t>、 将目光投向行业的细分市场，如融资租赁、风险缓释、保险经纪、金交所和财务公司等领域的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需求。近年来，尽 管传统的金融领域的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投入增长逐渐趋缓，但在新兴领域，如融资租赁和供应链金融等领域的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 xml:space="preserve">需求逐渐旺盛。这些领域的 </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需求增长快，利润率相对较高，公司将投入更大精力挖掘潜在的细分市场。</w:t>
      </w:r>
    </w:p>
    <w:p>
      <w:pPr>
        <w:pStyle w:val="Style29"/>
        <w:keepNext w:val="0"/>
        <w:keepLines w:val="0"/>
        <w:widowControl w:val="0"/>
        <w:shd w:val="clear" w:color="auto" w:fill="auto"/>
        <w:tabs>
          <w:tab w:pos="666" w:val="left"/>
        </w:tabs>
        <w:bidi w:val="0"/>
        <w:spacing w:before="0" w:after="0"/>
        <w:ind w:left="0" w:right="0"/>
        <w:jc w:val="both"/>
      </w:pPr>
      <w:bookmarkStart w:id="254" w:name="bookmark254"/>
      <w:r>
        <w:rPr>
          <w:rFonts w:ascii="Times New Roman" w:eastAsia="Times New Roman" w:hAnsi="Times New Roman" w:cs="Times New Roman"/>
          <w:color w:val="000000"/>
          <w:spacing w:val="0"/>
          <w:w w:val="100"/>
          <w:position w:val="0"/>
          <w:sz w:val="18"/>
          <w:szCs w:val="18"/>
        </w:rPr>
        <w:t>5</w:t>
      </w:r>
      <w:bookmarkEnd w:id="254"/>
      <w:r>
        <w:rPr>
          <w:color w:val="000000"/>
          <w:spacing w:val="0"/>
          <w:w w:val="100"/>
          <w:position w:val="0"/>
        </w:rPr>
        <w:t>、</w:t>
        <w:tab/>
        <w:t>创新机制，以更加灵活的考核机制激励团队的斗志和创造力。加强成本管控和内控审计，提升效率，降低成本。</w:t>
      </w:r>
    </w:p>
    <w:p>
      <w:pPr>
        <w:pStyle w:val="Style29"/>
        <w:keepNext w:val="0"/>
        <w:keepLines w:val="0"/>
        <w:widowControl w:val="0"/>
        <w:shd w:val="clear" w:color="auto" w:fill="auto"/>
        <w:bidi w:val="0"/>
        <w:spacing w:before="0" w:after="220" w:line="317" w:lineRule="exact"/>
        <w:ind w:left="0" w:right="0"/>
        <w:jc w:val="both"/>
      </w:pPr>
      <w:bookmarkStart w:id="255" w:name="bookmark255"/>
      <w:r>
        <w:rPr>
          <w:rFonts w:ascii="Times New Roman" w:eastAsia="Times New Roman" w:hAnsi="Times New Roman" w:cs="Times New Roman"/>
          <w:color w:val="000000"/>
          <w:spacing w:val="0"/>
          <w:w w:val="100"/>
          <w:position w:val="0"/>
          <w:sz w:val="18"/>
          <w:szCs w:val="18"/>
        </w:rPr>
        <w:t>6</w:t>
      </w:r>
      <w:bookmarkEnd w:id="255"/>
      <w:r>
        <w:rPr>
          <w:color w:val="000000"/>
          <w:spacing w:val="0"/>
          <w:w w:val="100"/>
          <w:position w:val="0"/>
        </w:rPr>
        <w:t>、 压缩人员增长的速度，提升人员使用效率，提升人均产出。人员数量既是</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公司规模的体现，也是</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公司业务发展 的瓶颈。任何公司在一定时期，管理的边界和张力都是有限的。过快的人员增速不仅拉低了人均产出，也拖慢了公司团队小 型化、服务产品化和结构调整的进程。公司将力争以内部挖潜，并谋求通过变更业务模式等方式，在人员少增、不增，或降 低的情况下，实现业务规模的稳定增长。</w:t>
      </w:r>
    </w:p>
    <w:p>
      <w:pPr>
        <w:pStyle w:val="Style29"/>
        <w:keepNext w:val="0"/>
        <w:keepLines w:val="0"/>
        <w:widowControl w:val="0"/>
        <w:shd w:val="clear" w:color="auto" w:fill="auto"/>
        <w:tabs>
          <w:tab w:pos="676" w:val="left"/>
        </w:tabs>
        <w:bidi w:val="0"/>
        <w:spacing w:before="0" w:after="0"/>
        <w:ind w:left="0" w:right="0"/>
        <w:jc w:val="both"/>
      </w:pPr>
      <w:bookmarkStart w:id="256" w:name="bookmark256"/>
      <w:r>
        <w:rPr>
          <w:rFonts w:ascii="Times New Roman" w:eastAsia="Times New Roman" w:hAnsi="Times New Roman" w:cs="Times New Roman"/>
          <w:color w:val="000000"/>
          <w:spacing w:val="0"/>
          <w:w w:val="100"/>
          <w:position w:val="0"/>
          <w:sz w:val="18"/>
          <w:szCs w:val="18"/>
        </w:rPr>
        <w:t>7</w:t>
      </w:r>
      <w:bookmarkEnd w:id="256"/>
      <w:r>
        <w:rPr>
          <w:color w:val="000000"/>
          <w:spacing w:val="0"/>
          <w:w w:val="100"/>
          <w:position w:val="0"/>
        </w:rPr>
        <w:t>、</w:t>
        <w:tab/>
        <w:t>寻求与核心客户和行业巨头的深度合作和资源互换。为现有业务的未来发展奠定更加坚实的基础。</w:t>
      </w:r>
    </w:p>
    <w:p>
      <w:pPr>
        <w:pStyle w:val="Style29"/>
        <w:keepNext w:val="0"/>
        <w:keepLines w:val="0"/>
        <w:widowControl w:val="0"/>
        <w:shd w:val="clear" w:color="auto" w:fill="auto"/>
        <w:tabs>
          <w:tab w:pos="656" w:val="left"/>
        </w:tabs>
        <w:bidi w:val="0"/>
        <w:spacing w:before="0" w:after="220" w:line="312" w:lineRule="exact"/>
        <w:ind w:left="0" w:right="0"/>
        <w:jc w:val="both"/>
      </w:pPr>
      <w:bookmarkStart w:id="257" w:name="bookmark257"/>
      <w:r>
        <w:rPr>
          <w:rFonts w:ascii="Times New Roman" w:eastAsia="Times New Roman" w:hAnsi="Times New Roman" w:cs="Times New Roman"/>
          <w:color w:val="000000"/>
          <w:spacing w:val="0"/>
          <w:w w:val="100"/>
          <w:position w:val="0"/>
          <w:sz w:val="18"/>
          <w:szCs w:val="18"/>
        </w:rPr>
        <w:t>8</w:t>
      </w:r>
      <w:bookmarkEnd w:id="257"/>
      <w:r>
        <w:rPr>
          <w:color w:val="000000"/>
          <w:spacing w:val="0"/>
          <w:w w:val="100"/>
          <w:position w:val="0"/>
        </w:rPr>
        <w:t>、</w:t>
        <w:tab/>
        <w:t>对于移动互联网和大数据精准营销领域，公司将进一步促进现有团队和新团队的融合。加大流量端的整合力度。强 化对流量的整合、优化和价值创造与变现的能力。更加多元化的获取流量资源。利用大数据能力，更加精准的对接下游媒体 渠道。利用更加灵活的方式，更加便捷有效的实现流量的价值创造与变现。</w:t>
      </w:r>
    </w:p>
    <w:p>
      <w:pPr>
        <w:pStyle w:val="Style29"/>
        <w:keepNext w:val="0"/>
        <w:keepLines w:val="0"/>
        <w:widowControl w:val="0"/>
        <w:shd w:val="clear" w:color="auto" w:fill="auto"/>
        <w:tabs>
          <w:tab w:pos="666" w:val="left"/>
        </w:tabs>
        <w:bidi w:val="0"/>
        <w:spacing w:before="0" w:after="0"/>
        <w:ind w:left="0" w:right="0"/>
        <w:jc w:val="both"/>
      </w:pPr>
      <w:bookmarkStart w:id="258" w:name="bookmark258"/>
      <w:r>
        <w:rPr>
          <w:rFonts w:ascii="Times New Roman" w:eastAsia="Times New Roman" w:hAnsi="Times New Roman" w:cs="Times New Roman"/>
          <w:color w:val="000000"/>
          <w:spacing w:val="0"/>
          <w:w w:val="100"/>
          <w:position w:val="0"/>
          <w:sz w:val="18"/>
          <w:szCs w:val="18"/>
        </w:rPr>
        <w:t>9</w:t>
      </w:r>
      <w:bookmarkEnd w:id="258"/>
      <w:r>
        <w:rPr>
          <w:color w:val="000000"/>
          <w:spacing w:val="0"/>
          <w:w w:val="100"/>
          <w:position w:val="0"/>
        </w:rPr>
        <w:t>、</w:t>
        <w:tab/>
        <w:t>推动两大主业在客户、渠道以及其他资源的共享。促进交叉销售和混合营销。</w:t>
      </w:r>
    </w:p>
    <w:p>
      <w:pPr>
        <w:pStyle w:val="Style29"/>
        <w:keepNext w:val="0"/>
        <w:keepLines w:val="0"/>
        <w:widowControl w:val="0"/>
        <w:shd w:val="clear" w:color="auto" w:fill="auto"/>
        <w:bidi w:val="0"/>
        <w:spacing w:before="0" w:line="312" w:lineRule="exact"/>
        <w:ind w:left="0" w:right="0"/>
        <w:jc w:val="both"/>
      </w:pPr>
      <w:r>
        <w:rPr>
          <w:color w:val="000000"/>
          <w:spacing w:val="0"/>
          <w:w w:val="100"/>
          <w:position w:val="0"/>
        </w:rPr>
        <w:t>公司判断，移动互联网和大数据精准营销行业将是未来一段时期，在整体经济增速放缓的情况下，依然能保持快速增长 的行业。移动大数据精准营销，无疑将成为中国乃至世界广告营销市场的主流。</w:t>
      </w:r>
    </w:p>
    <w:p>
      <w:pPr>
        <w:pStyle w:val="Style29"/>
        <w:keepNext w:val="0"/>
        <w:keepLines w:val="0"/>
        <w:widowControl w:val="0"/>
        <w:shd w:val="clear" w:color="auto" w:fill="auto"/>
        <w:bidi w:val="0"/>
        <w:spacing w:before="0" w:line="312" w:lineRule="exact"/>
        <w:ind w:left="0" w:right="0"/>
        <w:jc w:val="both"/>
      </w:pPr>
      <w:r>
        <w:rPr>
          <w:color w:val="000000"/>
          <w:spacing w:val="0"/>
          <w:w w:val="100"/>
          <w:position w:val="0"/>
        </w:rPr>
        <w:t>公司看好这一领域，并希望通过内生和外延并举的方式将这一领域打造成公司未来发展的重要支撑点之一。</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这个高速发展的行业里，成功的关键在于如何持续获取海量的数据，如何利用大数据分析的能力有效优化数据，如何获 取和整合渠道资源实现数据价值的有效变现。未来，公司将通过内生和外延相结合的方式，围绕数据获取、大数据分析和数 据变现这三块能力持续布局，加大投入。</w:t>
      </w:r>
    </w:p>
    <w:p>
      <w:pPr>
        <w:pStyle w:val="Style29"/>
        <w:keepNext w:val="0"/>
        <w:keepLines w:val="0"/>
        <w:widowControl w:val="0"/>
        <w:shd w:val="clear" w:color="auto" w:fill="auto"/>
        <w:bidi w:val="0"/>
        <w:spacing w:before="0" w:line="317" w:lineRule="exact"/>
        <w:ind w:left="0" w:right="0"/>
        <w:jc w:val="both"/>
      </w:pPr>
      <w:r>
        <w:rPr>
          <w:color w:val="000000"/>
          <w:spacing w:val="0"/>
          <w:w w:val="100"/>
          <w:position w:val="0"/>
        </w:rPr>
        <w:t>新陈代谢是自然法则。公司作为一个有机运作的机体，必须遵循这一法则。公司会将有限的资源投入有前景的领域，有 侧重、有计划、有取有舍的实现业务的各个领域的协调发展。</w:t>
      </w:r>
    </w:p>
    <w:p>
      <w:pPr>
        <w:pStyle w:val="Style27"/>
        <w:keepNext/>
        <w:keepLines/>
        <w:widowControl w:val="0"/>
        <w:shd w:val="clear" w:color="auto" w:fill="auto"/>
        <w:bidi w:val="0"/>
        <w:spacing w:before="0" w:after="340" w:line="240" w:lineRule="auto"/>
        <w:ind w:left="0" w:right="0" w:firstLine="0"/>
        <w:jc w:val="left"/>
      </w:pPr>
      <w:bookmarkStart w:id="259" w:name="bookmark259"/>
      <w:bookmarkStart w:id="260" w:name="bookmark260"/>
      <w:bookmarkStart w:id="261" w:name="bookmark261"/>
      <w:r>
        <w:rPr>
          <w:color w:val="000000"/>
          <w:spacing w:val="0"/>
          <w:w w:val="100"/>
          <w:position w:val="0"/>
          <w:sz w:val="24"/>
          <w:szCs w:val="24"/>
        </w:rPr>
        <w:t>十、接待调研、沟通、采访等活动登记表</w:t>
      </w:r>
      <w:bookmarkEnd w:id="259"/>
      <w:bookmarkEnd w:id="260"/>
      <w:bookmarkEnd w:id="261"/>
    </w:p>
    <w:p>
      <w:pPr>
        <w:pStyle w:val="Style33"/>
        <w:keepNext/>
        <w:keepLines/>
        <w:widowControl w:val="0"/>
        <w:shd w:val="clear" w:color="auto" w:fill="auto"/>
        <w:bidi w:val="0"/>
        <w:spacing w:before="0" w:after="340" w:line="240" w:lineRule="auto"/>
        <w:ind w:left="0" w:right="0" w:firstLine="0"/>
        <w:jc w:val="left"/>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1</w:t>
      </w:r>
      <w:bookmarkEnd w:id="264"/>
      <w:r>
        <w:rPr>
          <w:color w:val="000000"/>
          <w:spacing w:val="0"/>
          <w:w w:val="100"/>
          <w:position w:val="0"/>
        </w:rPr>
        <w:t>、报告期内接待调研、沟通、采访等活动登记表</w:t>
      </w:r>
      <w:bookmarkEnd w:id="262"/>
      <w:bookmarkEnd w:id="263"/>
      <w:bookmarkEnd w:id="265"/>
    </w:p>
    <w:p>
      <w:pPr>
        <w:pStyle w:val="Style5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2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cninfb.com.cn/infbrmation/c</w:t>
            </w:r>
            <w:r>
              <w:rPr>
                <w:rFonts w:ascii="Times New Roman" w:eastAsia="Times New Roman" w:hAnsi="Times New Roman" w:cs="Times New Roman"/>
                <w:color w:val="000000"/>
                <w:spacing w:val="0"/>
                <w:w w:val="100"/>
                <w:position w:val="0"/>
                <w:sz w:val="18"/>
                <w:szCs w:val="18"/>
              </w:rPr>
              <w:t xml:space="preserve"> ompanyinfo_n.html?fulltext? szcn300465</w:t>
            </w:r>
          </w:p>
        </w:tc>
      </w:tr>
    </w:tbl>
    <w:p>
      <w:pPr>
        <w:sectPr>
          <w:footnotePr>
            <w:pos w:val="pageBottom"/>
            <w:numFmt w:val="decimal"/>
            <w:numRestart w:val="continuous"/>
          </w:footnotePr>
          <w:pgSz w:w="11900" w:h="16840"/>
          <w:pgMar w:top="1240" w:right="960" w:bottom="1253" w:left="985" w:header="0" w:footer="3" w:gutter="0"/>
          <w:cols w:space="720"/>
          <w:noEndnote/>
          <w:rtlGutter w:val="0"/>
          <w:docGrid w:linePitch="360"/>
        </w:sectPr>
      </w:pPr>
    </w:p>
    <w:p>
      <w:pPr>
        <w:pStyle w:val="Style18"/>
        <w:keepNext/>
        <w:keepLines/>
        <w:widowControl w:val="0"/>
        <w:shd w:val="clear" w:color="auto" w:fill="auto"/>
        <w:bidi w:val="0"/>
        <w:spacing w:before="560" w:line="240" w:lineRule="auto"/>
        <w:ind w:left="0" w:right="0" w:firstLine="0"/>
        <w:jc w:val="center"/>
      </w:pPr>
      <w:bookmarkStart w:id="266" w:name="bookmark266"/>
      <w:bookmarkStart w:id="267" w:name="bookmark267"/>
      <w:bookmarkStart w:id="268" w:name="bookmark268"/>
      <w:r>
        <w:rPr>
          <w:color w:val="000000"/>
          <w:spacing w:val="0"/>
          <w:w w:val="100"/>
          <w:position w:val="0"/>
        </w:rPr>
        <w:t>第五节重要事项</w:t>
      </w:r>
      <w:bookmarkEnd w:id="266"/>
      <w:bookmarkEnd w:id="267"/>
      <w:bookmarkEnd w:id="268"/>
    </w:p>
    <w:p>
      <w:pPr>
        <w:pStyle w:val="Style27"/>
        <w:keepNext/>
        <w:keepLines/>
        <w:widowControl w:val="0"/>
        <w:shd w:val="clear" w:color="auto" w:fill="auto"/>
        <w:bidi w:val="0"/>
        <w:spacing w:before="0" w:after="260" w:line="240" w:lineRule="auto"/>
        <w:ind w:left="0" w:right="0" w:firstLine="0"/>
        <w:jc w:val="both"/>
      </w:pPr>
      <w:bookmarkStart w:id="269" w:name="bookmark269"/>
      <w:bookmarkStart w:id="270" w:name="bookmark270"/>
      <w:bookmarkStart w:id="271" w:name="bookmark271"/>
      <w:bookmarkStart w:id="272" w:name="bookmark272"/>
      <w:bookmarkStart w:id="273" w:name="bookmark273"/>
      <w:r>
        <w:rPr>
          <w:color w:val="000000"/>
          <w:spacing w:val="0"/>
          <w:w w:val="100"/>
          <w:position w:val="0"/>
          <w:sz w:val="24"/>
          <w:szCs w:val="24"/>
        </w:rPr>
        <w:t>一</w:t>
      </w:r>
      <w:bookmarkEnd w:id="272"/>
      <w:r>
        <w:rPr>
          <w:color w:val="000000"/>
          <w:spacing w:val="0"/>
          <w:w w:val="100"/>
          <w:position w:val="0"/>
          <w:sz w:val="24"/>
          <w:szCs w:val="24"/>
        </w:rPr>
        <w:t>、公司普通股利润分配及资本公积金转增股本情况</w:t>
      </w:r>
      <w:bookmarkEnd w:id="270"/>
      <w:bookmarkEnd w:id="271"/>
      <w:bookmarkEnd w:id="273"/>
      <w:bookmarkEnd w:id="269"/>
    </w:p>
    <w:p>
      <w:pPr>
        <w:pStyle w:val="Style29"/>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公司上市后的利润分配政策如下：</w:t>
      </w:r>
    </w:p>
    <w:p>
      <w:pPr>
        <w:pStyle w:val="Style29"/>
        <w:keepNext w:val="0"/>
        <w:keepLines w:val="0"/>
        <w:widowControl w:val="0"/>
        <w:shd w:val="clear" w:color="auto" w:fill="auto"/>
        <w:bidi w:val="0"/>
        <w:spacing w:before="0" w:after="0" w:line="317" w:lineRule="exact"/>
        <w:ind w:left="0" w:right="0"/>
        <w:jc w:val="both"/>
        <w:rPr>
          <w:sz w:val="18"/>
          <w:szCs w:val="18"/>
        </w:rPr>
      </w:pPr>
      <w:r>
        <w:rPr>
          <w:color w:val="000000"/>
          <w:spacing w:val="0"/>
          <w:w w:val="100"/>
          <w:position w:val="0"/>
          <w:sz w:val="17"/>
          <w:szCs w:val="17"/>
        </w:rPr>
        <w:t>公司可以采取现金或者股票方式分配利润。公司的利润分配政策应保持连续性和稳定性。公司实施股利分配应当遵守以 下规定</w:t>
      </w:r>
      <w:r>
        <w:rPr>
          <w:color w:val="000000"/>
          <w:spacing w:val="0"/>
          <w:w w:val="100"/>
          <w:position w:val="0"/>
          <w:sz w:val="18"/>
          <w:szCs w:val="18"/>
        </w:rPr>
        <w:t>：</w:t>
      </w:r>
    </w:p>
    <w:p>
      <w:pPr>
        <w:pStyle w:val="Style29"/>
        <w:keepNext w:val="0"/>
        <w:keepLines w:val="0"/>
        <w:widowControl w:val="0"/>
        <w:shd w:val="clear" w:color="auto" w:fill="auto"/>
        <w:bidi w:val="0"/>
        <w:spacing w:before="0" w:after="0" w:line="310" w:lineRule="exact"/>
        <w:ind w:left="0" w:right="0" w:firstLine="320"/>
        <w:jc w:val="both"/>
      </w:pPr>
      <w:r>
        <w:rPr>
          <w:color w:val="000000"/>
          <w:spacing w:val="0"/>
          <w:w w:val="100"/>
          <w:position w:val="0"/>
        </w:rPr>
        <w:t>公司的利润分配应重视对投资者的合理投资回报，同时兼顾公司的实际经营情况及公司的远期战略发展目标；公司一般 进行年度分红，在有条件的情况下，公司可以进行中期利润分配。在公司当年盈利且无重大投资计划或重大现金支出事项发 生的情况下，公司必须进行现金分红，以现金形式分配的利润不少于当年实现的可供分配利润的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；公司最近三年以现金 方式累计分配的利润不少于最近三年实现的年均可分配利润的</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公司董事会应综合考虑所处行业特点、发展阶段、自身经营模式、盈利水平以及是否有重大资金支出安排等因素，区分 下列情形，并按照章程规定的程序，提出差异化的现金分红政策：</w:t>
      </w:r>
    </w:p>
    <w:p>
      <w:pPr>
        <w:pStyle w:val="Style29"/>
        <w:keepNext w:val="0"/>
        <w:keepLines w:val="0"/>
        <w:widowControl w:val="0"/>
        <w:numPr>
          <w:ilvl w:val="0"/>
          <w:numId w:val="5"/>
        </w:numPr>
        <w:shd w:val="clear" w:color="auto" w:fill="auto"/>
        <w:tabs>
          <w:tab w:pos="670" w:val="left"/>
        </w:tabs>
        <w:bidi w:val="0"/>
        <w:spacing w:before="0" w:after="0" w:line="302" w:lineRule="exact"/>
        <w:ind w:left="0" w:right="0"/>
        <w:jc w:val="both"/>
      </w:pPr>
      <w:bookmarkStart w:id="274" w:name="bookmark274"/>
      <w:bookmarkEnd w:id="274"/>
      <w:r>
        <w:rPr>
          <w:color w:val="000000"/>
          <w:spacing w:val="0"/>
          <w:w w:val="100"/>
          <w:position w:val="0"/>
        </w:rPr>
        <w:t xml:space="preserve">公司发展阶段属成熟期且无重大资金支出安排的，进行利润分配时，现金分红在本次利润分配中所占比例最低应达到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p>
      <w:pPr>
        <w:pStyle w:val="Style29"/>
        <w:keepNext w:val="0"/>
        <w:keepLines w:val="0"/>
        <w:widowControl w:val="0"/>
        <w:numPr>
          <w:ilvl w:val="0"/>
          <w:numId w:val="5"/>
        </w:numPr>
        <w:shd w:val="clear" w:color="auto" w:fill="auto"/>
        <w:tabs>
          <w:tab w:pos="680" w:val="left"/>
        </w:tabs>
        <w:bidi w:val="0"/>
        <w:spacing w:before="0" w:after="0" w:line="307" w:lineRule="exact"/>
        <w:ind w:left="0" w:right="0"/>
        <w:jc w:val="both"/>
      </w:pPr>
      <w:bookmarkStart w:id="275" w:name="bookmark275"/>
      <w:bookmarkEnd w:id="275"/>
      <w:r>
        <w:rPr>
          <w:color w:val="000000"/>
          <w:spacing w:val="0"/>
          <w:w w:val="100"/>
          <w:position w:val="0"/>
        </w:rPr>
        <w:t xml:space="preserve">公司发展阶段属成熟期且有重大资金支出安排的，进行利润分配时，现金分红在本次利润分配中所占比例最低应达到 </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p>
      <w:pPr>
        <w:pStyle w:val="Style29"/>
        <w:keepNext w:val="0"/>
        <w:keepLines w:val="0"/>
        <w:widowControl w:val="0"/>
        <w:numPr>
          <w:ilvl w:val="0"/>
          <w:numId w:val="5"/>
        </w:numPr>
        <w:shd w:val="clear" w:color="auto" w:fill="auto"/>
        <w:tabs>
          <w:tab w:pos="690" w:val="left"/>
        </w:tabs>
        <w:bidi w:val="0"/>
        <w:spacing w:before="0" w:after="0" w:line="312" w:lineRule="exact"/>
        <w:ind w:left="0" w:right="0"/>
        <w:jc w:val="both"/>
      </w:pPr>
      <w:bookmarkStart w:id="276" w:name="bookmark276"/>
      <w:bookmarkEnd w:id="276"/>
      <w:r>
        <w:rPr>
          <w:color w:val="000000"/>
          <w:spacing w:val="0"/>
          <w:w w:val="100"/>
          <w:position w:val="0"/>
        </w:rPr>
        <w:t xml:space="preserve">公司发展阶段属成长期且有重大资金支出安排的，进行利润分配时，现金分红在本次利润分配中所占比例最低应达到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公司发展阶段不易区分但有重大资金支出安排的，可以按照前项规定处理。</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在实施上述现金分配股利的同时，可以派发股票股利，但不得单独派发股票股利。公司董事会可以根据公司的资金需求 状况，提议进行中期现金分配。</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重大投资计划或重大现金支出事项指以下情形之一：</w:t>
      </w:r>
    </w:p>
    <w:p>
      <w:pPr>
        <w:pStyle w:val="Style29"/>
        <w:keepNext w:val="0"/>
        <w:keepLines w:val="0"/>
        <w:widowControl w:val="0"/>
        <w:numPr>
          <w:ilvl w:val="0"/>
          <w:numId w:val="7"/>
        </w:numPr>
        <w:shd w:val="clear" w:color="auto" w:fill="auto"/>
        <w:tabs>
          <w:tab w:pos="598" w:val="left"/>
        </w:tabs>
        <w:bidi w:val="0"/>
        <w:spacing w:before="0" w:after="0" w:line="307" w:lineRule="exact"/>
        <w:ind w:left="0" w:right="0" w:firstLine="320"/>
        <w:jc w:val="both"/>
      </w:pPr>
      <w:bookmarkStart w:id="277" w:name="bookmark277"/>
      <w:bookmarkEnd w:id="277"/>
      <w:r>
        <w:rPr>
          <w:color w:val="000000"/>
          <w:spacing w:val="0"/>
          <w:w w:val="100"/>
          <w:position w:val="0"/>
        </w:rPr>
        <w:t>公司未来十二个月内拟对外投资、收购资产或购买设备累计支出达到或超过公司最近一期经审计净资产的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，且超 过</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p>
      <w:pPr>
        <w:pStyle w:val="Style29"/>
        <w:keepNext w:val="0"/>
        <w:keepLines w:val="0"/>
        <w:widowControl w:val="0"/>
        <w:numPr>
          <w:ilvl w:val="0"/>
          <w:numId w:val="7"/>
        </w:numPr>
        <w:shd w:val="clear" w:color="auto" w:fill="auto"/>
        <w:tabs>
          <w:tab w:pos="635" w:val="left"/>
        </w:tabs>
        <w:bidi w:val="0"/>
        <w:spacing w:before="0" w:after="0" w:line="312" w:lineRule="exact"/>
        <w:ind w:left="0" w:right="0" w:firstLine="320"/>
        <w:jc w:val="both"/>
      </w:pPr>
      <w:bookmarkStart w:id="278" w:name="bookmark278"/>
      <w:bookmarkEnd w:id="278"/>
      <w:r>
        <w:rPr>
          <w:color w:val="000000"/>
          <w:spacing w:val="0"/>
          <w:w w:val="100"/>
          <w:position w:val="0"/>
        </w:rPr>
        <w:t>公司未来十二个月内拟对外投资、收购资产或购买设备累计支出达到或超过公司最近一期经审计总资产的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9"/>
        <w:keepNext w:val="0"/>
        <w:keepLines w:val="0"/>
        <w:widowControl w:val="0"/>
        <w:shd w:val="clear" w:color="auto" w:fill="auto"/>
        <w:bidi w:val="0"/>
        <w:spacing w:before="0" w:after="0" w:line="322" w:lineRule="exact"/>
        <w:ind w:left="0" w:right="0"/>
        <w:jc w:val="both"/>
      </w:pPr>
      <w:r>
        <w:rPr>
          <w:color w:val="000000"/>
          <w:spacing w:val="0"/>
          <w:w w:val="100"/>
          <w:position w:val="0"/>
        </w:rPr>
        <w:t>公司出现以下情况，可以进行股票股利分配：公司营业收入增长迅速，并且董事会认为公司股票价格与公司股本规模不 匹配时，可以在满足上述现金股利分配的同时，制定股票股利分配预案。</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公司将严格执行现金分红政策，切实保护好股东特别是中小股东的利益。</w:t>
      </w:r>
    </w:p>
    <w:p>
      <w:pPr>
        <w:pStyle w:val="Style29"/>
        <w:keepNext w:val="0"/>
        <w:keepLines w:val="0"/>
        <w:widowControl w:val="0"/>
        <w:shd w:val="clear" w:color="auto" w:fill="auto"/>
        <w:bidi w:val="0"/>
        <w:spacing w:before="0" w:after="440" w:line="312"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年半年度权益分派方案为：公司以</w:t>
      </w:r>
      <w:r>
        <w:rPr>
          <w:rFonts w:ascii="Times New Roman" w:eastAsia="Times New Roman" w:hAnsi="Times New Roman" w:cs="Times New Roman"/>
          <w:color w:val="000000"/>
          <w:spacing w:val="0"/>
          <w:w w:val="100"/>
          <w:position w:val="0"/>
          <w:sz w:val="18"/>
          <w:szCs w:val="18"/>
        </w:rPr>
        <w:t>134,940,000</w:t>
      </w:r>
      <w:r>
        <w:rPr>
          <w:color w:val="000000"/>
          <w:spacing w:val="0"/>
          <w:w w:val="100"/>
          <w:position w:val="0"/>
        </w:rPr>
        <w:t>股为基数进行资本公积金转增股本，向全体股东每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296,868,000</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sz w:val="18"/>
          <w:szCs w:val="18"/>
        </w:rPr>
        <w:t>431,808,000</w:t>
      </w:r>
      <w:r>
        <w:rPr>
          <w:color w:val="000000"/>
          <w:spacing w:val="0"/>
          <w:w w:val="100"/>
          <w:position w:val="0"/>
        </w:rPr>
        <w:t>股，截至报告期末，上述利润分配已实施完毕。</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pStyle w:val="Style29"/>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336" w:lineRule="exact"/>
        <w:ind w:left="0" w:right="0" w:firstLine="0"/>
        <w:jc w:val="both"/>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3720"/>
        <w:gridCol w:w="5861"/>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450,381,457</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3,603,051.66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23,109,577.54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公司拟以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年度利润分配实施公告的股权登记日当日的总股本为基数，向全体股东每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 xml:space="preserve">0.08 </w:t>
            </w:r>
            <w:r>
              <w:rPr>
                <w:color w:val="000000"/>
                <w:spacing w:val="0"/>
                <w:w w:val="100"/>
                <w:position w:val="0"/>
              </w:rPr>
              <w:t>元（含税），合计派发现金</w:t>
            </w:r>
            <w:r>
              <w:rPr>
                <w:rFonts w:ascii="Times New Roman" w:eastAsia="Times New Roman" w:hAnsi="Times New Roman" w:cs="Times New Roman"/>
                <w:color w:val="000000"/>
                <w:spacing w:val="0"/>
                <w:w w:val="100"/>
                <w:position w:val="0"/>
                <w:sz w:val="18"/>
                <w:szCs w:val="18"/>
              </w:rPr>
              <w:t>3,603,051.66</w:t>
            </w:r>
            <w:r>
              <w:rPr>
                <w:color w:val="000000"/>
                <w:spacing w:val="0"/>
                <w:w w:val="100"/>
                <w:position w:val="0"/>
              </w:rPr>
              <w:t>元，其余未分配利润结转以后年度分配。</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9"/>
        <w:keepNext w:val="0"/>
        <w:keepLines w:val="0"/>
        <w:widowControl w:val="0"/>
        <w:shd w:val="clear" w:color="auto" w:fill="auto"/>
        <w:bidi w:val="0"/>
        <w:spacing w:before="0" w:after="0" w:line="320" w:lineRule="exact"/>
        <w:ind w:left="0" w:right="0" w:firstLine="0"/>
        <w:jc w:val="both"/>
      </w:pPr>
      <w:bookmarkStart w:id="279" w:name="bookmark279"/>
      <w:r>
        <w:rPr>
          <w:rFonts w:ascii="Times New Roman" w:eastAsia="Times New Roman" w:hAnsi="Times New Roman" w:cs="Times New Roman"/>
          <w:color w:val="000000"/>
          <w:spacing w:val="0"/>
          <w:w w:val="100"/>
          <w:position w:val="0"/>
          <w:sz w:val="18"/>
          <w:szCs w:val="18"/>
        </w:rPr>
        <w:t>1</w:t>
      </w:r>
      <w:bookmarkEnd w:id="27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日，公司股东大会审议通过《公司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年度利润分配预案》，以公司总股本</w:t>
      </w:r>
      <w:r>
        <w:rPr>
          <w:rFonts w:ascii="Times New Roman" w:eastAsia="Times New Roman" w:hAnsi="Times New Roman" w:cs="Times New Roman"/>
          <w:color w:val="000000"/>
          <w:spacing w:val="0"/>
          <w:w w:val="100"/>
          <w:position w:val="0"/>
          <w:sz w:val="18"/>
          <w:szCs w:val="18"/>
        </w:rPr>
        <w:t>134,940,000</w:t>
      </w:r>
      <w:r>
        <w:rPr>
          <w:color w:val="000000"/>
          <w:spacing w:val="0"/>
          <w:w w:val="100"/>
          <w:position w:val="0"/>
        </w:rPr>
        <w:t>股为基数，以资 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0.46</w:t>
      </w:r>
      <w:r>
        <w:rPr>
          <w:color w:val="000000"/>
          <w:spacing w:val="0"/>
          <w:w w:val="100"/>
          <w:position w:val="0"/>
        </w:rPr>
        <w:t>元（含税），合计派发现金</w:t>
      </w:r>
      <w:r>
        <w:rPr>
          <w:rFonts w:ascii="Times New Roman" w:eastAsia="Times New Roman" w:hAnsi="Times New Roman" w:cs="Times New Roman"/>
          <w:color w:val="000000"/>
          <w:spacing w:val="0"/>
          <w:w w:val="100"/>
          <w:position w:val="0"/>
          <w:sz w:val="18"/>
          <w:szCs w:val="18"/>
        </w:rPr>
        <w:t xml:space="preserve">6,207,240.00 </w:t>
      </w:r>
      <w:r>
        <w:rPr>
          <w:color w:val="000000"/>
          <w:spacing w:val="0"/>
          <w:w w:val="100"/>
          <w:position w:val="0"/>
        </w:rPr>
        <w:t>元，其余未分配利润结转以后年度分配。</w:t>
      </w:r>
    </w:p>
    <w:p>
      <w:pPr>
        <w:pStyle w:val="Style29"/>
        <w:keepNext w:val="0"/>
        <w:keepLines w:val="0"/>
        <w:widowControl w:val="0"/>
        <w:shd w:val="clear" w:color="auto" w:fill="auto"/>
        <w:tabs>
          <w:tab w:pos="319" w:val="left"/>
        </w:tabs>
        <w:bidi w:val="0"/>
        <w:spacing w:before="0" w:after="0" w:line="320" w:lineRule="exact"/>
        <w:ind w:left="0" w:right="0" w:firstLine="0"/>
        <w:jc w:val="both"/>
      </w:pPr>
      <w:bookmarkStart w:id="280" w:name="bookmark280"/>
      <w:r>
        <w:rPr>
          <w:rFonts w:ascii="Times New Roman" w:eastAsia="Times New Roman" w:hAnsi="Times New Roman" w:cs="Times New Roman"/>
          <w:color w:val="000000"/>
          <w:spacing w:val="0"/>
          <w:w w:val="100"/>
          <w:position w:val="0"/>
          <w:sz w:val="18"/>
          <w:szCs w:val="18"/>
        </w:rPr>
        <w:t>2</w:t>
      </w:r>
      <w:bookmarkEnd w:id="28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日，公司股东大会审议通过《关于公司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年半年度利润分配</w:t>
      </w:r>
      <w:r>
        <w:rPr>
          <w:color w:val="000000"/>
          <w:spacing w:val="0"/>
          <w:w w:val="100"/>
          <w:position w:val="0"/>
          <w:sz w:val="18"/>
          <w:szCs w:val="18"/>
        </w:rPr>
        <w:t>〉</w:t>
      </w:r>
      <w:r>
        <w:rPr>
          <w:color w:val="000000"/>
          <w:spacing w:val="0"/>
          <w:w w:val="100"/>
          <w:position w:val="0"/>
        </w:rPr>
        <w:t>的议案》，公司以</w:t>
      </w:r>
      <w:r>
        <w:rPr>
          <w:rFonts w:ascii="Times New Roman" w:eastAsia="Times New Roman" w:hAnsi="Times New Roman" w:cs="Times New Roman"/>
          <w:color w:val="000000"/>
          <w:spacing w:val="0"/>
          <w:w w:val="100"/>
          <w:position w:val="0"/>
          <w:sz w:val="18"/>
          <w:szCs w:val="18"/>
        </w:rPr>
        <w:t>134,940,000</w:t>
      </w:r>
      <w:r>
        <w:rPr>
          <w:color w:val="000000"/>
          <w:spacing w:val="0"/>
          <w:w w:val="100"/>
          <w:position w:val="0"/>
        </w:rPr>
        <w:t>股为基数 进行资本公积金转增股本，向全体股东每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296,868,000</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sz w:val="18"/>
          <w:szCs w:val="18"/>
        </w:rPr>
        <w:t xml:space="preserve">431,808,000 </w:t>
      </w:r>
      <w:r>
        <w:rPr>
          <w:color w:val="000000"/>
          <w:spacing w:val="0"/>
          <w:w w:val="100"/>
          <w:position w:val="0"/>
        </w:rPr>
        <w:t>股。</w:t>
      </w:r>
    </w:p>
    <w:p>
      <w:pPr>
        <w:pStyle w:val="Style29"/>
        <w:keepNext w:val="0"/>
        <w:keepLines w:val="0"/>
        <w:widowControl w:val="0"/>
        <w:shd w:val="clear" w:color="auto" w:fill="auto"/>
        <w:bidi w:val="0"/>
        <w:spacing w:before="0" w:after="160" w:line="320" w:lineRule="exact"/>
        <w:ind w:left="0" w:right="0" w:firstLine="0"/>
        <w:jc w:val="both"/>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现金分红金额（含</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3,603,051.66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23,109,577.54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6,207,240.00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41,228,939.46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66,080,887.67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公司报告期内盈利且母公司可供普通股股东分配利润为正但未提出普通股现金红利分配预案</w:t>
      </w:r>
      <w:r>
        <w:br w:type="page"/>
      </w:r>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keepLines/>
        <w:widowControl w:val="0"/>
        <w:shd w:val="clear" w:color="auto" w:fill="auto"/>
        <w:bidi w:val="0"/>
        <w:spacing w:before="0" w:after="280" w:line="240" w:lineRule="auto"/>
        <w:ind w:left="0" w:right="0" w:firstLine="0"/>
        <w:jc w:val="left"/>
      </w:pPr>
      <w:bookmarkStart w:id="281" w:name="bookmark281"/>
      <w:bookmarkStart w:id="282" w:name="bookmark282"/>
      <w:bookmarkStart w:id="283" w:name="bookmark283"/>
      <w:bookmarkStart w:id="284" w:name="bookmark284"/>
      <w:r>
        <w:rPr>
          <w:color w:val="000000"/>
          <w:spacing w:val="0"/>
          <w:w w:val="100"/>
          <w:position w:val="0"/>
          <w:sz w:val="24"/>
          <w:szCs w:val="24"/>
        </w:rPr>
        <w:t>二</w:t>
      </w:r>
      <w:bookmarkEnd w:id="283"/>
      <w:r>
        <w:rPr>
          <w:color w:val="000000"/>
          <w:spacing w:val="0"/>
          <w:w w:val="100"/>
          <w:position w:val="0"/>
          <w:sz w:val="24"/>
          <w:szCs w:val="24"/>
        </w:rPr>
        <w:t>、承诺事项履行情况</w:t>
      </w:r>
      <w:bookmarkEnd w:id="281"/>
      <w:bookmarkEnd w:id="282"/>
      <w:bookmarkEnd w:id="284"/>
    </w:p>
    <w:p>
      <w:pPr>
        <w:pStyle w:val="Style33"/>
        <w:keepNext/>
        <w:keepLines/>
        <w:widowControl w:val="0"/>
        <w:shd w:val="clear" w:color="auto" w:fill="auto"/>
        <w:bidi w:val="0"/>
        <w:spacing w:before="0" w:after="340" w:line="326" w:lineRule="exact"/>
        <w:ind w:left="0" w:right="0" w:firstLine="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1</w:t>
      </w:r>
      <w:bookmarkEnd w:id="287"/>
      <w:r>
        <w:rPr>
          <w:color w:val="000000"/>
          <w:spacing w:val="0"/>
          <w:w w:val="100"/>
          <w:position w:val="0"/>
        </w:rPr>
        <w:t>、公司实际控制人、股东、关联方、收购人以及公司等承诺相关方在报告期内履行完毕及截至报告期末 尚未履行完毕的承诺事项</w:t>
      </w:r>
      <w:bookmarkEnd w:id="285"/>
      <w:bookmarkEnd w:id="286"/>
      <w:bookmarkEnd w:id="288"/>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42"/>
        <w:gridCol w:w="1704"/>
        <w:gridCol w:w="398"/>
        <w:gridCol w:w="4118"/>
        <w:gridCol w:w="547"/>
        <w:gridCol w:w="581"/>
        <w:gridCol w:w="1190"/>
      </w:tblGrid>
      <w:tr>
        <w:trPr>
          <w:trHeight w:val="134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9" w:lineRule="exact"/>
              <w:ind w:left="0" w:right="0" w:firstLine="0"/>
              <w:jc w:val="left"/>
            </w:pPr>
            <w:r>
              <w:rPr>
                <w:color w:val="000000"/>
                <w:spacing w:val="0"/>
                <w:w w:val="100"/>
                <w:position w:val="0"/>
              </w:rPr>
              <w:t>承 诺 类 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 时间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履行情况</w:t>
            </w: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收购报告书或 权益变动报告 书中所作承诺</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2587"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资产重组时所</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作承诺</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北京睿韬科技有限责 任公司、宁波镇海翔 易融联投资管理合伙 企业（有限合伙）</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 份 限 售 承 诺</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0" w:lineRule="exact"/>
              <w:ind w:left="0" w:right="0" w:firstLine="0"/>
              <w:jc w:val="both"/>
            </w:pPr>
            <w:r>
              <w:rPr>
                <w:color w:val="000000"/>
                <w:spacing w:val="0"/>
                <w:w w:val="100"/>
                <w:position w:val="0"/>
              </w:rPr>
              <w:t>承诺人通过本次交易获得的上市公司的新增股份，自 新增股份上市之日起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个月内不以任何方式进行转 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日</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3" w:lineRule="exact"/>
              <w:ind w:left="0" w:right="0" w:firstLine="0"/>
              <w:jc w:val="left"/>
            </w:pPr>
            <w:r>
              <w:rPr>
                <w:color w:val="000000"/>
                <w:spacing w:val="0"/>
                <w:w w:val="100"/>
                <w:position w:val="0"/>
              </w:rPr>
              <w:t>自新 增股 份上 市之 日起 三十 六个 月</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截止本报告期 末，承诺人严 格信守承诺，</w:t>
            </w:r>
          </w:p>
          <w:p>
            <w:pPr>
              <w:pStyle w:val="Style5"/>
              <w:keepNext w:val="0"/>
              <w:keepLines w:val="0"/>
              <w:widowControl w:val="0"/>
              <w:shd w:val="clear" w:color="auto" w:fill="auto"/>
              <w:bidi w:val="0"/>
              <w:spacing w:before="0" w:after="0" w:line="315" w:lineRule="exact"/>
              <w:ind w:left="0" w:right="0" w:firstLine="0"/>
              <w:jc w:val="left"/>
            </w:pPr>
            <w:r>
              <w:rPr>
                <w:color w:val="000000"/>
                <w:spacing w:val="0"/>
                <w:w w:val="100"/>
                <w:position w:val="0"/>
              </w:rPr>
              <w:t>未出现违反承 诺的情况</w:t>
            </w:r>
          </w:p>
        </w:tc>
      </w:tr>
      <w:tr>
        <w:trPr>
          <w:trHeight w:val="2894" w:hRule="exact"/>
        </w:trPr>
        <w:tc>
          <w:tcPr>
            <w:vMerge/>
            <w:tcBorders>
              <w:left w:val="single" w:sz="4"/>
            </w:tcBorders>
            <w:shd w:val="clear" w:color="auto" w:fill="D3D3D3"/>
            <w:vAlign w:val="center"/>
          </w:tcPr>
          <w:p>
            <w:pP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北京睿韬科技有限责 任公司、宁波镇海翔 易融联投资管理合伙 企业（有限合伙）</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避 免 同 业 竞 争 的 承 诺</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在作为上市公司股东期间，承诺人及承诺人控制的其 他企业不会直接或间接从事任何与上市公司及其子 公司及经营业务构成竞争关系的生产与经营活动，亦 不会投资任何与上市公司及其子公司经营业务构成 竞争关系的其他企业；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截止本报告期 末，承诺人严 格信守承诺，</w:t>
            </w:r>
          </w:p>
          <w:p>
            <w:pPr>
              <w:pStyle w:val="Style5"/>
              <w:keepNext w:val="0"/>
              <w:keepLines w:val="0"/>
              <w:widowControl w:val="0"/>
              <w:shd w:val="clear" w:color="auto" w:fill="auto"/>
              <w:bidi w:val="0"/>
              <w:spacing w:before="0" w:after="0" w:line="315" w:lineRule="exact"/>
              <w:ind w:left="0" w:right="0" w:firstLine="0"/>
              <w:jc w:val="left"/>
            </w:pPr>
            <w:r>
              <w:rPr>
                <w:color w:val="000000"/>
                <w:spacing w:val="0"/>
                <w:w w:val="100"/>
                <w:position w:val="0"/>
              </w:rPr>
              <w:t>未出现违反承 诺的情况</w:t>
            </w:r>
          </w:p>
        </w:tc>
      </w:tr>
      <w:tr>
        <w:trPr>
          <w:trHeight w:val="349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北京睿韬科技有限责 任公司、宁波镇海翔 易融联投资管理合伙 企业（有限合伙）</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1" w:lineRule="exact"/>
              <w:ind w:left="0" w:right="0" w:firstLine="0"/>
              <w:jc w:val="both"/>
            </w:pPr>
            <w:r>
              <w:rPr>
                <w:color w:val="000000"/>
                <w:spacing w:val="0"/>
                <w:w w:val="100"/>
                <w:position w:val="0"/>
              </w:rPr>
              <w:t>减 少 关 联 交 易 的 承 诺</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本次交易前，承诺人、承诺人控制企业及关联方与上 市公司及其关联方之间不存在关联关系；本次交易完 成后，承诺人及承诺人实际控制企业与上市公司及其 子公司（含上海睿民及其下属子公司）之间将尽量减 少关联交易，不会利用自身作为上市公司股东之地位 谋求与上市公司在业务合作等方面给予优于市场第 三方的权利；不会利用自身作为上市公司股东之地位 谋求与上市公司达成交易的优先权利;对于无法避免 或有合理理由存在的关联交易，将与上市公司及其子 公司依法签订规范的关联交易协议，并按照有关法 律、法规、规章、其他规范性文件和公司章程的规定</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截止本报告期 末，承诺人严 格信守承诺，</w:t>
            </w:r>
          </w:p>
          <w:p>
            <w:pPr>
              <w:pStyle w:val="Style5"/>
              <w:keepNext w:val="0"/>
              <w:keepLines w:val="0"/>
              <w:widowControl w:val="0"/>
              <w:shd w:val="clear" w:color="auto" w:fill="auto"/>
              <w:bidi w:val="0"/>
              <w:spacing w:before="0" w:after="0" w:line="315" w:lineRule="exact"/>
              <w:ind w:left="0" w:right="0" w:firstLine="0"/>
              <w:jc w:val="left"/>
            </w:pPr>
            <w:r>
              <w:rPr>
                <w:color w:val="000000"/>
                <w:spacing w:val="0"/>
                <w:w w:val="100"/>
                <w:position w:val="0"/>
              </w:rPr>
              <w:t>未出现违反承 诺的情况</w:t>
            </w:r>
          </w:p>
        </w:tc>
      </w:tr>
    </w:tbl>
    <w:p>
      <w:pPr>
        <w:spacing w:lineRule="exact" w:line="1"/>
        <w:rPr>
          <w:sz w:val="2"/>
          <w:szCs w:val="2"/>
        </w:rPr>
      </w:pPr>
      <w:r>
        <w:br w:type="page"/>
      </w:r>
    </w:p>
    <w:tbl>
      <w:tblPr>
        <w:tblOverlap w:val="never"/>
        <w:jc w:val="center"/>
        <w:tblLayout w:type="fixed"/>
      </w:tblPr>
      <w:tblGrid>
        <w:gridCol w:w="1142"/>
        <w:gridCol w:w="1704"/>
        <w:gridCol w:w="398"/>
        <w:gridCol w:w="4118"/>
        <w:gridCol w:w="547"/>
        <w:gridCol w:w="581"/>
        <w:gridCol w:w="1190"/>
      </w:tblGrid>
      <w:tr>
        <w:trPr>
          <w:trHeight w:val="34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履行批准程序；关联交易价格依照与无关联关系的独 立第三方进行相同或相似交易时的价格确定，保证关 联交易价格具有公允性；保证按照有关法律、法规和 公司章程的规定履行关联交易的信息披露义务;保证 不通过关联交易损害上市公司及其他股东的合法权 益；承诺人及承诺人实际控制企业保证将按照法律法 规和公司章程的规定参加股东大会，平等地行使相应 权利，承担相应义务，不利用股东地位谋取不正当利 益；在审议涉及承诺人及承诺人实际控制企业的关联 交易时，切实遵守在公司董事会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股东大会上进行关 联交易表决时的回避程序。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196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首次公开发行</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或再融资时所</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作承诺</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公司实际控制人及董 事长于伟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 份 限 售 承 诺</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自本公司股票上市之日起三十六个月内，不转让或委 托他人管理其已间接持有的本公司股份，也不由本公 司回购该等股份，并将依法办理所持股份的锁定手 续。因公司进行权益分配等导致其间接持有本公司股 份发生变化的，仍遵守上述承诺。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3" w:lineRule="exact"/>
              <w:ind w:left="0" w:right="0" w:firstLine="0"/>
              <w:jc w:val="left"/>
            </w:pPr>
            <w:r>
              <w:rPr>
                <w:color w:val="000000"/>
                <w:spacing w:val="0"/>
                <w:w w:val="100"/>
                <w:position w:val="0"/>
              </w:rPr>
              <w:t>自上 市之 日起 三十 六个 月</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15" w:lineRule="exact"/>
              <w:ind w:left="0" w:right="0" w:firstLine="0"/>
              <w:jc w:val="both"/>
            </w:pPr>
            <w:r>
              <w:rPr>
                <w:color w:val="000000"/>
                <w:spacing w:val="0"/>
                <w:w w:val="100"/>
                <w:position w:val="0"/>
              </w:rPr>
              <w:t>截止本报告期 末，承诺人严 格信守承诺，</w:t>
            </w:r>
          </w:p>
          <w:p>
            <w:pPr>
              <w:pStyle w:val="Style5"/>
              <w:keepNext w:val="0"/>
              <w:keepLines w:val="0"/>
              <w:widowControl w:val="0"/>
              <w:shd w:val="clear" w:color="auto" w:fill="auto"/>
              <w:bidi w:val="0"/>
              <w:spacing w:before="0" w:after="0" w:line="315" w:lineRule="exact"/>
              <w:ind w:left="0" w:right="0" w:firstLine="0"/>
              <w:jc w:val="both"/>
            </w:pPr>
            <w:r>
              <w:rPr>
                <w:color w:val="000000"/>
                <w:spacing w:val="0"/>
                <w:w w:val="100"/>
                <w:position w:val="0"/>
              </w:rPr>
              <w:t>未出现违反承 诺的情况</w:t>
            </w:r>
          </w:p>
        </w:tc>
      </w:tr>
      <w:tr>
        <w:trPr>
          <w:trHeight w:val="5083" w:hRule="exact"/>
        </w:trPr>
        <w:tc>
          <w:tcPr>
            <w:vMerge/>
            <w:tcBorders>
              <w:left w:val="single" w:sz="4"/>
            </w:tcBorders>
            <w:shd w:val="clear" w:color="auto" w:fill="D3D3D3"/>
            <w:vAlign w:val="center"/>
          </w:tcPr>
          <w:p>
            <w:pP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公司实际控制人及董 事长于伟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 份 减 持 承 诺</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前述锁定期限届满后，在任职期间每年转让的股份不 超过其间接所持股份总数的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，离职后半年内不 转让其间接所持有的公司股份。如果其在本公司首次 公开发行股票上市之日起六个月内申报离职的，自申 报离职之日起十八个月内不转让其间接持有的本公 司股份;在首次公开发行股票上市之日起第七个月至 第十二个月之间申报离职的，自申报离职之日起十二 个月内不转让其间接持有的公司股份。因本公司进行 权益分派等导致其间接持有的本公司股份发生变化 的，仍遵守上述承诺。本人所持公司股票在锁定期满 后两年内减持的，减持价格不低于发行价。公司上市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个交易日的收盘价均 低于发行价，或者上市后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个月期末收盘价低于发行 价，本人持有公司股票的锁定期限自动延长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上述减持价格和股份锁定承诺不因本人职务变更、离 职等原因放弃履行承诺。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p>
          <w:p>
            <w:pPr>
              <w:pStyle w:val="Style5"/>
              <w:keepNext w:val="0"/>
              <w:keepLines w:val="0"/>
              <w:widowControl w:val="0"/>
              <w:shd w:val="clear" w:color="auto" w:fill="auto"/>
              <w:bidi w:val="0"/>
              <w:spacing w:before="0" w:after="0" w:line="319"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15" w:lineRule="exact"/>
              <w:ind w:left="0" w:right="0" w:firstLine="0"/>
              <w:jc w:val="both"/>
            </w:pPr>
            <w:r>
              <w:rPr>
                <w:color w:val="000000"/>
                <w:spacing w:val="0"/>
                <w:w w:val="100"/>
                <w:position w:val="0"/>
              </w:rPr>
              <w:t>截止本报告期 末，承诺人严 格信守承诺，</w:t>
            </w:r>
          </w:p>
          <w:p>
            <w:pPr>
              <w:pStyle w:val="Style5"/>
              <w:keepNext w:val="0"/>
              <w:keepLines w:val="0"/>
              <w:widowControl w:val="0"/>
              <w:shd w:val="clear" w:color="auto" w:fill="auto"/>
              <w:bidi w:val="0"/>
              <w:spacing w:before="0" w:after="0" w:line="315" w:lineRule="exact"/>
              <w:ind w:left="0" w:right="0" w:firstLine="0"/>
              <w:jc w:val="both"/>
            </w:pPr>
            <w:r>
              <w:rPr>
                <w:color w:val="000000"/>
                <w:spacing w:val="0"/>
                <w:w w:val="100"/>
                <w:position w:val="0"/>
              </w:rPr>
              <w:t>未出现违反承 诺的情况</w:t>
            </w:r>
          </w:p>
        </w:tc>
      </w:tr>
      <w:tr>
        <w:trPr>
          <w:trHeight w:val="317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公司实际控制人及董 事长于伟</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避 免 关 联 交 易 的 承 诺</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本人及本人实际控制的企业将继续严格按照《公司 法》等法律法规以及高伟达软件股份有限公司章程的 有关规定行使股东权利;在股东大会对有关涉及本人 或本人实际控制的企业的关联交易事项进行表决时， 履行回避表决的义务；本人承诺杜绝一切非法占用上 市公司的资金、资产的行为；在任何情况下，不要求 上市公司向本人或本人直接或间接持股的企业提供 任何形式的担保；在双方的关联交易上，严格遵循市 场原则，尽量避免不必要的关联交易发生，对持续经 营所发生的必要的关联交易，应以双方协议规定的方</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2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315" w:lineRule="exact"/>
              <w:ind w:left="0" w:right="0" w:firstLine="0"/>
              <w:jc w:val="both"/>
            </w:pPr>
            <w:r>
              <w:rPr>
                <w:color w:val="000000"/>
                <w:spacing w:val="0"/>
                <w:w w:val="100"/>
                <w:position w:val="0"/>
              </w:rPr>
              <w:t>截止本报告期 末，承诺人严 格信守承诺，</w:t>
            </w:r>
          </w:p>
          <w:p>
            <w:pPr>
              <w:pStyle w:val="Style5"/>
              <w:keepNext w:val="0"/>
              <w:keepLines w:val="0"/>
              <w:widowControl w:val="0"/>
              <w:shd w:val="clear" w:color="auto" w:fill="auto"/>
              <w:bidi w:val="0"/>
              <w:spacing w:before="0" w:after="0" w:line="315" w:lineRule="exact"/>
              <w:ind w:left="0" w:right="0" w:firstLine="0"/>
              <w:jc w:val="both"/>
            </w:pPr>
            <w:r>
              <w:rPr>
                <w:color w:val="000000"/>
                <w:spacing w:val="0"/>
                <w:w w:val="100"/>
                <w:position w:val="0"/>
              </w:rPr>
              <w:t>未出现违反承 诺的情况</w:t>
            </w:r>
          </w:p>
        </w:tc>
      </w:tr>
    </w:tbl>
    <w:p>
      <w:pPr>
        <w:spacing w:lineRule="exact" w:line="1"/>
        <w:rPr>
          <w:sz w:val="2"/>
          <w:szCs w:val="2"/>
        </w:rPr>
      </w:pPr>
      <w:r>
        <w:br w:type="page"/>
      </w:r>
    </w:p>
    <w:tbl>
      <w:tblPr>
        <w:tblOverlap w:val="never"/>
        <w:jc w:val="center"/>
        <w:tblLayout w:type="fixed"/>
      </w:tblPr>
      <w:tblGrid>
        <w:gridCol w:w="1142"/>
        <w:gridCol w:w="1704"/>
        <w:gridCol w:w="398"/>
        <w:gridCol w:w="4118"/>
        <w:gridCol w:w="547"/>
        <w:gridCol w:w="581"/>
        <w:gridCol w:w="1190"/>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0" w:lineRule="exact"/>
              <w:ind w:left="0" w:right="0" w:firstLine="0"/>
              <w:jc w:val="both"/>
            </w:pPr>
            <w:r>
              <w:rPr>
                <w:color w:val="000000"/>
                <w:spacing w:val="0"/>
                <w:w w:val="100"/>
                <w:position w:val="0"/>
              </w:rPr>
              <w:t>式进行处理，遵循市场化的定价原则，避免损害高伟 达软件股份有限公司及广大中小股东权益的情况发 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5707" w:hRule="exact"/>
        </w:trPr>
        <w:tc>
          <w:tcPr>
            <w:vMerge/>
            <w:tcBorders>
              <w:left w:val="single" w:sz="4"/>
            </w:tcBorders>
            <w:shd w:val="clear" w:color="auto" w:fill="D3D3D3"/>
            <w:vAlign w:val="top"/>
          </w:tcPr>
          <w:p>
            <w:pP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公司实际控制人及董 事长于伟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避 免 同 业 竞 争 的 承 诺</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、如拟出售本人与公司生产、经营相关的任何其它 资产、业务或权益，公司均有优先购买的权利；本人 将尽最大努力使有关交易的价格公平合理，且该等交 易价格按与独立第三方进行正常商业交易的交易价 格为基础确定。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、本人目前没有在中国境内任何地 方或中国境外，直接或间接发展、经营或协助经营或 参与与公司业务存在竞争的任何活动，亦没有在任何 与公司业务有直接或间接竞争的公司或企业拥有任 何权益（不论直接或间接）。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、本人保证及承诺除非 经公司书面同意，不会直接或间接发展、经营或协助 经营或参与或从事与公司业务相竞争的任何活动。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本人将依法律、法规及公司的规定向公司及有关机构 或部门及时披露与公司业务构成竞争或可能构成竞 争的任何业务或权益的详情，直至本人不再作为公司 实际控制人为止。</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、本人将不会利用公司实际控制 人的身份进行损害公司及其它股东利益的经营活动。</w:t>
            </w:r>
          </w:p>
          <w:p>
            <w:pPr>
              <w:pStyle w:val="Style5"/>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、本人愿意承担因违反上述承诺而给公司造成的全 部经济损失。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15" w:lineRule="exact"/>
              <w:ind w:left="0" w:right="0" w:firstLine="0"/>
              <w:jc w:val="both"/>
            </w:pPr>
            <w:r>
              <w:rPr>
                <w:color w:val="000000"/>
                <w:spacing w:val="0"/>
                <w:w w:val="100"/>
                <w:position w:val="0"/>
              </w:rPr>
              <w:t>截止本报告期 末，承诺人严 格信守承诺，</w:t>
            </w:r>
          </w:p>
          <w:p>
            <w:pPr>
              <w:pStyle w:val="Style5"/>
              <w:keepNext w:val="0"/>
              <w:keepLines w:val="0"/>
              <w:widowControl w:val="0"/>
              <w:shd w:val="clear" w:color="auto" w:fill="auto"/>
              <w:bidi w:val="0"/>
              <w:spacing w:before="0" w:after="0" w:line="315" w:lineRule="exact"/>
              <w:ind w:left="0" w:right="0" w:firstLine="0"/>
              <w:jc w:val="both"/>
            </w:pPr>
            <w:r>
              <w:rPr>
                <w:color w:val="000000"/>
                <w:spacing w:val="0"/>
                <w:w w:val="100"/>
                <w:position w:val="0"/>
              </w:rPr>
              <w:t>未出现违反承 诺的情况</w:t>
            </w:r>
          </w:p>
        </w:tc>
      </w:tr>
      <w:tr>
        <w:trPr>
          <w:trHeight w:val="72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公司实际控制人及董 事长于伟</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稳 定 股 价 的 承 诺</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如果公司首次公开发行股票并上市后三年内，股票收 盘价格连续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个交易日出现低于每股净资产（指公 司最近一期经审计的每股净资产，如果公司因派发现 金红利、送股、转增股本、增发新股等原因进行除权、 除息的，则相关的计算对比方法按照深圳证券交易所 的有关规定作除权除息处理，下同）的情况时，本人 将启动稳定股价预案。本人应在不迟于股东大会审议 通过稳定股价具体方案后的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个交易日内，根据股东 大会审议通过的稳定股价具体方案，积极采取下述措 施以稳定高伟达股价，并保证股价稳定措施实施后， 高伟达的股权分布仍符合上市条件：（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）在符合股票 交易相关规定的前提下，按照高伟达关于稳定股价具 体方案中确定的增持金额和期间，通过交易所集中竞 价交易方式增持高伟达股票。购买所增持股票的总金 额不低于其上年度初至董事会审议通过稳定股价具 体方案日期间，从高伟达直接获取的税后薪酬及税后 现金分红总额的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）除因继承、被强制执行 或上市公司重组等情形必须转股或触发前述股价稳 定措施的停止条件外，在股东大会审议稳定股价具体 方案及方案实施期间，不转让其持有的高伟达股份。 除经股东大会非关联股东同意外，不由高伟达回购其 持有的股份。（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）法律、行政法规、规范性文件规定 以及中国证监会认可的其他方式。触发前述股价稳定</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自上 市之 日起 三十 六个 月</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315" w:lineRule="exact"/>
              <w:ind w:left="0" w:right="0" w:firstLine="0"/>
              <w:jc w:val="both"/>
            </w:pPr>
            <w:r>
              <w:rPr>
                <w:color w:val="000000"/>
                <w:spacing w:val="0"/>
                <w:w w:val="100"/>
                <w:position w:val="0"/>
              </w:rPr>
              <w:t>截止本报告期 末，承诺人严 格信守承诺，</w:t>
            </w:r>
          </w:p>
          <w:p>
            <w:pPr>
              <w:pStyle w:val="Style5"/>
              <w:keepNext w:val="0"/>
              <w:keepLines w:val="0"/>
              <w:widowControl w:val="0"/>
              <w:shd w:val="clear" w:color="auto" w:fill="auto"/>
              <w:bidi w:val="0"/>
              <w:spacing w:before="0" w:after="0" w:line="315" w:lineRule="exact"/>
              <w:ind w:left="0" w:right="0" w:firstLine="0"/>
              <w:jc w:val="both"/>
            </w:pPr>
            <w:r>
              <w:rPr>
                <w:color w:val="000000"/>
                <w:spacing w:val="0"/>
                <w:w w:val="100"/>
                <w:position w:val="0"/>
              </w:rPr>
              <w:t>未出现违反承 诺的情况</w:t>
            </w:r>
          </w:p>
        </w:tc>
      </w:tr>
    </w:tbl>
    <w:p>
      <w:pPr>
        <w:spacing w:lineRule="exact" w:line="1"/>
        <w:rPr>
          <w:sz w:val="2"/>
          <w:szCs w:val="2"/>
        </w:rPr>
      </w:pPr>
      <w:r>
        <w:br w:type="page"/>
      </w:r>
    </w:p>
    <w:tbl>
      <w:tblPr>
        <w:tblOverlap w:val="never"/>
        <w:jc w:val="center"/>
        <w:tblLayout w:type="fixed"/>
      </w:tblPr>
      <w:tblGrid>
        <w:gridCol w:w="1142"/>
        <w:gridCol w:w="1704"/>
        <w:gridCol w:w="398"/>
        <w:gridCol w:w="4118"/>
        <w:gridCol w:w="547"/>
        <w:gridCol w:w="581"/>
        <w:gridCol w:w="1190"/>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措施的启动条件时本人不因在股东大会审议稳定股 价具体方案及方案实施期间内由于职务变更、离职等 情形而拒绝实施上述稳定股价的措施。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公司实际控制人及董 事长于伟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09" w:lineRule="exact"/>
              <w:ind w:left="0" w:right="0" w:firstLine="0"/>
              <w:jc w:val="both"/>
            </w:pPr>
            <w:r>
              <w:rPr>
                <w:color w:val="000000"/>
                <w:spacing w:val="0"/>
                <w:w w:val="100"/>
                <w:position w:val="0"/>
              </w:rPr>
              <w:t>其 他 承 诺</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实际控制人于伟针对</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月无形资产出资一事 出具如下承诺：公司已于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月对此次无形资 产增资行为进行了纠正，以截至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月的未分 配利润补足了该次出资。如因此次出资相关事宜导致 高伟达软件股份有限公司及股东利益遭受损害，相应 责任及损失将全部由本人承担,且在承担相应损失后 不向高伟达软件股份有限公司寻求补偿。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15" w:lineRule="exact"/>
              <w:ind w:left="0" w:right="0" w:firstLine="0"/>
              <w:jc w:val="both"/>
            </w:pPr>
            <w:r>
              <w:rPr>
                <w:color w:val="000000"/>
                <w:spacing w:val="0"/>
                <w:w w:val="100"/>
                <w:position w:val="0"/>
              </w:rPr>
              <w:t>截止本报告期 末，承诺人严 格信守承诺，</w:t>
            </w:r>
          </w:p>
          <w:p>
            <w:pPr>
              <w:pStyle w:val="Style5"/>
              <w:keepNext w:val="0"/>
              <w:keepLines w:val="0"/>
              <w:widowControl w:val="0"/>
              <w:shd w:val="clear" w:color="auto" w:fill="auto"/>
              <w:bidi w:val="0"/>
              <w:spacing w:before="0" w:after="0" w:line="315" w:lineRule="exact"/>
              <w:ind w:left="0" w:right="0" w:firstLine="0"/>
              <w:jc w:val="both"/>
            </w:pPr>
            <w:r>
              <w:rPr>
                <w:color w:val="000000"/>
                <w:spacing w:val="0"/>
                <w:w w:val="100"/>
                <w:position w:val="0"/>
              </w:rPr>
              <w:t>未出现违反承 诺的情况</w:t>
            </w: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公司实际控制人及董 事长于伟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09" w:lineRule="exact"/>
              <w:ind w:left="0" w:right="0" w:firstLine="0"/>
              <w:jc w:val="both"/>
            </w:pPr>
            <w:r>
              <w:rPr>
                <w:color w:val="000000"/>
                <w:spacing w:val="0"/>
                <w:w w:val="100"/>
                <w:position w:val="0"/>
              </w:rPr>
              <w:t>其 他 承 诺</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实际控制人于伟针对拟境外上市架构事宜出具了《针 对高伟达控股存续期间有关事项的承诺函》，承诺如 下：在拟境外上市架构建立及解除的整个过程中，全 部事项（包括但不限于高伟达控股设立、历次股权转 让、优先股发行、股份回购、对境内控制公司增资及 注销等）均符合英属维尔京群岛当地及中国国内相关 法律规定，不存在纠纷或潜在的纠纷。如因上述事项 产生纠纷导致发行人及其股东利益遭受损害，所有损 失及开支均由本人承担,且不以任何形式向发行人寻 求补偿。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p>
          <w:p>
            <w:pPr>
              <w:pStyle w:val="Style5"/>
              <w:keepNext w:val="0"/>
              <w:keepLines w:val="0"/>
              <w:widowControl w:val="0"/>
              <w:shd w:val="clear" w:color="auto" w:fill="auto"/>
              <w:bidi w:val="0"/>
              <w:spacing w:before="0" w:after="0" w:line="319"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15" w:lineRule="exact"/>
              <w:ind w:left="0" w:right="0" w:firstLine="0"/>
              <w:jc w:val="both"/>
            </w:pPr>
            <w:r>
              <w:rPr>
                <w:color w:val="000000"/>
                <w:spacing w:val="0"/>
                <w:w w:val="100"/>
                <w:position w:val="0"/>
              </w:rPr>
              <w:t>截止本报告期 末，承诺人严 格信守承诺，</w:t>
            </w:r>
          </w:p>
          <w:p>
            <w:pPr>
              <w:pStyle w:val="Style5"/>
              <w:keepNext w:val="0"/>
              <w:keepLines w:val="0"/>
              <w:widowControl w:val="0"/>
              <w:shd w:val="clear" w:color="auto" w:fill="auto"/>
              <w:bidi w:val="0"/>
              <w:spacing w:before="0" w:after="0" w:line="315" w:lineRule="exact"/>
              <w:ind w:left="0" w:right="0" w:firstLine="0"/>
              <w:jc w:val="both"/>
            </w:pPr>
            <w:r>
              <w:rPr>
                <w:color w:val="000000"/>
                <w:spacing w:val="0"/>
                <w:w w:val="100"/>
                <w:position w:val="0"/>
              </w:rPr>
              <w:t>未出现违反承 诺的情况</w:t>
            </w:r>
          </w:p>
        </w:tc>
      </w:tr>
      <w:tr>
        <w:trPr>
          <w:trHeight w:val="1958" w:hRule="exact"/>
        </w:trPr>
        <w:tc>
          <w:tcPr>
            <w:vMerge/>
            <w:tcBorders>
              <w:left w:val="single" w:sz="4"/>
            </w:tcBorders>
            <w:shd w:val="clear" w:color="auto" w:fill="D3D3D3"/>
            <w:vAlign w:val="top"/>
          </w:tcPr>
          <w:p>
            <w:pP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本公司控股股东鹰高 投资</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 份 限 售 承 诺</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自高伟达股票上市之日起三十六个月内，不转让或委 托他人管理其已持有的本公司股份，也不由本公司回 购该部分股份。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3" w:lineRule="exact"/>
              <w:ind w:left="0" w:right="0" w:firstLine="0"/>
              <w:jc w:val="left"/>
            </w:pPr>
            <w:r>
              <w:rPr>
                <w:color w:val="000000"/>
                <w:spacing w:val="0"/>
                <w:w w:val="100"/>
                <w:position w:val="0"/>
              </w:rPr>
              <w:t>自上 市之 日起 三十 六个 月</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15" w:lineRule="exact"/>
              <w:ind w:left="0" w:right="0" w:firstLine="0"/>
              <w:jc w:val="both"/>
            </w:pPr>
            <w:r>
              <w:rPr>
                <w:color w:val="000000"/>
                <w:spacing w:val="0"/>
                <w:w w:val="100"/>
                <w:position w:val="0"/>
              </w:rPr>
              <w:t>截止本报告期 末，承诺人严 格信守承诺，</w:t>
            </w:r>
          </w:p>
          <w:p>
            <w:pPr>
              <w:pStyle w:val="Style5"/>
              <w:keepNext w:val="0"/>
              <w:keepLines w:val="0"/>
              <w:widowControl w:val="0"/>
              <w:shd w:val="clear" w:color="auto" w:fill="auto"/>
              <w:bidi w:val="0"/>
              <w:spacing w:before="0" w:after="0" w:line="315" w:lineRule="exact"/>
              <w:ind w:left="0" w:right="0" w:firstLine="0"/>
              <w:jc w:val="both"/>
            </w:pPr>
            <w:r>
              <w:rPr>
                <w:color w:val="000000"/>
                <w:spacing w:val="0"/>
                <w:w w:val="100"/>
                <w:position w:val="0"/>
              </w:rPr>
              <w:t>未出现违反承 诺的情况</w:t>
            </w:r>
          </w:p>
        </w:tc>
      </w:tr>
      <w:tr>
        <w:trPr>
          <w:trHeight w:val="53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本公司控股股东鹰高 投资</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 份 减 持 承 诺</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、本公司将长期持有公司股票。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、本公司将严格根 据证券监管机构、自律机构及证券交易所等有权部门 颁布的相关法律法规及规范性文件的有关规定以及 本公司就持股锁定事项出具的相关承诺执行有关股 份限售事项，在证券监管机构、自律机构及证券交易 所等有权部门颁布的相关法律法规及规范性文件的 有关规定以及本公司股份锁定承诺规定的限售期内， 本公司不会进行任何违反相关规定及股份锁定承诺 的股份减持行为。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、持股限售期结束后，本公司届 时将综合考虑资金需求、投资安排等各方面因素审慎 制定股票减持计划，如本公司确定依法减持公司股份 的，应提前三个交易日予以公告；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、持股限售期结 束后，如本公司确定依法减持公司股份的，将在满足 以下条件后减持：（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）公司股价不低于最近一期经审 计的每股净资产</w:t>
            </w:r>
            <w:r>
              <w:rPr>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）公司运营正常、减持对公司二 级市场不构成重大干扰。（</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）本公司减持价格不低于 公司首次公开发行股票的发行价格，如自公司首次公</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p>
          <w:p>
            <w:pPr>
              <w:pStyle w:val="Style5"/>
              <w:keepNext w:val="0"/>
              <w:keepLines w:val="0"/>
              <w:widowControl w:val="0"/>
              <w:shd w:val="clear" w:color="auto" w:fill="auto"/>
              <w:bidi w:val="0"/>
              <w:spacing w:before="0" w:after="0" w:line="319"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315" w:lineRule="exact"/>
              <w:ind w:left="0" w:right="0" w:firstLine="0"/>
              <w:jc w:val="both"/>
            </w:pPr>
            <w:r>
              <w:rPr>
                <w:color w:val="000000"/>
                <w:spacing w:val="0"/>
                <w:w w:val="100"/>
                <w:position w:val="0"/>
              </w:rPr>
              <w:t>截止本报告期 末，承诺人严 格信守承诺，</w:t>
            </w:r>
          </w:p>
          <w:p>
            <w:pPr>
              <w:pStyle w:val="Style5"/>
              <w:keepNext w:val="0"/>
              <w:keepLines w:val="0"/>
              <w:widowControl w:val="0"/>
              <w:shd w:val="clear" w:color="auto" w:fill="auto"/>
              <w:bidi w:val="0"/>
              <w:spacing w:before="0" w:after="0" w:line="315" w:lineRule="exact"/>
              <w:ind w:left="0" w:right="0" w:firstLine="0"/>
              <w:jc w:val="both"/>
            </w:pPr>
            <w:r>
              <w:rPr>
                <w:color w:val="000000"/>
                <w:spacing w:val="0"/>
                <w:w w:val="100"/>
                <w:position w:val="0"/>
              </w:rPr>
              <w:t>未出现违反承 诺的情况</w:t>
            </w:r>
          </w:p>
        </w:tc>
      </w:tr>
    </w:tbl>
    <w:p>
      <w:pPr>
        <w:spacing w:lineRule="exact" w:line="1"/>
        <w:rPr>
          <w:sz w:val="2"/>
          <w:szCs w:val="2"/>
        </w:rPr>
      </w:pPr>
      <w:r>
        <w:br w:type="page"/>
      </w:r>
    </w:p>
    <w:tbl>
      <w:tblPr>
        <w:tblOverlap w:val="never"/>
        <w:jc w:val="center"/>
        <w:tblLayout w:type="fixed"/>
      </w:tblPr>
      <w:tblGrid>
        <w:gridCol w:w="1142"/>
        <w:gridCol w:w="1704"/>
        <w:gridCol w:w="398"/>
        <w:gridCol w:w="4118"/>
        <w:gridCol w:w="547"/>
        <w:gridCol w:w="581"/>
        <w:gridCol w:w="1190"/>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1" w:lineRule="exact"/>
              <w:ind w:left="0" w:right="0" w:firstLine="0"/>
              <w:jc w:val="both"/>
            </w:pPr>
            <w:r>
              <w:rPr>
                <w:color w:val="000000"/>
                <w:spacing w:val="0"/>
                <w:w w:val="100"/>
                <w:position w:val="0"/>
              </w:rPr>
              <w:t>开发行股票至上述减持公告之日公司发生过除权除 息等事项的，发行价格应相应调整。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、在遵守股份 转让相关法律法规及证券交易所相关规定的条件下， 本公司将在公告中明确减持的具体数量或区间、减持 的执行期限等信息；本公司将在公告的减持期限内以 证券监管机构、自律机构及证券交易所等有权部门允 许的方式进行减持，具体方式包括但不限于交易所集 中竞价交易方式、大宗交易方式、协议转让方式等。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、如本公司未来依法发生任何增持或减持公司股份 情形的，本公司将严格按照证券监管机构、自律机构 及证券交易所等有权部门颁布的相关法律法规及规 范性文件的规定进行相应增持或减持操作，并及时履 行有关信息披露义务。本公司持有公司股份低于</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以下时除外。</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、如果本公司未履行上述减持意向， 本公司将在股东大会及中国证监会指定的披露媒体 上公开说明未履行承诺的具体原因并向公司股东和 社会公众投资者道歉。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、如果本公司未履行上述减 持意向，本公司持有的公司股份自本公司未履行上述 减持意向之日起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个月内不得减持。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本公司控股股东鹰高 投资</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避 免 关 联 交 易 的 承 诺</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本人及本人实际控制的企业将继续严格按照《公司 法》等法律法规以及高伟达软件股份有限公司章程的 有关规定行使股东权利;在股东大会对有关涉及本人 或本人实际控制的企业的关联交易事项进行表决时， 履行回避表决的义务；本人承诺杜绝一切非法占用上 市公司的资金、资产的行为；在任何情况下，不要求 上市公司向本人或本人直接或间接持股的企业提供 任何形式的担保；在双方的关联交易上，严格遵循市 场原则，尽量避免不必要的关联交易发生，对持续经 营所发生的必要的关联交易，应以双方协议规定的方 式进行处理，遵循市场化的定价原则，避免损害高伟 达软件股份有限公司及广大中小股东权益的情况发 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15" w:lineRule="exact"/>
              <w:ind w:left="0" w:right="0" w:firstLine="0"/>
              <w:jc w:val="both"/>
            </w:pPr>
            <w:r>
              <w:rPr>
                <w:color w:val="000000"/>
                <w:spacing w:val="0"/>
                <w:w w:val="100"/>
                <w:position w:val="0"/>
              </w:rPr>
              <w:t>截止本报告期 末，承诺人严 格信守承诺，</w:t>
            </w:r>
          </w:p>
          <w:p>
            <w:pPr>
              <w:pStyle w:val="Style5"/>
              <w:keepNext w:val="0"/>
              <w:keepLines w:val="0"/>
              <w:widowControl w:val="0"/>
              <w:shd w:val="clear" w:color="auto" w:fill="auto"/>
              <w:bidi w:val="0"/>
              <w:spacing w:before="0" w:after="0" w:line="315" w:lineRule="exact"/>
              <w:ind w:left="0" w:right="0" w:firstLine="0"/>
              <w:jc w:val="both"/>
            </w:pPr>
            <w:r>
              <w:rPr>
                <w:color w:val="000000"/>
                <w:spacing w:val="0"/>
                <w:w w:val="100"/>
                <w:position w:val="0"/>
              </w:rPr>
              <w:t>未出现违反承 诺的情况</w:t>
            </w:r>
          </w:p>
        </w:tc>
      </w:tr>
      <w:tr>
        <w:trPr>
          <w:trHeight w:val="38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本公司控股股东鹰高 投资</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避 免 同 业 竞 争 的 承 诺</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、如拟出售本企业与公司生产、经营相关的任何其 它资产、业务或权益，公司均有优先购买的权利；本 企业将尽最大努力使有关交易的价格公平合理，且该 等交易价格按与独立第三方进行正常商业交易的交 易价格为基础确定。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、本企业目前没有在中国境内 任何地方或中国境外，直接或间接发展、经营或协助 经营或参与与公司业务存在竞争的任何活动，亦没有 在任何与公司业务有直接或间接竞争的公司或企业 拥有任何权益（不论直接或间接）。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、本企业保证及 承诺除非经公司书面同意，不会直接或间接发展、经 营或协助经营或参与或从事与公司业务相竞争的任 何活动。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、本企业将依法律、法规及公司的规定向</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p>
          <w:p>
            <w:pPr>
              <w:pStyle w:val="Style5"/>
              <w:keepNext w:val="0"/>
              <w:keepLines w:val="0"/>
              <w:widowControl w:val="0"/>
              <w:shd w:val="clear" w:color="auto" w:fill="auto"/>
              <w:bidi w:val="0"/>
              <w:spacing w:before="0" w:after="0" w:line="319"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截止本报告期 末，承诺人严 格信守承诺，</w:t>
            </w:r>
          </w:p>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未出现违反承 诺的情况</w:t>
            </w:r>
          </w:p>
        </w:tc>
      </w:tr>
    </w:tbl>
    <w:p>
      <w:pPr>
        <w:spacing w:lineRule="exact" w:line="1"/>
        <w:rPr>
          <w:sz w:val="2"/>
          <w:szCs w:val="2"/>
        </w:rPr>
      </w:pPr>
      <w:r>
        <w:br w:type="page"/>
      </w:r>
    </w:p>
    <w:tbl>
      <w:tblPr>
        <w:tblOverlap w:val="never"/>
        <w:jc w:val="center"/>
        <w:tblLayout w:type="fixed"/>
      </w:tblPr>
      <w:tblGrid>
        <w:gridCol w:w="1142"/>
        <w:gridCol w:w="1704"/>
        <w:gridCol w:w="398"/>
        <w:gridCol w:w="4118"/>
        <w:gridCol w:w="547"/>
        <w:gridCol w:w="581"/>
        <w:gridCol w:w="1190"/>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公司及有关机构或部门及时披露与公司业务构成竞 争或可能构成竞争的任何业务或权益的详情，直至本 企业不再作为公司股东为止。</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、本企业将不会利用 公司股东的身份进行损害公司及其它股东利益的经 营活动。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、本企业愿意承担因违反上述承诺而给公 司造成的全部经济损失。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9451" w:hRule="exact"/>
        </w:trPr>
        <w:tc>
          <w:tcPr>
            <w:vMerge/>
            <w:tcBorders>
              <w:left w:val="single" w:sz="4"/>
            </w:tcBorders>
            <w:shd w:val="clear" w:color="auto" w:fill="D3D3D3"/>
            <w:vAlign w:val="top"/>
          </w:tcPr>
          <w:p>
            <w:pP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本公司控股股东鹰高 投资</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稳 定 股 价 的 承 诺</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发行人控股股东鹰高投资承诺,如果高伟达首次公开 发行股票并上市后三年内，股票收盘价格连续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 交易日出现低于每股净资产（指高伟达最近一期经审 计的每股净资产，如果高伟达因派发现金红利、送股、 转增股本、增发新股等原因进行除权、除息的，则相 关的计算对比方法按照深圳证券交易所的有关规定 作除权除息处理，下同）的情况时，本公司将启动稳 定股价预案：当触发前述股价稳定措施的启动条件 时，本公司应依照法律、法规、规范性文件和公司章 程的规定，积极配合并保证高伟达按照要求制定并启 动稳定股价的预案。本公司应在不迟于股东大会审议 通过稳定股价具体方案后的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个交易日内，根据股东 大会审议通过的稳定股价具体方案，积极采取下述措 施以稳定高伟达股价，并保证股价稳定措施实施后， 高伟达的股权分布仍符合上市条件：（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）在符合股票 交易相关规定的前提下，按照高伟达关于稳定股价具 体方案中确定的增持金额和期间，通过交易所集中竞 价交易方式增持高伟达股票。购买所增持股票的总金 额不低于其上年度初至董事会审议通过稳定股价具 体方案日期间，从高伟达直接获取的税后现金分红总 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）除因继承、被强制执行或上市公司 重组等情形必须转股或触发前述股价稳定措施的停 止条件外,在股东大会审议稳定股价具体方案及方案 实施期间，不转让其持有的高伟达股份。除经股东大 会非关联股东同意外，不由高伟达回购其持有的股 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）法律、行政法规、规范性文件规定以及中国 证监会认可的其他方式。触发前述股价稳定措施的启 动条件时本公司不因在股东大会审议稳定股价具体 方案及方案实施期间内不再作为控股股东等情形而 拒绝实施上述稳定股价的措施。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自上 市之 日起 三十 六个 月</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截止本报告期 末，承诺人严 格信守承诺，</w:t>
            </w:r>
          </w:p>
          <w:p>
            <w:pPr>
              <w:pStyle w:val="Style5"/>
              <w:keepNext w:val="0"/>
              <w:keepLines w:val="0"/>
              <w:widowControl w:val="0"/>
              <w:shd w:val="clear" w:color="auto" w:fill="auto"/>
              <w:bidi w:val="0"/>
              <w:spacing w:before="0" w:after="0" w:line="315" w:lineRule="exact"/>
              <w:ind w:left="0" w:right="0" w:firstLine="0"/>
              <w:jc w:val="left"/>
            </w:pPr>
            <w:r>
              <w:rPr>
                <w:color w:val="000000"/>
                <w:spacing w:val="0"/>
                <w:w w:val="100"/>
                <w:position w:val="0"/>
              </w:rPr>
              <w:t>未出现违反承 诺的情况</w:t>
            </w:r>
          </w:p>
        </w:tc>
      </w:tr>
      <w:tr>
        <w:trPr>
          <w:trHeight w:val="228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贵昌有限、持股</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以上的股东银联科技</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 份 限 售 的 承 诺</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29" w:lineRule="exact"/>
              <w:ind w:left="0" w:right="0" w:firstLine="0"/>
              <w:jc w:val="both"/>
            </w:pPr>
            <w:r>
              <w:rPr>
                <w:color w:val="000000"/>
                <w:spacing w:val="0"/>
                <w:w w:val="100"/>
                <w:position w:val="0"/>
              </w:rPr>
              <w:t>自本公司发行上市之日起十二个月内，不转让或委托 他人管理其已持有的本公司股份，也不由本公司回购 该部分股份。</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自上 市之 日起 十二 个月</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截止本报告期 末，银联科技 严格信守承 诺，未出现违 反承诺的情 况；贵昌有限 已履行完毕</w:t>
            </w:r>
          </w:p>
        </w:tc>
      </w:tr>
    </w:tbl>
    <w:p>
      <w:pPr>
        <w:spacing w:lineRule="exact" w:line="1"/>
        <w:rPr>
          <w:sz w:val="2"/>
          <w:szCs w:val="2"/>
        </w:rPr>
      </w:pPr>
      <w:r>
        <w:br w:type="page"/>
      </w:r>
    </w:p>
    <w:tbl>
      <w:tblPr>
        <w:tblOverlap w:val="never"/>
        <w:jc w:val="center"/>
        <w:tblLayout w:type="fixed"/>
      </w:tblPr>
      <w:tblGrid>
        <w:gridCol w:w="1142"/>
        <w:gridCol w:w="1704"/>
        <w:gridCol w:w="398"/>
        <w:gridCol w:w="4118"/>
        <w:gridCol w:w="547"/>
        <w:gridCol w:w="581"/>
        <w:gridCol w:w="1190"/>
      </w:tblGrid>
      <w:tr>
        <w:trPr>
          <w:trHeight w:val="601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贵昌有限、持股</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以上的股东银联科技</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 份 减 持 的 承 诺</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、本机构所持有的公司股份具体减持计划为：（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在所持有公司股份锁定期满后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个月内，累计减持 股份总数不超过本机构持股数量的</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，减持价格 不低于最近一期经审计的每股净资产；（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）在所持公 司股份锁定期满</w:t>
            </w:r>
            <w:r>
              <w:rPr>
                <w:rFonts w:ascii="Times New Roman" w:eastAsia="Times New Roman" w:hAnsi="Times New Roman" w:cs="Times New Roman"/>
                <w:color w:val="000000"/>
                <w:spacing w:val="0"/>
                <w:w w:val="100"/>
                <w:position w:val="0"/>
                <w:sz w:val="18"/>
                <w:szCs w:val="18"/>
              </w:rPr>
              <w:t>13-24</w:t>
            </w:r>
            <w:r>
              <w:rPr>
                <w:color w:val="000000"/>
                <w:spacing w:val="0"/>
                <w:w w:val="100"/>
                <w:position w:val="0"/>
              </w:rPr>
              <w:t>个月内，本机构减持数量不受 限制，减持价格不低于最近一期经审计的每股净资 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）在所持公司股份锁定期满</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个月后，本机 构减持数量和价格均不受限制。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、本机构减持公司 股份应符合相关法律、法规、规章的规定，具体方式 包括但不限于交易所集中竞价交易方式、大宗交易方 式、协议转让方式等。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、本机构减持公司股份前， 应提前三个交易日予以公告，并按照证券交易所的规 则及时、准确地履行信息披露义务；本机构持有公司 股份低于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以下时除外。</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、如果本机构未履行上 述减持意向，本机构将在股东大会及中国证监会指定 的披露媒体上公开说明未履行承诺的具体原因并向 公司股东和社会公众投资者道歉。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、如果本机构未 履行上述减持意向，本机构持有的公司股份自本机构 未履行上述减持意向之日起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个月内不得减持。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截止本报告期 末，银联科技 严格信守承 诺，未出现违 反承诺的情 况；贵昌有限 已履行完毕</w:t>
            </w:r>
          </w:p>
        </w:tc>
      </w:tr>
      <w:tr>
        <w:trPr>
          <w:trHeight w:val="5707" w:hRule="exact"/>
        </w:trPr>
        <w:tc>
          <w:tcPr>
            <w:vMerge/>
            <w:tcBorders>
              <w:left w:val="single" w:sz="4"/>
            </w:tcBorders>
            <w:shd w:val="clear" w:color="auto" w:fill="D3D3D3"/>
            <w:vAlign w:val="top"/>
          </w:tcPr>
          <w:p>
            <w:pP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贵昌有限、持股</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以上的股东银联科技</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避 免 同 业 竞 争 的 承 诺</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、如拟出售本企业与公司生产、经营相关的任何其 它资产、业务或权益，公司均有优先购买的权利；本 企业将尽最大努力使有关交易的价格公平合理，且该 等交易价格按与独立第三方进行正常商业交易的交 易价格为基础确定。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、本企业目前没有在中国境内 任何地方或中国境外，直接或间接发展、经营或协助 经营或参与与公司业务存在竞争的任何活动，亦没有 在任何与公司业务有直接或间接竞争的公司或企业 拥有任何权益（不论直接或间接）。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、本企业保证及 承诺除非经公司书面同意，不会直接或间接发展、经 营或协助经营或参与或从事与公司业务相竞争的任 何活动。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、本企业将依法律、法规及公司的规定向 公司及有关机构或部门及时披露与公司业务构成竞 争或可能构成竞争的任何业务或权益的详情，直至本 企业不再作为公司股东为止。</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、本企业将不会利用 公司股东的身份进行损害公司及其它股东利益的经 营活动。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、本企业愿意承担因违反上述承诺而给公 司造成的全部经济损失。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截止本报告期 末，银联科技 严格信守承 诺，未出现违 反承诺的情 况；贵昌有限 已履行完毕</w:t>
            </w:r>
          </w:p>
        </w:tc>
      </w:tr>
      <w:tr>
        <w:trPr>
          <w:trHeight w:val="19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华鹰投资、锐鹰投资</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 份 限 售 的 承</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自高伟达股票上市之日起三十六个月内，不转让或委 托他人管理其已持有的本公司股份，也不由本公司回 购该部分股份。</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截止本报告期 末，所有承诺 人严格信守承 诺，未出现违 反承诺的情况</w:t>
            </w:r>
          </w:p>
        </w:tc>
      </w:tr>
    </w:tbl>
    <w:p>
      <w:pPr>
        <w:spacing w:lineRule="exact" w:line="1"/>
        <w:rPr>
          <w:sz w:val="2"/>
          <w:szCs w:val="2"/>
        </w:rPr>
      </w:pPr>
      <w:r>
        <w:br w:type="page"/>
      </w:r>
    </w:p>
    <w:tbl>
      <w:tblPr>
        <w:tblOverlap w:val="never"/>
        <w:jc w:val="center"/>
        <w:tblLayout w:type="fixed"/>
      </w:tblPr>
      <w:tblGrid>
        <w:gridCol w:w="1142"/>
        <w:gridCol w:w="1704"/>
        <w:gridCol w:w="398"/>
        <w:gridCol w:w="4118"/>
        <w:gridCol w:w="547"/>
        <w:gridCol w:w="581"/>
        <w:gridCol w:w="1190"/>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诺</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鹰伟投资、鹰达投资、 鹰飞投资、鹰杰投资</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 份 限 售 的 承 诺</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29" w:lineRule="exact"/>
              <w:ind w:left="0" w:right="0" w:firstLine="0"/>
              <w:jc w:val="both"/>
            </w:pPr>
            <w:r>
              <w:rPr>
                <w:color w:val="000000"/>
                <w:spacing w:val="0"/>
                <w:w w:val="100"/>
                <w:position w:val="0"/>
              </w:rPr>
              <w:t>自本公司发行上市之日起十二个月内，不转让或委托 他人管理其已持有的本公司股份，也不由本公司回购 该部分股份。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截止本报告期 末，上述承诺 已履行完毕</w:t>
            </w: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本公司董事、监事、 高级管理人员且为鹰 高投资、华鹰投资、 锐鹰投资股东的相关 人员</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 份 限 售 的 承 诺</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自本公司股票上市之日起三十六个月内，不转让或委 托他人管理其通过鹰高投资、华鹰投资、锐鹰投资间 接持有的本公司股份，也不由本公司回购该部分股 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截止本报告期 末，所有承诺 人严格信守承 诺，未出现违 反承诺的情况</w:t>
            </w:r>
          </w:p>
        </w:tc>
      </w:tr>
      <w:tr>
        <w:trPr>
          <w:trHeight w:val="2270" w:hRule="exact"/>
        </w:trPr>
        <w:tc>
          <w:tcPr>
            <w:vMerge/>
            <w:tcBorders>
              <w:left w:val="single" w:sz="4"/>
            </w:tcBorders>
            <w:shd w:val="clear" w:color="auto" w:fill="D3D3D3"/>
            <w:vAlign w:val="top"/>
          </w:tcPr>
          <w:p>
            <w:pP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本公司董事、监事、 高级管理人员且为鹰 伟投资、鹰达投资、 鹰飞投资、鹰杰投资 股东的相关人员</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 份 限 售 的 承 诺</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自本公司股票上市之日起十二个月内，不转让或委托 他人管理其通过鹰伟投资、鹰达投资、鹰飞投资、鹰 杰投资间接持有的本公司股份，也不由本公司回购该 部分股份。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截止本报告期 末，所有承诺 人严格信守承 诺，未出现违 反承诺的情况</w:t>
            </w: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本公司董事、监事、 高级管理人员于伟、 张小玲、</w:t>
            </w:r>
            <w:r>
              <w:rPr>
                <w:rFonts w:ascii="Times New Roman" w:eastAsia="Times New Roman" w:hAnsi="Times New Roman" w:cs="Times New Roman"/>
                <w:color w:val="000000"/>
                <w:spacing w:val="0"/>
                <w:w w:val="100"/>
                <w:position w:val="0"/>
                <w:sz w:val="18"/>
                <w:szCs w:val="18"/>
              </w:rPr>
              <w:t xml:space="preserve">Kwong Yong Sin </w:t>
            </w:r>
            <w:r>
              <w:rPr>
                <w:color w:val="000000"/>
                <w:spacing w:val="0"/>
                <w:w w:val="100"/>
                <w:position w:val="0"/>
              </w:rPr>
              <w:t>（关银星）、张文 利、孙文、赵永莉、 程军、李勇、孙颖、 武京双</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 份 减 持 的 承 诺</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前述锁定期限届满后，在任职期间每年转让的股份不 超过其间接所持股份总数的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，离职后半年内不 转让其间接所持有的公司股份。如果其在本公司首次 公开发行股票上市之日起六个月内申报离职的，自申 报离职之日起十八个月内不转让其间接持有的本公 司股份;在首次公开发行股票上市之日起第七个月至 第十二个月之间申报离职的，自申报离职之日起十二 个月内不转让其间接持有的公司股份。因本公司进行 权益分派等导致其间接持有的本公司股份发生变化 的，仍遵守上述承诺。本人所持公司股票在锁定期满 后两年内减持的，减持价格不低于发行价。公司上市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个交易日的收盘价均 低于发行价，或者上市后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个月期末收盘价低于发行 价，本人持有公司股票的锁定期限自动延长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上述减持价格和股份锁定承诺不因本人职务变更、离 职等原因放弃履行承诺。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截止本报告期 末，所有承诺 人严格信守承 诺，未出现违 反承诺的情况</w:t>
            </w:r>
          </w:p>
        </w:tc>
      </w:tr>
      <w:tr>
        <w:trPr>
          <w:trHeight w:val="166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24" w:lineRule="exact"/>
              <w:ind w:left="0" w:right="0" w:firstLine="0"/>
              <w:jc w:val="both"/>
            </w:pPr>
            <w:r>
              <w:rPr>
                <w:color w:val="000000"/>
                <w:spacing w:val="0"/>
                <w:w w:val="100"/>
                <w:position w:val="0"/>
              </w:rPr>
              <w:t>鹰潭市鹰高投资咨询 有限公司、余江县泰 和睿思技术服务中心</w:t>
            </w:r>
          </w:p>
          <w:p>
            <w:pPr>
              <w:pStyle w:val="Style5"/>
              <w:keepNext w:val="0"/>
              <w:keepLines w:val="0"/>
              <w:widowControl w:val="0"/>
              <w:shd w:val="clear" w:color="auto" w:fill="auto"/>
              <w:bidi w:val="0"/>
              <w:spacing w:before="0" w:after="0" w:line="324" w:lineRule="exact"/>
              <w:ind w:left="0" w:right="0" w:firstLine="0"/>
              <w:jc w:val="both"/>
            </w:pPr>
            <w:r>
              <w:rPr>
                <w:color w:val="000000"/>
                <w:spacing w:val="0"/>
                <w:w w:val="100"/>
                <w:position w:val="0"/>
              </w:rPr>
              <w:t>（有限合伙）</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 份 限 售 的</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承诺人本次认购的上市公司股份，自标的股份发行结 束之日起三十六个月内不得转让。</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2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自标 的股 份发 行结 束之</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截止本报告期 末，所有承诺 人严格信守承 诺，未出现违 反承诺的情况</w:t>
            </w:r>
          </w:p>
        </w:tc>
      </w:tr>
    </w:tbl>
    <w:p>
      <w:pPr>
        <w:spacing w:lineRule="exact" w:line="1"/>
        <w:rPr>
          <w:sz w:val="2"/>
          <w:szCs w:val="2"/>
        </w:rPr>
      </w:pPr>
      <w:r>
        <w:br w:type="page"/>
      </w:r>
    </w:p>
    <w:tbl>
      <w:tblPr>
        <w:tblOverlap w:val="never"/>
        <w:jc w:val="center"/>
        <w:tblLayout w:type="fixed"/>
      </w:tblPr>
      <w:tblGrid>
        <w:gridCol w:w="1142"/>
        <w:gridCol w:w="1704"/>
        <w:gridCol w:w="398"/>
        <w:gridCol w:w="4118"/>
        <w:gridCol w:w="547"/>
        <w:gridCol w:w="581"/>
        <w:gridCol w:w="1190"/>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承</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诺</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日起 三十 六个 月内</w:t>
            </w:r>
          </w:p>
        </w:tc>
        <w:tc>
          <w:tcPr>
            <w:tcBorders>
              <w:top w:val="single" w:sz="4"/>
              <w:left w:val="single" w:sz="4"/>
              <w:right w:val="single" w:sz="4"/>
            </w:tcBorders>
            <w:shd w:val="clear" w:color="auto" w:fill="C8EDCC"/>
            <w:vAlign w:val="top"/>
          </w:tcPr>
          <w:p>
            <w:pPr>
              <w:widowControl w:val="0"/>
              <w:rPr>
                <w:sz w:val="10"/>
                <w:szCs w:val="10"/>
              </w:rPr>
            </w:pPr>
          </w:p>
        </w:tc>
      </w:tr>
      <w:tr>
        <w:trPr>
          <w:trHeight w:val="6019" w:hRule="exact"/>
        </w:trPr>
        <w:tc>
          <w:tcPr>
            <w:vMerge/>
            <w:tcBorders>
              <w:left w:val="single" w:sz="4"/>
            </w:tcBorders>
            <w:shd w:val="clear" w:color="auto" w:fill="D3D3D3"/>
            <w:vAlign w:val="top"/>
          </w:tcPr>
          <w:p>
            <w:pP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鹰潭市鹰高投资咨询 有限公司、余江县泰 和睿思技术服务中心</w:t>
            </w:r>
          </w:p>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（有限合伙）</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避 免 同 业 竞 争 的 承 诺</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承诺人及承诺人下属全资、单独或与他人联合控股或 能够形成实际控制的子公司目前未从事与上市公司 及其各下属全资或控股子公司主营业务存在任何直 接或间接竞争的业务或活动。承诺人承诺不在中国境 内及境外直接或间接从事任何在商业上对上市公司 或其下属全资或控股子公司主营业务构成竞争或可 能构成竞争的业务或活动；承诺人促使承诺人下属其 他全资或控股子公司不在中国境内及境外直接或间 接从事任何在商业上对上市公司或其下属全资或控 股子公司主营业务构成竞争或可能构成竞争的业务 或活动。如因政策调整等不可抗力原因导致承诺人及 承诺人下属全资、单独或与他人联合控股或能够形成 实际控制的子公司将来从事的业务与上市公司或其 下属全资或控股子公司之间的同业竞争可能构成或 不可避免时，则承诺人将在上市公司提出异议后及时 转让或终止上述业务或促使其控制的企业及时转让 或终止上述业务；如上市公司进一步要求受让上述业 务，则在同等条件下承诺人应将上述业务优先转让于 上市公司。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截止本报告期 末，所有承诺 人严格信守承 诺，未出现违 反承诺的情况</w:t>
            </w:r>
          </w:p>
        </w:tc>
      </w:tr>
      <w:tr>
        <w:trPr>
          <w:trHeight w:val="62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24" w:lineRule="exact"/>
              <w:ind w:left="0" w:right="0" w:firstLine="0"/>
              <w:jc w:val="left"/>
            </w:pPr>
            <w:r>
              <w:rPr>
                <w:color w:val="000000"/>
                <w:spacing w:val="0"/>
                <w:w w:val="100"/>
                <w:position w:val="0"/>
              </w:rPr>
              <w:t>鹰潭市鹰高投资咨询 有限公司、余江县泰 和睿思技术服务中心</w:t>
            </w:r>
          </w:p>
          <w:p>
            <w:pPr>
              <w:pStyle w:val="Style5"/>
              <w:keepNext w:val="0"/>
              <w:keepLines w:val="0"/>
              <w:widowControl w:val="0"/>
              <w:shd w:val="clear" w:color="auto" w:fill="auto"/>
              <w:bidi w:val="0"/>
              <w:spacing w:before="0" w:after="0" w:line="324" w:lineRule="exact"/>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1" w:lineRule="exact"/>
              <w:ind w:left="0" w:right="0" w:firstLine="0"/>
              <w:jc w:val="both"/>
            </w:pPr>
            <w:r>
              <w:rPr>
                <w:color w:val="000000"/>
                <w:spacing w:val="0"/>
                <w:w w:val="100"/>
                <w:position w:val="0"/>
              </w:rPr>
              <w:t>减 少 关 联 交 易 的 承 诺</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本次交易前，承诺人及承诺人实际控制企业与上市公 司及其关联方之间不存在关联关系。本次交易完成 后，承诺人及承诺人实际控制企业与上市公司及其子 公司之间将尽量减少关联交易，不会利用自身作为上 市公司股东之地位谋求与上市公司在业务合作等方 面给予优于市场第三方的权利；不会利用自身作为上 市公司股东之地位谋求与上市公司达成交易的优先 权利。对于无法避免或有合理理由存在的关联交易， 将与上市公司及其子公司依法签订规范的关联交易 协议，并按照有关法律、法规、规章、其他规范性文 件和公司章程的规定履行批准程序；关联交易价格依 照与无关联关系的独立第三方进行相同或相似交易 时的价格确定，保证关联交易价格具有公允性；保证 按照有关法律、法规和公司章程的规定履行关联交易 的信息披露义务;保证不通过关联交易损害上市公司 及其他股东的合法权益。承诺人及承诺人实际控制企 业保证将按照法律法规和公司章程的规定参加股东 大会，平等地行使相应权利，承担相应义务，不利用 股东地位谋取不正当利益;在审议涉及承诺人及承诺 人实际控制企业的关联交易时,切实遵守在公司董事</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2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截止本报告期 末，所有承诺 人严格信守承 诺，未出现违 反承诺的情况</w:t>
            </w:r>
          </w:p>
        </w:tc>
      </w:tr>
    </w:tbl>
    <w:p>
      <w:pPr>
        <w:spacing w:lineRule="exact" w:line="1"/>
        <w:rPr>
          <w:sz w:val="2"/>
          <w:szCs w:val="2"/>
        </w:rPr>
      </w:pPr>
      <w:r>
        <w:br w:type="page"/>
      </w:r>
    </w:p>
    <w:tbl>
      <w:tblPr>
        <w:tblOverlap w:val="never"/>
        <w:jc w:val="center"/>
        <w:tblLayout w:type="fixed"/>
      </w:tblPr>
      <w:tblGrid>
        <w:gridCol w:w="1142"/>
        <w:gridCol w:w="1704"/>
        <w:gridCol w:w="398"/>
        <w:gridCol w:w="4118"/>
        <w:gridCol w:w="547"/>
        <w:gridCol w:w="581"/>
        <w:gridCol w:w="119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股东大会上进行关联交易表决时的回避程序。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股权激励承诺</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其他对公司中 小股东所作承 诺</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承诺是否按时 履行</w:t>
            </w:r>
          </w:p>
        </w:tc>
        <w:tc>
          <w:tcPr>
            <w:gridSpan w:val="6"/>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28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如承诺超期未 履行完毕的， 应当详细说明 未完成履行的 具体原因及下 一步的工作计 划</w:t>
            </w:r>
          </w:p>
        </w:tc>
        <w:tc>
          <w:tcPr>
            <w:gridSpan w:val="6"/>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截止本报告期末，所有承诺人严格信守承诺，未出现违反承诺的情况</w:t>
            </w:r>
          </w:p>
        </w:tc>
      </w:tr>
    </w:tbl>
    <w:p>
      <w:pPr>
        <w:widowControl w:val="0"/>
        <w:spacing w:after="259" w:line="1" w:lineRule="exact"/>
      </w:pPr>
    </w:p>
    <w:p>
      <w:pPr>
        <w:pStyle w:val="Style33"/>
        <w:keepNext/>
        <w:keepLines/>
        <w:widowControl w:val="0"/>
        <w:shd w:val="clear" w:color="auto" w:fill="auto"/>
        <w:bidi w:val="0"/>
        <w:spacing w:before="0" w:line="317" w:lineRule="exact"/>
        <w:ind w:left="0" w:right="0" w:firstLine="0"/>
        <w:jc w:val="left"/>
      </w:pPr>
      <w:bookmarkStart w:id="289" w:name="bookmark289"/>
      <w:bookmarkStart w:id="290" w:name="bookmark290"/>
      <w:bookmarkStart w:id="291" w:name="bookmark291"/>
      <w:bookmarkStart w:id="292" w:name="bookmark292"/>
      <w:r>
        <w:rPr>
          <w:rFonts w:ascii="Times New Roman" w:eastAsia="Times New Roman" w:hAnsi="Times New Roman" w:cs="Times New Roman"/>
          <w:color w:val="000000"/>
          <w:spacing w:val="0"/>
          <w:w w:val="100"/>
          <w:position w:val="0"/>
        </w:rPr>
        <w:t>2</w:t>
      </w:r>
      <w:bookmarkEnd w:id="291"/>
      <w:r>
        <w:rPr>
          <w:color w:val="000000"/>
          <w:spacing w:val="0"/>
          <w:w w:val="100"/>
          <w:position w:val="0"/>
        </w:rPr>
        <w:t>、公司资产或项目存在盈利预测，且报告期仍处在盈利预测期间，公司就资产或项目达到原盈利预测及 其原因做出说明</w:t>
      </w:r>
      <w:bookmarkEnd w:id="289"/>
      <w:bookmarkEnd w:id="290"/>
      <w:bookmarkEnd w:id="292"/>
    </w:p>
    <w:p>
      <w:pPr>
        <w:pStyle w:val="Style5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0"/>
        <w:gridCol w:w="1195"/>
        <w:gridCol w:w="1195"/>
        <w:gridCol w:w="1195"/>
        <w:gridCol w:w="1195"/>
        <w:gridCol w:w="1195"/>
        <w:gridCol w:w="1200"/>
        <w:gridCol w:w="1205"/>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盈利预测资产 或项目名称</w:t>
            </w:r>
            <w:r>
              <w:rPr>
                <w:rFonts w:ascii="Times New Roman" w:eastAsia="Times New Roman" w:hAnsi="Times New Roman" w:cs="Times New Roman"/>
                <w:color w:val="000000"/>
                <w:spacing w:val="0"/>
                <w:w w:val="100"/>
                <w:position w:val="0"/>
                <w:sz w:val="18"/>
                <w:szCs w:val="18"/>
                <w:vertAlign w:val="superscript"/>
              </w:rPr>
              <w:footnoteReference w:id="2"/>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当期预测业绩</w:t>
            </w:r>
          </w:p>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（万元）</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当期实际业绩</w:t>
            </w:r>
          </w:p>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（万元）</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2894"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收购上海睿民 互联网科技有 限公司</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512.21</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ind w:left="0" w:right="0" w:firstLine="0"/>
              <w:jc w:val="both"/>
              <w:rPr>
                <w:sz w:val="18"/>
                <w:szCs w:val="18"/>
              </w:rPr>
            </w:pPr>
            <w:r>
              <w:fldChar w:fldCharType="begin"/>
            </w:r>
            <w:r>
              <w:rPr/>
              <w:instrText> HYPERLINK "http://www.cninfo.com.cn/cni" </w:instrText>
            </w:r>
            <w:r>
              <w:fldChar w:fldCharType="separate"/>
            </w:r>
            <w:r>
              <w:rPr>
                <w:rFonts w:ascii="Times New Roman" w:eastAsia="Times New Roman" w:hAnsi="Times New Roman" w:cs="Times New Roman"/>
                <w:color w:val="000000"/>
                <w:spacing w:val="0"/>
                <w:w w:val="100"/>
                <w:position w:val="0"/>
                <w:sz w:val="18"/>
                <w:szCs w:val="18"/>
              </w:rPr>
              <w:t>http://www.cninfo.com.cn/cni</w:t>
            </w:r>
            <w:r>
              <w:fldChar w:fldCharType="end"/>
            </w:r>
            <w:r>
              <w:rPr>
                <w:rFonts w:ascii="Times New Roman" w:eastAsia="Times New Roman" w:hAnsi="Times New Roman" w:cs="Times New Roman"/>
                <w:color w:val="000000"/>
                <w:spacing w:val="0"/>
                <w:w w:val="100"/>
                <w:position w:val="0"/>
                <w:sz w:val="18"/>
                <w:szCs w:val="18"/>
              </w:rPr>
              <w:t xml:space="preserve"> nfo-new/disclo sure/szse_gem/ bulletin_detail/t rue/120243729 8?announceTi me=2016-06-3 0</w:t>
            </w:r>
          </w:p>
        </w:tc>
      </w:tr>
      <w:tr>
        <w:trPr>
          <w:trHeight w:val="2899"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line="312" w:lineRule="exact"/>
              <w:ind w:left="0" w:right="0" w:firstLine="0"/>
              <w:jc w:val="left"/>
            </w:pPr>
            <w:r>
              <w:rPr>
                <w:color w:val="000000"/>
                <w:spacing w:val="0"/>
                <w:w w:val="100"/>
                <w:position w:val="0"/>
              </w:rPr>
              <w:t>收购海南坚果 创娱信息技术 有限公司</w:t>
            </w:r>
          </w:p>
          <w:p>
            <w:pPr>
              <w:pStyle w:val="Style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1,138.64</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ind w:left="0" w:right="0" w:firstLine="0"/>
              <w:jc w:val="both"/>
              <w:rPr>
                <w:sz w:val="18"/>
                <w:szCs w:val="18"/>
              </w:rPr>
            </w:pPr>
            <w:r>
              <w:fldChar w:fldCharType="begin"/>
            </w:r>
            <w:r>
              <w:rPr/>
              <w:instrText> HYPERLINK "http://www.cninfo.com.cn/cni" </w:instrText>
            </w:r>
            <w:r>
              <w:fldChar w:fldCharType="separate"/>
            </w:r>
            <w:r>
              <w:rPr>
                <w:rFonts w:ascii="Times New Roman" w:eastAsia="Times New Roman" w:hAnsi="Times New Roman" w:cs="Times New Roman"/>
                <w:color w:val="000000"/>
                <w:spacing w:val="0"/>
                <w:w w:val="100"/>
                <w:position w:val="0"/>
                <w:sz w:val="18"/>
                <w:szCs w:val="18"/>
              </w:rPr>
              <w:t>http://www.cninfo.com.cn/cni</w:t>
            </w:r>
            <w:r>
              <w:fldChar w:fldCharType="end"/>
            </w:r>
            <w:r>
              <w:rPr>
                <w:rFonts w:ascii="Times New Roman" w:eastAsia="Times New Roman" w:hAnsi="Times New Roman" w:cs="Times New Roman"/>
                <w:color w:val="000000"/>
                <w:spacing w:val="0"/>
                <w:w w:val="100"/>
                <w:position w:val="0"/>
                <w:sz w:val="18"/>
                <w:szCs w:val="18"/>
              </w:rPr>
              <w:t xml:space="preserve"> nfo-new/disclo sure/szse_gem/ bulletin_detail/t rue/120267699 5?announceTi me=2016-09-0 5%2019:46</w:t>
            </w:r>
          </w:p>
        </w:tc>
      </w:tr>
      <w:tr>
        <w:trPr>
          <w:trHeight w:val="413"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收购喀什尚河</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793.68</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p>
        </w:tc>
      </w:tr>
    </w:tbl>
    <w:tbl>
      <w:tblPr>
        <w:tblOverlap w:val="never"/>
        <w:jc w:val="center"/>
        <w:tblLayout w:type="fixed"/>
      </w:tblPr>
      <w:tblGrid>
        <w:gridCol w:w="1200"/>
        <w:gridCol w:w="1195"/>
        <w:gridCol w:w="1195"/>
        <w:gridCol w:w="1195"/>
        <w:gridCol w:w="1195"/>
        <w:gridCol w:w="1195"/>
        <w:gridCol w:w="1200"/>
        <w:gridCol w:w="1205"/>
      </w:tblGrid>
      <w:tr>
        <w:trPr>
          <w:trHeight w:val="2558" w:hRule="exact"/>
        </w:trPr>
        <w:tc>
          <w:tcPr>
            <w:tcBorders>
              <w:top w:val="single" w:sz="4"/>
              <w:left w:val="single" w:sz="4"/>
              <w:bottom w:val="single" w:sz="4"/>
            </w:tcBorders>
            <w:shd w:val="clear" w:color="auto" w:fill="C8EDCC"/>
            <w:vAlign w:val="top"/>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信息科技有限 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 权</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nfo.com.cn/cni</w:t>
            </w:r>
            <w:r>
              <w:rPr>
                <w:rFonts w:ascii="Times New Roman" w:eastAsia="Times New Roman" w:hAnsi="Times New Roman" w:cs="Times New Roman"/>
                <w:color w:val="000000"/>
                <w:spacing w:val="0"/>
                <w:w w:val="100"/>
                <w:position w:val="0"/>
                <w:sz w:val="18"/>
                <w:szCs w:val="18"/>
              </w:rPr>
              <w:t xml:space="preserve"> nfo-new/disclo sure/szse_gem/ bulletin_detail/t rue/120276585 5?announceTi me=2016-10-1 7%2019:21</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公司股东、交易对手方对公司或相关资产年度经营业绩作出的承诺情况</w:t>
      </w:r>
    </w:p>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30"/>
        <w:gridCol w:w="1416"/>
        <w:gridCol w:w="2410"/>
        <w:gridCol w:w="2688"/>
      </w:tblGrid>
      <w:tr>
        <w:trPr>
          <w:trHeight w:val="47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被购买方名称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购买日至期末被购买方的收入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购买日至期末被购买方的净利润</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上海睿民互联网科技有限公司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22,074,434.29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5,122,167.49</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海南坚果创娱信息技术有限公司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rFonts w:ascii="Palatino Linotype" w:eastAsia="Palatino Linotype" w:hAnsi="Palatino Linotype" w:cs="Palatino Linotype"/>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31,654,393.97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11,386,448.92</w:t>
            </w:r>
          </w:p>
        </w:tc>
      </w:tr>
      <w:tr>
        <w:trPr>
          <w:trHeight w:val="43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喀什尚河信息科技有限公司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29,869,215.15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7,936,795.06</w:t>
            </w:r>
          </w:p>
        </w:tc>
      </w:tr>
    </w:tbl>
    <w:p>
      <w:pPr>
        <w:pStyle w:val="Style29"/>
        <w:keepNext w:val="0"/>
        <w:keepLines w:val="0"/>
        <w:widowControl w:val="0"/>
        <w:shd w:val="clear" w:color="auto" w:fill="auto"/>
        <w:bidi w:val="0"/>
        <w:spacing w:before="0" w:after="360" w:line="302" w:lineRule="exact"/>
        <w:ind w:left="0" w:right="0" w:firstLine="0"/>
        <w:jc w:val="left"/>
      </w:pPr>
      <w:r>
        <w:rPr>
          <w:color w:val="000000"/>
          <w:spacing w:val="0"/>
          <w:w w:val="100"/>
          <w:position w:val="0"/>
        </w:rPr>
        <w:t>报告期内通过发行股份及现金支付的方式购买上海睿民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的股权，现金购买坚果技术</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的股权、尚和科技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 上述公司均已完成</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年业绩承诺。</w:t>
      </w:r>
    </w:p>
    <w:p>
      <w:pPr>
        <w:pStyle w:val="Style27"/>
        <w:keepNext/>
        <w:keepLines/>
        <w:widowControl w:val="0"/>
        <w:shd w:val="clear" w:color="auto" w:fill="auto"/>
        <w:tabs>
          <w:tab w:pos="517" w:val="left"/>
        </w:tabs>
        <w:bidi w:val="0"/>
        <w:spacing w:before="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sz w:val="24"/>
          <w:szCs w:val="24"/>
        </w:rPr>
        <w:t>三</w:t>
      </w:r>
      <w:bookmarkEnd w:id="295"/>
      <w:r>
        <w:rPr>
          <w:color w:val="000000"/>
          <w:spacing w:val="0"/>
          <w:w w:val="100"/>
          <w:position w:val="0"/>
          <w:sz w:val="24"/>
          <w:szCs w:val="24"/>
        </w:rPr>
        <w:t>、</w:t>
        <w:tab/>
        <w:t>控股股东及其关联方对上市公司的非经营性占用资金情况</w:t>
      </w:r>
      <w:bookmarkEnd w:id="293"/>
      <w:bookmarkEnd w:id="294"/>
      <w:bookmarkEnd w:id="29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7"/>
        <w:keepNext/>
        <w:keepLines/>
        <w:widowControl w:val="0"/>
        <w:shd w:val="clear" w:color="auto" w:fill="auto"/>
        <w:tabs>
          <w:tab w:pos="517" w:val="left"/>
        </w:tabs>
        <w:bidi w:val="0"/>
        <w:spacing w:before="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sz w:val="24"/>
          <w:szCs w:val="24"/>
        </w:rPr>
        <w:t>四</w:t>
      </w:r>
      <w:bookmarkEnd w:id="299"/>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97"/>
      <w:bookmarkEnd w:id="298"/>
      <w:bookmarkEnd w:id="300"/>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line="240" w:lineRule="auto"/>
        <w:ind w:left="0" w:right="0" w:firstLine="0"/>
        <w:jc w:val="both"/>
      </w:pPr>
      <w:bookmarkStart w:id="301" w:name="bookmark301"/>
      <w:bookmarkStart w:id="302" w:name="bookmark302"/>
      <w:bookmarkStart w:id="303" w:name="bookmark303"/>
      <w:bookmarkStart w:id="304" w:name="bookmark304"/>
      <w:r>
        <w:rPr>
          <w:color w:val="000000"/>
          <w:spacing w:val="0"/>
          <w:w w:val="100"/>
          <w:position w:val="0"/>
          <w:sz w:val="24"/>
          <w:szCs w:val="24"/>
        </w:rPr>
        <w:t>五</w:t>
      </w:r>
      <w:bookmarkEnd w:id="303"/>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01"/>
      <w:bookmarkEnd w:id="302"/>
      <w:bookmarkEnd w:id="304"/>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sz w:val="24"/>
          <w:szCs w:val="24"/>
        </w:rPr>
        <w:t>六</w:t>
      </w:r>
      <w:bookmarkEnd w:id="307"/>
      <w:r>
        <w:rPr>
          <w:color w:val="000000"/>
          <w:spacing w:val="0"/>
          <w:w w:val="100"/>
          <w:position w:val="0"/>
          <w:sz w:val="24"/>
          <w:szCs w:val="24"/>
        </w:rPr>
        <w:t>、</w:t>
        <w:tab/>
        <w:t>董事会关于报告期会计政策、会计估计变更或重大会计差错更正的说明</w:t>
      </w:r>
      <w:bookmarkEnd w:id="305"/>
      <w:bookmarkEnd w:id="306"/>
      <w:bookmarkEnd w:id="308"/>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line="240" w:lineRule="auto"/>
        <w:ind w:left="0" w:right="0" w:firstLine="0"/>
        <w:jc w:val="both"/>
      </w:pPr>
      <w:bookmarkStart w:id="309" w:name="bookmark309"/>
      <w:bookmarkStart w:id="310" w:name="bookmark310"/>
      <w:bookmarkStart w:id="311" w:name="bookmark311"/>
      <w:bookmarkStart w:id="312" w:name="bookmark312"/>
      <w:r>
        <w:rPr>
          <w:color w:val="000000"/>
          <w:spacing w:val="0"/>
          <w:w w:val="100"/>
          <w:position w:val="0"/>
          <w:sz w:val="24"/>
          <w:szCs w:val="24"/>
        </w:rPr>
        <w:t>七</w:t>
      </w:r>
      <w:bookmarkEnd w:id="311"/>
      <w:r>
        <w:rPr>
          <w:color w:val="000000"/>
          <w:spacing w:val="0"/>
          <w:w w:val="100"/>
          <w:position w:val="0"/>
          <w:sz w:val="24"/>
          <w:szCs w:val="24"/>
        </w:rPr>
        <w:t>、</w:t>
        <w:tab/>
        <w:t>与上年度财务报告相比，合并报表范围发生变化的情况说明</w:t>
      </w:r>
      <w:bookmarkEnd w:id="309"/>
      <w:bookmarkEnd w:id="310"/>
      <w:bookmarkEnd w:id="312"/>
    </w:p>
    <w:p>
      <w:pPr>
        <w:pStyle w:val="Style29"/>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460"/>
        <w:jc w:val="both"/>
      </w:pPr>
      <w:r>
        <w:rPr>
          <w:color w:val="000000"/>
          <w:spacing w:val="0"/>
          <w:w w:val="100"/>
          <w:position w:val="0"/>
        </w:rPr>
        <w:t>详见第四节第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）报告期内合并范围是否发生变动。</w:t>
      </w:r>
    </w:p>
    <w:p>
      <w:pPr>
        <w:pStyle w:val="Style27"/>
        <w:keepNext/>
        <w:keepLines/>
        <w:widowControl w:val="0"/>
        <w:shd w:val="clear" w:color="auto" w:fill="auto"/>
        <w:tabs>
          <w:tab w:pos="517" w:val="left"/>
        </w:tabs>
        <w:bidi w:val="0"/>
        <w:spacing w:before="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sz w:val="24"/>
          <w:szCs w:val="24"/>
        </w:rPr>
        <w:t>八</w:t>
      </w:r>
      <w:bookmarkEnd w:id="315"/>
      <w:r>
        <w:rPr>
          <w:color w:val="000000"/>
          <w:spacing w:val="0"/>
          <w:w w:val="100"/>
          <w:position w:val="0"/>
          <w:sz w:val="24"/>
          <w:szCs w:val="24"/>
        </w:rPr>
        <w:t>、</w:t>
        <w:tab/>
        <w:t>聘任、解聘会计师事务所情况</w:t>
      </w:r>
      <w:bookmarkEnd w:id="313"/>
      <w:bookmarkEnd w:id="314"/>
      <w:bookmarkEnd w:id="316"/>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现聘任的会计事务所</w:t>
      </w:r>
    </w:p>
    <w:tbl>
      <w:tblPr>
        <w:tblOverlap w:val="never"/>
        <w:jc w:val="center"/>
        <w:tblLayout w:type="fixed"/>
      </w:tblPr>
      <w:tblGrid>
        <w:gridCol w:w="3888"/>
        <w:gridCol w:w="5693"/>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中汇会计师事务所（特殊普通合伙）</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赵亦飞、潘高峰</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9"/>
        <w:keepNext w:val="0"/>
        <w:keepLines w:val="0"/>
        <w:widowControl w:val="0"/>
        <w:shd w:val="clear" w:color="auto" w:fill="auto"/>
        <w:bidi w:val="0"/>
        <w:spacing w:before="0" w:after="140" w:line="318" w:lineRule="exact"/>
        <w:ind w:left="0" w:right="0" w:firstLine="0"/>
        <w:jc w:val="both"/>
      </w:pPr>
      <w:r>
        <w:rPr>
          <w:color w:val="000000"/>
          <w:spacing w:val="0"/>
          <w:w w:val="100"/>
          <w:position w:val="0"/>
        </w:rPr>
        <w:t>是否改聘会计师事务所</w:t>
      </w:r>
    </w:p>
    <w:p>
      <w:pPr>
        <w:pStyle w:val="Style2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140" w:line="318" w:lineRule="exact"/>
        <w:ind w:left="0" w:right="0" w:firstLine="0"/>
        <w:jc w:val="both"/>
      </w:pPr>
      <w:r>
        <w:rPr>
          <w:color w:val="000000"/>
          <w:spacing w:val="0"/>
          <w:w w:val="100"/>
          <w:position w:val="0"/>
        </w:rPr>
        <w:t>是否在审计期间改聘会计师事务所</w:t>
      </w:r>
    </w:p>
    <w:p>
      <w:pPr>
        <w:pStyle w:val="Style2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29"/>
        <w:keepNext w:val="0"/>
        <w:keepLines w:val="0"/>
        <w:widowControl w:val="0"/>
        <w:shd w:val="clear" w:color="auto" w:fill="auto"/>
        <w:bidi w:val="0"/>
        <w:spacing w:before="0" w:after="140" w:line="318" w:lineRule="exact"/>
        <w:ind w:left="0" w:right="0" w:firstLine="0"/>
        <w:jc w:val="both"/>
      </w:pPr>
      <w:r>
        <w:rPr>
          <w:color w:val="000000"/>
          <w:spacing w:val="0"/>
          <w:w w:val="100"/>
          <w:position w:val="0"/>
        </w:rPr>
        <w:t>更换会计师事务所是否履行审批程序</w:t>
      </w:r>
    </w:p>
    <w:p>
      <w:pPr>
        <w:pStyle w:val="Style2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0" w:line="318" w:lineRule="exact"/>
        <w:ind w:left="0" w:right="0" w:firstLine="0"/>
        <w:jc w:val="both"/>
      </w:pPr>
      <w:r>
        <w:rPr>
          <w:color w:val="000000"/>
          <w:spacing w:val="0"/>
          <w:w w:val="100"/>
          <w:position w:val="0"/>
        </w:rPr>
        <w:t>聘任、解聘会计师事务所情况说明</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公司原年度审计机构信永中和会计师事务所（特殊普通合伙）因其已经连续多年为公司提供审计服务，为确保上市公司审计 工作的独立性与客观性，同时更好的适应公司未来业务发展需要，公司聘任中汇会计师事务所（特殊普通合伙）为公司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年度审计机构。</w:t>
      </w:r>
    </w:p>
    <w:p>
      <w:pPr>
        <w:pStyle w:val="Style29"/>
        <w:keepNext w:val="0"/>
        <w:keepLines w:val="0"/>
        <w:widowControl w:val="0"/>
        <w:shd w:val="clear" w:color="auto" w:fill="auto"/>
        <w:bidi w:val="0"/>
        <w:spacing w:before="0" w:after="140" w:line="318" w:lineRule="exact"/>
        <w:ind w:left="0" w:right="0" w:firstLine="0"/>
        <w:jc w:val="both"/>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322" w:lineRule="exact"/>
        <w:ind w:left="0" w:right="0" w:firstLine="0"/>
        <w:jc w:val="both"/>
      </w:pPr>
      <w:r>
        <w:rPr>
          <w:color w:val="000000"/>
          <w:spacing w:val="0"/>
          <w:w w:val="100"/>
          <w:position w:val="0"/>
        </w:rPr>
        <w:t>本年度，公司因重大资产重组事项，聘请华泰联合证券有限责任公司为财务顾问，期间共支付财务顾问费</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万元。本报告期， 保荐机构未发生变化。</w:t>
      </w:r>
    </w:p>
    <w:p>
      <w:pPr>
        <w:pStyle w:val="Style27"/>
        <w:keepNext/>
        <w:keepLines/>
        <w:widowControl w:val="0"/>
        <w:shd w:val="clear" w:color="auto" w:fill="auto"/>
        <w:bidi w:val="0"/>
        <w:spacing w:before="0" w:line="240" w:lineRule="auto"/>
        <w:ind w:left="0" w:right="0" w:firstLine="0"/>
        <w:jc w:val="both"/>
      </w:pPr>
      <w:bookmarkStart w:id="317" w:name="bookmark317"/>
      <w:bookmarkStart w:id="318" w:name="bookmark318"/>
      <w:bookmarkStart w:id="319" w:name="bookmark319"/>
      <w:bookmarkStart w:id="320" w:name="bookmark320"/>
      <w:r>
        <w:rPr>
          <w:color w:val="000000"/>
          <w:spacing w:val="0"/>
          <w:w w:val="100"/>
          <w:position w:val="0"/>
          <w:sz w:val="24"/>
          <w:szCs w:val="24"/>
        </w:rPr>
        <w:t>九</w:t>
      </w:r>
      <w:bookmarkEnd w:id="319"/>
      <w:r>
        <w:rPr>
          <w:color w:val="000000"/>
          <w:spacing w:val="0"/>
          <w:w w:val="100"/>
          <w:position w:val="0"/>
          <w:sz w:val="24"/>
          <w:szCs w:val="24"/>
        </w:rPr>
        <w:t>、年度报告披露后面临暂停上市和终止上市情况</w:t>
      </w:r>
      <w:bookmarkEnd w:id="317"/>
      <w:bookmarkEnd w:id="318"/>
      <w:bookmarkEnd w:id="320"/>
    </w:p>
    <w:p>
      <w:pPr>
        <w:pStyle w:val="Style29"/>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both"/>
      </w:pPr>
      <w:bookmarkStart w:id="321" w:name="bookmark321"/>
      <w:bookmarkStart w:id="322" w:name="bookmark322"/>
      <w:bookmarkStart w:id="323" w:name="bookmark323"/>
      <w:r>
        <w:rPr>
          <w:color w:val="000000"/>
          <w:spacing w:val="0"/>
          <w:w w:val="100"/>
          <w:position w:val="0"/>
          <w:sz w:val="24"/>
          <w:szCs w:val="24"/>
        </w:rPr>
        <w:t>十、破产重整相关事项</w:t>
      </w:r>
      <w:bookmarkEnd w:id="321"/>
      <w:bookmarkEnd w:id="322"/>
      <w:bookmarkEnd w:id="323"/>
    </w:p>
    <w:p>
      <w:pPr>
        <w:pStyle w:val="Style2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8" w:lineRule="exact"/>
        <w:ind w:left="0" w:right="0" w:firstLine="0"/>
        <w:jc w:val="both"/>
      </w:pPr>
      <w:r>
        <w:rPr>
          <w:color w:val="000000"/>
          <w:spacing w:val="0"/>
          <w:w w:val="100"/>
          <w:position w:val="0"/>
        </w:rPr>
        <w:t>公司报告期未发生破产重整相关事项。</w:t>
      </w:r>
    </w:p>
    <w:p>
      <w:pPr>
        <w:pStyle w:val="Style27"/>
        <w:keepNext/>
        <w:keepLines/>
        <w:widowControl w:val="0"/>
        <w:shd w:val="clear" w:color="auto" w:fill="auto"/>
        <w:bidi w:val="0"/>
        <w:spacing w:before="0" w:line="240" w:lineRule="auto"/>
        <w:ind w:left="0" w:right="0" w:firstLine="0"/>
        <w:jc w:val="both"/>
      </w:pPr>
      <w:bookmarkStart w:id="324" w:name="bookmark324"/>
      <w:bookmarkStart w:id="325" w:name="bookmark325"/>
      <w:bookmarkStart w:id="326" w:name="bookmark326"/>
      <w:r>
        <w:rPr>
          <w:color w:val="000000"/>
          <w:spacing w:val="0"/>
          <w:w w:val="100"/>
          <w:position w:val="0"/>
          <w:sz w:val="24"/>
          <w:szCs w:val="24"/>
        </w:rPr>
        <w:t>十^一、重大诉讼、仲裁事项</w:t>
      </w:r>
      <w:bookmarkEnd w:id="324"/>
      <w:bookmarkEnd w:id="325"/>
      <w:bookmarkEnd w:id="326"/>
    </w:p>
    <w:p>
      <w:pPr>
        <w:pStyle w:val="Style2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10"/>
        <w:gridCol w:w="720"/>
        <w:gridCol w:w="408"/>
        <w:gridCol w:w="427"/>
        <w:gridCol w:w="4800"/>
        <w:gridCol w:w="528"/>
        <w:gridCol w:w="566"/>
        <w:gridCol w:w="1522"/>
      </w:tblGrid>
      <w:tr>
        <w:trPr>
          <w:trHeight w:val="225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 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w:t>
            </w:r>
          </w:p>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情况</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涉案金 额（万 元）</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60" w:line="235" w:lineRule="exact"/>
              <w:ind w:left="0" w:right="0" w:firstLine="0"/>
              <w:jc w:val="left"/>
            </w:pPr>
            <w:r>
              <w:rPr>
                <w:color w:val="000000"/>
                <w:spacing w:val="0"/>
                <w:w w:val="100"/>
                <w:position w:val="0"/>
              </w:rPr>
              <w:t>是 否</w:t>
            </w:r>
          </w:p>
          <w:p>
            <w:pPr>
              <w:pStyle w:val="Style5"/>
              <w:keepNext w:val="0"/>
              <w:keepLines w:val="0"/>
              <w:widowControl w:val="0"/>
              <w:shd w:val="clear" w:color="auto" w:fill="auto"/>
              <w:bidi w:val="0"/>
              <w:spacing w:before="0" w:after="0" w:line="313" w:lineRule="exact"/>
              <w:ind w:left="0" w:right="0" w:firstLine="0"/>
              <w:jc w:val="left"/>
            </w:pPr>
            <w:r>
              <w:rPr>
                <w:color w:val="000000"/>
                <w:spacing w:val="0"/>
                <w:w w:val="100"/>
                <w:position w:val="0"/>
              </w:rPr>
              <w:t>形 成 预 计 负</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诉讼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 裁</w:t>
            </w:r>
            <w:r>
              <w:rPr>
                <w:color w:val="000000"/>
                <w:spacing w:val="0"/>
                <w:w w:val="100"/>
                <w:position w:val="0"/>
                <w:sz w:val="18"/>
                <w:szCs w:val="18"/>
              </w:rPr>
              <w:t>）</w:t>
            </w:r>
          </w:p>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进展</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审理结果及影响</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 xml:space="preserve">诉讼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 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 行情 况</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 日期</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bl>
    <w:tbl>
      <w:tblPr>
        <w:tblOverlap w:val="never"/>
        <w:jc w:val="center"/>
        <w:tblLayout w:type="fixed"/>
      </w:tblPr>
      <w:tblGrid>
        <w:gridCol w:w="710"/>
        <w:gridCol w:w="720"/>
        <w:gridCol w:w="408"/>
        <w:gridCol w:w="442"/>
        <w:gridCol w:w="4771"/>
        <w:gridCol w:w="542"/>
        <w:gridCol w:w="566"/>
        <w:gridCol w:w="152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093"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1" w:lineRule="exact"/>
              <w:ind w:left="0" w:right="0" w:firstLine="0"/>
              <w:jc w:val="left"/>
            </w:pPr>
            <w:r>
              <w:rPr>
                <w:color w:val="000000"/>
                <w:spacing w:val="0"/>
                <w:w w:val="100"/>
                <w:position w:val="0"/>
              </w:rPr>
              <w:t>成都农 村商业 银行股 份有限 公司诉 讼事项</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1,794.4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已结</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tabs>
                <w:tab w:pos="3595" w:val="left"/>
              </w:tabs>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日，经四川省成都市中级人民法院主持 调解，双方当事人自愿达成如下调解协议：</w:t>
              <w:tab/>
              <w:t>一、成都农村</w:t>
            </w:r>
          </w:p>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商业银行股份有限公司收到民事调解书、且高伟达软件股份 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日前开具的增值税发票后，于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日前向高伟达软件股份有限公司支付第三阶 段款项</w:t>
            </w:r>
            <w:r>
              <w:rPr>
                <w:rFonts w:ascii="Times New Roman" w:eastAsia="Times New Roman" w:hAnsi="Times New Roman" w:cs="Times New Roman"/>
                <w:color w:val="000000"/>
                <w:spacing w:val="0"/>
                <w:w w:val="100"/>
                <w:position w:val="0"/>
                <w:sz w:val="18"/>
                <w:szCs w:val="18"/>
              </w:rPr>
              <w:t>1570.1</w:t>
            </w:r>
            <w:r>
              <w:rPr>
                <w:color w:val="000000"/>
                <w:spacing w:val="0"/>
                <w:w w:val="100"/>
                <w:position w:val="0"/>
              </w:rPr>
              <w:t>万元；二、成都农村商业银行股份有限公司自 系统验收并上线运行合格三年后，即自双方于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日签署验收报告起算，于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日后，在收到高伟 达软件股份有限公司开具的增值税发票起七个工作日内向高 伟达软件股份有限公司支付合同第四阶段款项</w:t>
            </w:r>
            <w:r>
              <w:rPr>
                <w:rFonts w:ascii="Times New Roman" w:eastAsia="Times New Roman" w:hAnsi="Times New Roman" w:cs="Times New Roman"/>
                <w:color w:val="000000"/>
                <w:spacing w:val="0"/>
                <w:w w:val="100"/>
                <w:position w:val="0"/>
                <w:sz w:val="18"/>
                <w:szCs w:val="18"/>
              </w:rPr>
              <w:t>224.3</w:t>
            </w:r>
            <w:r>
              <w:rPr>
                <w:color w:val="000000"/>
                <w:spacing w:val="0"/>
                <w:w w:val="100"/>
                <w:position w:val="0"/>
              </w:rPr>
              <w:t>万元，上 述两笔款项均通过银行转账方式进行支付；三、高伟达软件 股份有限公司承诺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日前继续履行主机包括服 务器的免费现场服务；四、农村商业银行股份有限公司撤回 对高伟达软件股份有限公司的反诉请求；五、自双方履行上 述义务后，高伟达软件股份有限公司与成都农村商业银行股 份有限公司就本案再无其他争议；</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正在 执行</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339" w:line="1" w:lineRule="exact"/>
      </w:pPr>
    </w:p>
    <w:p>
      <w:pPr>
        <w:pStyle w:val="Style27"/>
        <w:keepNext/>
        <w:keepLines/>
        <w:widowControl w:val="0"/>
        <w:shd w:val="clear" w:color="auto" w:fill="auto"/>
        <w:bidi w:val="0"/>
        <w:spacing w:before="0" w:after="260" w:line="240" w:lineRule="auto"/>
        <w:ind w:left="0" w:right="0" w:firstLine="0"/>
        <w:jc w:val="left"/>
      </w:pPr>
      <w:bookmarkStart w:id="327" w:name="bookmark327"/>
      <w:bookmarkStart w:id="328" w:name="bookmark328"/>
      <w:bookmarkStart w:id="329" w:name="bookmark329"/>
      <w:r>
        <w:rPr>
          <w:color w:val="000000"/>
          <w:spacing w:val="0"/>
          <w:w w:val="100"/>
          <w:position w:val="0"/>
          <w:sz w:val="24"/>
          <w:szCs w:val="24"/>
        </w:rPr>
        <w:t>十二、处罚及整改情况</w:t>
      </w:r>
      <w:bookmarkEnd w:id="327"/>
      <w:bookmarkEnd w:id="328"/>
      <w:bookmarkEnd w:id="329"/>
    </w:p>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公司报告期不存在处罚及整改情况。</w:t>
      </w:r>
    </w:p>
    <w:p>
      <w:pPr>
        <w:pStyle w:val="Style27"/>
        <w:keepNext/>
        <w:keepLines/>
        <w:widowControl w:val="0"/>
        <w:shd w:val="clear" w:color="auto" w:fill="auto"/>
        <w:bidi w:val="0"/>
        <w:spacing w:before="0" w:after="260" w:line="240" w:lineRule="auto"/>
        <w:ind w:left="0" w:right="0" w:firstLine="0"/>
        <w:jc w:val="left"/>
      </w:pPr>
      <w:bookmarkStart w:id="330" w:name="bookmark330"/>
      <w:bookmarkStart w:id="331" w:name="bookmark331"/>
      <w:bookmarkStart w:id="332" w:name="bookmark332"/>
      <w:r>
        <w:rPr>
          <w:color w:val="000000"/>
          <w:spacing w:val="0"/>
          <w:w w:val="100"/>
          <w:position w:val="0"/>
          <w:sz w:val="24"/>
          <w:szCs w:val="24"/>
        </w:rPr>
        <w:t>十三、公司及其控股股东、实际控制人的诚信状况</w:t>
      </w:r>
      <w:bookmarkEnd w:id="330"/>
      <w:bookmarkEnd w:id="331"/>
      <w:bookmarkEnd w:id="332"/>
    </w:p>
    <w:p>
      <w:pPr>
        <w:pStyle w:val="Style29"/>
        <w:keepNext w:val="0"/>
        <w:keepLines w:val="0"/>
        <w:widowControl w:val="0"/>
        <w:shd w:val="clear" w:color="auto" w:fill="auto"/>
        <w:bidi w:val="0"/>
        <w:spacing w:before="0" w:after="34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333" w:name="bookmark333"/>
      <w:bookmarkStart w:id="334" w:name="bookmark334"/>
      <w:bookmarkStart w:id="335" w:name="bookmark335"/>
      <w:r>
        <w:rPr>
          <w:color w:val="000000"/>
          <w:spacing w:val="0"/>
          <w:w w:val="100"/>
          <w:position w:val="0"/>
          <w:sz w:val="24"/>
          <w:szCs w:val="24"/>
        </w:rPr>
        <w:t>十四、公司股权激励计划、员工持股计划或其他员工激励措施的实施情况</w:t>
      </w:r>
      <w:bookmarkEnd w:id="333"/>
      <w:bookmarkEnd w:id="334"/>
      <w:bookmarkEnd w:id="335"/>
    </w:p>
    <w:p>
      <w:pPr>
        <w:pStyle w:val="Style29"/>
        <w:keepNext w:val="0"/>
        <w:keepLines w:val="0"/>
        <w:widowControl w:val="0"/>
        <w:shd w:val="clear" w:color="auto" w:fill="auto"/>
        <w:bidi w:val="0"/>
        <w:spacing w:before="0" w:after="12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20" w:line="317"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日分别召开了第二届董事会第十八次会议和第二届监事会第十四次会议审议并通过《关于</w:t>
      </w:r>
      <w:r>
        <w:rPr>
          <w:color w:val="000000"/>
          <w:spacing w:val="0"/>
          <w:w w:val="100"/>
          <w:position w:val="0"/>
          <w:sz w:val="18"/>
          <w:szCs w:val="18"/>
        </w:rPr>
        <w:t>〈</w:t>
      </w:r>
      <w:r>
        <w:rPr>
          <w:color w:val="000000"/>
          <w:spacing w:val="0"/>
          <w:w w:val="100"/>
          <w:position w:val="0"/>
        </w:rPr>
        <w:t>高伟达软 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及摘要的议案》。</w:t>
      </w:r>
    </w:p>
    <w:p>
      <w:pPr>
        <w:pStyle w:val="Style29"/>
        <w:keepNext w:val="0"/>
        <w:keepLines w:val="0"/>
        <w:widowControl w:val="0"/>
        <w:shd w:val="clear" w:color="auto" w:fill="auto"/>
        <w:bidi w:val="0"/>
        <w:spacing w:before="0" w:after="120" w:line="31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年第四次临时股东大会审议并通过《关于</w:t>
      </w:r>
      <w:r>
        <w:rPr>
          <w:color w:val="000000"/>
          <w:spacing w:val="0"/>
          <w:w w:val="100"/>
          <w:position w:val="0"/>
          <w:sz w:val="18"/>
          <w:szCs w:val="18"/>
        </w:rPr>
        <w:t>〈</w:t>
      </w: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年限制性股票激励 计划（草案）</w:t>
      </w:r>
      <w:r>
        <w:rPr>
          <w:color w:val="000000"/>
          <w:spacing w:val="0"/>
          <w:w w:val="100"/>
          <w:position w:val="0"/>
          <w:sz w:val="18"/>
          <w:szCs w:val="18"/>
        </w:rPr>
        <w:t>〉</w:t>
      </w:r>
      <w:r>
        <w:rPr>
          <w:color w:val="000000"/>
          <w:spacing w:val="0"/>
          <w:w w:val="100"/>
          <w:position w:val="0"/>
        </w:rPr>
        <w:t>及摘要的议案》、《关于提请股东大会授权董事会办理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年限制性股票激励计划相关事宜的议案》、《关 于</w:t>
      </w:r>
      <w:r>
        <w:rPr>
          <w:color w:val="000000"/>
          <w:spacing w:val="0"/>
          <w:w w:val="100"/>
          <w:position w:val="0"/>
          <w:sz w:val="18"/>
          <w:szCs w:val="18"/>
        </w:rPr>
        <w:t>〈</w:t>
      </w: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年限制性股票激励计划实施考核办法</w:t>
      </w:r>
      <w:r>
        <w:rPr>
          <w:color w:val="000000"/>
          <w:spacing w:val="0"/>
          <w:w w:val="100"/>
          <w:position w:val="0"/>
          <w:sz w:val="18"/>
          <w:szCs w:val="18"/>
        </w:rPr>
        <w:t>〉</w:t>
      </w:r>
      <w:r>
        <w:rPr>
          <w:color w:val="000000"/>
          <w:spacing w:val="0"/>
          <w:w w:val="100"/>
          <w:position w:val="0"/>
        </w:rPr>
        <w:t>的议案》。</w:t>
      </w:r>
    </w:p>
    <w:p>
      <w:pPr>
        <w:pStyle w:val="Style29"/>
        <w:keepNext w:val="0"/>
        <w:keepLines w:val="0"/>
        <w:widowControl w:val="0"/>
        <w:shd w:val="clear" w:color="auto" w:fill="auto"/>
        <w:bidi w:val="0"/>
        <w:spacing w:before="0" w:after="120" w:line="312"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年第四次临时股东大会的授权，公司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日召开第二届董事会第二十七次会议，鉴于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 度权益分派实施完毕及</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位激励对象离职或个人原因弃认，对股权激励相关事项进行调整，审议通过《关于调整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 性股票激励计划相关事项的议案》同意本次股权激励共授予</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人，限制性股票的授予价格为每股</w:t>
      </w:r>
      <w:r>
        <w:rPr>
          <w:rFonts w:ascii="Times New Roman" w:eastAsia="Times New Roman" w:hAnsi="Times New Roman" w:cs="Times New Roman"/>
          <w:color w:val="000000"/>
          <w:spacing w:val="0"/>
          <w:w w:val="100"/>
          <w:position w:val="0"/>
          <w:sz w:val="18"/>
          <w:szCs w:val="18"/>
        </w:rPr>
        <w:t>7.66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元，授予的股票数量 不超过</w:t>
      </w:r>
      <w:r>
        <w:rPr>
          <w:rFonts w:ascii="Times New Roman" w:eastAsia="Times New Roman" w:hAnsi="Times New Roman" w:cs="Times New Roman"/>
          <w:color w:val="000000"/>
          <w:spacing w:val="0"/>
          <w:w w:val="100"/>
          <w:position w:val="0"/>
          <w:sz w:val="18"/>
          <w:szCs w:val="18"/>
        </w:rPr>
        <w:t>288</w:t>
      </w:r>
      <w:r>
        <w:rPr>
          <w:color w:val="000000"/>
          <w:spacing w:val="0"/>
          <w:w w:val="100"/>
          <w:position w:val="0"/>
        </w:rPr>
        <w:t>万股。</w:t>
      </w:r>
    </w:p>
    <w:p>
      <w:pPr>
        <w:pStyle w:val="Style29"/>
        <w:keepNext w:val="0"/>
        <w:keepLines w:val="0"/>
        <w:widowControl w:val="0"/>
        <w:shd w:val="clear" w:color="auto" w:fill="auto"/>
        <w:bidi w:val="0"/>
        <w:spacing w:before="0" w:after="260" w:line="310"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年第四次临时股东大会的授权，公司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日召开第二届董事会第二十八次会议，鉴于本次股权激 励授予对象中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人因个人原因放弃认购其获授的限制性股票，对股权激励对象人数及授予数量进行调整，同意调整结果为： 向</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278.4</w:t>
      </w:r>
      <w:r>
        <w:rPr>
          <w:color w:val="000000"/>
          <w:spacing w:val="0"/>
          <w:w w:val="100"/>
          <w:position w:val="0"/>
        </w:rPr>
        <w:t>万股限制性股票。</w:t>
      </w:r>
    </w:p>
    <w:p>
      <w:pPr>
        <w:pStyle w:val="Style29"/>
        <w:keepNext w:val="0"/>
        <w:keepLines w:val="0"/>
        <w:widowControl w:val="0"/>
        <w:shd w:val="clear" w:color="auto" w:fill="auto"/>
        <w:bidi w:val="0"/>
        <w:spacing w:before="0" w:after="360" w:line="326" w:lineRule="exact"/>
        <w:ind w:left="38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日，公司向</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名激励对象授予限制性股票</w:t>
      </w:r>
      <w:r>
        <w:rPr>
          <w:rFonts w:ascii="Times New Roman" w:eastAsia="Times New Roman" w:hAnsi="Times New Roman" w:cs="Times New Roman"/>
          <w:color w:val="000000"/>
          <w:spacing w:val="0"/>
          <w:w w:val="100"/>
          <w:position w:val="0"/>
          <w:sz w:val="18"/>
          <w:szCs w:val="18"/>
        </w:rPr>
        <w:t>278.4</w:t>
      </w:r>
      <w:r>
        <w:rPr>
          <w:color w:val="000000"/>
          <w:spacing w:val="0"/>
          <w:w w:val="100"/>
          <w:position w:val="0"/>
        </w:rPr>
        <w:t>万股。 具体详见本公司在巨潮资讯网上刊登的公告。</w:t>
      </w:r>
    </w:p>
    <w:p>
      <w:pPr>
        <w:pStyle w:val="Style27"/>
        <w:keepNext/>
        <w:keepLines/>
        <w:widowControl w:val="0"/>
        <w:shd w:val="clear" w:color="auto" w:fill="auto"/>
        <w:bidi w:val="0"/>
        <w:spacing w:before="0" w:line="240" w:lineRule="auto"/>
        <w:ind w:left="0" w:right="0" w:firstLine="0"/>
        <w:jc w:val="left"/>
      </w:pPr>
      <w:bookmarkStart w:id="336" w:name="bookmark336"/>
      <w:bookmarkStart w:id="337" w:name="bookmark337"/>
      <w:bookmarkStart w:id="338" w:name="bookmark338"/>
      <w:r>
        <w:rPr>
          <w:color w:val="000000"/>
          <w:spacing w:val="0"/>
          <w:w w:val="100"/>
          <w:position w:val="0"/>
          <w:sz w:val="24"/>
          <w:szCs w:val="24"/>
        </w:rPr>
        <w:t>十五、重大关联交易</w:t>
      </w:r>
      <w:bookmarkEnd w:id="336"/>
      <w:bookmarkEnd w:id="337"/>
      <w:bookmarkEnd w:id="338"/>
    </w:p>
    <w:p>
      <w:pPr>
        <w:pStyle w:val="Style33"/>
        <w:keepNext/>
        <w:keepLines/>
        <w:widowControl w:val="0"/>
        <w:shd w:val="clear" w:color="auto" w:fill="auto"/>
        <w:tabs>
          <w:tab w:pos="368" w:val="left"/>
        </w:tabs>
        <w:bidi w:val="0"/>
        <w:spacing w:before="0" w:after="26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1</w:t>
      </w:r>
      <w:bookmarkEnd w:id="341"/>
      <w:r>
        <w:rPr>
          <w:color w:val="000000"/>
          <w:spacing w:val="0"/>
          <w:w w:val="100"/>
          <w:position w:val="0"/>
        </w:rPr>
        <w:t>、</w:t>
        <w:tab/>
        <w:t>与日常经营相关的关联交易</w:t>
      </w:r>
      <w:bookmarkEnd w:id="339"/>
      <w:bookmarkEnd w:id="340"/>
      <w:bookmarkEnd w:id="342"/>
    </w:p>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公司报告期未发生与日常经营相关的关联交易。</w:t>
      </w:r>
    </w:p>
    <w:p>
      <w:pPr>
        <w:pStyle w:val="Style33"/>
        <w:keepNext/>
        <w:keepLines/>
        <w:widowControl w:val="0"/>
        <w:shd w:val="clear" w:color="auto" w:fill="auto"/>
        <w:tabs>
          <w:tab w:pos="378" w:val="left"/>
        </w:tabs>
        <w:bidi w:val="0"/>
        <w:spacing w:before="0" w:after="26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2</w:t>
      </w:r>
      <w:bookmarkEnd w:id="345"/>
      <w:r>
        <w:rPr>
          <w:color w:val="000000"/>
          <w:spacing w:val="0"/>
          <w:w w:val="100"/>
          <w:position w:val="0"/>
        </w:rPr>
        <w:t>、</w:t>
        <w:tab/>
        <w:t>资产或股权收购、出售发生的关联交易</w:t>
      </w:r>
      <w:bookmarkEnd w:id="343"/>
      <w:bookmarkEnd w:id="344"/>
      <w:bookmarkEnd w:id="346"/>
    </w:p>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378" w:val="left"/>
        </w:tabs>
        <w:bidi w:val="0"/>
        <w:spacing w:before="0" w:after="26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3</w:t>
      </w:r>
      <w:bookmarkEnd w:id="349"/>
      <w:r>
        <w:rPr>
          <w:color w:val="000000"/>
          <w:spacing w:val="0"/>
          <w:w w:val="100"/>
          <w:position w:val="0"/>
        </w:rPr>
        <w:t>、</w:t>
        <w:tab/>
        <w:t>共同对外投资的关联交易</w:t>
      </w:r>
      <w:bookmarkEnd w:id="347"/>
      <w:bookmarkEnd w:id="348"/>
      <w:bookmarkEnd w:id="350"/>
    </w:p>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after="26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4</w:t>
      </w:r>
      <w:bookmarkEnd w:id="353"/>
      <w:r>
        <w:rPr>
          <w:color w:val="000000"/>
          <w:spacing w:val="0"/>
          <w:w w:val="100"/>
          <w:position w:val="0"/>
        </w:rPr>
        <w:t>、</w:t>
        <w:tab/>
        <w:t>关联债权债务往来</w:t>
      </w:r>
      <w:bookmarkEnd w:id="351"/>
      <w:bookmarkEnd w:id="352"/>
      <w:bookmarkEnd w:id="354"/>
    </w:p>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公司报告期不存在关联债权债务往来。</w:t>
      </w:r>
    </w:p>
    <w:p>
      <w:pPr>
        <w:pStyle w:val="Style33"/>
        <w:keepNext/>
        <w:keepLines/>
        <w:widowControl w:val="0"/>
        <w:shd w:val="clear" w:color="auto" w:fill="auto"/>
        <w:tabs>
          <w:tab w:pos="378" w:val="left"/>
        </w:tabs>
        <w:bidi w:val="0"/>
        <w:spacing w:before="0" w:after="26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5</w:t>
      </w:r>
      <w:bookmarkEnd w:id="357"/>
      <w:r>
        <w:rPr>
          <w:color w:val="000000"/>
          <w:spacing w:val="0"/>
          <w:w w:val="100"/>
          <w:position w:val="0"/>
        </w:rPr>
        <w:t>、</w:t>
        <w:tab/>
        <w:t>其他重大关联交易</w:t>
      </w:r>
      <w:bookmarkEnd w:id="355"/>
      <w:bookmarkEnd w:id="356"/>
      <w:bookmarkEnd w:id="358"/>
    </w:p>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公司报告期无其他重大关联交易。</w:t>
      </w:r>
    </w:p>
    <w:p>
      <w:pPr>
        <w:pStyle w:val="Style27"/>
        <w:keepNext/>
        <w:keepLines/>
        <w:widowControl w:val="0"/>
        <w:shd w:val="clear" w:color="auto" w:fill="auto"/>
        <w:bidi w:val="0"/>
        <w:spacing w:before="0" w:line="240" w:lineRule="auto"/>
        <w:ind w:left="0" w:right="0" w:firstLine="0"/>
        <w:jc w:val="left"/>
      </w:pPr>
      <w:bookmarkStart w:id="359" w:name="bookmark359"/>
      <w:bookmarkStart w:id="360" w:name="bookmark360"/>
      <w:bookmarkStart w:id="361" w:name="bookmark361"/>
      <w:r>
        <w:rPr>
          <w:color w:val="000000"/>
          <w:spacing w:val="0"/>
          <w:w w:val="100"/>
          <w:position w:val="0"/>
          <w:sz w:val="24"/>
          <w:szCs w:val="24"/>
        </w:rPr>
        <w:t>十六、重大合同及其履行情况</w:t>
      </w:r>
      <w:bookmarkEnd w:id="359"/>
      <w:bookmarkEnd w:id="360"/>
      <w:bookmarkEnd w:id="361"/>
    </w:p>
    <w:p>
      <w:pPr>
        <w:pStyle w:val="Style33"/>
        <w:keepNext/>
        <w:keepLines/>
        <w:widowControl w:val="0"/>
        <w:shd w:val="clear" w:color="auto" w:fill="auto"/>
        <w:bidi w:val="0"/>
        <w:spacing w:before="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1</w:t>
      </w:r>
      <w:bookmarkEnd w:id="364"/>
      <w:r>
        <w:rPr>
          <w:color w:val="000000"/>
          <w:spacing w:val="0"/>
          <w:w w:val="100"/>
          <w:position w:val="0"/>
        </w:rPr>
        <w:t>、托管、承包、租赁事项情况</w:t>
      </w:r>
      <w:bookmarkEnd w:id="362"/>
      <w:bookmarkEnd w:id="363"/>
      <w:bookmarkEnd w:id="365"/>
    </w:p>
    <w:p>
      <w:pPr>
        <w:pStyle w:val="Style55"/>
        <w:keepNext/>
        <w:keepLines/>
        <w:widowControl w:val="0"/>
        <w:shd w:val="clear" w:color="auto" w:fill="auto"/>
        <w:tabs>
          <w:tab w:pos="493" w:val="left"/>
        </w:tabs>
        <w:bidi w:val="0"/>
        <w:spacing w:before="0" w:after="260" w:line="240" w:lineRule="auto"/>
        <w:ind w:left="0" w:right="0" w:firstLine="0"/>
        <w:jc w:val="left"/>
      </w:pPr>
      <w:bookmarkStart w:id="366" w:name="bookmark366"/>
      <w:bookmarkStart w:id="367" w:name="bookmark367"/>
      <w:bookmarkStart w:id="368" w:name="bookmark368"/>
      <w:bookmarkStart w:id="369" w:name="bookmark369"/>
      <w:r>
        <w:rPr>
          <w:color w:val="000000"/>
          <w:spacing w:val="0"/>
          <w:w w:val="100"/>
          <w:position w:val="0"/>
        </w:rPr>
        <w:t>（</w:t>
      </w:r>
      <w:bookmarkEnd w:id="36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6"/>
      <w:bookmarkEnd w:id="367"/>
      <w:bookmarkEnd w:id="369"/>
    </w:p>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公司报告期不存在托管情况。</w:t>
      </w:r>
    </w:p>
    <w:p>
      <w:pPr>
        <w:pStyle w:val="Style55"/>
        <w:keepNext/>
        <w:keepLines/>
        <w:widowControl w:val="0"/>
        <w:shd w:val="clear" w:color="auto" w:fill="auto"/>
        <w:tabs>
          <w:tab w:pos="493" w:val="left"/>
        </w:tabs>
        <w:bidi w:val="0"/>
        <w:spacing w:before="0" w:after="26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w:t>
      </w:r>
      <w:bookmarkEnd w:id="37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70"/>
      <w:bookmarkEnd w:id="371"/>
      <w:bookmarkEnd w:id="373"/>
    </w:p>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60" w:line="326" w:lineRule="exact"/>
        <w:ind w:left="0" w:right="0" w:firstLine="0"/>
        <w:jc w:val="left"/>
      </w:pPr>
      <w:r>
        <w:rPr>
          <w:color w:val="000000"/>
          <w:spacing w:val="0"/>
          <w:w w:val="100"/>
          <w:position w:val="0"/>
        </w:rPr>
        <w:t>公司报告期不存在承包情况。</w:t>
      </w:r>
    </w:p>
    <w:p>
      <w:pPr>
        <w:pStyle w:val="Style55"/>
        <w:keepNext/>
        <w:keepLines/>
        <w:widowControl w:val="0"/>
        <w:shd w:val="clear" w:color="auto" w:fill="auto"/>
        <w:bidi w:val="0"/>
        <w:spacing w:before="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w:t>
      </w:r>
      <w:bookmarkEnd w:id="376"/>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374"/>
      <w:bookmarkEnd w:id="375"/>
      <w:bookmarkEnd w:id="37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3"/>
        <w:keepNext/>
        <w:keepLines/>
        <w:widowControl w:val="0"/>
        <w:shd w:val="clear" w:color="auto" w:fill="auto"/>
        <w:bidi w:val="0"/>
        <w:spacing w:before="0" w:after="38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2</w:t>
      </w:r>
      <w:bookmarkEnd w:id="380"/>
      <w:r>
        <w:rPr>
          <w:color w:val="000000"/>
          <w:spacing w:val="0"/>
          <w:w w:val="100"/>
          <w:position w:val="0"/>
        </w:rPr>
        <w:t>、重大担保</w:t>
      </w:r>
      <w:bookmarkEnd w:id="378"/>
      <w:bookmarkEnd w:id="379"/>
      <w:bookmarkEnd w:id="381"/>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5"/>
        <w:keepNext/>
        <w:keepLines/>
        <w:widowControl w:val="0"/>
        <w:shd w:val="clear" w:color="auto" w:fill="auto"/>
        <w:bidi w:val="0"/>
        <w:spacing w:before="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w:t>
      </w:r>
      <w:bookmarkEnd w:id="384"/>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82"/>
      <w:bookmarkEnd w:id="383"/>
      <w:bookmarkEnd w:id="385"/>
    </w:p>
    <w:p>
      <w:pPr>
        <w:pStyle w:val="Style51"/>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14"/>
        <w:gridCol w:w="922"/>
        <w:gridCol w:w="922"/>
        <w:gridCol w:w="1301"/>
        <w:gridCol w:w="1061"/>
        <w:gridCol w:w="1037"/>
        <w:gridCol w:w="1051"/>
        <w:gridCol w:w="787"/>
        <w:gridCol w:w="792"/>
      </w:tblGrid>
      <w:tr>
        <w:trPr>
          <w:trHeight w:val="403" w:hRule="exact"/>
        </w:trPr>
        <w:tc>
          <w:tcPr>
            <w:gridSpan w:val="9"/>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北京中北万兴国际贸</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6,700</w:t>
            </w:r>
            <w:r>
              <w:rPr>
                <w:rFonts w:ascii="Times New Roman" w:eastAsia="Times New Roman" w:hAnsi="Times New Roman" w:cs="Times New Roman"/>
                <w:color w:val="000000"/>
                <w:spacing w:val="0"/>
                <w:w w:val="100"/>
                <w:position w:val="0"/>
                <w:sz w:val="18"/>
                <w:szCs w:val="18"/>
                <w:vertAlign w:val="superscript"/>
              </w:rPr>
              <w:footnoteReference w:id="3"/>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6,700</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w:t>
            </w:r>
          </w:p>
        </w:tc>
      </w:tr>
      <w:tr>
        <w:trPr>
          <w:trHeight w:val="710" w:hRule="exact"/>
        </w:trPr>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报告期末已审批的对外担保额度</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6,700</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报告期末实际对外担保余</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报告期内审批担保额度合计</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6,700</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报告期内担保实际发生额</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w:t>
            </w:r>
          </w:p>
        </w:tc>
      </w:tr>
      <w:tr>
        <w:trPr>
          <w:trHeight w:val="715" w:hRule="exact"/>
        </w:trPr>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报告期末已审批的担保额度合计</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6,700</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报告期末实际担保余额合</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4"/>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4858"/>
        <w:gridCol w:w="4728"/>
      </w:tblGrid>
      <w:tr>
        <w:trPr>
          <w:trHeight w:val="403" w:hRule="exact"/>
        </w:trPr>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对未到期担保，报告期内已发生担保责任或可能承担连带清偿 责任的情况说明（如有）</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连带保证责任</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采用复合方式担保的具体情况说明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55"/>
        <w:keepNext/>
        <w:keepLines/>
        <w:widowControl w:val="0"/>
        <w:shd w:val="clear" w:color="auto" w:fill="auto"/>
        <w:bidi w:val="0"/>
        <w:spacing w:before="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w:t>
      </w:r>
      <w:bookmarkEnd w:id="388"/>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86"/>
      <w:bookmarkEnd w:id="387"/>
      <w:bookmarkEnd w:id="389"/>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3"/>
        <w:keepNext/>
        <w:keepLines/>
        <w:widowControl w:val="0"/>
        <w:shd w:val="clear" w:color="auto" w:fill="auto"/>
        <w:bidi w:val="0"/>
        <w:spacing w:before="0" w:after="38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3</w:t>
      </w:r>
      <w:bookmarkEnd w:id="392"/>
      <w:r>
        <w:rPr>
          <w:color w:val="000000"/>
          <w:spacing w:val="0"/>
          <w:w w:val="100"/>
          <w:position w:val="0"/>
        </w:rPr>
        <w:t>、委托他人进行现金资产管理情况</w:t>
      </w:r>
      <w:bookmarkEnd w:id="390"/>
      <w:bookmarkEnd w:id="391"/>
      <w:bookmarkEnd w:id="393"/>
    </w:p>
    <w:p>
      <w:pPr>
        <w:pStyle w:val="Style55"/>
        <w:keepNext/>
        <w:keepLines/>
        <w:widowControl w:val="0"/>
        <w:shd w:val="clear" w:color="auto" w:fill="auto"/>
        <w:bidi w:val="0"/>
        <w:spacing w:before="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rPr>
        <w:t>（</w:t>
      </w:r>
      <w:bookmarkEnd w:id="396"/>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94"/>
      <w:bookmarkEnd w:id="395"/>
      <w:bookmarkEnd w:id="397"/>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0"/>
        <w:gridCol w:w="840"/>
        <w:gridCol w:w="874"/>
        <w:gridCol w:w="806"/>
        <w:gridCol w:w="802"/>
        <w:gridCol w:w="802"/>
        <w:gridCol w:w="806"/>
        <w:gridCol w:w="802"/>
        <w:gridCol w:w="806"/>
        <w:gridCol w:w="802"/>
        <w:gridCol w:w="605"/>
      </w:tblGrid>
      <w:tr>
        <w:trPr>
          <w:trHeight w:val="134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计提减值 准备金额</w:t>
            </w:r>
          </w:p>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（如有）</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98" w:lineRule="exact"/>
              <w:ind w:left="0" w:right="0" w:firstLine="0"/>
              <w:jc w:val="right"/>
            </w:pPr>
            <w:r>
              <w:rPr>
                <w:color w:val="000000"/>
                <w:spacing w:val="0"/>
                <w:w w:val="100"/>
                <w:position w:val="0"/>
              </w:rPr>
              <w:t>报告期实 际损益金</w:t>
            </w:r>
          </w:p>
          <w:p>
            <w:pPr>
              <w:pStyle w:val="Style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 损益实 际收回 情况</w:t>
            </w:r>
          </w:p>
        </w:tc>
      </w:tr>
      <w:tr>
        <w:trPr>
          <w:trHeight w:val="1022"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民生银行 亚运村支 行</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保本浮动 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市场利率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31.64</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民生银行 亚运村支 行</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保本浮动 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市场利率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33.67</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民生银行 亚运村支 行</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保本浮动 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市场利率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15.34</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民生银行 亚运村支 行</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保本浮动 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市场利率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8"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市场利率</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25.48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25.48</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806"/>
        <w:gridCol w:w="830"/>
        <w:gridCol w:w="840"/>
        <w:gridCol w:w="874"/>
        <w:gridCol w:w="806"/>
        <w:gridCol w:w="802"/>
        <w:gridCol w:w="802"/>
        <w:gridCol w:w="806"/>
        <w:gridCol w:w="802"/>
        <w:gridCol w:w="806"/>
        <w:gridCol w:w="802"/>
        <w:gridCol w:w="605"/>
      </w:tblGrid>
      <w:tr>
        <w:trPr>
          <w:trHeight w:val="677" w:hRule="exact"/>
        </w:trPr>
        <w:tc>
          <w:tcPr>
            <w:tcBorders>
              <w:top w:val="single" w:sz="4"/>
              <w:left w:val="single" w:sz="4"/>
            </w:tcBorders>
            <w:shd w:val="clear" w:color="auto" w:fill="C8EDCC"/>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北京分行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437" w:hRule="exact"/>
        </w:trPr>
        <w:tc>
          <w:tcPr>
            <w:vMerge w:val="restart"/>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C8EDCC"/>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C8EDCC"/>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3" w:hRule="exact"/>
        </w:trPr>
        <w:tc>
          <w:tcPr>
            <w:vMerge/>
            <w:tcBorders>
              <w:left w:val="single" w:sz="4"/>
            </w:tcBorders>
            <w:shd w:val="clear" w:color="auto" w:fill="C8EDCC"/>
            <w:vAlign w:val="center"/>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vMerge/>
            <w:tcBorders>
              <w:left w:val="single" w:sz="4"/>
            </w:tcBorders>
            <w:shd w:val="clear" w:color="auto" w:fill="C8EDCC"/>
            <w:vAlign w:val="center"/>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vMerge/>
            <w:tcBorders>
              <w:left w:val="single" w:sz="4"/>
            </w:tcBorders>
            <w:shd w:val="clear" w:color="auto" w:fill="C8EDCC"/>
            <w:vAlign w:val="bottom"/>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2.15</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2.15</w:t>
            </w:r>
          </w:p>
        </w:tc>
        <w:tc>
          <w:tcPr>
            <w:vMerge/>
            <w:tcBorders>
              <w:left w:val="single" w:sz="4"/>
              <w:right w:val="single" w:sz="4"/>
            </w:tcBorders>
            <w:shd w:val="clear" w:color="auto" w:fill="C8EDCC"/>
            <w:vAlign w:val="bottom"/>
          </w:tcPr>
          <w:p>
            <w:pPr/>
          </w:p>
        </w:tc>
      </w:tr>
      <w:tr>
        <w:trPr>
          <w:trHeight w:val="427" w:hRule="exact"/>
        </w:trPr>
        <w:tc>
          <w:tcPr>
            <w:tcBorders>
              <w:left w:val="single" w:sz="4"/>
            </w:tcBorders>
            <w:shd w:val="clear" w:color="auto" w:fill="C8EDCC"/>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8EDCC"/>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C8EDCC"/>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8EDCC"/>
            <w:vAlign w:val="top"/>
          </w:tcPr>
          <w:p>
            <w:pPr>
              <w:widowControl w:val="0"/>
              <w:rPr>
                <w:sz w:val="10"/>
                <w:szCs w:val="10"/>
              </w:rPr>
            </w:pPr>
          </w:p>
        </w:tc>
      </w:tr>
      <w:tr>
        <w:trPr>
          <w:trHeight w:val="437" w:hRule="exact"/>
        </w:trPr>
        <w:tc>
          <w:tcPr>
            <w:vMerge w:val="restart"/>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4" w:hRule="exact"/>
        </w:trPr>
        <w:tc>
          <w:tcPr>
            <w:vMerge/>
            <w:tcBorders>
              <w:left w:val="single" w:sz="4"/>
            </w:tcBorders>
            <w:shd w:val="clear" w:color="auto" w:fill="C8EDCC"/>
            <w:vAlign w:val="center"/>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vMerge/>
            <w:tcBorders>
              <w:left w:val="single" w:sz="4"/>
            </w:tcBorders>
            <w:shd w:val="clear" w:color="auto" w:fill="C8EDCC"/>
            <w:vAlign w:val="center"/>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vMerge/>
            <w:tcBorders>
              <w:left w:val="single" w:sz="4"/>
            </w:tcBorders>
            <w:shd w:val="clear" w:color="auto" w:fill="C8EDCC"/>
            <w:vAlign w:val="center"/>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4.53</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4.53</w:t>
            </w:r>
          </w:p>
        </w:tc>
        <w:tc>
          <w:tcPr>
            <w:vMerge/>
            <w:tcBorders>
              <w:left w:val="single" w:sz="4"/>
              <w:right w:val="single" w:sz="4"/>
            </w:tcBorders>
            <w:shd w:val="clear" w:color="auto" w:fill="C8EDCC"/>
            <w:vAlign w:val="center"/>
          </w:tcPr>
          <w:p>
            <w:pPr/>
          </w:p>
        </w:tc>
      </w:tr>
      <w:tr>
        <w:trPr>
          <w:trHeight w:val="437" w:hRule="exact"/>
        </w:trPr>
        <w:tc>
          <w:tcPr>
            <w:tcBorders>
              <w:left w:val="single" w:sz="4"/>
            </w:tcBorders>
            <w:shd w:val="clear" w:color="auto" w:fill="C8EDCC"/>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北京分行</w:t>
            </w:r>
          </w:p>
        </w:tc>
        <w:tc>
          <w:tcPr>
            <w:vMerge/>
            <w:tcBorders>
              <w:left w:val="single" w:sz="4"/>
            </w:tcBorders>
            <w:shd w:val="clear" w:color="auto" w:fill="FFFFFF"/>
            <w:vAlign w:val="top"/>
          </w:tcPr>
          <w:p>
            <w:pPr/>
          </w:p>
        </w:tc>
        <w:tc>
          <w:tcPr>
            <w:tcBorders>
              <w:left w:val="single" w:sz="4"/>
            </w:tcBorders>
            <w:shd w:val="clear" w:color="auto" w:fill="C8EDCC"/>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C8EDCC"/>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C8EDCC"/>
            <w:vAlign w:val="center"/>
          </w:tcPr>
          <w:p>
            <w:pPr/>
          </w:p>
        </w:tc>
      </w:tr>
      <w:tr>
        <w:trPr>
          <w:trHeight w:val="274"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163" w:hRule="exact"/>
        </w:trPr>
        <w:tc>
          <w:tcPr>
            <w:tcBorders>
              <w:left w:val="single" w:sz="4"/>
            </w:tcBorders>
            <w:shd w:val="clear" w:color="auto" w:fill="C8EDCC"/>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8EDCC"/>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C8EDCC"/>
            <w:vAlign w:val="top"/>
          </w:tcPr>
          <w:p>
            <w:pPr>
              <w:pStyle w:val="Style5"/>
              <w:keepNext w:val="0"/>
              <w:keepLines w:val="0"/>
              <w:widowControl w:val="0"/>
              <w:shd w:val="clear" w:color="auto" w:fill="auto"/>
              <w:bidi w:val="0"/>
              <w:spacing w:before="140" w:after="0" w:line="240" w:lineRule="auto"/>
              <w:ind w:left="0" w:right="0" w:firstLine="0"/>
              <w:jc w:val="left"/>
            </w:pPr>
            <w:r>
              <w:rPr>
                <w:color w:val="000000"/>
                <w:spacing w:val="0"/>
                <w:w w:val="100"/>
                <w:position w:val="0"/>
              </w:rPr>
              <w:t>市场利率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C8EDCC"/>
            <w:vAlign w:val="top"/>
          </w:tcPr>
          <w:p>
            <w:pPr>
              <w:pStyle w:val="Style5"/>
              <w:keepNext w:val="0"/>
              <w:keepLines w:val="0"/>
              <w:widowControl w:val="0"/>
              <w:shd w:val="clear" w:color="auto" w:fill="auto"/>
              <w:bidi w:val="0"/>
              <w:spacing w:before="140" w:after="0" w:line="240" w:lineRule="auto"/>
              <w:ind w:left="0" w:right="0" w:firstLine="0"/>
              <w:jc w:val="left"/>
            </w:pPr>
            <w:r>
              <w:rPr>
                <w:color w:val="000000"/>
                <w:spacing w:val="0"/>
                <w:w w:val="100"/>
                <w:position w:val="0"/>
              </w:rPr>
              <w:t>不适用</w:t>
            </w:r>
          </w:p>
        </w:tc>
      </w:tr>
      <w:tr>
        <w:trPr>
          <w:trHeight w:val="586" w:hRule="exact"/>
        </w:trPr>
        <w:tc>
          <w:tcPr>
            <w:tcBorders>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北京分行</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C8EDCC"/>
            <w:vAlign w:val="top"/>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4.45</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4.45</w:t>
            </w:r>
          </w:p>
        </w:tc>
        <w:tc>
          <w:tcPr>
            <w:vMerge/>
            <w:tcBorders>
              <w:left w:val="single" w:sz="4"/>
              <w:right w:val="single" w:sz="4"/>
            </w:tcBorders>
            <w:shd w:val="clear" w:color="auto" w:fill="C8EDCC"/>
            <w:vAlign w:val="top"/>
          </w:tcPr>
          <w:p>
            <w:pPr/>
          </w:p>
        </w:tc>
      </w:tr>
      <w:tr>
        <w:trPr>
          <w:trHeight w:val="437" w:hRule="exact"/>
        </w:trPr>
        <w:tc>
          <w:tcPr>
            <w:vMerge w:val="restart"/>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C8EDCC"/>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8" w:hRule="exact"/>
        </w:trPr>
        <w:tc>
          <w:tcPr>
            <w:vMerge/>
            <w:tcBorders>
              <w:left w:val="single" w:sz="4"/>
            </w:tcBorders>
            <w:shd w:val="clear" w:color="auto" w:fill="C8EDCC"/>
            <w:vAlign w:val="center"/>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vMerge/>
            <w:tcBorders>
              <w:left w:val="single" w:sz="4"/>
            </w:tcBorders>
            <w:shd w:val="clear" w:color="auto" w:fill="C8EDCC"/>
            <w:vAlign w:val="center"/>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vMerge/>
            <w:tcBorders>
              <w:left w:val="single" w:sz="4"/>
            </w:tcBorders>
            <w:shd w:val="clear" w:color="auto" w:fill="C8EDCC"/>
            <w:vAlign w:val="center"/>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6.58</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6.58</w:t>
            </w:r>
          </w:p>
        </w:tc>
        <w:tc>
          <w:tcPr>
            <w:vMerge/>
            <w:tcBorders>
              <w:left w:val="single" w:sz="4"/>
              <w:right w:val="single" w:sz="4"/>
            </w:tcBorders>
            <w:shd w:val="clear" w:color="auto" w:fill="C8EDCC"/>
            <w:vAlign w:val="bottom"/>
          </w:tcPr>
          <w:p>
            <w:pPr/>
          </w:p>
        </w:tc>
      </w:tr>
      <w:tr>
        <w:trPr>
          <w:trHeight w:val="432" w:hRule="exact"/>
        </w:trPr>
        <w:tc>
          <w:tcPr>
            <w:tcBorders>
              <w:left w:val="single" w:sz="4"/>
            </w:tcBorders>
            <w:shd w:val="clear" w:color="auto" w:fill="C8EDCC"/>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北京分行</w:t>
            </w:r>
          </w:p>
        </w:tc>
        <w:tc>
          <w:tcPr>
            <w:vMerge/>
            <w:tcBorders>
              <w:left w:val="single" w:sz="4"/>
            </w:tcBorders>
            <w:shd w:val="clear" w:color="auto" w:fill="FFFFFF"/>
            <w:vAlign w:val="top"/>
          </w:tcPr>
          <w:p>
            <w:pPr/>
          </w:p>
        </w:tc>
        <w:tc>
          <w:tcPr>
            <w:tcBorders>
              <w:left w:val="single" w:sz="4"/>
            </w:tcBorders>
            <w:shd w:val="clear" w:color="auto" w:fill="C8EDCC"/>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C8EDCC"/>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8EDCC"/>
            <w:vAlign w:val="top"/>
          </w:tcPr>
          <w:p>
            <w:pPr>
              <w:widowControl w:val="0"/>
              <w:rPr>
                <w:sz w:val="10"/>
                <w:szCs w:val="10"/>
              </w:rPr>
            </w:pPr>
          </w:p>
        </w:tc>
      </w:tr>
      <w:tr>
        <w:trPr>
          <w:trHeight w:val="437" w:hRule="exact"/>
        </w:trPr>
        <w:tc>
          <w:tcPr>
            <w:vMerge w:val="restart"/>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C8EDCC"/>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8" w:hRule="exact"/>
        </w:trPr>
        <w:tc>
          <w:tcPr>
            <w:vMerge/>
            <w:tcBorders>
              <w:left w:val="single" w:sz="4"/>
            </w:tcBorders>
            <w:shd w:val="clear" w:color="auto" w:fill="C8EDCC"/>
            <w:vAlign w:val="center"/>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vMerge/>
            <w:tcBorders>
              <w:left w:val="single" w:sz="4"/>
            </w:tcBorders>
            <w:shd w:val="clear" w:color="auto" w:fill="C8EDCC"/>
            <w:vAlign w:val="center"/>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vMerge/>
            <w:tcBorders>
              <w:left w:val="single" w:sz="4"/>
            </w:tcBorders>
            <w:shd w:val="clear" w:color="auto" w:fill="C8EDCC"/>
            <w:vAlign w:val="center"/>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7.81</w:t>
            </w: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7.81</w:t>
            </w:r>
          </w:p>
        </w:tc>
        <w:tc>
          <w:tcPr>
            <w:vMerge/>
            <w:tcBorders>
              <w:left w:val="single" w:sz="4"/>
              <w:right w:val="single" w:sz="4"/>
            </w:tcBorders>
            <w:shd w:val="clear" w:color="auto" w:fill="C8EDCC"/>
            <w:vAlign w:val="bottom"/>
          </w:tcPr>
          <w:p>
            <w:pPr/>
          </w:p>
        </w:tc>
      </w:tr>
      <w:tr>
        <w:trPr>
          <w:trHeight w:val="432" w:hRule="exact"/>
        </w:trPr>
        <w:tc>
          <w:tcPr>
            <w:tcBorders>
              <w:left w:val="single" w:sz="4"/>
            </w:tcBorders>
            <w:shd w:val="clear" w:color="auto" w:fill="C8EDCC"/>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北京分行</w:t>
            </w:r>
          </w:p>
        </w:tc>
        <w:tc>
          <w:tcPr>
            <w:vMerge/>
            <w:tcBorders>
              <w:left w:val="single" w:sz="4"/>
            </w:tcBorders>
            <w:shd w:val="clear" w:color="auto" w:fill="FFFFFF"/>
            <w:vAlign w:val="top"/>
          </w:tcPr>
          <w:p>
            <w:pPr/>
          </w:p>
        </w:tc>
        <w:tc>
          <w:tcPr>
            <w:tcBorders>
              <w:left w:val="single" w:sz="4"/>
            </w:tcBorders>
            <w:shd w:val="clear" w:color="auto" w:fill="C8EDCC"/>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C8EDCC"/>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8EDCC"/>
            <w:vAlign w:val="top"/>
          </w:tcPr>
          <w:p>
            <w:pPr>
              <w:widowControl w:val="0"/>
              <w:rPr>
                <w:sz w:val="10"/>
                <w:szCs w:val="10"/>
              </w:rPr>
            </w:pPr>
          </w:p>
        </w:tc>
      </w:tr>
      <w:tr>
        <w:trPr>
          <w:trHeight w:val="437" w:hRule="exact"/>
        </w:trPr>
        <w:tc>
          <w:tcPr>
            <w:vMerge w:val="restart"/>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C8EDCC"/>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8" w:hRule="exact"/>
        </w:trPr>
        <w:tc>
          <w:tcPr>
            <w:vMerge/>
            <w:tcBorders>
              <w:left w:val="single" w:sz="4"/>
            </w:tcBorders>
            <w:shd w:val="clear" w:color="auto" w:fill="C8EDCC"/>
            <w:vAlign w:val="center"/>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vMerge/>
            <w:tcBorders>
              <w:left w:val="single" w:sz="4"/>
            </w:tcBorders>
            <w:shd w:val="clear" w:color="auto" w:fill="C8EDCC"/>
            <w:vAlign w:val="center"/>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vMerge/>
            <w:tcBorders>
              <w:left w:val="single" w:sz="4"/>
            </w:tcBorders>
            <w:shd w:val="clear" w:color="auto" w:fill="C8EDCC"/>
            <w:vAlign w:val="center"/>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0.54</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0.54</w:t>
            </w:r>
          </w:p>
        </w:tc>
        <w:tc>
          <w:tcPr>
            <w:vMerge/>
            <w:tcBorders>
              <w:left w:val="single" w:sz="4"/>
              <w:right w:val="single" w:sz="4"/>
            </w:tcBorders>
            <w:shd w:val="clear" w:color="auto" w:fill="C8EDCC"/>
            <w:vAlign w:val="bottom"/>
          </w:tcPr>
          <w:p>
            <w:pPr/>
          </w:p>
        </w:tc>
      </w:tr>
      <w:tr>
        <w:trPr>
          <w:trHeight w:val="432" w:hRule="exact"/>
        </w:trPr>
        <w:tc>
          <w:tcPr>
            <w:tcBorders>
              <w:left w:val="single" w:sz="4"/>
            </w:tcBorders>
            <w:shd w:val="clear" w:color="auto" w:fill="C8EDCC"/>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北京分行</w:t>
            </w:r>
          </w:p>
        </w:tc>
        <w:tc>
          <w:tcPr>
            <w:vMerge/>
            <w:tcBorders>
              <w:left w:val="single" w:sz="4"/>
            </w:tcBorders>
            <w:shd w:val="clear" w:color="auto" w:fill="FFFFFF"/>
            <w:vAlign w:val="top"/>
          </w:tcPr>
          <w:p>
            <w:pPr/>
          </w:p>
        </w:tc>
        <w:tc>
          <w:tcPr>
            <w:tcBorders>
              <w:left w:val="single" w:sz="4"/>
            </w:tcBorders>
            <w:shd w:val="clear" w:color="auto" w:fill="C8EDCC"/>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C8EDCC"/>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8EDCC"/>
            <w:vAlign w:val="top"/>
          </w:tcPr>
          <w:p>
            <w:pPr>
              <w:widowControl w:val="0"/>
              <w:rPr>
                <w:sz w:val="10"/>
                <w:szCs w:val="10"/>
              </w:rPr>
            </w:pPr>
          </w:p>
        </w:tc>
      </w:tr>
      <w:tr>
        <w:trPr>
          <w:trHeight w:val="35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317" w:hRule="exact"/>
        </w:trPr>
        <w:tc>
          <w:tcPr>
            <w:tcBorders>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朝阳公园</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非保本型</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市场利率</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w:t>
            </w:r>
          </w:p>
        </w:tc>
        <w:tc>
          <w:tcPr>
            <w:tcBorders>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50" w:hRule="exact"/>
        </w:trPr>
        <w:tc>
          <w:tcPr>
            <w:tcBorders>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8EDCC"/>
            <w:vAlign w:val="top"/>
          </w:tcPr>
          <w:p>
            <w:pPr>
              <w:widowControl w:val="0"/>
              <w:rPr>
                <w:sz w:val="10"/>
                <w:szCs w:val="10"/>
              </w:rPr>
            </w:pPr>
          </w:p>
        </w:tc>
      </w:tr>
      <w:tr>
        <w:trPr>
          <w:trHeight w:val="360"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312" w:hRule="exact"/>
        </w:trPr>
        <w:tc>
          <w:tcPr>
            <w:tcBorders>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非保本型</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市场利率</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7.54</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7.54</w:t>
            </w:r>
          </w:p>
        </w:tc>
        <w:tc>
          <w:tcPr>
            <w:tcBorders>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55" w:hRule="exact"/>
        </w:trPr>
        <w:tc>
          <w:tcPr>
            <w:tcBorders>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8EDCC"/>
            <w:vAlign w:val="top"/>
          </w:tcPr>
          <w:p>
            <w:pPr>
              <w:widowControl w:val="0"/>
              <w:rPr>
                <w:sz w:val="10"/>
                <w:szCs w:val="10"/>
              </w:rPr>
            </w:pPr>
          </w:p>
        </w:tc>
      </w:tr>
      <w:tr>
        <w:trPr>
          <w:trHeight w:val="360"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312" w:hRule="exact"/>
        </w:trPr>
        <w:tc>
          <w:tcPr>
            <w:tcBorders>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亚运村支</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非保本型</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市场利率</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5.52</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5.52</w:t>
            </w:r>
          </w:p>
        </w:tc>
        <w:tc>
          <w:tcPr>
            <w:tcBorders>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55" w:hRule="exact"/>
        </w:trPr>
        <w:tc>
          <w:tcPr>
            <w:tcBorders>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8EDCC"/>
            <w:vAlign w:val="top"/>
          </w:tcPr>
          <w:p>
            <w:pPr>
              <w:widowControl w:val="0"/>
              <w:rPr>
                <w:sz w:val="10"/>
                <w:szCs w:val="10"/>
              </w:rPr>
            </w:pPr>
          </w:p>
        </w:tc>
      </w:tr>
      <w:tr>
        <w:trPr>
          <w:trHeight w:val="360"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312" w:hRule="exact"/>
        </w:trPr>
        <w:tc>
          <w:tcPr>
            <w:tcBorders>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非保本型</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市场利率</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0.75</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55" w:hRule="exact"/>
        </w:trPr>
        <w:tc>
          <w:tcPr>
            <w:tcBorders>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8EDCC"/>
            <w:vAlign w:val="top"/>
          </w:tcPr>
          <w:p>
            <w:pPr>
              <w:widowControl w:val="0"/>
              <w:rPr>
                <w:sz w:val="10"/>
                <w:szCs w:val="10"/>
              </w:rPr>
            </w:pPr>
          </w:p>
        </w:tc>
      </w:tr>
      <w:tr>
        <w:trPr>
          <w:trHeight w:val="360"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307" w:hRule="exact"/>
        </w:trPr>
        <w:tc>
          <w:tcPr>
            <w:tcBorders>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朝阳公园</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非保本型</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市场利率</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2.85</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55" w:hRule="exact"/>
        </w:trPr>
        <w:tc>
          <w:tcPr>
            <w:tcBorders>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8EDCC"/>
            <w:vAlign w:val="top"/>
          </w:tcPr>
          <w:p>
            <w:pPr>
              <w:widowControl w:val="0"/>
              <w:rPr>
                <w:sz w:val="10"/>
                <w:szCs w:val="10"/>
              </w:rPr>
            </w:pPr>
          </w:p>
        </w:tc>
      </w:tr>
      <w:tr>
        <w:trPr>
          <w:trHeight w:val="360"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312" w:hRule="exact"/>
        </w:trPr>
        <w:tc>
          <w:tcPr>
            <w:tcBorders>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朝阳公园</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非保本型</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市场利率</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2,700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1.68</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55" w:hRule="exact"/>
        </w:trPr>
        <w:tc>
          <w:tcPr>
            <w:tcBorders>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8EDCC"/>
            <w:vAlign w:val="top"/>
          </w:tcPr>
          <w:p>
            <w:pPr>
              <w:widowControl w:val="0"/>
              <w:rPr>
                <w:sz w:val="10"/>
                <w:szCs w:val="10"/>
              </w:rPr>
            </w:pPr>
          </w:p>
        </w:tc>
      </w:tr>
      <w:tr>
        <w:trPr>
          <w:trHeight w:val="403" w:hRule="exact"/>
        </w:trPr>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91,000</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181.86</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gridSpan w:val="3"/>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委托理财资金来源</w:t>
            </w:r>
          </w:p>
        </w:tc>
        <w:tc>
          <w:tcPr>
            <w:gridSpan w:val="9"/>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bl>
    <w:tbl>
      <w:tblPr>
        <w:tblOverlap w:val="never"/>
        <w:jc w:val="center"/>
        <w:tblLayout w:type="fixed"/>
      </w:tblPr>
      <w:tblGrid>
        <w:gridCol w:w="2477"/>
        <w:gridCol w:w="7104"/>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逾期未收回的本金和收益累计 金额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涉诉情况（如适用）</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委托理财审批董事会公告披露 日期（如有</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委托理财审批股东会公告披露 日期（如有</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未来是否还有委托理财计划</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59" w:line="1" w:lineRule="exact"/>
      </w:pPr>
    </w:p>
    <w:p>
      <w:pPr>
        <w:pStyle w:val="Style55"/>
        <w:keepNext/>
        <w:keepLines/>
        <w:widowControl w:val="0"/>
        <w:shd w:val="clear" w:color="auto" w:fill="auto"/>
        <w:bidi w:val="0"/>
        <w:spacing w:before="0" w:after="36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rPr>
        <w:t>（</w:t>
      </w:r>
      <w:bookmarkEnd w:id="400"/>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98"/>
      <w:bookmarkEnd w:id="399"/>
      <w:bookmarkEnd w:id="401"/>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3"/>
        <w:keepNext/>
        <w:keepLines/>
        <w:widowControl w:val="0"/>
        <w:shd w:val="clear" w:color="auto" w:fill="auto"/>
        <w:bidi w:val="0"/>
        <w:spacing w:before="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4</w:t>
      </w:r>
      <w:bookmarkEnd w:id="404"/>
      <w:r>
        <w:rPr>
          <w:color w:val="000000"/>
          <w:spacing w:val="0"/>
          <w:w w:val="100"/>
          <w:position w:val="0"/>
        </w:rPr>
        <w:t>、其他重大合同</w:t>
      </w:r>
      <w:bookmarkEnd w:id="402"/>
      <w:bookmarkEnd w:id="403"/>
      <w:bookmarkEnd w:id="40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7"/>
        <w:keepNext/>
        <w:keepLines/>
        <w:widowControl w:val="0"/>
        <w:shd w:val="clear" w:color="auto" w:fill="auto"/>
        <w:bidi w:val="0"/>
        <w:spacing w:before="0" w:line="240" w:lineRule="auto"/>
        <w:ind w:left="0" w:right="0" w:firstLine="0"/>
        <w:jc w:val="left"/>
      </w:pPr>
      <w:bookmarkStart w:id="406" w:name="bookmark406"/>
      <w:bookmarkStart w:id="407" w:name="bookmark407"/>
      <w:bookmarkStart w:id="408" w:name="bookmark408"/>
      <w:r>
        <w:rPr>
          <w:color w:val="000000"/>
          <w:spacing w:val="0"/>
          <w:w w:val="100"/>
          <w:position w:val="0"/>
          <w:sz w:val="24"/>
          <w:szCs w:val="24"/>
        </w:rPr>
        <w:t>十七、社会责任情况</w:t>
      </w:r>
      <w:bookmarkEnd w:id="406"/>
      <w:bookmarkEnd w:id="407"/>
      <w:bookmarkEnd w:id="408"/>
    </w:p>
    <w:p>
      <w:pPr>
        <w:pStyle w:val="Style33"/>
        <w:keepNext/>
        <w:keepLines/>
        <w:widowControl w:val="0"/>
        <w:shd w:val="clear" w:color="auto" w:fill="auto"/>
        <w:tabs>
          <w:tab w:pos="368" w:val="left"/>
        </w:tabs>
        <w:bidi w:val="0"/>
        <w:spacing w:before="0" w:line="240" w:lineRule="auto"/>
        <w:ind w:left="0" w:right="0" w:firstLine="0"/>
        <w:jc w:val="left"/>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1</w:t>
      </w:r>
      <w:bookmarkEnd w:id="411"/>
      <w:r>
        <w:rPr>
          <w:color w:val="000000"/>
          <w:spacing w:val="0"/>
          <w:w w:val="100"/>
          <w:position w:val="0"/>
        </w:rPr>
        <w:t>、</w:t>
        <w:tab/>
        <w:t>履行精准扶贫社会责任情况</w:t>
      </w:r>
      <w:bookmarkEnd w:id="409"/>
      <w:bookmarkEnd w:id="410"/>
      <w:bookmarkEnd w:id="412"/>
    </w:p>
    <w:p>
      <w:pPr>
        <w:pStyle w:val="Style33"/>
        <w:keepNext/>
        <w:keepLines/>
        <w:widowControl w:val="0"/>
        <w:shd w:val="clear" w:color="auto" w:fill="auto"/>
        <w:tabs>
          <w:tab w:pos="378" w:val="left"/>
        </w:tabs>
        <w:bidi w:val="0"/>
        <w:spacing w:before="0" w:after="260" w:line="240" w:lineRule="auto"/>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2</w:t>
      </w:r>
      <w:bookmarkEnd w:id="415"/>
      <w:r>
        <w:rPr>
          <w:color w:val="000000"/>
          <w:spacing w:val="0"/>
          <w:w w:val="100"/>
          <w:position w:val="0"/>
        </w:rPr>
        <w:t>、</w:t>
        <w:tab/>
        <w:t>履行其他社会责任的情况</w:t>
      </w:r>
      <w:bookmarkEnd w:id="413"/>
      <w:bookmarkEnd w:id="414"/>
      <w:bookmarkEnd w:id="416"/>
    </w:p>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年，公司积极履行各项社会责任与义务，努力促进公司和社会的和谐发展与共处。</w:t>
      </w:r>
    </w:p>
    <w:p>
      <w:pPr>
        <w:pStyle w:val="Style29"/>
        <w:keepNext w:val="0"/>
        <w:keepLines w:val="0"/>
        <w:widowControl w:val="0"/>
        <w:shd w:val="clear" w:color="auto" w:fill="auto"/>
        <w:tabs>
          <w:tab w:pos="435" w:val="left"/>
        </w:tabs>
        <w:bidi w:val="0"/>
        <w:spacing w:before="0" w:after="0" w:line="317" w:lineRule="exact"/>
        <w:ind w:left="0" w:right="0" w:firstLine="0"/>
        <w:jc w:val="left"/>
      </w:pPr>
      <w:bookmarkStart w:id="417" w:name="bookmark417"/>
      <w:r>
        <w:rPr>
          <w:color w:val="000000"/>
          <w:spacing w:val="0"/>
          <w:w w:val="100"/>
          <w:position w:val="0"/>
        </w:rPr>
        <w:t>一</w:t>
      </w:r>
      <w:bookmarkEnd w:id="417"/>
      <w:r>
        <w:rPr>
          <w:color w:val="000000"/>
          <w:spacing w:val="0"/>
          <w:w w:val="100"/>
          <w:position w:val="0"/>
        </w:rPr>
        <w:t>、</w:t>
        <w:tab/>
        <w:t>完善公司治理，保障股东权益</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公司按照《公司法》、《证券法》、《深圳证券交易所创业板上市公司规范运作指引》等有关法律、法规、文件的要求，不断提 升和完善法人治理结构，强化规范运作，股东大会、董事会、监事会等机构各司其职，公司认真履行重大事项审批程序，充 分保护股东权利。</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公司一直严格执行《公司章程》中利润分配政策，分红政策亦遵循证监会关于现金分红的指引，结合公司实际情况，并经过 公司股东大会审议通过后确定。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月份实施了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年度的利润分配，共现金分红</w:t>
      </w:r>
      <w:r>
        <w:rPr>
          <w:rFonts w:ascii="Times New Roman" w:eastAsia="Times New Roman" w:hAnsi="Times New Roman" w:cs="Times New Roman"/>
          <w:color w:val="000000"/>
          <w:spacing w:val="0"/>
          <w:w w:val="100"/>
          <w:position w:val="0"/>
          <w:sz w:val="18"/>
          <w:szCs w:val="18"/>
        </w:rPr>
        <w:t>620</w:t>
      </w:r>
      <w:r>
        <w:rPr>
          <w:color w:val="000000"/>
          <w:spacing w:val="0"/>
          <w:w w:val="100"/>
          <w:position w:val="0"/>
        </w:rPr>
        <w:t>余万元，让全体股东享受公 司发展的成果。</w:t>
      </w:r>
    </w:p>
    <w:p>
      <w:pPr>
        <w:pStyle w:val="Style29"/>
        <w:keepNext w:val="0"/>
        <w:keepLines w:val="0"/>
        <w:widowControl w:val="0"/>
        <w:shd w:val="clear" w:color="auto" w:fill="auto"/>
        <w:tabs>
          <w:tab w:pos="435" w:val="left"/>
        </w:tabs>
        <w:bidi w:val="0"/>
        <w:spacing w:before="0" w:after="0" w:line="317" w:lineRule="exact"/>
        <w:ind w:left="0" w:right="0" w:firstLine="0"/>
        <w:jc w:val="left"/>
      </w:pPr>
      <w:bookmarkStart w:id="418" w:name="bookmark418"/>
      <w:r>
        <w:rPr>
          <w:color w:val="000000"/>
          <w:spacing w:val="0"/>
          <w:w w:val="100"/>
          <w:position w:val="0"/>
        </w:rPr>
        <w:t>二</w:t>
      </w:r>
      <w:bookmarkEnd w:id="418"/>
      <w:r>
        <w:rPr>
          <w:color w:val="000000"/>
          <w:spacing w:val="0"/>
          <w:w w:val="100"/>
          <w:position w:val="0"/>
        </w:rPr>
        <w:t>、</w:t>
        <w:tab/>
        <w:t>公司稳健经营，保障债权人利益</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公司坚持合作共赢的方针，与债权人实现良性互动、共同发展，公司在经营中不断发展壮大，通过稳健经营与及时、公平的 信息披露让债权人动态了解公司现状，不会形成信息不对称，有助于加深双方互信，从而有效保障债权人利益。</w:t>
      </w:r>
    </w:p>
    <w:p>
      <w:pPr>
        <w:pStyle w:val="Style29"/>
        <w:keepNext w:val="0"/>
        <w:keepLines w:val="0"/>
        <w:widowControl w:val="0"/>
        <w:shd w:val="clear" w:color="auto" w:fill="auto"/>
        <w:tabs>
          <w:tab w:pos="435" w:val="left"/>
        </w:tabs>
        <w:bidi w:val="0"/>
        <w:spacing w:before="0" w:after="0" w:line="317" w:lineRule="exact"/>
        <w:ind w:left="0" w:right="0" w:firstLine="0"/>
        <w:jc w:val="left"/>
      </w:pPr>
      <w:bookmarkStart w:id="419" w:name="bookmark419"/>
      <w:r>
        <w:rPr>
          <w:color w:val="000000"/>
          <w:spacing w:val="0"/>
          <w:w w:val="100"/>
          <w:position w:val="0"/>
        </w:rPr>
        <w:t>三</w:t>
      </w:r>
      <w:bookmarkEnd w:id="419"/>
      <w:r>
        <w:rPr>
          <w:color w:val="000000"/>
          <w:spacing w:val="0"/>
          <w:w w:val="100"/>
          <w:position w:val="0"/>
        </w:rPr>
        <w:t>、</w:t>
        <w:tab/>
        <w:t>诚信为本，保障客户利益</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公司在与客户业务中，强调诚实守信，以满足客户需求、帮助客户解决问题为己任，实时了解客户行业政策变动，把握客户 需求，提高研发能力，以优质服务提升客户的满意度和运行效率，获得了客户的认可和好评，维护了客户的利益。</w:t>
      </w:r>
    </w:p>
    <w:p>
      <w:pPr>
        <w:pStyle w:val="Style29"/>
        <w:keepNext w:val="0"/>
        <w:keepLines w:val="0"/>
        <w:widowControl w:val="0"/>
        <w:shd w:val="clear" w:color="auto" w:fill="auto"/>
        <w:bidi w:val="0"/>
        <w:spacing w:before="0" w:after="40" w:line="317" w:lineRule="exact"/>
        <w:ind w:left="0" w:right="0" w:firstLine="0"/>
        <w:jc w:val="left"/>
      </w:pPr>
      <w:bookmarkStart w:id="420" w:name="bookmark420"/>
      <w:r>
        <w:rPr>
          <w:color w:val="000000"/>
          <w:spacing w:val="0"/>
          <w:w w:val="100"/>
          <w:position w:val="0"/>
        </w:rPr>
        <w:t>五</w:t>
      </w:r>
      <w:bookmarkEnd w:id="420"/>
      <w:r>
        <w:rPr>
          <w:color w:val="000000"/>
          <w:spacing w:val="0"/>
          <w:w w:val="100"/>
          <w:position w:val="0"/>
        </w:rPr>
        <w:t xml:space="preserve">、齐心协力，保证职工利益 </w:t>
      </w:r>
      <w:r>
        <w:rPr>
          <w:color w:val="000000"/>
          <w:spacing w:val="0"/>
          <w:w w:val="100"/>
          <w:position w:val="0"/>
        </w:rPr>
        <w:t>公司的发展和壮大，离不开每一个员工，公司重视保护职工利益，根据劳动法及有关规定，依法保障职工的合法权益，与职 工签订劳动合同，结合市场行情和公司自身特点制定有竞争力的薪酬。公司注重员工素质提升，针对不同岗位提供不同培训， 有入职培训，岗位培训等。同时结合工作特点制定内部培训和外部培训计划，拓展员工知识面，增加员工认知度，有效提升 了员工素质。</w:t>
      </w:r>
    </w:p>
    <w:p>
      <w:pPr>
        <w:pStyle w:val="Style29"/>
        <w:keepNext w:val="0"/>
        <w:keepLines w:val="0"/>
        <w:widowControl w:val="0"/>
        <w:shd w:val="clear" w:color="auto" w:fill="auto"/>
        <w:bidi w:val="0"/>
        <w:spacing w:before="0" w:after="40" w:line="314" w:lineRule="exact"/>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40" w:line="314" w:lineRule="exact"/>
        <w:ind w:left="0" w:right="0" w:firstLine="0"/>
        <w:jc w:val="left"/>
      </w:pPr>
      <w:r>
        <w:rPr>
          <w:color w:val="000000"/>
          <w:spacing w:val="0"/>
          <w:w w:val="100"/>
          <w:position w:val="0"/>
        </w:rPr>
        <w:t>不适用</w:t>
      </w:r>
    </w:p>
    <w:p>
      <w:pPr>
        <w:pStyle w:val="Style2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是否发布社会责任报告</w:t>
      </w:r>
    </w:p>
    <w:p>
      <w:pPr>
        <w:pStyle w:val="Style29"/>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line="240" w:lineRule="auto"/>
        <w:ind w:left="0" w:right="0" w:firstLine="0"/>
        <w:jc w:val="left"/>
      </w:pPr>
      <w:bookmarkStart w:id="421" w:name="bookmark421"/>
      <w:bookmarkStart w:id="422" w:name="bookmark422"/>
      <w:bookmarkStart w:id="423" w:name="bookmark423"/>
      <w:r>
        <w:rPr>
          <w:color w:val="000000"/>
          <w:spacing w:val="0"/>
          <w:w w:val="100"/>
          <w:position w:val="0"/>
          <w:sz w:val="24"/>
          <w:szCs w:val="24"/>
        </w:rPr>
        <w:t>十八、其他重大事项的说明</w:t>
      </w:r>
      <w:bookmarkEnd w:id="421"/>
      <w:bookmarkEnd w:id="422"/>
      <w:bookmarkEnd w:id="423"/>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公司报告期不存在需要说明的其他重大事项。</w:t>
      </w:r>
    </w:p>
    <w:p>
      <w:pPr>
        <w:pStyle w:val="Style27"/>
        <w:keepNext/>
        <w:keepLines/>
        <w:widowControl w:val="0"/>
        <w:shd w:val="clear" w:color="auto" w:fill="auto"/>
        <w:bidi w:val="0"/>
        <w:spacing w:before="0" w:line="240" w:lineRule="auto"/>
        <w:ind w:left="0" w:right="0" w:firstLine="0"/>
        <w:jc w:val="left"/>
      </w:pPr>
      <w:bookmarkStart w:id="424" w:name="bookmark424"/>
      <w:bookmarkStart w:id="425" w:name="bookmark425"/>
      <w:bookmarkStart w:id="426" w:name="bookmark426"/>
      <w:r>
        <w:rPr>
          <w:color w:val="000000"/>
          <w:spacing w:val="0"/>
          <w:w w:val="100"/>
          <w:position w:val="0"/>
          <w:sz w:val="24"/>
          <w:szCs w:val="24"/>
        </w:rPr>
        <w:t>十九、公司子公司重大事项</w:t>
      </w:r>
      <w:bookmarkEnd w:id="424"/>
      <w:bookmarkEnd w:id="425"/>
      <w:bookmarkEnd w:id="426"/>
    </w:p>
    <w:p>
      <w:pPr>
        <w:pStyle w:val="Style29"/>
        <w:keepNext w:val="0"/>
        <w:keepLines w:val="0"/>
        <w:widowControl w:val="0"/>
        <w:shd w:val="clear" w:color="auto" w:fill="auto"/>
        <w:bidi w:val="0"/>
        <w:spacing w:before="0" w:after="20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keepLines/>
        <w:widowControl w:val="0"/>
        <w:shd w:val="clear" w:color="auto" w:fill="auto"/>
        <w:bidi w:val="0"/>
        <w:spacing w:before="0" w:line="240" w:lineRule="auto"/>
        <w:ind w:left="0" w:right="0" w:firstLine="0"/>
        <w:jc w:val="center"/>
      </w:pPr>
      <w:bookmarkStart w:id="427" w:name="bookmark427"/>
      <w:bookmarkStart w:id="428" w:name="bookmark428"/>
      <w:bookmarkStart w:id="429" w:name="bookmark429"/>
      <w:r>
        <w:rPr>
          <w:color w:val="000000"/>
          <w:spacing w:val="0"/>
          <w:w w:val="100"/>
          <w:position w:val="0"/>
        </w:rPr>
        <w:t>第六节股份变动及股东情况</w:t>
      </w:r>
      <w:bookmarkEnd w:id="427"/>
      <w:bookmarkEnd w:id="428"/>
      <w:bookmarkEnd w:id="429"/>
    </w:p>
    <w:p>
      <w:pPr>
        <w:pStyle w:val="Style27"/>
        <w:keepNext/>
        <w:keepLines/>
        <w:widowControl w:val="0"/>
        <w:shd w:val="clear" w:color="auto" w:fill="auto"/>
        <w:bidi w:val="0"/>
        <w:spacing w:before="0" w:line="240" w:lineRule="auto"/>
        <w:ind w:left="0" w:right="0" w:firstLine="0"/>
        <w:jc w:val="left"/>
      </w:pPr>
      <w:bookmarkStart w:id="430" w:name="bookmark430"/>
      <w:bookmarkStart w:id="431" w:name="bookmark431"/>
      <w:bookmarkStart w:id="432" w:name="bookmark432"/>
      <w:bookmarkStart w:id="433" w:name="bookmark433"/>
      <w:bookmarkStart w:id="434" w:name="bookmark434"/>
      <w:r>
        <w:rPr>
          <w:color w:val="000000"/>
          <w:spacing w:val="0"/>
          <w:w w:val="100"/>
          <w:position w:val="0"/>
          <w:sz w:val="24"/>
          <w:szCs w:val="24"/>
        </w:rPr>
        <w:t>一</w:t>
      </w:r>
      <w:bookmarkEnd w:id="433"/>
      <w:r>
        <w:rPr>
          <w:color w:val="000000"/>
          <w:spacing w:val="0"/>
          <w:w w:val="100"/>
          <w:position w:val="0"/>
          <w:sz w:val="24"/>
          <w:szCs w:val="24"/>
        </w:rPr>
        <w:t>、股份变动情况</w:t>
      </w:r>
      <w:bookmarkEnd w:id="431"/>
      <w:bookmarkEnd w:id="432"/>
      <w:bookmarkEnd w:id="434"/>
      <w:bookmarkEnd w:id="430"/>
    </w:p>
    <w:p>
      <w:pPr>
        <w:pStyle w:val="Style33"/>
        <w:keepNext/>
        <w:keepLines/>
        <w:widowControl w:val="0"/>
        <w:shd w:val="clear" w:color="auto" w:fill="auto"/>
        <w:bidi w:val="0"/>
        <w:spacing w:before="0" w:line="240" w:lineRule="auto"/>
        <w:ind w:left="0" w:right="0" w:firstLine="0"/>
        <w:jc w:val="both"/>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1</w:t>
      </w:r>
      <w:bookmarkEnd w:id="437"/>
      <w:r>
        <w:rPr>
          <w:color w:val="000000"/>
          <w:spacing w:val="0"/>
          <w:w w:val="100"/>
          <w:position w:val="0"/>
        </w:rPr>
        <w:t>、股份变动情况</w:t>
      </w:r>
      <w:bookmarkEnd w:id="435"/>
      <w:bookmarkEnd w:id="436"/>
      <w:bookmarkEnd w:id="43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862"/>
        <w:gridCol w:w="955"/>
        <w:gridCol w:w="701"/>
        <w:gridCol w:w="864"/>
        <w:gridCol w:w="418"/>
        <w:gridCol w:w="955"/>
        <w:gridCol w:w="926"/>
        <w:gridCol w:w="955"/>
        <w:gridCol w:w="955"/>
        <w:gridCol w:w="71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数量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送股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公积金转股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22,768,657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121,077,000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97,280,657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197,280,657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43.55%</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22,768,657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111,958,000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125,466,657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184,016,657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18,384,657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108,438,000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117,562,657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176,112,657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38.88%</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7,904,000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7,904,000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9,119,000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-28,186,000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13,264,000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9,119,000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-28,186,000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13,264,000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33,340,000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175,791,000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222,356,000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255,696,000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33,340,000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175,791,000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222,356,000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255,696,000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133,340,000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22,768,657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296,868,000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319,636,657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452,976,657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536" w:val="left"/>
        </w:tabs>
        <w:bidi w:val="0"/>
        <w:spacing w:before="0" w:after="0" w:line="310" w:lineRule="exact"/>
        <w:ind w:left="0" w:right="0" w:firstLine="0"/>
        <w:jc w:val="both"/>
      </w:pPr>
      <w:bookmarkStart w:id="439" w:name="bookmark439"/>
      <w:r>
        <w:rPr>
          <w:color w:val="000000"/>
          <w:spacing w:val="0"/>
          <w:w w:val="100"/>
          <w:position w:val="0"/>
        </w:rPr>
        <w:t>（</w:t>
      </w:r>
      <w:bookmarkEnd w:id="43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年第一次临时股东大会、第二届董事会第十七次会议审议通过相关议案，公司于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日向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名股权激励参与人授予</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万股股票，并于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日在中国证券登记结算有限责任公司深圳分公司办理完成了 股份上市工作，公司总股本由</w:t>
      </w:r>
      <w:r>
        <w:rPr>
          <w:rFonts w:ascii="Times New Roman" w:eastAsia="Times New Roman" w:hAnsi="Times New Roman" w:cs="Times New Roman"/>
          <w:color w:val="000000"/>
          <w:spacing w:val="0"/>
          <w:w w:val="100"/>
          <w:position w:val="0"/>
          <w:sz w:val="18"/>
          <w:szCs w:val="18"/>
        </w:rPr>
        <w:t>133,340,000</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134,940,000</w:t>
      </w:r>
      <w:r>
        <w:rPr>
          <w:color w:val="000000"/>
          <w:spacing w:val="0"/>
          <w:w w:val="100"/>
          <w:position w:val="0"/>
        </w:rPr>
        <w:t>股。</w:t>
      </w:r>
    </w:p>
    <w:p>
      <w:pPr>
        <w:pStyle w:val="Style29"/>
        <w:keepNext w:val="0"/>
        <w:keepLines w:val="0"/>
        <w:widowControl w:val="0"/>
        <w:shd w:val="clear" w:color="auto" w:fill="auto"/>
        <w:tabs>
          <w:tab w:pos="536" w:val="left"/>
        </w:tabs>
        <w:bidi w:val="0"/>
        <w:spacing w:before="0" w:after="0" w:line="312" w:lineRule="exact"/>
        <w:ind w:left="0" w:right="0" w:firstLine="0"/>
        <w:jc w:val="both"/>
      </w:pPr>
      <w:bookmarkStart w:id="440" w:name="bookmark440"/>
      <w:r>
        <w:rPr>
          <w:color w:val="000000"/>
          <w:spacing w:val="0"/>
          <w:w w:val="100"/>
          <w:position w:val="0"/>
        </w:rPr>
        <w:t>（</w:t>
      </w:r>
      <w:bookmarkEnd w:id="44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年第三次临时股东大会审议通过了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年半年度权益分派方案：以公司总股本</w:t>
      </w:r>
      <w:r>
        <w:rPr>
          <w:rFonts w:ascii="Times New Roman" w:eastAsia="Times New Roman" w:hAnsi="Times New Roman" w:cs="Times New Roman"/>
          <w:color w:val="000000"/>
          <w:spacing w:val="0"/>
          <w:w w:val="100"/>
          <w:position w:val="0"/>
          <w:sz w:val="18"/>
          <w:szCs w:val="18"/>
        </w:rPr>
        <w:t>134,940,000</w:t>
      </w:r>
      <w:r>
        <w:rPr>
          <w:color w:val="000000"/>
          <w:spacing w:val="0"/>
          <w:w w:val="100"/>
          <w:position w:val="0"/>
        </w:rPr>
        <w:t>股 为基数，以资本公积金向全体股东每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股。该权益分派方案已于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日实施完毕，公司总股本由</w:t>
      </w:r>
      <w:r>
        <w:rPr>
          <w:rFonts w:ascii="Times New Roman" w:eastAsia="Times New Roman" w:hAnsi="Times New Roman" w:cs="Times New Roman"/>
          <w:color w:val="000000"/>
          <w:spacing w:val="0"/>
          <w:w w:val="100"/>
          <w:position w:val="0"/>
          <w:sz w:val="18"/>
          <w:szCs w:val="18"/>
        </w:rPr>
        <w:t xml:space="preserve">134,940,000 </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431,808,000</w:t>
      </w:r>
      <w:r>
        <w:rPr>
          <w:color w:val="000000"/>
          <w:spacing w:val="0"/>
          <w:w w:val="100"/>
          <w:position w:val="0"/>
        </w:rPr>
        <w:t>股。</w:t>
      </w:r>
    </w:p>
    <w:p>
      <w:pPr>
        <w:pStyle w:val="Style29"/>
        <w:keepNext w:val="0"/>
        <w:keepLines w:val="0"/>
        <w:widowControl w:val="0"/>
        <w:shd w:val="clear" w:color="auto" w:fill="auto"/>
        <w:bidi w:val="0"/>
        <w:spacing w:before="0" w:after="0" w:line="314" w:lineRule="exact"/>
        <w:ind w:left="0" w:right="0" w:firstLine="0"/>
        <w:jc w:val="both"/>
      </w:pPr>
      <w:bookmarkStart w:id="441" w:name="bookmark441"/>
      <w:r>
        <w:rPr>
          <w:color w:val="000000"/>
          <w:spacing w:val="0"/>
          <w:w w:val="100"/>
          <w:position w:val="0"/>
        </w:rPr>
        <w:t>（</w:t>
      </w:r>
      <w:bookmarkEnd w:id="441"/>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年第四次临时股东大会、第二届董事会第二十七次会议审议通过相关议案，公司于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日向</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名股权激励参与人授予</w:t>
      </w:r>
      <w:r>
        <w:rPr>
          <w:rFonts w:ascii="Times New Roman" w:eastAsia="Times New Roman" w:hAnsi="Times New Roman" w:cs="Times New Roman"/>
          <w:color w:val="000000"/>
          <w:spacing w:val="0"/>
          <w:w w:val="100"/>
          <w:position w:val="0"/>
          <w:sz w:val="18"/>
          <w:szCs w:val="18"/>
        </w:rPr>
        <w:t>278.4</w:t>
      </w:r>
      <w:r>
        <w:rPr>
          <w:color w:val="000000"/>
          <w:spacing w:val="0"/>
          <w:w w:val="100"/>
          <w:position w:val="0"/>
        </w:rPr>
        <w:t>万股股票，并于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日在中国证券登记结算有限责任公司深圳分公司办理完 成了股份上市工作，公司总股本由</w:t>
      </w:r>
      <w:r>
        <w:rPr>
          <w:rFonts w:ascii="Times New Roman" w:eastAsia="Times New Roman" w:hAnsi="Times New Roman" w:cs="Times New Roman"/>
          <w:color w:val="000000"/>
          <w:spacing w:val="0"/>
          <w:w w:val="100"/>
          <w:position w:val="0"/>
          <w:sz w:val="18"/>
          <w:szCs w:val="18"/>
        </w:rPr>
        <w:t>431,808,000</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434,592,000</w:t>
      </w:r>
      <w:r>
        <w:rPr>
          <w:color w:val="000000"/>
          <w:spacing w:val="0"/>
          <w:w w:val="100"/>
          <w:position w:val="0"/>
        </w:rPr>
        <w:t>股。</w:t>
      </w:r>
    </w:p>
    <w:p>
      <w:pPr>
        <w:pStyle w:val="Style29"/>
        <w:keepNext w:val="0"/>
        <w:keepLines w:val="0"/>
        <w:widowControl w:val="0"/>
        <w:shd w:val="clear" w:color="auto" w:fill="auto"/>
        <w:tabs>
          <w:tab w:pos="440" w:val="left"/>
        </w:tabs>
        <w:bidi w:val="0"/>
        <w:spacing w:before="0" w:after="0" w:line="312" w:lineRule="exact"/>
        <w:ind w:left="0" w:right="0" w:firstLine="0"/>
        <w:jc w:val="both"/>
      </w:pPr>
      <w:bookmarkStart w:id="442" w:name="bookmark442"/>
      <w:r>
        <w:rPr>
          <w:color w:val="000000"/>
          <w:spacing w:val="0"/>
          <w:w w:val="100"/>
          <w:position w:val="0"/>
        </w:rPr>
        <w:t>（</w:t>
      </w:r>
      <w:bookmarkEnd w:id="44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 xml:space="preserve">经中国证券监督管理委员会《关于核准高伟达软件股份有限公司向北京睿韬科技有限责任公司等发行股份购买资产并 </w:t>
      </w:r>
      <w:r>
        <w:rPr>
          <w:color w:val="000000"/>
          <w:spacing w:val="0"/>
          <w:w w:val="100"/>
          <w:position w:val="0"/>
        </w:rPr>
        <w:t>募集配套资金的批复》（证监许可</w:t>
      </w:r>
      <w:r>
        <w:rPr>
          <w:rFonts w:ascii="Times New Roman" w:eastAsia="Times New Roman" w:hAnsi="Times New Roman" w:cs="Times New Roman"/>
          <w:color w:val="000000"/>
          <w:spacing w:val="0"/>
          <w:w w:val="100"/>
          <w:position w:val="0"/>
          <w:sz w:val="18"/>
          <w:szCs w:val="18"/>
        </w:rPr>
        <w:t>[2016]2562</w:t>
      </w:r>
      <w:r>
        <w:rPr>
          <w:color w:val="000000"/>
          <w:spacing w:val="0"/>
          <w:w w:val="100"/>
          <w:position w:val="0"/>
        </w:rPr>
        <w:t>号）核准，公司非公开发行股份购买资产并募集配套资金新增股份</w:t>
      </w:r>
      <w:r>
        <w:rPr>
          <w:rFonts w:ascii="Times New Roman" w:eastAsia="Times New Roman" w:hAnsi="Times New Roman" w:cs="Times New Roman"/>
          <w:color w:val="000000"/>
          <w:spacing w:val="0"/>
          <w:w w:val="100"/>
          <w:position w:val="0"/>
          <w:sz w:val="18"/>
          <w:szCs w:val="18"/>
        </w:rPr>
        <w:t xml:space="preserve">18,384,657 </w:t>
      </w:r>
      <w:r>
        <w:rPr>
          <w:color w:val="000000"/>
          <w:spacing w:val="0"/>
          <w:w w:val="100"/>
          <w:position w:val="0"/>
        </w:rPr>
        <w:t>股，并于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日取得了中国证券登记结算有限公司深圳分公司出具的《股份登记申请受理确认书》，本次新增股份 上市日为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日，公司总股本由</w:t>
      </w:r>
      <w:r>
        <w:rPr>
          <w:rFonts w:ascii="Times New Roman" w:eastAsia="Times New Roman" w:hAnsi="Times New Roman" w:cs="Times New Roman"/>
          <w:color w:val="000000"/>
          <w:spacing w:val="0"/>
          <w:w w:val="100"/>
          <w:position w:val="0"/>
          <w:sz w:val="18"/>
          <w:szCs w:val="18"/>
        </w:rPr>
        <w:t>434,592,000</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452,976,657</w:t>
      </w:r>
      <w:r>
        <w:rPr>
          <w:color w:val="000000"/>
          <w:spacing w:val="0"/>
          <w:w w:val="100"/>
          <w:position w:val="0"/>
        </w:rPr>
        <w:t>股。</w:t>
      </w:r>
    </w:p>
    <w:p>
      <w:pPr>
        <w:pStyle w:val="Style29"/>
        <w:keepNext w:val="0"/>
        <w:keepLines w:val="0"/>
        <w:widowControl w:val="0"/>
        <w:shd w:val="clear" w:color="auto" w:fill="auto"/>
        <w:bidi w:val="0"/>
        <w:spacing w:before="0" w:after="140" w:line="331" w:lineRule="exact"/>
        <w:ind w:left="0" w:right="0" w:firstLine="0"/>
        <w:jc w:val="left"/>
      </w:pPr>
      <w:r>
        <w:rPr>
          <w:color w:val="000000"/>
          <w:spacing w:val="0"/>
          <w:w w:val="100"/>
          <w:position w:val="0"/>
        </w:rPr>
        <w:t>股份变动的批准情况</w:t>
      </w:r>
    </w:p>
    <w:p>
      <w:pPr>
        <w:pStyle w:val="Style29"/>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331" w:lineRule="exact"/>
        <w:ind w:left="0" w:right="0" w:firstLine="0"/>
        <w:jc w:val="left"/>
      </w:pPr>
      <w:r>
        <w:rPr>
          <w:color w:val="000000"/>
          <w:spacing w:val="0"/>
          <w:w w:val="100"/>
          <w:position w:val="0"/>
        </w:rPr>
        <w:t>经中国证券监督管理委员会《关于核准高伟达软件股份有限公司向北京睿韬科技有限责任公司等发行股份购买资产并募集配 套资金的批复》（证监许可</w:t>
      </w:r>
      <w:r>
        <w:rPr>
          <w:rFonts w:ascii="Times New Roman" w:eastAsia="Times New Roman" w:hAnsi="Times New Roman" w:cs="Times New Roman"/>
          <w:color w:val="000000"/>
          <w:spacing w:val="0"/>
          <w:w w:val="100"/>
          <w:position w:val="0"/>
          <w:sz w:val="18"/>
          <w:szCs w:val="18"/>
        </w:rPr>
        <w:t>[2016]2562</w:t>
      </w:r>
      <w:r>
        <w:rPr>
          <w:color w:val="000000"/>
          <w:spacing w:val="0"/>
          <w:w w:val="100"/>
          <w:position w:val="0"/>
        </w:rPr>
        <w:t>号）核准，公司非公开发行股份购买资产并募集配套资金新增股份</w:t>
      </w:r>
      <w:r>
        <w:rPr>
          <w:rFonts w:ascii="Times New Roman" w:eastAsia="Times New Roman" w:hAnsi="Times New Roman" w:cs="Times New Roman"/>
          <w:color w:val="000000"/>
          <w:spacing w:val="0"/>
          <w:w w:val="100"/>
          <w:position w:val="0"/>
          <w:sz w:val="18"/>
          <w:szCs w:val="18"/>
        </w:rPr>
        <w:t>18,384,657</w:t>
      </w:r>
      <w:r>
        <w:rPr>
          <w:color w:val="000000"/>
          <w:spacing w:val="0"/>
          <w:w w:val="100"/>
          <w:position w:val="0"/>
        </w:rPr>
        <w:t>股。 股份变动的过户情况</w:t>
      </w:r>
    </w:p>
    <w:p>
      <w:pPr>
        <w:pStyle w:val="Style29"/>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536" w:val="left"/>
        </w:tabs>
        <w:bidi w:val="0"/>
        <w:spacing w:before="0" w:after="0" w:line="331" w:lineRule="exact"/>
        <w:ind w:left="0" w:right="0" w:firstLine="0"/>
        <w:jc w:val="left"/>
      </w:pPr>
      <w:bookmarkStart w:id="443" w:name="bookmark443"/>
      <w:r>
        <w:rPr>
          <w:color w:val="000000"/>
          <w:spacing w:val="0"/>
          <w:w w:val="100"/>
          <w:position w:val="0"/>
        </w:rPr>
        <w:t>（</w:t>
      </w:r>
      <w:bookmarkEnd w:id="4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名股权激励参与人授予</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万股股票，并于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日在中国证券登记结算有限责任公司 深圳分公司办理完成了股份上市工作。</w:t>
      </w:r>
    </w:p>
    <w:p>
      <w:pPr>
        <w:pStyle w:val="Style29"/>
        <w:keepNext w:val="0"/>
        <w:keepLines w:val="0"/>
        <w:widowControl w:val="0"/>
        <w:shd w:val="clear" w:color="auto" w:fill="auto"/>
        <w:tabs>
          <w:tab w:pos="440" w:val="left"/>
        </w:tabs>
        <w:bidi w:val="0"/>
        <w:spacing w:before="0" w:after="0" w:line="331" w:lineRule="exact"/>
        <w:ind w:left="0" w:right="0" w:firstLine="0"/>
        <w:jc w:val="left"/>
      </w:pPr>
      <w:bookmarkStart w:id="444" w:name="bookmark444"/>
      <w:r>
        <w:rPr>
          <w:color w:val="000000"/>
          <w:spacing w:val="0"/>
          <w:w w:val="100"/>
          <w:position w:val="0"/>
        </w:rPr>
        <w:t>（</w:t>
      </w:r>
      <w:bookmarkEnd w:id="44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年半年度权益分派方案，于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日经中国证券登记结算有限责任公司深圳分公司确认实施完毕。</w:t>
      </w:r>
    </w:p>
    <w:p>
      <w:pPr>
        <w:pStyle w:val="Style29"/>
        <w:keepNext w:val="0"/>
        <w:keepLines w:val="0"/>
        <w:widowControl w:val="0"/>
        <w:shd w:val="clear" w:color="auto" w:fill="auto"/>
        <w:tabs>
          <w:tab w:pos="536" w:val="left"/>
        </w:tabs>
        <w:bidi w:val="0"/>
        <w:spacing w:before="0" w:after="0" w:line="322" w:lineRule="exact"/>
        <w:ind w:left="0" w:right="0" w:firstLine="0"/>
        <w:jc w:val="left"/>
      </w:pPr>
      <w:bookmarkStart w:id="445" w:name="bookmark445"/>
      <w:r>
        <w:rPr>
          <w:color w:val="000000"/>
          <w:spacing w:val="0"/>
          <w:w w:val="100"/>
          <w:position w:val="0"/>
        </w:rPr>
        <w:t>（</w:t>
      </w:r>
      <w:bookmarkEnd w:id="44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日向</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名股权激励参与人授予</w:t>
      </w:r>
      <w:r>
        <w:rPr>
          <w:rFonts w:ascii="Times New Roman" w:eastAsia="Times New Roman" w:hAnsi="Times New Roman" w:cs="Times New Roman"/>
          <w:color w:val="000000"/>
          <w:spacing w:val="0"/>
          <w:w w:val="100"/>
          <w:position w:val="0"/>
          <w:sz w:val="18"/>
          <w:szCs w:val="18"/>
        </w:rPr>
        <w:t>278.4</w:t>
      </w:r>
      <w:r>
        <w:rPr>
          <w:color w:val="000000"/>
          <w:spacing w:val="0"/>
          <w:w w:val="100"/>
          <w:position w:val="0"/>
        </w:rPr>
        <w:t>万股股票，并于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日在中国证券登记结算有限责任 公司深圳分公司办理完成了股份上市工作。</w:t>
      </w:r>
    </w:p>
    <w:p>
      <w:pPr>
        <w:pStyle w:val="Style29"/>
        <w:keepNext w:val="0"/>
        <w:keepLines w:val="0"/>
        <w:widowControl w:val="0"/>
        <w:shd w:val="clear" w:color="auto" w:fill="auto"/>
        <w:tabs>
          <w:tab w:pos="546" w:val="left"/>
        </w:tabs>
        <w:bidi w:val="0"/>
        <w:spacing w:before="0" w:after="0" w:line="312" w:lineRule="exact"/>
        <w:ind w:left="0" w:right="0" w:firstLine="0"/>
        <w:jc w:val="left"/>
      </w:pPr>
      <w:bookmarkStart w:id="446" w:name="bookmark446"/>
      <w:r>
        <w:rPr>
          <w:color w:val="000000"/>
          <w:spacing w:val="0"/>
          <w:w w:val="100"/>
          <w:position w:val="0"/>
        </w:rPr>
        <w:t>（</w:t>
      </w:r>
      <w:bookmarkEnd w:id="44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经中国证券监督管理委员会《关于核准高伟达软件股份有限公司向北京睿韬科技有限责任公司等发行股份购买资产并 募集配套资金的批复》（证监许可</w:t>
      </w:r>
      <w:r>
        <w:rPr>
          <w:rFonts w:ascii="Times New Roman" w:eastAsia="Times New Roman" w:hAnsi="Times New Roman" w:cs="Times New Roman"/>
          <w:color w:val="000000"/>
          <w:spacing w:val="0"/>
          <w:w w:val="100"/>
          <w:position w:val="0"/>
          <w:sz w:val="18"/>
          <w:szCs w:val="18"/>
        </w:rPr>
        <w:t>[2016]2562</w:t>
      </w:r>
      <w:r>
        <w:rPr>
          <w:color w:val="000000"/>
          <w:spacing w:val="0"/>
          <w:w w:val="100"/>
          <w:position w:val="0"/>
        </w:rPr>
        <w:t>号）核准，公司非公开发行股份购买资产并募集配套资金新增股份</w:t>
      </w:r>
      <w:r>
        <w:rPr>
          <w:rFonts w:ascii="Times New Roman" w:eastAsia="Times New Roman" w:hAnsi="Times New Roman" w:cs="Times New Roman"/>
          <w:color w:val="000000"/>
          <w:spacing w:val="0"/>
          <w:w w:val="100"/>
          <w:position w:val="0"/>
          <w:sz w:val="18"/>
          <w:szCs w:val="18"/>
        </w:rPr>
        <w:t xml:space="preserve">18,384,657 </w:t>
      </w:r>
      <w:r>
        <w:rPr>
          <w:color w:val="000000"/>
          <w:spacing w:val="0"/>
          <w:w w:val="100"/>
          <w:position w:val="0"/>
        </w:rPr>
        <w:t>股，并于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日取得了中国证券登记结算有限公司深圳分公司出具的《股份登记申请受理确认书》，本次新增股份 上市日为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p>
      <w:pPr>
        <w:pStyle w:val="Style29"/>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440" w:val="left"/>
        </w:tabs>
        <w:bidi w:val="0"/>
        <w:spacing w:before="0" w:after="0" w:line="331" w:lineRule="exact"/>
        <w:ind w:left="0" w:right="0" w:firstLine="0"/>
        <w:jc w:val="left"/>
      </w:pPr>
      <w:bookmarkStart w:id="447" w:name="bookmark447"/>
      <w:r>
        <w:rPr>
          <w:color w:val="000000"/>
          <w:spacing w:val="0"/>
          <w:w w:val="100"/>
          <w:position w:val="0"/>
        </w:rPr>
        <w:t>（</w:t>
      </w:r>
      <w:bookmarkEnd w:id="44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日，根据公司限制性股票授予完成后的股本</w:t>
      </w:r>
      <w:r>
        <w:rPr>
          <w:rFonts w:ascii="Times New Roman" w:eastAsia="Times New Roman" w:hAnsi="Times New Roman" w:cs="Times New Roman"/>
          <w:color w:val="000000"/>
          <w:spacing w:val="0"/>
          <w:w w:val="100"/>
          <w:position w:val="0"/>
          <w:sz w:val="18"/>
          <w:szCs w:val="18"/>
        </w:rPr>
        <w:t>134,940,000</w:t>
      </w:r>
      <w:r>
        <w:rPr>
          <w:color w:val="000000"/>
          <w:spacing w:val="0"/>
          <w:w w:val="100"/>
          <w:position w:val="0"/>
        </w:rPr>
        <w:t>股摊薄计算，公司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年度每股收益为</w:t>
      </w:r>
      <w:r>
        <w:rPr>
          <w:rFonts w:ascii="Times New Roman" w:eastAsia="Times New Roman" w:hAnsi="Times New Roman" w:cs="Times New Roman"/>
          <w:color w:val="000000"/>
          <w:spacing w:val="0"/>
          <w:w w:val="100"/>
          <w:position w:val="0"/>
          <w:sz w:val="18"/>
          <w:szCs w:val="18"/>
        </w:rPr>
        <w:t>0.49</w:t>
      </w:r>
      <w:r>
        <w:rPr>
          <w:color w:val="000000"/>
          <w:spacing w:val="0"/>
          <w:w w:val="100"/>
          <w:position w:val="0"/>
        </w:rPr>
        <w:t>元。</w:t>
      </w:r>
    </w:p>
    <w:p>
      <w:pPr>
        <w:pStyle w:val="Style29"/>
        <w:keepNext w:val="0"/>
        <w:keepLines w:val="0"/>
        <w:widowControl w:val="0"/>
        <w:shd w:val="clear" w:color="auto" w:fill="auto"/>
        <w:tabs>
          <w:tab w:pos="536" w:val="left"/>
        </w:tabs>
        <w:bidi w:val="0"/>
        <w:spacing w:before="0" w:after="0" w:line="331" w:lineRule="exact"/>
        <w:ind w:left="0" w:right="0" w:firstLine="0"/>
        <w:jc w:val="left"/>
      </w:pPr>
      <w:bookmarkStart w:id="448" w:name="bookmark448"/>
      <w:r>
        <w:rPr>
          <w:color w:val="000000"/>
          <w:spacing w:val="0"/>
          <w:w w:val="100"/>
          <w:position w:val="0"/>
        </w:rPr>
        <w:t>（</w:t>
      </w:r>
      <w:bookmarkEnd w:id="44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年半年度权益分派方案实施后的股本</w:t>
      </w:r>
      <w:r>
        <w:rPr>
          <w:rFonts w:ascii="Times New Roman" w:eastAsia="Times New Roman" w:hAnsi="Times New Roman" w:cs="Times New Roman"/>
          <w:color w:val="000000"/>
          <w:spacing w:val="0"/>
          <w:w w:val="100"/>
          <w:position w:val="0"/>
          <w:sz w:val="18"/>
          <w:szCs w:val="18"/>
        </w:rPr>
        <w:t>431,808,000</w:t>
      </w:r>
      <w:r>
        <w:rPr>
          <w:color w:val="000000"/>
          <w:spacing w:val="0"/>
          <w:w w:val="100"/>
          <w:position w:val="0"/>
        </w:rPr>
        <w:t>股摊薄计算，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年半年度每股收益 为</w:t>
      </w:r>
      <w:r>
        <w:rPr>
          <w:rFonts w:ascii="Times New Roman" w:eastAsia="Times New Roman" w:hAnsi="Times New Roman" w:cs="Times New Roman"/>
          <w:color w:val="000000"/>
          <w:spacing w:val="0"/>
          <w:w w:val="100"/>
          <w:position w:val="0"/>
          <w:sz w:val="18"/>
          <w:szCs w:val="18"/>
        </w:rPr>
        <w:t>0.011</w:t>
      </w:r>
      <w:r>
        <w:rPr>
          <w:color w:val="000000"/>
          <w:spacing w:val="0"/>
          <w:w w:val="100"/>
          <w:position w:val="0"/>
        </w:rPr>
        <w:t>元。</w:t>
      </w:r>
    </w:p>
    <w:p>
      <w:pPr>
        <w:pStyle w:val="Style29"/>
        <w:keepNext w:val="0"/>
        <w:keepLines w:val="0"/>
        <w:widowControl w:val="0"/>
        <w:shd w:val="clear" w:color="auto" w:fill="auto"/>
        <w:tabs>
          <w:tab w:pos="440" w:val="left"/>
        </w:tabs>
        <w:bidi w:val="0"/>
        <w:spacing w:before="0" w:after="0" w:line="331" w:lineRule="exact"/>
        <w:ind w:left="0" w:right="0" w:firstLine="0"/>
        <w:jc w:val="left"/>
      </w:pPr>
      <w:bookmarkStart w:id="449" w:name="bookmark449"/>
      <w:r>
        <w:rPr>
          <w:color w:val="000000"/>
          <w:spacing w:val="0"/>
          <w:w w:val="100"/>
          <w:position w:val="0"/>
        </w:rPr>
        <w:t>（</w:t>
      </w:r>
      <w:bookmarkEnd w:id="44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日，根据公司限制性股票授予完成后的股本</w:t>
      </w:r>
      <w:r>
        <w:rPr>
          <w:rFonts w:ascii="Times New Roman" w:eastAsia="Times New Roman" w:hAnsi="Times New Roman" w:cs="Times New Roman"/>
          <w:color w:val="000000"/>
          <w:spacing w:val="0"/>
          <w:w w:val="100"/>
          <w:position w:val="0"/>
          <w:sz w:val="18"/>
          <w:szCs w:val="18"/>
        </w:rPr>
        <w:t>434,592,000</w:t>
      </w:r>
      <w:r>
        <w:rPr>
          <w:color w:val="000000"/>
          <w:spacing w:val="0"/>
          <w:w w:val="100"/>
          <w:position w:val="0"/>
        </w:rPr>
        <w:t>股摊薄计算，公司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年度每股收益为</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元。</w:t>
      </w:r>
    </w:p>
    <w:p>
      <w:pPr>
        <w:pStyle w:val="Style29"/>
        <w:keepNext w:val="0"/>
        <w:keepLines w:val="0"/>
        <w:widowControl w:val="0"/>
        <w:shd w:val="clear" w:color="auto" w:fill="auto"/>
        <w:bidi w:val="0"/>
        <w:spacing w:before="0" w:line="331" w:lineRule="exact"/>
        <w:ind w:left="0" w:right="0" w:firstLine="0"/>
        <w:jc w:val="left"/>
        <w:rPr>
          <w:sz w:val="18"/>
          <w:szCs w:val="18"/>
        </w:rPr>
      </w:pPr>
      <w:bookmarkStart w:id="450" w:name="bookmark450"/>
      <w:r>
        <w:rPr>
          <w:color w:val="000000"/>
          <w:spacing w:val="0"/>
          <w:w w:val="100"/>
          <w:position w:val="0"/>
          <w:sz w:val="17"/>
          <w:szCs w:val="17"/>
        </w:rPr>
        <w:t>（</w:t>
      </w:r>
      <w:bookmarkEnd w:id="450"/>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日，根据公司非公开发行股份上市完成后的股本</w:t>
      </w:r>
      <w:r>
        <w:rPr>
          <w:rFonts w:ascii="Times New Roman" w:eastAsia="Times New Roman" w:hAnsi="Times New Roman" w:cs="Times New Roman"/>
          <w:color w:val="000000"/>
          <w:spacing w:val="0"/>
          <w:w w:val="100"/>
          <w:position w:val="0"/>
          <w:sz w:val="18"/>
          <w:szCs w:val="18"/>
        </w:rPr>
        <w:t>452,976,657</w:t>
      </w:r>
      <w:r>
        <w:rPr>
          <w:color w:val="000000"/>
          <w:spacing w:val="0"/>
          <w:w w:val="100"/>
          <w:position w:val="0"/>
          <w:sz w:val="17"/>
          <w:szCs w:val="17"/>
        </w:rPr>
        <w:t>股摊薄计算，公司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年度每股收益为</w:t>
      </w:r>
      <w:r>
        <w:rPr>
          <w:rFonts w:ascii="Times New Roman" w:eastAsia="Times New Roman" w:hAnsi="Times New Roman" w:cs="Times New Roman"/>
          <w:color w:val="000000"/>
          <w:spacing w:val="0"/>
          <w:w w:val="100"/>
          <w:position w:val="0"/>
          <w:sz w:val="18"/>
          <w:szCs w:val="18"/>
        </w:rPr>
        <w:t>0.091</w:t>
      </w:r>
    </w:p>
    <w:p>
      <w:pPr>
        <w:pStyle w:val="Style29"/>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29"/>
        <w:keepNext w:val="0"/>
        <w:keepLines w:val="0"/>
        <w:widowControl w:val="0"/>
        <w:shd w:val="clear" w:color="auto" w:fill="auto"/>
        <w:bidi w:val="0"/>
        <w:spacing w:before="0" w:after="140" w:line="331" w:lineRule="exact"/>
        <w:ind w:left="0" w:right="0" w:firstLine="0"/>
        <w:jc w:val="left"/>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260" w:line="38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2</w:t>
      </w:r>
      <w:bookmarkEnd w:id="453"/>
      <w:r>
        <w:rPr>
          <w:color w:val="000000"/>
          <w:spacing w:val="0"/>
          <w:w w:val="100"/>
          <w:position w:val="0"/>
        </w:rPr>
        <w:t>、限售股份变动情况</w:t>
      </w:r>
      <w:bookmarkEnd w:id="451"/>
      <w:bookmarkEnd w:id="452"/>
      <w:bookmarkEnd w:id="454"/>
    </w:p>
    <w:p>
      <w:pPr>
        <w:pStyle w:val="Style29"/>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1368"/>
        <w:gridCol w:w="1368"/>
        <w:gridCol w:w="1368"/>
        <w:gridCol w:w="1373"/>
        <w:gridCol w:w="1368"/>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1027"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鹰潭市鹰高投资 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43,228,000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97,615,740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140,843,740</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首发限售；非公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开限售</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r>
        <w:trPr>
          <w:trHeight w:val="710"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鹰潭市华鹰投资 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3,012,000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6,626,400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9,638,400</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13"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鹰潭市鹰飞投资</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1,754,000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368"/>
        <w:gridCol w:w="1368"/>
        <w:gridCol w:w="1368"/>
        <w:gridCol w:w="1368"/>
        <w:gridCol w:w="1368"/>
        <w:gridCol w:w="1373"/>
        <w:gridCol w:w="1368"/>
      </w:tblGrid>
      <w:tr>
        <w:trPr>
          <w:trHeight w:val="36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31" w:lineRule="exact"/>
              <w:ind w:left="0" w:right="0" w:firstLine="0"/>
              <w:jc w:val="both"/>
            </w:pPr>
            <w:r>
              <w:rPr>
                <w:color w:val="000000"/>
                <w:spacing w:val="0"/>
                <w:w w:val="100"/>
                <w:position w:val="0"/>
              </w:rPr>
              <w:t>鹰潭市鹰伟投资 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鹰潭市鹰达投资 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鹰潭市锐鹰投资 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9,760,000</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鹰潭市鹰杰投资 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银联科技有限公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8,640,000</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贵昌有限公司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4,624,000</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0"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北京睿韬科技有 限责任公司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8,847,265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8,847,265</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资产重组限售</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7"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宁波镇海翔易融 联投资管理合伙 企业（有限合伙）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5,898,177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5,898,177</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资产重组限售</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7"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 xml:space="preserve">余江县泰和睿思 技术服务中心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1,125,075</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非公开限售</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年度股权激 励参与人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5,120,000</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年度股权激 励参与人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2,784,000</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46,565,000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143,845,657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197,280,657</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455" w:name="bookmark455"/>
      <w:bookmarkStart w:id="456" w:name="bookmark456"/>
      <w:bookmarkStart w:id="457" w:name="bookmark457"/>
      <w:bookmarkStart w:id="458" w:name="bookmark458"/>
      <w:r>
        <w:rPr>
          <w:color w:val="000000"/>
          <w:spacing w:val="0"/>
          <w:w w:val="100"/>
          <w:position w:val="0"/>
          <w:sz w:val="24"/>
          <w:szCs w:val="24"/>
        </w:rPr>
        <w:t>二</w:t>
      </w:r>
      <w:bookmarkEnd w:id="457"/>
      <w:r>
        <w:rPr>
          <w:color w:val="000000"/>
          <w:spacing w:val="0"/>
          <w:w w:val="100"/>
          <w:position w:val="0"/>
          <w:sz w:val="24"/>
          <w:szCs w:val="24"/>
        </w:rPr>
        <w:t>、证券发行与上市情况</w:t>
      </w:r>
      <w:bookmarkEnd w:id="455"/>
      <w:bookmarkEnd w:id="456"/>
      <w:bookmarkEnd w:id="458"/>
    </w:p>
    <w:p>
      <w:pPr>
        <w:pStyle w:val="Style33"/>
        <w:keepNext/>
        <w:keepLines/>
        <w:widowControl w:val="0"/>
        <w:shd w:val="clear" w:color="auto" w:fill="auto"/>
        <w:tabs>
          <w:tab w:pos="368" w:val="left"/>
        </w:tabs>
        <w:bidi w:val="0"/>
        <w:spacing w:before="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1</w:t>
      </w:r>
      <w:bookmarkEnd w:id="461"/>
      <w:r>
        <w:rPr>
          <w:color w:val="000000"/>
          <w:spacing w:val="0"/>
          <w:w w:val="100"/>
          <w:position w:val="0"/>
        </w:rPr>
        <w:t>、</w:t>
        <w:tab/>
        <w:t>报告期内证券发行（不含优先股）情况</w:t>
      </w:r>
      <w:bookmarkEnd w:id="459"/>
      <w:bookmarkEnd w:id="460"/>
      <w:bookmarkEnd w:id="462"/>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2</w:t>
      </w:r>
      <w:bookmarkEnd w:id="465"/>
      <w:r>
        <w:rPr>
          <w:color w:val="000000"/>
          <w:spacing w:val="0"/>
          <w:w w:val="100"/>
          <w:position w:val="0"/>
        </w:rPr>
        <w:t>、</w:t>
        <w:tab/>
        <w:t>公司股份总数及股东结构的变动、公司资产和负债结构的变动情况说明</w:t>
      </w:r>
      <w:bookmarkEnd w:id="463"/>
      <w:bookmarkEnd w:id="464"/>
      <w:bookmarkEnd w:id="46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股份变动情况详见本章节第一条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股份变动情况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中第一项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股份变动情况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之股份变动的原因</w:t>
      </w:r>
    </w:p>
    <w:p>
      <w:pPr>
        <w:pStyle w:val="Style33"/>
        <w:keepNext/>
        <w:keepLines/>
        <w:widowControl w:val="0"/>
        <w:shd w:val="clear" w:color="auto" w:fill="auto"/>
        <w:tabs>
          <w:tab w:pos="378" w:val="left"/>
        </w:tabs>
        <w:bidi w:val="0"/>
        <w:spacing w:before="0" w:line="240" w:lineRule="auto"/>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3</w:t>
      </w:r>
      <w:bookmarkEnd w:id="469"/>
      <w:r>
        <w:rPr>
          <w:color w:val="000000"/>
          <w:spacing w:val="0"/>
          <w:w w:val="100"/>
          <w:position w:val="0"/>
        </w:rPr>
        <w:t>、</w:t>
        <w:tab/>
        <w:t>现存的内部职工股情况</w:t>
      </w:r>
      <w:bookmarkEnd w:id="467"/>
      <w:bookmarkEnd w:id="468"/>
      <w:bookmarkEnd w:id="470"/>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bidi w:val="0"/>
        <w:spacing w:before="0" w:after="340" w:line="240" w:lineRule="auto"/>
        <w:ind w:left="0" w:right="0" w:firstLine="0"/>
        <w:jc w:val="left"/>
      </w:pPr>
      <w:bookmarkStart w:id="471" w:name="bookmark471"/>
      <w:bookmarkStart w:id="472" w:name="bookmark472"/>
      <w:bookmarkStart w:id="473" w:name="bookmark473"/>
      <w:bookmarkStart w:id="474" w:name="bookmark474"/>
      <w:r>
        <w:rPr>
          <w:color w:val="000000"/>
          <w:spacing w:val="0"/>
          <w:w w:val="100"/>
          <w:position w:val="0"/>
          <w:sz w:val="24"/>
          <w:szCs w:val="24"/>
        </w:rPr>
        <w:t>三</w:t>
      </w:r>
      <w:bookmarkEnd w:id="473"/>
      <w:r>
        <w:rPr>
          <w:color w:val="000000"/>
          <w:spacing w:val="0"/>
          <w:w w:val="100"/>
          <w:position w:val="0"/>
          <w:sz w:val="24"/>
          <w:szCs w:val="24"/>
        </w:rPr>
        <w:t>、股东和实际控制人情况</w:t>
      </w:r>
      <w:bookmarkEnd w:id="471"/>
      <w:bookmarkEnd w:id="472"/>
      <w:bookmarkEnd w:id="474"/>
    </w:p>
    <w:p>
      <w:pPr>
        <w:pStyle w:val="Style33"/>
        <w:keepNext/>
        <w:keepLines/>
        <w:widowControl w:val="0"/>
        <w:shd w:val="clear" w:color="auto" w:fill="auto"/>
        <w:bidi w:val="0"/>
        <w:spacing w:before="0" w:after="38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1</w:t>
      </w:r>
      <w:bookmarkEnd w:id="477"/>
      <w:r>
        <w:rPr>
          <w:color w:val="000000"/>
          <w:spacing w:val="0"/>
          <w:w w:val="100"/>
          <w:position w:val="0"/>
        </w:rPr>
        <w:t>、公司股东数量及持股情况</w:t>
      </w:r>
      <w:bookmarkEnd w:id="475"/>
      <w:bookmarkEnd w:id="476"/>
      <w:bookmarkEnd w:id="47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134"/>
        <w:gridCol w:w="662"/>
        <w:gridCol w:w="422"/>
        <w:gridCol w:w="850"/>
        <w:gridCol w:w="187"/>
        <w:gridCol w:w="864"/>
        <w:gridCol w:w="331"/>
        <w:gridCol w:w="600"/>
        <w:gridCol w:w="994"/>
        <w:gridCol w:w="802"/>
        <w:gridCol w:w="192"/>
        <w:gridCol w:w="845"/>
        <w:gridCol w:w="288"/>
        <w:gridCol w:w="1070"/>
      </w:tblGrid>
      <w:tr>
        <w:trPr>
          <w:trHeight w:val="165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56,986</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51,349</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314" w:lineRule="exact"/>
              <w:ind w:left="0" w:right="0" w:firstLine="0"/>
              <w:jc w:val="left"/>
            </w:pPr>
            <w:r>
              <w:rPr>
                <w:color w:val="000000"/>
                <w:spacing w:val="0"/>
                <w:w w:val="100"/>
                <w:position w:val="0"/>
              </w:rPr>
              <w:t>报告期末表决权恢 复的优先股股东总 数（如有）（参见注</w:t>
            </w:r>
          </w:p>
          <w:p>
            <w:pPr>
              <w:pStyle w:val="Style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年度报告披露日 前上一月末表决 权恢复的优先股 股东总数（如有）</w:t>
            </w:r>
          </w:p>
          <w:p>
            <w:pPr>
              <w:pStyle w:val="Style5"/>
              <w:keepNext w:val="0"/>
              <w:keepLines w:val="0"/>
              <w:widowControl w:val="0"/>
              <w:shd w:val="clear" w:color="auto" w:fill="auto"/>
              <w:bidi w:val="0"/>
              <w:spacing w:before="0" w:after="0" w:line="309"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gridSpan w:val="2"/>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持有有限售</w:t>
            </w:r>
          </w:p>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5"/>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持有无限售</w:t>
            </w:r>
          </w:p>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5"/>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鹰潭市鹰高投资 咨询有限公司</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31.09%</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140,843,740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97,615,740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140,843,740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440" w:firstLine="0"/>
              <w:jc w:val="righ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13,264,400</w:t>
            </w:r>
          </w:p>
        </w:tc>
      </w:tr>
      <w:tr>
        <w:trPr>
          <w:trHeight w:val="715"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银联科技有限公 司</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11.92%</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54,000,000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8,640,000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45,360,000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贵昌有限公司</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2.95%</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13,345,600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-1,104,400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4,624,000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8,721,600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鹰潭市锐鹰投资 咨询有限公司</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2.15%</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9,760,000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9,760,000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鹰潭市华鹰投资 咨询有限公司</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2.13%</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9,638,400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6,626,400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9,638,400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北京睿韬科技有 限责任公司</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1.95%</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8,847,265</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8,847,265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8,847,265</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中央汇金资产管 理有限责任公司</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1.66%</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7,521,920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5,171,320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7,521,920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宁波镇海翔易融 联投资管理合伙 企业（有限合伙）</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5,898,177</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5,898,177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5,898,177</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陈慰忠</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0.58%</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2,637,821</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2,399,381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2,637,821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王磊</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0.43%</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1,944,540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1,944,540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1,944,540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 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11"/>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11"/>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鹰潭市锐鹰投资咨询有限公司、鹰潭市华鹰投资咨询有限公司为控股股东鹰潭市鹰高投资 咨询有限公司的关联方</w:t>
            </w:r>
          </w:p>
        </w:tc>
      </w:tr>
      <w:tr>
        <w:trPr>
          <w:trHeight w:val="403" w:hRule="exact"/>
        </w:trPr>
        <w:tc>
          <w:tcPr>
            <w:gridSpan w:val="15"/>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8" w:hRule="exact"/>
        </w:trPr>
        <w:tc>
          <w:tcPr>
            <w:gridSpan w:val="4"/>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8"/>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3"/>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bl>
    <w:p>
      <w:pPr>
        <w:spacing w:lineRule="exact" w:line="1"/>
        <w:rPr>
          <w:sz w:val="2"/>
          <w:szCs w:val="2"/>
        </w:rPr>
      </w:pPr>
      <w:r>
        <w:br w:type="page"/>
      </w:r>
    </w:p>
    <w:tbl>
      <w:tblPr>
        <w:tblOverlap w:val="never"/>
        <w:jc w:val="center"/>
        <w:tblLayout w:type="fixed"/>
      </w:tblPr>
      <w:tblGrid>
        <w:gridCol w:w="2558"/>
        <w:gridCol w:w="4819"/>
        <w:gridCol w:w="845"/>
        <w:gridCol w:w="135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45,360,000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人民币普</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45,360,000</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贵昌有限公司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8,721,600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人民币普</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8,721,600</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中央汇金资产管理有限责任公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7,521,920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人民币普</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7,521,920</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陈慰忠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2,637,821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人民币普</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2,637,821</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1,944,540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人民币普</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1,944,540</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1,770,160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人民币普</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1,770,160</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全国社保基金四零六组合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935,940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人民币普</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935,940</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于永涛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人民币普</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700,910</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人民币普</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664,000</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649,840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人民币普</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649,840</w:t>
            </w:r>
          </w:p>
        </w:tc>
      </w:tr>
      <w:tr>
        <w:trPr>
          <w:trHeight w:val="1339"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 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公司未知前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名无限售股股东是否为一致行动人。</w:t>
            </w:r>
          </w:p>
        </w:tc>
      </w:tr>
      <w:tr>
        <w:trPr>
          <w:trHeight w:val="165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其中，股东陈慰忠除通过普通证券账户持有公司</w:t>
            </w:r>
            <w:r>
              <w:rPr>
                <w:rFonts w:ascii="Times New Roman" w:eastAsia="Times New Roman" w:hAnsi="Times New Roman" w:cs="Times New Roman"/>
                <w:color w:val="000000"/>
                <w:spacing w:val="0"/>
                <w:w w:val="100"/>
                <w:position w:val="0"/>
                <w:sz w:val="18"/>
                <w:szCs w:val="18"/>
              </w:rPr>
              <w:t>1,380,928</w:t>
            </w:r>
            <w:r>
              <w:rPr>
                <w:color w:val="000000"/>
                <w:spacing w:val="0"/>
                <w:w w:val="100"/>
                <w:position w:val="0"/>
              </w:rPr>
              <w:t>股外，还通过投资者信用账户 持有公司</w:t>
            </w:r>
            <w:r>
              <w:rPr>
                <w:rFonts w:ascii="Times New Roman" w:eastAsia="Times New Roman" w:hAnsi="Times New Roman" w:cs="Times New Roman"/>
                <w:color w:val="000000"/>
                <w:spacing w:val="0"/>
                <w:w w:val="100"/>
                <w:position w:val="0"/>
                <w:sz w:val="18"/>
                <w:szCs w:val="18"/>
              </w:rPr>
              <w:t>1,256,893</w:t>
            </w:r>
            <w:r>
              <w:rPr>
                <w:color w:val="000000"/>
                <w:spacing w:val="0"/>
                <w:w w:val="100"/>
                <w:position w:val="0"/>
              </w:rPr>
              <w:t>股；股东王磊除通过普通证券账户持有公司</w:t>
            </w:r>
            <w:r>
              <w:rPr>
                <w:rFonts w:ascii="Times New Roman" w:eastAsia="Times New Roman" w:hAnsi="Times New Roman" w:cs="Times New Roman"/>
                <w:color w:val="000000"/>
                <w:spacing w:val="0"/>
                <w:w w:val="100"/>
                <w:position w:val="0"/>
                <w:sz w:val="18"/>
                <w:szCs w:val="18"/>
              </w:rPr>
              <w:t>947,200</w:t>
            </w:r>
            <w:r>
              <w:rPr>
                <w:color w:val="000000"/>
                <w:spacing w:val="0"/>
                <w:w w:val="100"/>
                <w:position w:val="0"/>
              </w:rPr>
              <w:t>股外，还通过投 资者信用账户持有公司</w:t>
            </w:r>
            <w:r>
              <w:rPr>
                <w:rFonts w:ascii="Times New Roman" w:eastAsia="Times New Roman" w:hAnsi="Times New Roman" w:cs="Times New Roman"/>
                <w:color w:val="000000"/>
                <w:spacing w:val="0"/>
                <w:w w:val="100"/>
                <w:position w:val="0"/>
                <w:sz w:val="18"/>
                <w:szCs w:val="18"/>
              </w:rPr>
              <w:t>997,340</w:t>
            </w:r>
            <w:r>
              <w:rPr>
                <w:color w:val="000000"/>
                <w:spacing w:val="0"/>
                <w:w w:val="100"/>
                <w:position w:val="0"/>
              </w:rPr>
              <w:t>股；股东李涛通过投资者信用账户持有公司</w:t>
            </w:r>
            <w:r>
              <w:rPr>
                <w:rFonts w:ascii="Times New Roman" w:eastAsia="Times New Roman" w:hAnsi="Times New Roman" w:cs="Times New Roman"/>
                <w:color w:val="000000"/>
                <w:spacing w:val="0"/>
                <w:w w:val="100"/>
                <w:position w:val="0"/>
                <w:sz w:val="18"/>
                <w:szCs w:val="18"/>
              </w:rPr>
              <w:t>1,770,160</w:t>
            </w:r>
            <w:r>
              <w:rPr>
                <w:color w:val="000000"/>
                <w:spacing w:val="0"/>
                <w:w w:val="100"/>
                <w:position w:val="0"/>
              </w:rPr>
              <w:t>股； 股东于永涛通过投资者信用账户持有公司</w:t>
            </w:r>
            <w:r>
              <w:rPr>
                <w:rFonts w:ascii="Times New Roman" w:eastAsia="Times New Roman" w:hAnsi="Times New Roman" w:cs="Times New Roman"/>
                <w:color w:val="000000"/>
                <w:spacing w:val="0"/>
                <w:w w:val="100"/>
                <w:position w:val="0"/>
                <w:sz w:val="18"/>
                <w:szCs w:val="18"/>
              </w:rPr>
              <w:t>700,910</w:t>
            </w:r>
            <w:r>
              <w:rPr>
                <w:color w:val="000000"/>
                <w:spacing w:val="0"/>
                <w:w w:val="100"/>
                <w:position w:val="0"/>
              </w:rPr>
              <w:t>股；股东张兴通过投资者信用账户持有 公司</w:t>
            </w:r>
            <w:r>
              <w:rPr>
                <w:rFonts w:ascii="Times New Roman" w:eastAsia="Times New Roman" w:hAnsi="Times New Roman" w:cs="Times New Roman"/>
                <w:color w:val="000000"/>
                <w:spacing w:val="0"/>
                <w:w w:val="100"/>
                <w:position w:val="0"/>
                <w:sz w:val="18"/>
                <w:szCs w:val="18"/>
              </w:rPr>
              <w:t>649,840</w:t>
            </w:r>
            <w:r>
              <w:rPr>
                <w:color w:val="000000"/>
                <w:spacing w:val="0"/>
                <w:w w:val="100"/>
                <w:position w:val="0"/>
              </w:rPr>
              <w:t>股；</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38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2</w:t>
      </w:r>
      <w:bookmarkEnd w:id="481"/>
      <w:r>
        <w:rPr>
          <w:color w:val="000000"/>
          <w:spacing w:val="0"/>
          <w:w w:val="100"/>
          <w:position w:val="0"/>
        </w:rPr>
        <w:t>、公司控股股东情况</w:t>
      </w:r>
      <w:bookmarkEnd w:id="479"/>
      <w:bookmarkEnd w:id="480"/>
      <w:bookmarkEnd w:id="48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3"/>
        <w:gridCol w:w="1790"/>
        <w:gridCol w:w="1594"/>
        <w:gridCol w:w="1752"/>
        <w:gridCol w:w="2242"/>
      </w:tblGrid>
      <w:tr>
        <w:trPr>
          <w:trHeight w:val="73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bl>
    <w:p>
      <w:pPr>
        <w:spacing w:lineRule="exact" w:line="1"/>
        <w:rPr>
          <w:sz w:val="2"/>
          <w:szCs w:val="2"/>
        </w:rPr>
      </w:pPr>
      <w:r>
        <w:br w:type="page"/>
      </w:r>
    </w:p>
    <w:tbl>
      <w:tblPr>
        <w:tblOverlap w:val="never"/>
        <w:jc w:val="center"/>
        <w:tblLayout w:type="fixed"/>
      </w:tblPr>
      <w:tblGrid>
        <w:gridCol w:w="2203"/>
        <w:gridCol w:w="1790"/>
        <w:gridCol w:w="1594"/>
        <w:gridCol w:w="1752"/>
        <w:gridCol w:w="2242"/>
      </w:tblGrid>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rPr>
              <w:t>鹰潭市鹰高投资咨询有限 公司</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13606005686551309</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投资，企业管理咨询；营销 策划</w:t>
            </w:r>
          </w:p>
        </w:tc>
      </w:tr>
      <w:tr>
        <w:trPr>
          <w:trHeight w:val="1037"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after="38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3</w:t>
      </w:r>
      <w:bookmarkEnd w:id="485"/>
      <w:r>
        <w:rPr>
          <w:color w:val="000000"/>
          <w:spacing w:val="0"/>
          <w:w w:val="100"/>
          <w:position w:val="0"/>
        </w:rPr>
        <w:t>、公司实际控制人情况</w:t>
      </w:r>
      <w:bookmarkEnd w:id="483"/>
      <w:bookmarkEnd w:id="484"/>
      <w:bookmarkEnd w:id="48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4"/>
        <w:gridCol w:w="4186"/>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任公司董事长</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663825"/>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5"/>
                    <a:stretch/>
                  </pic:blipFill>
                  <pic:spPr>
                    <a:xfrm>
                      <a:ext cx="4596130" cy="2663825"/>
                    </a:xfrm>
                    <a:prstGeom prst="rect"/>
                  </pic:spPr>
                </pic:pic>
              </a:graphicData>
            </a:graphic>
          </wp:inline>
        </w:drawing>
      </w:r>
    </w:p>
    <w:p>
      <w:pPr>
        <w:widowControl w:val="0"/>
        <w:spacing w:after="279" w:line="1" w:lineRule="exact"/>
      </w:pPr>
    </w:p>
    <w:p>
      <w:pPr>
        <w:pStyle w:val="Style64"/>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3"/>
        <w:keepNext/>
        <w:keepLines/>
        <w:widowControl w:val="0"/>
        <w:shd w:val="clear" w:color="auto" w:fill="auto"/>
        <w:bidi w:val="0"/>
        <w:spacing w:before="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4</w:t>
      </w:r>
      <w:bookmarkEnd w:id="489"/>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7"/>
      <w:bookmarkEnd w:id="488"/>
      <w:bookmarkEnd w:id="490"/>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87"/>
        <w:gridCol w:w="2414"/>
        <w:gridCol w:w="1699"/>
        <w:gridCol w:w="1349"/>
        <w:gridCol w:w="2131"/>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法人股东名称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主要经营业务或管理活动</w:t>
            </w:r>
          </w:p>
        </w:tc>
      </w:tr>
      <w:tr>
        <w:trPr>
          <w:trHeight w:val="413"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银联科技有限公司</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Kwong Yong Sin</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港元</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5</w:t>
      </w:r>
      <w:bookmarkEnd w:id="493"/>
      <w:r>
        <w:rPr>
          <w:color w:val="000000"/>
          <w:spacing w:val="0"/>
          <w:w w:val="100"/>
          <w:position w:val="0"/>
        </w:rPr>
        <w:t>、控股股东、实际控制人、重组方及其他承诺主体股份限制减持情况</w:t>
      </w:r>
      <w:bookmarkEnd w:id="491"/>
      <w:bookmarkEnd w:id="492"/>
      <w:bookmarkEnd w:id="494"/>
    </w:p>
    <w:p>
      <w:pPr>
        <w:pStyle w:val="Style29"/>
        <w:keepNext w:val="0"/>
        <w:keepLines w:val="0"/>
        <w:widowControl w:val="0"/>
        <w:shd w:val="clear" w:color="auto" w:fill="auto"/>
        <w:bidi w:val="0"/>
        <w:spacing w:before="0" w:after="360" w:line="240" w:lineRule="auto"/>
        <w:ind w:left="0" w:right="0" w:firstLine="0"/>
        <w:jc w:val="left"/>
        <w:sectPr>
          <w:footnotePr>
            <w:pos w:val="pageBottom"/>
            <w:numFmt w:val="decimal"/>
            <w:numStart w:val="1"/>
            <w:numRestart w:val="continuous"/>
            <w15:footnoteColumns w:val="1"/>
          </w:footnotePr>
          <w:pgSz w:w="11900" w:h="16840"/>
          <w:pgMar w:top="1374" w:right="1066" w:bottom="1446" w:left="106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before="113" w:after="113" w:line="240" w:lineRule="exact"/>
        <w:rPr>
          <w:sz w:val="19"/>
          <w:szCs w:val="19"/>
        </w:rPr>
      </w:pPr>
    </w:p>
    <w:p>
      <w:pPr>
        <w:widowControl w:val="0"/>
        <w:spacing w:line="1" w:lineRule="exact"/>
        <w:sectPr>
          <w:footnotePr>
            <w:pos w:val="pageBottom"/>
            <w:numFmt w:val="decimal"/>
            <w:numStart w:val="1"/>
            <w:numRestart w:val="continuous"/>
            <w15:footnoteColumns w:val="1"/>
          </w:footnotePr>
          <w:pgSz w:w="11900" w:h="16840"/>
          <w:pgMar w:top="1378" w:right="1070" w:bottom="1522" w:left="1058"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404" behindDoc="0" locked="0" layoutInCell="1" allowOverlap="1">
                <wp:simplePos x="0" y="0"/>
                <wp:positionH relativeFrom="page">
                  <wp:posOffset>2716530</wp:posOffset>
                </wp:positionH>
                <wp:positionV relativeFrom="paragraph">
                  <wp:posOffset>0</wp:posOffset>
                </wp:positionV>
                <wp:extent cx="2170430" cy="243840"/>
                <wp:wrapTopAndBottom/>
                <wp:docPr id="41" name="Shape 41"/>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8"/>
                              <w:keepNext/>
                              <w:keepLines/>
                              <w:widowControl w:val="0"/>
                              <w:shd w:val="clear" w:color="auto" w:fill="auto"/>
                              <w:bidi w:val="0"/>
                              <w:spacing w:before="0" w:after="0" w:line="240" w:lineRule="auto"/>
                              <w:ind w:left="0" w:right="0" w:firstLine="0"/>
                              <w:jc w:val="center"/>
                            </w:pPr>
                            <w:bookmarkStart w:id="495" w:name="bookmark495"/>
                            <w:bookmarkStart w:id="496" w:name="bookmark496"/>
                            <w:bookmarkStart w:id="497" w:name="bookmark497"/>
                            <w:r>
                              <w:rPr>
                                <w:color w:val="000000"/>
                                <w:spacing w:val="0"/>
                                <w:w w:val="100"/>
                                <w:position w:val="0"/>
                              </w:rPr>
                              <w:t>第七节优先股相关情况</w:t>
                            </w:r>
                            <w:bookmarkEnd w:id="495"/>
                            <w:bookmarkEnd w:id="496"/>
                            <w:bookmarkEnd w:id="497"/>
                          </w:p>
                        </w:txbxContent>
                      </wps:txbx>
                      <wps:bodyPr wrap="none" lIns="0" tIns="0" rIns="0" bIns="0">
                        <a:noAutoFit/>
                      </wps:bodyPr>
                    </wps:wsp>
                  </a:graphicData>
                </a:graphic>
              </wp:anchor>
            </w:drawing>
          </mc:Choice>
          <mc:Fallback>
            <w:pict>
              <v:shape id="_x0000_s1067" type="#_x0000_t202" style="position:absolute;margin-left:213.90000000000001pt;margin-top:0;width:170.90000000000001pt;height:19.199999999999999pt;z-index:-125829349;mso-wrap-distance-left:0;mso-wrap-distance-right:0;mso-wrap-distance-bottom:21.pt;mso-position-horizontal-relative:page" filled="f" stroked="f">
                <v:textbox inset="0,0,0,0">
                  <w:txbxContent>
                    <w:p>
                      <w:pPr>
                        <w:pStyle w:val="Style18"/>
                        <w:keepNext/>
                        <w:keepLines/>
                        <w:widowControl w:val="0"/>
                        <w:shd w:val="clear" w:color="auto" w:fill="auto"/>
                        <w:bidi w:val="0"/>
                        <w:spacing w:before="0" w:after="0" w:line="240" w:lineRule="auto"/>
                        <w:ind w:left="0" w:right="0" w:firstLine="0"/>
                        <w:jc w:val="center"/>
                      </w:pPr>
                      <w:bookmarkStart w:id="495" w:name="bookmark495"/>
                      <w:bookmarkStart w:id="496" w:name="bookmark496"/>
                      <w:bookmarkStart w:id="497" w:name="bookmark497"/>
                      <w:r>
                        <w:rPr>
                          <w:color w:val="000000"/>
                          <w:spacing w:val="0"/>
                          <w:w w:val="100"/>
                          <w:position w:val="0"/>
                        </w:rPr>
                        <w:t>第七节优先股相关情况</w:t>
                      </w:r>
                      <w:bookmarkEnd w:id="495"/>
                      <w:bookmarkEnd w:id="496"/>
                      <w:bookmarkEnd w:id="497"/>
                    </w:p>
                  </w:txbxContent>
                </v:textbox>
                <w10:wrap type="topAndBottom" anchorx="page"/>
              </v:shape>
            </w:pict>
          </mc:Fallback>
        </mc:AlternateContent>
      </w:r>
    </w:p>
    <w:p>
      <w:pPr>
        <w:pStyle w:val="Style29"/>
        <w:keepNext w:val="0"/>
        <w:keepLines w:val="0"/>
        <w:widowControl w:val="0"/>
        <w:shd w:val="clear" w:color="auto" w:fill="auto"/>
        <w:bidi w:val="0"/>
        <w:spacing w:before="0" w:after="140" w:line="240" w:lineRule="auto"/>
        <w:ind w:left="0" w:right="0" w:firstLine="0"/>
        <w:jc w:val="left"/>
      </w:pPr>
      <w:bookmarkStart w:id="498" w:name="bookmark49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98"/>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8"/>
        <w:keepNext/>
        <w:keepLines/>
        <w:widowControl w:val="0"/>
        <w:shd w:val="clear" w:color="auto" w:fill="auto"/>
        <w:bidi w:val="0"/>
        <w:spacing w:before="0" w:line="240" w:lineRule="auto"/>
        <w:ind w:left="0" w:right="0" w:firstLine="0"/>
        <w:jc w:val="center"/>
      </w:pPr>
      <w:bookmarkStart w:id="499" w:name="bookmark499"/>
      <w:bookmarkStart w:id="500" w:name="bookmark500"/>
      <w:bookmarkStart w:id="501" w:name="bookmark501"/>
      <w:r>
        <w:rPr>
          <w:color w:val="000000"/>
          <w:spacing w:val="0"/>
          <w:w w:val="100"/>
          <w:position w:val="0"/>
        </w:rPr>
        <w:t>第八节董事、监事、高级管理人员和员工情况</w:t>
      </w:r>
      <w:bookmarkEnd w:id="499"/>
      <w:bookmarkEnd w:id="500"/>
      <w:bookmarkEnd w:id="501"/>
    </w:p>
    <w:p>
      <w:pPr>
        <w:pStyle w:val="Style27"/>
        <w:keepNext/>
        <w:keepLines/>
        <w:widowControl w:val="0"/>
        <w:shd w:val="clear" w:color="auto" w:fill="auto"/>
        <w:bidi w:val="0"/>
        <w:spacing w:before="0" w:after="320" w:line="240" w:lineRule="auto"/>
        <w:ind w:left="0" w:right="0" w:firstLine="0"/>
        <w:jc w:val="left"/>
      </w:pPr>
      <w:bookmarkStart w:id="502" w:name="bookmark502"/>
      <w:bookmarkStart w:id="503" w:name="bookmark503"/>
      <w:bookmarkStart w:id="504" w:name="bookmark504"/>
      <w:bookmarkStart w:id="505" w:name="bookmark505"/>
      <w:bookmarkStart w:id="506" w:name="bookmark506"/>
      <w:r>
        <w:rPr>
          <w:color w:val="000000"/>
          <w:spacing w:val="0"/>
          <w:w w:val="100"/>
          <w:position w:val="0"/>
          <w:sz w:val="24"/>
          <w:szCs w:val="24"/>
        </w:rPr>
        <w:t>一</w:t>
      </w:r>
      <w:bookmarkEnd w:id="505"/>
      <w:r>
        <w:rPr>
          <w:color w:val="000000"/>
          <w:spacing w:val="0"/>
          <w:w w:val="100"/>
          <w:position w:val="0"/>
          <w:sz w:val="24"/>
          <w:szCs w:val="24"/>
        </w:rPr>
        <w:t>、董事、监事和高级管理人员持股变动</w:t>
      </w:r>
      <w:bookmarkEnd w:id="503"/>
      <w:bookmarkEnd w:id="504"/>
      <w:bookmarkEnd w:id="506"/>
      <w:bookmarkEnd w:id="502"/>
    </w:p>
    <w:tbl>
      <w:tblPr>
        <w:tblOverlap w:val="never"/>
        <w:jc w:val="center"/>
        <w:tblLayout w:type="fixed"/>
      </w:tblPr>
      <w:tblGrid>
        <w:gridCol w:w="835"/>
        <w:gridCol w:w="730"/>
        <w:gridCol w:w="566"/>
        <w:gridCol w:w="422"/>
        <w:gridCol w:w="528"/>
        <w:gridCol w:w="893"/>
        <w:gridCol w:w="989"/>
        <w:gridCol w:w="994"/>
        <w:gridCol w:w="850"/>
        <w:gridCol w:w="984"/>
        <w:gridCol w:w="970"/>
        <w:gridCol w:w="922"/>
      </w:tblGrid>
      <w:tr>
        <w:trPr>
          <w:trHeight w:val="103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80"/>
              <w:jc w:val="both"/>
            </w:pPr>
            <w:r>
              <w:rPr>
                <w:color w:val="000000"/>
                <w:spacing w:val="0"/>
                <w:w w:val="100"/>
                <w:position w:val="0"/>
              </w:rPr>
              <w:t>职务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期初持股数</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本期增持 股份数量</w:t>
            </w:r>
          </w:p>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本期减持股 份数量（股）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其他增减变 动（股）</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程军</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董事；总</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Kwong</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Yong Sin</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夏鹏</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潘红</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孙文</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郑明</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熊桂生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副总经</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646"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高源</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副总经 理；财务 总监；董 事会秘 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沈远恒</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副总经</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杨晓斌</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副总经</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张文利</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赵永莉</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p>
    <w:tbl>
      <w:tblPr>
        <w:tblOverlap w:val="never"/>
        <w:jc w:val="center"/>
        <w:tblLayout w:type="fixed"/>
      </w:tblPr>
      <w:tblGrid>
        <w:gridCol w:w="835"/>
        <w:gridCol w:w="730"/>
        <w:gridCol w:w="566"/>
        <w:gridCol w:w="422"/>
        <w:gridCol w:w="528"/>
        <w:gridCol w:w="893"/>
        <w:gridCol w:w="989"/>
        <w:gridCol w:w="994"/>
        <w:gridCol w:w="850"/>
        <w:gridCol w:w="984"/>
        <w:gridCol w:w="970"/>
        <w:gridCol w:w="922"/>
      </w:tblGrid>
      <w:tr>
        <w:trPr>
          <w:trHeight w:val="365"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武京双</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财务总</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FF0000"/>
                <w:spacing w:val="0"/>
                <w:w w:val="100"/>
                <w:position w:val="0"/>
                <w:sz w:val="18"/>
                <w:szCs w:val="18"/>
                <w:vertAlign w:val="superscript"/>
              </w:rPr>
              <w:t>1</w:t>
            </w:r>
          </w:p>
        </w:tc>
      </w:tr>
    </w:tbl>
    <w:p>
      <w:pPr>
        <w:pStyle w:val="Style29"/>
        <w:keepNext w:val="0"/>
        <w:keepLines w:val="0"/>
        <w:widowControl w:val="0"/>
        <w:shd w:val="clear" w:color="auto" w:fill="auto"/>
        <w:bidi w:val="0"/>
        <w:spacing w:before="0" w:after="380" w:line="304"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于伟系鹰潭市鹰高投资咨询有限公司、鹰潭市华鹰投资咨询有限公司、鹰潭市锐鹰投资咨询有限公司股东；程军系鹰 潭市鹰高投资咨询有限公司、鹰潭市华鹰投资咨询有限公司股东；</w:t>
      </w:r>
      <w:r>
        <w:rPr>
          <w:rFonts w:ascii="Times New Roman" w:eastAsia="Times New Roman" w:hAnsi="Times New Roman" w:cs="Times New Roman"/>
          <w:color w:val="000000"/>
          <w:spacing w:val="0"/>
          <w:w w:val="100"/>
          <w:position w:val="0"/>
          <w:sz w:val="18"/>
          <w:szCs w:val="18"/>
        </w:rPr>
        <w:t>Kwong Yong Sin</w:t>
      </w:r>
      <w:r>
        <w:rPr>
          <w:color w:val="000000"/>
          <w:spacing w:val="0"/>
          <w:w w:val="100"/>
          <w:position w:val="0"/>
        </w:rPr>
        <w:t>系银联科技股东；孙文系鹰潭市锐鹰投 资咨询有限公司股东；李勇系鹰潭市锐鹰投资咨询有限公司股东。鹰潭市鹰高投资咨询有限公司、鹰潭市华鹰投资咨询有限 公司、鹰潭市锐鹰投资咨询有限公司系高伟达股东。</w:t>
      </w:r>
    </w:p>
    <w:p>
      <w:pPr>
        <w:pStyle w:val="Style27"/>
        <w:keepNext/>
        <w:keepLines/>
        <w:widowControl w:val="0"/>
        <w:shd w:val="clear" w:color="auto" w:fill="auto"/>
        <w:bidi w:val="0"/>
        <w:spacing w:before="0" w:after="320" w:line="240" w:lineRule="auto"/>
        <w:ind w:left="0" w:right="0" w:firstLine="0"/>
        <w:jc w:val="both"/>
      </w:pPr>
      <w:bookmarkStart w:id="507" w:name="bookmark507"/>
      <w:bookmarkStart w:id="508" w:name="bookmark508"/>
      <w:bookmarkStart w:id="509" w:name="bookmark509"/>
      <w:bookmarkStart w:id="510" w:name="bookmark510"/>
      <w:r>
        <w:rPr>
          <w:color w:val="000000"/>
          <w:spacing w:val="0"/>
          <w:w w:val="100"/>
          <w:position w:val="0"/>
          <w:sz w:val="24"/>
          <w:szCs w:val="24"/>
        </w:rPr>
        <w:t>二</w:t>
      </w:r>
      <w:bookmarkEnd w:id="509"/>
      <w:r>
        <w:rPr>
          <w:color w:val="000000"/>
          <w:spacing w:val="0"/>
          <w:w w:val="100"/>
          <w:position w:val="0"/>
          <w:sz w:val="24"/>
          <w:szCs w:val="24"/>
        </w:rPr>
        <w:t>、公司董事、监事、高级管理人员变动情况</w:t>
      </w:r>
      <w:bookmarkEnd w:id="507"/>
      <w:bookmarkEnd w:id="508"/>
      <w:bookmarkEnd w:id="510"/>
    </w:p>
    <w:p>
      <w:pPr>
        <w:pStyle w:val="Style5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张文利</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个人原因，主动离任</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赵永莉</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个人原因，主动离任</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武京双</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个人原因，主动离职</w:t>
            </w:r>
          </w:p>
        </w:tc>
      </w:tr>
      <w:tr>
        <w:trPr>
          <w:trHeight w:val="720"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杨晓斌</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个人原因，主动离职</w:t>
            </w:r>
          </w:p>
        </w:tc>
      </w:tr>
    </w:tbl>
    <w:p>
      <w:pPr>
        <w:widowControl w:val="0"/>
        <w:spacing w:after="319" w:line="1" w:lineRule="exact"/>
      </w:pPr>
    </w:p>
    <w:p>
      <w:pPr>
        <w:pStyle w:val="Style27"/>
        <w:keepNext/>
        <w:keepLines/>
        <w:widowControl w:val="0"/>
        <w:shd w:val="clear" w:color="auto" w:fill="auto"/>
        <w:bidi w:val="0"/>
        <w:spacing w:before="0" w:after="240" w:line="240" w:lineRule="auto"/>
        <w:ind w:left="0" w:right="0" w:firstLine="0"/>
        <w:jc w:val="both"/>
      </w:pPr>
      <w:bookmarkStart w:id="511" w:name="bookmark511"/>
      <w:bookmarkStart w:id="512" w:name="bookmark512"/>
      <w:bookmarkStart w:id="513" w:name="bookmark513"/>
      <w:bookmarkStart w:id="514" w:name="bookmark514"/>
      <w:r>
        <w:rPr>
          <w:color w:val="000000"/>
          <w:spacing w:val="0"/>
          <w:w w:val="100"/>
          <w:position w:val="0"/>
          <w:sz w:val="24"/>
          <w:szCs w:val="24"/>
        </w:rPr>
        <w:t>三</w:t>
      </w:r>
      <w:bookmarkEnd w:id="513"/>
      <w:r>
        <w:rPr>
          <w:color w:val="000000"/>
          <w:spacing w:val="0"/>
          <w:w w:val="100"/>
          <w:position w:val="0"/>
          <w:sz w:val="24"/>
          <w:szCs w:val="24"/>
        </w:rPr>
        <w:t>、任职情况</w:t>
      </w:r>
      <w:bookmarkEnd w:id="511"/>
      <w:bookmarkEnd w:id="512"/>
      <w:bookmarkEnd w:id="514"/>
    </w:p>
    <w:p>
      <w:pPr>
        <w:pStyle w:val="Style29"/>
        <w:keepNext w:val="0"/>
        <w:keepLines w:val="0"/>
        <w:widowControl w:val="0"/>
        <w:shd w:val="clear" w:color="auto" w:fill="auto"/>
        <w:bidi w:val="0"/>
        <w:spacing w:before="0" w:after="140" w:line="316"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bidi w:val="0"/>
        <w:spacing w:before="0" w:after="0"/>
        <w:ind w:left="0" w:right="0"/>
        <w:jc w:val="both"/>
      </w:pPr>
      <w:bookmarkStart w:id="515" w:name="bookmark515"/>
      <w:r>
        <w:rPr>
          <w:rFonts w:ascii="Times New Roman" w:eastAsia="Times New Roman" w:hAnsi="Times New Roman" w:cs="Times New Roman"/>
          <w:color w:val="000000"/>
          <w:spacing w:val="0"/>
          <w:w w:val="100"/>
          <w:position w:val="0"/>
          <w:sz w:val="18"/>
          <w:szCs w:val="18"/>
        </w:rPr>
        <w:t>1</w:t>
      </w:r>
      <w:bookmarkEnd w:id="515"/>
      <w:r>
        <w:rPr>
          <w:color w:val="000000"/>
          <w:spacing w:val="0"/>
          <w:w w:val="100"/>
          <w:position w:val="0"/>
        </w:rPr>
        <w:t>、董事</w:t>
      </w:r>
    </w:p>
    <w:p>
      <w:pPr>
        <w:pStyle w:val="Style29"/>
        <w:keepNext w:val="0"/>
        <w:keepLines w:val="0"/>
        <w:widowControl w:val="0"/>
        <w:shd w:val="clear" w:color="auto" w:fill="auto"/>
        <w:bidi w:val="0"/>
        <w:spacing w:before="0" w:after="0" w:line="316" w:lineRule="exact"/>
        <w:ind w:left="0" w:right="0"/>
        <w:jc w:val="both"/>
      </w:pPr>
      <w:r>
        <w:rPr>
          <w:color w:val="000000"/>
          <w:spacing w:val="0"/>
          <w:w w:val="100"/>
          <w:position w:val="0"/>
        </w:rPr>
        <w:t>于伟，董事长，</w:t>
      </w:r>
      <w:r>
        <w:rPr>
          <w:rFonts w:ascii="Times New Roman" w:eastAsia="Times New Roman" w:hAnsi="Times New Roman" w:cs="Times New Roman"/>
          <w:color w:val="000000"/>
          <w:spacing w:val="0"/>
          <w:w w:val="100"/>
          <w:position w:val="0"/>
          <w:sz w:val="18"/>
          <w:szCs w:val="18"/>
        </w:rPr>
        <w:t>1958</w:t>
      </w:r>
      <w:r>
        <w:rPr>
          <w:color w:val="000000"/>
          <w:spacing w:val="0"/>
          <w:w w:val="100"/>
          <w:position w:val="0"/>
        </w:rPr>
        <w:t>年出生，中国国籍，无境外永久居留权，毕业于国际关系学院，获学士学位。工作期间历任中国瑞 宝开发公司项目经理、阿斯克（中国）软件技术有限公司总经理、西科姆（中国）有限公司总经理、深圳市高伟达投资有限 公司执行董事兼总经理、北京高伟达科技发展有限公司董事长、北京高伟达系统集成有限公司董事长兼总经理、高伟达控股 公司董事长，现任公司董事长。</w:t>
      </w:r>
    </w:p>
    <w:p>
      <w:pPr>
        <w:pStyle w:val="Style29"/>
        <w:keepNext w:val="0"/>
        <w:keepLines w:val="0"/>
        <w:widowControl w:val="0"/>
        <w:shd w:val="clear" w:color="auto" w:fill="auto"/>
        <w:bidi w:val="0"/>
        <w:spacing w:before="0" w:after="0" w:line="316" w:lineRule="exact"/>
        <w:ind w:left="0" w:right="0"/>
        <w:jc w:val="both"/>
      </w:pPr>
      <w:r>
        <w:rPr>
          <w:color w:val="000000"/>
          <w:spacing w:val="0"/>
          <w:w w:val="100"/>
          <w:position w:val="0"/>
        </w:rPr>
        <w:t>程军，董事、总经理，</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年出生，中国国籍，无境外永久居留权，大专学历。</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年，供职于联合饼干（中 国）武汉分公司财务部；</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年，担任北京高伟达科技发展有限公司武汉分公司总经理；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年，担任北京 高伟达软件技术有限公司副总经理；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月，担任高伟达软件股份有限公司副总经理，现任公司董事、总经理。</w:t>
      </w:r>
    </w:p>
    <w:p>
      <w:pPr>
        <w:pStyle w:val="Style67"/>
        <w:keepNext w:val="0"/>
        <w:keepLines w:val="0"/>
        <w:widowControl w:val="0"/>
        <w:shd w:val="clear" w:color="auto" w:fill="auto"/>
        <w:bidi w:val="0"/>
        <w:spacing w:before="0" w:after="0"/>
        <w:ind w:left="0" w:right="0"/>
        <w:jc w:val="both"/>
        <w:rPr>
          <w:sz w:val="17"/>
          <w:szCs w:val="17"/>
        </w:rPr>
      </w:pPr>
      <w:r>
        <w:rPr>
          <w:color w:val="000000"/>
          <w:spacing w:val="0"/>
          <w:w w:val="100"/>
          <w:position w:val="0"/>
          <w:sz w:val="18"/>
          <w:szCs w:val="18"/>
        </w:rPr>
        <w:t xml:space="preserve">Kwong Yong Sin </w:t>
      </w:r>
      <w:r>
        <w:rPr>
          <w:rFonts w:ascii="SimSun" w:eastAsia="SimSun" w:hAnsi="SimSun" w:cs="SimSun"/>
          <w:color w:val="000000"/>
          <w:spacing w:val="0"/>
          <w:w w:val="100"/>
          <w:position w:val="0"/>
          <w:sz w:val="17"/>
          <w:szCs w:val="17"/>
        </w:rPr>
        <w:t>（关银星）先生，董事，</w:t>
      </w:r>
      <w:r>
        <w:rPr>
          <w:color w:val="000000"/>
          <w:spacing w:val="0"/>
          <w:w w:val="100"/>
          <w:position w:val="0"/>
          <w:sz w:val="18"/>
          <w:szCs w:val="18"/>
        </w:rPr>
        <w:t>1956</w:t>
      </w:r>
      <w:r>
        <w:rPr>
          <w:rFonts w:ascii="SimSun" w:eastAsia="SimSun" w:hAnsi="SimSun" w:cs="SimSun"/>
          <w:color w:val="000000"/>
          <w:spacing w:val="0"/>
          <w:w w:val="100"/>
          <w:position w:val="0"/>
          <w:sz w:val="17"/>
          <w:szCs w:val="17"/>
        </w:rPr>
        <w:t>年出生，马来西亚籍，毕业于</w:t>
      </w:r>
      <w:r>
        <w:rPr>
          <w:color w:val="000000"/>
          <w:spacing w:val="0"/>
          <w:w w:val="100"/>
          <w:position w:val="0"/>
          <w:sz w:val="18"/>
          <w:szCs w:val="18"/>
        </w:rPr>
        <w:t>University of New South Wales Australia</w:t>
      </w:r>
      <w:r>
        <w:rPr>
          <w:rFonts w:ascii="SimSun" w:eastAsia="SimSun" w:hAnsi="SimSun" w:cs="SimSun"/>
          <w:color w:val="000000"/>
          <w:spacing w:val="0"/>
          <w:w w:val="100"/>
          <w:position w:val="0"/>
          <w:sz w:val="17"/>
          <w:szCs w:val="17"/>
        </w:rPr>
        <w:t>，获 学士学位。工作期间历任</w:t>
      </w:r>
      <w:r>
        <w:rPr>
          <w:color w:val="000000"/>
          <w:spacing w:val="0"/>
          <w:w w:val="100"/>
          <w:position w:val="0"/>
          <w:sz w:val="18"/>
          <w:szCs w:val="18"/>
        </w:rPr>
        <w:t>University of New South Wales,Australia</w:t>
      </w:r>
      <w:r>
        <w:rPr>
          <w:rFonts w:ascii="SimSun" w:eastAsia="SimSun" w:hAnsi="SimSun" w:cs="SimSun"/>
          <w:color w:val="000000"/>
          <w:spacing w:val="0"/>
          <w:w w:val="100"/>
          <w:position w:val="0"/>
          <w:sz w:val="17"/>
          <w:szCs w:val="17"/>
        </w:rPr>
        <w:t>信息系统部分析师兼程序员、</w:t>
      </w:r>
      <w:r>
        <w:rPr>
          <w:color w:val="000000"/>
          <w:spacing w:val="0"/>
          <w:w w:val="100"/>
          <w:position w:val="0"/>
          <w:sz w:val="18"/>
          <w:szCs w:val="18"/>
        </w:rPr>
        <w:t>Electricity Commission of New South Wales,Australia</w:t>
      </w:r>
      <w:r>
        <w:rPr>
          <w:rFonts w:ascii="SimSun" w:eastAsia="SimSun" w:hAnsi="SimSun" w:cs="SimSun"/>
          <w:color w:val="000000"/>
          <w:spacing w:val="0"/>
          <w:w w:val="100"/>
          <w:position w:val="0"/>
          <w:sz w:val="17"/>
          <w:szCs w:val="17"/>
        </w:rPr>
        <w:t>信息系统部高级系统计划人员、</w:t>
      </w:r>
      <w:r>
        <w:rPr>
          <w:color w:val="000000"/>
          <w:spacing w:val="0"/>
          <w:w w:val="100"/>
          <w:position w:val="0"/>
          <w:sz w:val="18"/>
          <w:szCs w:val="18"/>
        </w:rPr>
        <w:t>Coopers&amp;Lybrand Management Consultants</w:t>
      </w:r>
      <w:r>
        <w:rPr>
          <w:rFonts w:ascii="SimSun" w:eastAsia="SimSun" w:hAnsi="SimSun" w:cs="SimSun"/>
          <w:color w:val="000000"/>
          <w:spacing w:val="0"/>
          <w:w w:val="100"/>
          <w:position w:val="0"/>
          <w:sz w:val="17"/>
          <w:szCs w:val="17"/>
        </w:rPr>
        <w:t>管理咨询服务部高级经理及主 管、</w:t>
      </w:r>
      <w:r>
        <w:rPr>
          <w:color w:val="000000"/>
          <w:spacing w:val="0"/>
          <w:w w:val="100"/>
          <w:position w:val="0"/>
          <w:sz w:val="18"/>
          <w:szCs w:val="18"/>
        </w:rPr>
        <w:t>Ernst&amp;Young Global Consulting/Cap GeminiErnst&amp;Young</w:t>
      </w:r>
      <w:r>
        <w:rPr>
          <w:rFonts w:ascii="SimSun" w:eastAsia="SimSun" w:hAnsi="SimSun" w:cs="SimSun"/>
          <w:color w:val="000000"/>
          <w:spacing w:val="0"/>
          <w:w w:val="100"/>
          <w:position w:val="0"/>
          <w:sz w:val="17"/>
          <w:szCs w:val="17"/>
        </w:rPr>
        <w:t>合伙人兼副主席、</w:t>
      </w:r>
      <w:r>
        <w:rPr>
          <w:color w:val="000000"/>
          <w:spacing w:val="0"/>
          <w:w w:val="100"/>
          <w:position w:val="0"/>
          <w:sz w:val="18"/>
          <w:szCs w:val="18"/>
        </w:rPr>
        <w:t>Silverlake Corporation</w:t>
      </w:r>
      <w:r>
        <w:rPr>
          <w:rFonts w:ascii="SimSun" w:eastAsia="SimSun" w:hAnsi="SimSun" w:cs="SimSun"/>
          <w:color w:val="000000"/>
          <w:spacing w:val="0"/>
          <w:w w:val="100"/>
          <w:position w:val="0"/>
          <w:sz w:val="17"/>
          <w:szCs w:val="17"/>
        </w:rPr>
        <w:t xml:space="preserve">执行董事，同时兼任 </w:t>
      </w:r>
      <w:r>
        <w:rPr>
          <w:color w:val="000000"/>
          <w:spacing w:val="0"/>
          <w:w w:val="100"/>
          <w:position w:val="0"/>
          <w:sz w:val="18"/>
          <w:szCs w:val="18"/>
        </w:rPr>
        <w:t>Connectif Commerce Sdn Bhd</w:t>
      </w:r>
      <w:r>
        <w:rPr>
          <w:rFonts w:ascii="SimSun" w:eastAsia="SimSun" w:hAnsi="SimSun" w:cs="SimSun"/>
          <w:color w:val="000000"/>
          <w:spacing w:val="0"/>
          <w:w w:val="100"/>
          <w:position w:val="0"/>
          <w:sz w:val="17"/>
          <w:szCs w:val="17"/>
        </w:rPr>
        <w:t>执行董事。现任</w:t>
      </w:r>
      <w:r>
        <w:rPr>
          <w:color w:val="000000"/>
          <w:spacing w:val="0"/>
          <w:w w:val="100"/>
          <w:position w:val="0"/>
          <w:sz w:val="18"/>
          <w:szCs w:val="18"/>
        </w:rPr>
        <w:t>Silverlake Axis Ltd.</w:t>
      </w:r>
      <w:r>
        <w:rPr>
          <w:rFonts w:ascii="SimSun" w:eastAsia="SimSun" w:hAnsi="SimSun" w:cs="SimSun"/>
          <w:color w:val="000000"/>
          <w:spacing w:val="0"/>
          <w:w w:val="100"/>
          <w:position w:val="0"/>
          <w:sz w:val="17"/>
          <w:szCs w:val="17"/>
        </w:rPr>
        <w:t>集团执行董事及公司董事。</w:t>
      </w:r>
    </w:p>
    <w:p>
      <w:pPr>
        <w:pStyle w:val="Style29"/>
        <w:keepNext w:val="0"/>
        <w:keepLines w:val="0"/>
        <w:widowControl w:val="0"/>
        <w:shd w:val="clear" w:color="auto" w:fill="auto"/>
        <w:bidi w:val="0"/>
        <w:spacing w:before="0" w:after="200" w:line="322" w:lineRule="exact"/>
        <w:ind w:left="0" w:right="0"/>
        <w:jc w:val="both"/>
      </w:pPr>
      <w:r>
        <w:rPr>
          <w:color w:val="000000"/>
          <w:spacing w:val="0"/>
          <w:w w:val="100"/>
          <w:position w:val="0"/>
        </w:rPr>
        <w:t>潘红，独立董事，</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年出生，中国国籍，无境外永久居留权，毕业于中国政法大学，获学士学位。工作期间历任北京 市东城区人民法院民事审判庭审判员、北京市法大律师事务所专职律师、北京市观韬律师事务所专职律师，现任北京市昆仑 律师事务所专职律师及公司独立董事。</w:t>
      </w:r>
    </w:p>
    <w:p>
      <w:pPr>
        <w:pStyle w:val="Style29"/>
        <w:keepNext w:val="0"/>
        <w:keepLines w:val="0"/>
        <w:widowControl w:val="0"/>
        <w:shd w:val="clear" w:color="auto" w:fill="auto"/>
        <w:bidi w:val="0"/>
        <w:spacing w:before="0" w:after="140" w:line="315" w:lineRule="exact"/>
        <w:ind w:left="0" w:right="0"/>
        <w:jc w:val="both"/>
      </w:pPr>
      <w:r>
        <w:rPr>
          <w:color w:val="000000"/>
          <w:spacing w:val="0"/>
          <w:w w:val="100"/>
          <w:position w:val="0"/>
        </w:rPr>
        <w:t>夏鹏，独立董事，</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年出生，中国国籍，无境外永久居留权，高级会计师，毕业于中国人民大学，获博士学位。工作 期间历任湖北教育学院数学系教师、中国对外经济贸易会计学会任副会长兼秘书长、《对外经贸财会》杂志主编、北京广播 影视集团财务总管兼财务中心主任、中广传播集团有限公司财务总监兼投融资部总经理，北京深华新股份有限公司董事长， 现任公司独立董事。</w:t>
      </w:r>
    </w:p>
    <w:p>
      <w:pPr>
        <w:pStyle w:val="Style29"/>
        <w:keepNext w:val="0"/>
        <w:keepLines w:val="0"/>
        <w:widowControl w:val="0"/>
        <w:shd w:val="clear" w:color="auto" w:fill="auto"/>
        <w:tabs>
          <w:tab w:pos="674" w:val="left"/>
        </w:tabs>
        <w:bidi w:val="0"/>
        <w:spacing w:before="0" w:after="0"/>
        <w:ind w:left="0" w:right="0"/>
        <w:jc w:val="both"/>
      </w:pPr>
      <w:bookmarkStart w:id="516" w:name="bookmark516"/>
      <w:r>
        <w:rPr>
          <w:rFonts w:ascii="Times New Roman" w:eastAsia="Times New Roman" w:hAnsi="Times New Roman" w:cs="Times New Roman"/>
          <w:color w:val="000000"/>
          <w:spacing w:val="0"/>
          <w:w w:val="100"/>
          <w:position w:val="0"/>
          <w:sz w:val="18"/>
          <w:szCs w:val="18"/>
        </w:rPr>
        <w:t>2</w:t>
      </w:r>
      <w:bookmarkEnd w:id="516"/>
      <w:r>
        <w:rPr>
          <w:color w:val="000000"/>
          <w:spacing w:val="0"/>
          <w:w w:val="100"/>
          <w:position w:val="0"/>
        </w:rPr>
        <w:t>、</w:t>
        <w:tab/>
        <w:t>监事</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郑明，监事会主席，</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年出生，中国国籍，无境外永久居留权，学士学位。工作期间历任高伟达软件股份有限公司软 件中心副经理。现任高伟达软件股份有限公司研发中心副经理、鹰潭市锐鹰投资咨询有限公司监事、鹰潭市华鹰投资咨询有 限公司监事、公司监事会主席。</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孙文，监事，</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年出生，中国国籍，无境外永久居留权，毕业于湖北大学，学士学位。工作期间历任中原电子集团研 发中心工程师、上海思群科技有限公司武汉研发中心工程师兼项目经理、北京高伟达软件技术有限公司工程师、武汉分软总 经理、武汉分公司总经理，期间获得工业和信息化部高级项目经理证书，现任公司监事、武汉分公司总经理。</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熊桂生，职工代表监事，</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年出生，中国国籍，无境外永久居留权，学士学位。历任清华华康电力电子有限公司工程 师、研发部主管，北京南天信息工程有限公司高级项目经理，赛迪顾问股份有限公司金融咨询事业部外联经理，</w:t>
      </w:r>
      <w:r>
        <w:rPr>
          <w:rFonts w:ascii="Times New Roman" w:eastAsia="Times New Roman" w:hAnsi="Times New Roman" w:cs="Times New Roman"/>
          <w:color w:val="000000"/>
          <w:spacing w:val="0"/>
          <w:w w:val="100"/>
          <w:position w:val="0"/>
          <w:sz w:val="18"/>
          <w:szCs w:val="18"/>
        </w:rPr>
        <w:t>NCS</w:t>
      </w:r>
      <w:r>
        <w:rPr>
          <w:color w:val="000000"/>
          <w:spacing w:val="0"/>
          <w:w w:val="100"/>
          <w:position w:val="0"/>
        </w:rPr>
        <w:t>宇博公 司咨询经理，万国华浩信息技术有限公司副总经理，宇博信诚信息技术有限公司售前经理、高伟达软件技术有限公司解决方 案中心总经理、金融咨询服务中心总经理，现任高伟达软件股份有限公司战略发展部副总经理、公司监事。</w:t>
      </w:r>
    </w:p>
    <w:p>
      <w:pPr>
        <w:pStyle w:val="Style29"/>
        <w:keepNext w:val="0"/>
        <w:keepLines w:val="0"/>
        <w:widowControl w:val="0"/>
        <w:shd w:val="clear" w:color="auto" w:fill="auto"/>
        <w:tabs>
          <w:tab w:pos="674" w:val="left"/>
        </w:tabs>
        <w:bidi w:val="0"/>
        <w:spacing w:before="0" w:after="0" w:line="314" w:lineRule="exact"/>
        <w:ind w:left="0" w:right="0"/>
        <w:jc w:val="both"/>
      </w:pPr>
      <w:bookmarkStart w:id="517" w:name="bookmark517"/>
      <w:r>
        <w:rPr>
          <w:rFonts w:ascii="Times New Roman" w:eastAsia="Times New Roman" w:hAnsi="Times New Roman" w:cs="Times New Roman"/>
          <w:color w:val="000000"/>
          <w:spacing w:val="0"/>
          <w:w w:val="100"/>
          <w:position w:val="0"/>
          <w:sz w:val="18"/>
          <w:szCs w:val="18"/>
        </w:rPr>
        <w:t>3</w:t>
      </w:r>
      <w:bookmarkEnd w:id="517"/>
      <w:r>
        <w:rPr>
          <w:color w:val="000000"/>
          <w:spacing w:val="0"/>
          <w:w w:val="100"/>
          <w:position w:val="0"/>
        </w:rPr>
        <w:t>、</w:t>
        <w:tab/>
        <w:t>高级管理人员</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李勇，副总经理，</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年出生，中国国籍，无境外永久居留权，毕业于山东大学，获学士学位。工作期间历任山东中创 软件工程股份有限公司工程师、部门经理及副总工程师、中钞信用卡信息产业发展有限公司研发中心经理及</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卡事业部总工 程师、北京高伟达软件技术有限公司副总经理，现任公司副总经理。</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高源，副总经理、董事会秘书，</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年出生，中国国籍，无境外永久居留权</w:t>
      </w:r>
      <w:r>
        <w:rPr>
          <w:rFonts w:ascii="Palatino Linotype" w:eastAsia="Palatino Linotype" w:hAnsi="Palatino Linotype" w:cs="Palatino Linotype"/>
          <w:color w:val="000000"/>
          <w:spacing w:val="0"/>
          <w:w w:val="100"/>
          <w:position w:val="0"/>
          <w:sz w:val="18"/>
          <w:szCs w:val="18"/>
        </w:rPr>
        <w:t xml:space="preserve">o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年，就读于兰州大学新闻系， 获得学士学位。</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年就读于比利时</w:t>
      </w:r>
      <w:r>
        <w:rPr>
          <w:rFonts w:ascii="Times New Roman" w:eastAsia="Times New Roman" w:hAnsi="Times New Roman" w:cs="Times New Roman"/>
          <w:color w:val="000000"/>
          <w:spacing w:val="0"/>
          <w:w w:val="100"/>
          <w:position w:val="0"/>
          <w:sz w:val="18"/>
          <w:szCs w:val="18"/>
        </w:rPr>
        <w:t>EHSAL</w:t>
      </w:r>
      <w:r>
        <w:rPr>
          <w:color w:val="000000"/>
          <w:spacing w:val="0"/>
          <w:w w:val="100"/>
          <w:position w:val="0"/>
        </w:rPr>
        <w:t>大学商业管理专业，获得硕士学位。</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月，在中国 雨润食品集团股份有限公司投资者关系部，任投资者关系主任。</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月，在慈铭健康体检管理集团股份有限 公司，任证券事务代表。</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月，在博彦科技股份有限公司任证券事务与投融资总监。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月，在东易日盛家居装饰集团股份有限公司任副总经理、董事会秘书。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月至今，在高伟达软件股份有限公司任副总 经理、董事会秘书、财务总监。</w:t>
      </w:r>
    </w:p>
    <w:p>
      <w:pPr>
        <w:pStyle w:val="Style29"/>
        <w:keepNext w:val="0"/>
        <w:keepLines w:val="0"/>
        <w:widowControl w:val="0"/>
        <w:shd w:val="clear" w:color="auto" w:fill="auto"/>
        <w:bidi w:val="0"/>
        <w:spacing w:before="0" w:after="140" w:line="314" w:lineRule="exact"/>
        <w:ind w:left="0" w:right="0"/>
        <w:jc w:val="both"/>
      </w:pPr>
      <w:r>
        <w:rPr>
          <w:color w:val="000000"/>
          <w:spacing w:val="0"/>
          <w:w w:val="100"/>
          <w:position w:val="0"/>
        </w:rPr>
        <w:t>沈远恒，</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年出生，中国台湾籍及美国国籍，毕业于美国伊利诺理工学院以及美国堪萨斯州立大学，分别获得金融工 程硕士学位以及土木工程硕士学位。</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年担任美国</w:t>
      </w:r>
      <w:r>
        <w:rPr>
          <w:rFonts w:ascii="Times New Roman" w:eastAsia="Times New Roman" w:hAnsi="Times New Roman" w:cs="Times New Roman"/>
          <w:color w:val="000000"/>
          <w:spacing w:val="0"/>
          <w:w w:val="100"/>
          <w:position w:val="0"/>
          <w:sz w:val="18"/>
          <w:szCs w:val="18"/>
        </w:rPr>
        <w:t>HNTB</w:t>
      </w:r>
      <w:r>
        <w:rPr>
          <w:color w:val="000000"/>
          <w:spacing w:val="0"/>
          <w:w w:val="100"/>
          <w:position w:val="0"/>
        </w:rPr>
        <w:t>工程顾问公司结构设计工程师；</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年，担任摩 根大通集团(美国)全球资本市场部量化投资策略固定收益部负责人；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年，担任芝加哥期权交易所</w:t>
      </w:r>
      <w:r>
        <w:rPr>
          <w:rFonts w:ascii="Times New Roman" w:eastAsia="Times New Roman" w:hAnsi="Times New Roman" w:cs="Times New Roman"/>
          <w:color w:val="000000"/>
          <w:spacing w:val="0"/>
          <w:w w:val="100"/>
          <w:position w:val="0"/>
          <w:sz w:val="18"/>
          <w:szCs w:val="18"/>
        </w:rPr>
        <w:t>(CBOE)</w:t>
      </w:r>
      <w:r>
        <w:rPr>
          <w:color w:val="000000"/>
          <w:spacing w:val="0"/>
          <w:w w:val="100"/>
          <w:position w:val="0"/>
        </w:rPr>
        <w:t>、</w:t>
      </w:r>
      <w:r>
        <w:rPr>
          <w:color w:val="000000"/>
          <w:spacing w:val="0"/>
          <w:w w:val="100"/>
          <w:position w:val="0"/>
        </w:rPr>
        <w:t>芝 加哥商品期货交易所</w:t>
      </w:r>
      <w:r>
        <w:rPr>
          <w:rFonts w:ascii="Times New Roman" w:eastAsia="Times New Roman" w:hAnsi="Times New Roman" w:cs="Times New Roman"/>
          <w:color w:val="000000"/>
          <w:spacing w:val="0"/>
          <w:w w:val="100"/>
          <w:position w:val="0"/>
          <w:sz w:val="18"/>
          <w:szCs w:val="18"/>
        </w:rPr>
        <w:t xml:space="preserve">(CBOT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资深量化交易风险管理负责人；</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009</w:t>
      </w:r>
      <w:r>
        <w:rPr>
          <w:color w:val="000000"/>
          <w:spacing w:val="0"/>
          <w:w w:val="100"/>
          <w:position w:val="0"/>
        </w:rPr>
        <w:t>年，担任美国第二大团体人寿险集团</w:t>
      </w:r>
      <w:r>
        <w:rPr>
          <w:rFonts w:ascii="Times New Roman" w:eastAsia="Times New Roman" w:hAnsi="Times New Roman" w:cs="Times New Roman"/>
          <w:color w:val="000000"/>
          <w:spacing w:val="0"/>
          <w:w w:val="100"/>
          <w:position w:val="0"/>
          <w:sz w:val="18"/>
          <w:szCs w:val="18"/>
        </w:rPr>
        <w:t xml:space="preserve">(UNUM Group) </w:t>
      </w:r>
      <w:r>
        <w:rPr>
          <w:color w:val="000000"/>
          <w:spacing w:val="0"/>
          <w:w w:val="100"/>
          <w:position w:val="0"/>
        </w:rPr>
        <w:t>量化投资组合管理副总裁；</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011</w:t>
      </w:r>
      <w:r>
        <w:rPr>
          <w:color w:val="000000"/>
          <w:spacing w:val="0"/>
          <w:w w:val="100"/>
          <w:position w:val="0"/>
        </w:rPr>
        <w:t>年，担任中国平安保险(集团)集团风险管理部总经理；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年，担任高伟 达软件股份有限公司风险管理部总经理；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年，担任先锋产业金融集团首席执行官；</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年至今，担任高伟达软 件股份有限公司战略发展部总经理、副总经理。</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87"/>
        <w:gridCol w:w="1066"/>
        <w:gridCol w:w="1493"/>
        <w:gridCol w:w="1699"/>
        <w:gridCol w:w="931"/>
      </w:tblGrid>
      <w:tr>
        <w:trPr>
          <w:trHeight w:val="134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 位是否领 取报酬津</w:t>
            </w:r>
          </w:p>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贴</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鹰潭市鹰高投资咨询有限公司</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执行董事、总</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于伟</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鹰潭市华鹰投资咨询有限公司</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执行董事、总</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05"/>
        <w:gridCol w:w="3187"/>
        <w:gridCol w:w="1066"/>
        <w:gridCol w:w="1493"/>
        <w:gridCol w:w="1699"/>
        <w:gridCol w:w="931"/>
      </w:tblGrid>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于伟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鹰潭市锐鹰投资咨询有限公司</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执行董事、总</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郑明</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鹰潭市鹰高投资咨询有限公司</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郑明</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鹰潭市华鹰投资咨询有限公司</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郑明</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鹰潭市锐鹰投资咨询有限公司</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关银星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银联科技有限公司</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关银星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银湖公司</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集团执行董</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99" w:line="1" w:lineRule="exact"/>
      </w:pPr>
    </w:p>
    <w:p>
      <w:pPr>
        <w:widowControl w:val="0"/>
        <w:spacing w:line="1" w:lineRule="exact"/>
      </w:pP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710"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关银星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Silverlake Axis Sdn Bhd</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关银星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Silverlake Japan Ltd.</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关银星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Silverlake Solutions Limited</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关银星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Symmetric Payments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Integration Holdings Pte. Ltd. (f.k.a. Isis International Pte Ltd)</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关银星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Merimen Ventures Sdn Bhd</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关银星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Cyber Village Sdn Bhd</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关银星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Structured Services</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关银星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Silverlake Structured Services Sdn Bhd</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关银星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Silverlakegroup Pte Ltd</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关银星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Symmetric Payments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Integration Pte.</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 (f.k.a. Isis Computer Systems Pte Ltd)</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37"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关银星</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Symmetric Payments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Integration Sdn.</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Bhd. (f.k.a. Isis Computer Systems Sdn</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Bhd)</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05"/>
        <w:gridCol w:w="3192"/>
        <w:gridCol w:w="1061"/>
        <w:gridCol w:w="1195"/>
        <w:gridCol w:w="1325"/>
        <w:gridCol w:w="1603"/>
      </w:tblGrid>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关银星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Merimen Online Sdn Bhd</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关银星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Motobiznes Online Sdn Bhd</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关银星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Merimen Technologies (Singapore) Pte Ltd</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关银星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Silverlakegroup Pte Ltd (Philippines branch)</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关银星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ePetrol Silverswitch Sdn. Bhd.</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关银星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Silverlake HGH Limited</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关银星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Finzsoft Solutions Limited</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关银星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Merimen Technologies Indonesia</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关银星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Silverlake Symmetri (Singapore) Pte Ltd</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关银星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Silverlake Symmetri (Malaysia) Sdn Bhd</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关银星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Silverlake Symmetri Pakistan (PVT.)</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关银星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Silverlake Symmetri (Philippines) Enterprises, Inc.</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关银星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Silverlake Symmetri (Thailand) Limited</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关银星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Silverlake Symmetri (Czech Republic)</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s.r.o.</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关银星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Silverlake Symmetri (Europe) Limited</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关银星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Merimen Technologies (Thailand) Limited</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27"/>
        <w:keepNext/>
        <w:keepLines/>
        <w:widowControl w:val="0"/>
        <w:shd w:val="clear" w:color="auto" w:fill="auto"/>
        <w:bidi w:val="0"/>
        <w:spacing w:before="0" w:after="260" w:line="240" w:lineRule="auto"/>
        <w:ind w:left="0" w:right="0" w:firstLine="0"/>
        <w:jc w:val="both"/>
      </w:pPr>
      <w:bookmarkStart w:id="518" w:name="bookmark518"/>
      <w:bookmarkStart w:id="519" w:name="bookmark519"/>
      <w:bookmarkStart w:id="520" w:name="bookmark520"/>
      <w:bookmarkStart w:id="521" w:name="bookmark521"/>
      <w:r>
        <w:rPr>
          <w:color w:val="000000"/>
          <w:spacing w:val="0"/>
          <w:w w:val="100"/>
          <w:position w:val="0"/>
          <w:sz w:val="24"/>
          <w:szCs w:val="24"/>
        </w:rPr>
        <w:t>四</w:t>
      </w:r>
      <w:bookmarkEnd w:id="520"/>
      <w:r>
        <w:rPr>
          <w:color w:val="000000"/>
          <w:spacing w:val="0"/>
          <w:w w:val="100"/>
          <w:position w:val="0"/>
          <w:sz w:val="24"/>
          <w:szCs w:val="24"/>
        </w:rPr>
        <w:t>、董事、监事、高级管理人员报酬情况</w:t>
      </w:r>
      <w:bookmarkEnd w:id="518"/>
      <w:bookmarkEnd w:id="519"/>
      <w:bookmarkEnd w:id="521"/>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董事、监事、高级管理人员报酬的决策程序、确定依据、实际支付情况</w:t>
      </w:r>
    </w:p>
    <w:p>
      <w:pPr>
        <w:pStyle w:val="Style29"/>
        <w:keepNext w:val="0"/>
        <w:keepLines w:val="0"/>
        <w:widowControl w:val="0"/>
        <w:shd w:val="clear" w:color="auto" w:fill="auto"/>
        <w:bidi w:val="0"/>
        <w:spacing w:before="0" w:after="460" w:line="317" w:lineRule="exact"/>
        <w:ind w:left="0" w:right="0" w:firstLine="360"/>
        <w:jc w:val="left"/>
      </w:pPr>
      <w:r>
        <w:rPr>
          <w:color w:val="000000"/>
          <w:spacing w:val="0"/>
          <w:w w:val="100"/>
          <w:position w:val="0"/>
        </w:rPr>
        <w:t>董事、监事、高级管理人员报酬根据公司《高伟达软件股份有限公司薪酬与考核委员会议事规则》确定，由董事会薪酬 与考核委员会组织并考核。</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51"/>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程军</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Kwong Yong Sin</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夏鹏</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潘红</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孙文</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郑明</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熊桂生</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1027"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高源</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副总经理；财务 总监；董事会秘 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沈远恒</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杨晓斌</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张文利</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赵永莉</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武京双</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653.61</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sz w:val="24"/>
          <w:szCs w:val="24"/>
        </w:rPr>
        <w:t>五</w:t>
      </w:r>
      <w:bookmarkEnd w:id="524"/>
      <w:r>
        <w:rPr>
          <w:color w:val="000000"/>
          <w:spacing w:val="0"/>
          <w:w w:val="100"/>
          <w:position w:val="0"/>
          <w:sz w:val="24"/>
          <w:szCs w:val="24"/>
        </w:rPr>
        <w:t>、公司员工情况</w:t>
      </w:r>
      <w:bookmarkEnd w:id="522"/>
      <w:bookmarkEnd w:id="523"/>
      <w:bookmarkEnd w:id="525"/>
    </w:p>
    <w:p>
      <w:pPr>
        <w:pStyle w:val="Style33"/>
        <w:keepNext/>
        <w:keepLines/>
        <w:widowControl w:val="0"/>
        <w:shd w:val="clear" w:color="auto" w:fill="auto"/>
        <w:bidi w:val="0"/>
        <w:spacing w:before="0" w:after="34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1</w:t>
      </w:r>
      <w:bookmarkEnd w:id="528"/>
      <w:r>
        <w:rPr>
          <w:color w:val="000000"/>
          <w:spacing w:val="0"/>
          <w:w w:val="100"/>
          <w:position w:val="0"/>
        </w:rPr>
        <w:t>、员工数量、专业构成及教育程度</w:t>
      </w:r>
      <w:bookmarkEnd w:id="526"/>
      <w:bookmarkEnd w:id="527"/>
      <w:bookmarkEnd w:id="529"/>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w:t>
            </w:r>
          </w:p>
        </w:tc>
      </w:tr>
    </w:tbl>
    <w:p>
      <w:pPr>
        <w:widowControl w:val="0"/>
        <w:spacing w:line="1" w:lineRule="exact"/>
      </w:pPr>
      <w:r>
        <w:br w:type="page"/>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w:t>
            </w:r>
          </w:p>
        </w:tc>
      </w:tr>
      <w:tr>
        <w:trPr>
          <w:trHeight w:val="403" w:hRule="exact"/>
        </w:trPr>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本科及以上学历</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大专学历</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高中及以下学历</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w:t>
            </w:r>
          </w:p>
        </w:tc>
      </w:tr>
    </w:tbl>
    <w:p>
      <w:pPr>
        <w:widowControl w:val="0"/>
        <w:spacing w:after="319" w:line="1" w:lineRule="exact"/>
      </w:pPr>
    </w:p>
    <w:p>
      <w:pPr>
        <w:pStyle w:val="Style33"/>
        <w:keepNext/>
        <w:keepLines/>
        <w:widowControl w:val="0"/>
        <w:shd w:val="clear" w:color="auto" w:fill="auto"/>
        <w:tabs>
          <w:tab w:pos="378" w:val="left"/>
        </w:tabs>
        <w:bidi w:val="0"/>
        <w:spacing w:before="0" w:after="260" w:line="240" w:lineRule="auto"/>
        <w:ind w:left="0" w:right="0" w:firstLine="0"/>
        <w:jc w:val="both"/>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2</w:t>
      </w:r>
      <w:bookmarkEnd w:id="532"/>
      <w:r>
        <w:rPr>
          <w:color w:val="000000"/>
          <w:spacing w:val="0"/>
          <w:w w:val="100"/>
          <w:position w:val="0"/>
        </w:rPr>
        <w:t>、</w:t>
        <w:tab/>
        <w:t>薪酬政策</w:t>
      </w:r>
      <w:bookmarkEnd w:id="530"/>
      <w:bookmarkEnd w:id="531"/>
      <w:bookmarkEnd w:id="533"/>
    </w:p>
    <w:p>
      <w:pPr>
        <w:pStyle w:val="Style29"/>
        <w:keepNext w:val="0"/>
        <w:keepLines w:val="0"/>
        <w:widowControl w:val="0"/>
        <w:shd w:val="clear" w:color="auto" w:fill="auto"/>
        <w:bidi w:val="0"/>
        <w:spacing w:before="0" w:after="380" w:line="314" w:lineRule="exact"/>
        <w:ind w:left="0" w:right="0"/>
        <w:jc w:val="both"/>
      </w:pPr>
      <w:r>
        <w:rPr>
          <w:color w:val="000000"/>
          <w:spacing w:val="0"/>
          <w:w w:val="100"/>
          <w:position w:val="0"/>
        </w:rPr>
        <w:t>公司员工薪酬政策力求体现工资管理的激励性、竞争性和公平性，把个人业绩和团队业绩有效结合起来，共同分享企业 发展所带来的机制，促进员工价值观念的凝合，形成留住人才和吸引人才的机制，最终推进公司发展战略的实现。公司薪酬 政策分为年薪制、月薪制，并通过绩效考核将员工工作目标与企业战略目标以及个人绩效结合，激发员工的积极性。</w:t>
      </w:r>
    </w:p>
    <w:p>
      <w:pPr>
        <w:pStyle w:val="Style33"/>
        <w:keepNext/>
        <w:keepLines/>
        <w:widowControl w:val="0"/>
        <w:shd w:val="clear" w:color="auto" w:fill="auto"/>
        <w:tabs>
          <w:tab w:pos="378" w:val="left"/>
        </w:tabs>
        <w:bidi w:val="0"/>
        <w:spacing w:before="0" w:after="260" w:line="240" w:lineRule="auto"/>
        <w:ind w:left="0" w:right="0" w:firstLine="0"/>
        <w:jc w:val="both"/>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3</w:t>
      </w:r>
      <w:bookmarkEnd w:id="536"/>
      <w:r>
        <w:rPr>
          <w:color w:val="000000"/>
          <w:spacing w:val="0"/>
          <w:w w:val="100"/>
          <w:position w:val="0"/>
        </w:rPr>
        <w:t>、</w:t>
        <w:tab/>
        <w:t>培训计划</w:t>
      </w:r>
      <w:bookmarkEnd w:id="534"/>
      <w:bookmarkEnd w:id="535"/>
      <w:bookmarkEnd w:id="537"/>
    </w:p>
    <w:p>
      <w:pPr>
        <w:pStyle w:val="Style29"/>
        <w:keepNext w:val="0"/>
        <w:keepLines w:val="0"/>
        <w:widowControl w:val="0"/>
        <w:shd w:val="clear" w:color="auto" w:fill="auto"/>
        <w:bidi w:val="0"/>
        <w:spacing w:before="0" w:after="40" w:line="312" w:lineRule="exact"/>
        <w:ind w:left="0" w:right="0"/>
        <w:jc w:val="left"/>
      </w:pPr>
      <w:r>
        <w:rPr>
          <w:color w:val="000000"/>
          <w:spacing w:val="0"/>
          <w:w w:val="100"/>
          <w:position w:val="0"/>
        </w:rPr>
        <w:t>为了提高员工技能与素质，依据公司整体目标、工作重点和专业人员培养需求，由各部门提出培训需求，人力资源部根 据结合组织目标和公司发展需要，汇总编制《年度培训计划》，报总经理公司总经理批准后执行。</w:t>
      </w:r>
    </w:p>
    <w:p>
      <w:pPr>
        <w:pStyle w:val="Style29"/>
        <w:keepNext w:val="0"/>
        <w:keepLines w:val="0"/>
        <w:widowControl w:val="0"/>
        <w:shd w:val="clear" w:color="auto" w:fill="auto"/>
        <w:bidi w:val="0"/>
        <w:spacing w:before="0" w:after="380" w:line="317"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年培训计划已经基本完成。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年公司将从知识管理、人才培养体系、课程体系、培训管理制度等方面开展梳理和 优化。基于员工的岗位胜任能力，从知识、技能、心态三方面针对不同的层级、不同的业务线条设置具有针对性的学习内容， 有序开展培训实施工作，逐步推进人才培养工作和学习型组织建设。</w:t>
      </w:r>
    </w:p>
    <w:p>
      <w:pPr>
        <w:pStyle w:val="Style33"/>
        <w:keepNext/>
        <w:keepLines/>
        <w:widowControl w:val="0"/>
        <w:shd w:val="clear" w:color="auto" w:fill="auto"/>
        <w:tabs>
          <w:tab w:pos="378" w:val="left"/>
        </w:tabs>
        <w:bidi w:val="0"/>
        <w:spacing w:before="0" w:after="260" w:line="240" w:lineRule="auto"/>
        <w:ind w:left="0" w:right="0" w:firstLine="0"/>
        <w:jc w:val="both"/>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4</w:t>
      </w:r>
      <w:bookmarkEnd w:id="540"/>
      <w:r>
        <w:rPr>
          <w:color w:val="000000"/>
          <w:spacing w:val="0"/>
          <w:w w:val="100"/>
          <w:position w:val="0"/>
        </w:rPr>
        <w:t>、</w:t>
        <w:tab/>
        <w:t>劳务外包情况</w:t>
      </w:r>
      <w:bookmarkEnd w:id="538"/>
      <w:bookmarkEnd w:id="539"/>
      <w:bookmarkEnd w:id="541"/>
    </w:p>
    <w:p>
      <w:pPr>
        <w:pStyle w:val="Style29"/>
        <w:keepNext w:val="0"/>
        <w:keepLines w:val="0"/>
        <w:widowControl w:val="0"/>
        <w:shd w:val="clear" w:color="auto" w:fill="auto"/>
        <w:bidi w:val="0"/>
        <w:spacing w:before="0" w:after="30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keepLines/>
        <w:widowControl w:val="0"/>
        <w:shd w:val="clear" w:color="auto" w:fill="auto"/>
        <w:bidi w:val="0"/>
        <w:spacing w:before="0" w:line="240" w:lineRule="auto"/>
        <w:ind w:left="0" w:right="0" w:firstLine="0"/>
        <w:jc w:val="center"/>
      </w:pPr>
      <w:bookmarkStart w:id="542" w:name="bookmark542"/>
      <w:bookmarkStart w:id="543" w:name="bookmark543"/>
      <w:bookmarkStart w:id="544" w:name="bookmark544"/>
      <w:r>
        <w:rPr>
          <w:color w:val="000000"/>
          <w:spacing w:val="0"/>
          <w:w w:val="100"/>
          <w:position w:val="0"/>
        </w:rPr>
        <w:t>第九节公司治理</w:t>
      </w:r>
      <w:bookmarkEnd w:id="542"/>
      <w:bookmarkEnd w:id="543"/>
      <w:bookmarkEnd w:id="544"/>
    </w:p>
    <w:p>
      <w:pPr>
        <w:pStyle w:val="Style27"/>
        <w:keepNext/>
        <w:keepLines/>
        <w:widowControl w:val="0"/>
        <w:shd w:val="clear" w:color="auto" w:fill="auto"/>
        <w:tabs>
          <w:tab w:pos="517" w:val="left"/>
        </w:tabs>
        <w:bidi w:val="0"/>
        <w:spacing w:before="0" w:after="260" w:line="240" w:lineRule="auto"/>
        <w:ind w:left="0" w:right="0" w:firstLine="0"/>
        <w:jc w:val="left"/>
      </w:pPr>
      <w:bookmarkStart w:id="545" w:name="bookmark545"/>
      <w:bookmarkStart w:id="546" w:name="bookmark546"/>
      <w:bookmarkStart w:id="547" w:name="bookmark547"/>
      <w:bookmarkStart w:id="548" w:name="bookmark548"/>
      <w:bookmarkStart w:id="549" w:name="bookmark549"/>
      <w:r>
        <w:rPr>
          <w:color w:val="000000"/>
          <w:spacing w:val="0"/>
          <w:w w:val="100"/>
          <w:position w:val="0"/>
          <w:sz w:val="24"/>
          <w:szCs w:val="24"/>
        </w:rPr>
        <w:t>一</w:t>
      </w:r>
      <w:bookmarkEnd w:id="548"/>
      <w:r>
        <w:rPr>
          <w:color w:val="000000"/>
          <w:spacing w:val="0"/>
          <w:w w:val="100"/>
          <w:position w:val="0"/>
          <w:sz w:val="24"/>
          <w:szCs w:val="24"/>
        </w:rPr>
        <w:t>、</w:t>
        <w:tab/>
        <w:t>公司治理的基本状况</w:t>
      </w:r>
      <w:bookmarkEnd w:id="546"/>
      <w:bookmarkEnd w:id="547"/>
      <w:bookmarkEnd w:id="549"/>
      <w:bookmarkEnd w:id="545"/>
    </w:p>
    <w:p>
      <w:pPr>
        <w:pStyle w:val="Style29"/>
        <w:keepNext w:val="0"/>
        <w:keepLines w:val="0"/>
        <w:widowControl w:val="0"/>
        <w:shd w:val="clear" w:color="auto" w:fill="auto"/>
        <w:bidi w:val="0"/>
        <w:spacing w:before="0" w:after="0" w:line="305" w:lineRule="exact"/>
        <w:ind w:left="0" w:right="0"/>
        <w:jc w:val="both"/>
      </w:pPr>
      <w:r>
        <w:rPr>
          <w:color w:val="000000"/>
          <w:spacing w:val="0"/>
          <w:w w:val="100"/>
          <w:position w:val="0"/>
        </w:rPr>
        <w:t>报告期内，公司根据《公司法》、《证券法》、《上市公司治理准则》、《深圳证券交易所创业板股票上市规则》、《深 圳证券交易所创业板上市公司规范运作指引》等法律法规的要求，结合公司实际情况建立、健全和完善了《公司章程》和各 项内部控制制度，发挥了董事会及下属专门委员会的职能和作用，完善提高了董事会的职能和专业化程度，有效保障了董事 会决策的科学性和合规性，不断完善公司法人治理结构和内控体系，进一步规范公司运作，提高公司治理水平。截至报告期 末，本公司治理实际情况基本符合中国证监会发布的有关上市公司治理的规范性文件的要求。</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公司严格按照有关法律法规以及《信息披露管理办法》、《投资者关系管理制度》等，真实、准确、及时、公平、完整 地披露有关信息。</w:t>
      </w:r>
    </w:p>
    <w:p>
      <w:pPr>
        <w:pStyle w:val="Style29"/>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年公司未受到中国证监会、深圳证券交易所就公司内控存在问题的处分，公司聘请的会计师事务所没有对公司内部 控制的有效性表示异议，公司内部控制方面没有需要整改的问题。今后公司将进一步优化和完善公司的内控制度。</w:t>
      </w:r>
    </w:p>
    <w:p>
      <w:pPr>
        <w:pStyle w:val="Style29"/>
        <w:keepNext w:val="0"/>
        <w:keepLines w:val="0"/>
        <w:widowControl w:val="0"/>
        <w:shd w:val="clear" w:color="auto" w:fill="auto"/>
        <w:bidi w:val="0"/>
        <w:spacing w:before="0" w:after="140" w:line="311"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7"/>
        <w:keepNext/>
        <w:keepLines/>
        <w:widowControl w:val="0"/>
        <w:shd w:val="clear" w:color="auto" w:fill="auto"/>
        <w:tabs>
          <w:tab w:pos="517" w:val="left"/>
        </w:tabs>
        <w:bidi w:val="0"/>
        <w:spacing w:before="0" w:after="26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sz w:val="24"/>
          <w:szCs w:val="24"/>
        </w:rPr>
        <w:t>二</w:t>
      </w:r>
      <w:bookmarkEnd w:id="552"/>
      <w:r>
        <w:rPr>
          <w:color w:val="000000"/>
          <w:spacing w:val="0"/>
          <w:w w:val="100"/>
          <w:position w:val="0"/>
          <w:sz w:val="24"/>
          <w:szCs w:val="24"/>
        </w:rPr>
        <w:t>、</w:t>
        <w:tab/>
        <w:t>公司相对于控股股东在业务、人员、资产、机构、财务等方面的独立情况</w:t>
      </w:r>
      <w:bookmarkEnd w:id="550"/>
      <w:bookmarkEnd w:id="551"/>
      <w:bookmarkEnd w:id="553"/>
    </w:p>
    <w:p>
      <w:pPr>
        <w:pStyle w:val="Style29"/>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公司相对于控股股东在业务、人员、资产、机构、财务等方面保持独立。</w:t>
      </w:r>
    </w:p>
    <w:p>
      <w:pPr>
        <w:pStyle w:val="Style27"/>
        <w:keepNext/>
        <w:keepLines/>
        <w:widowControl w:val="0"/>
        <w:shd w:val="clear" w:color="auto" w:fill="auto"/>
        <w:tabs>
          <w:tab w:pos="517" w:val="left"/>
        </w:tabs>
        <w:bidi w:val="0"/>
        <w:spacing w:before="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sz w:val="24"/>
          <w:szCs w:val="24"/>
        </w:rPr>
        <w:t>三</w:t>
      </w:r>
      <w:bookmarkEnd w:id="556"/>
      <w:r>
        <w:rPr>
          <w:color w:val="000000"/>
          <w:spacing w:val="0"/>
          <w:w w:val="100"/>
          <w:position w:val="0"/>
          <w:sz w:val="24"/>
          <w:szCs w:val="24"/>
        </w:rPr>
        <w:t>、</w:t>
        <w:tab/>
        <w:t>同业竞争情况</w:t>
      </w:r>
      <w:bookmarkEnd w:id="554"/>
      <w:bookmarkEnd w:id="555"/>
      <w:bookmarkEnd w:id="557"/>
    </w:p>
    <w:p>
      <w:pPr>
        <w:pStyle w:val="Style29"/>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sz w:val="24"/>
          <w:szCs w:val="24"/>
        </w:rPr>
        <w:t>四</w:t>
      </w:r>
      <w:bookmarkEnd w:id="560"/>
      <w:r>
        <w:rPr>
          <w:color w:val="000000"/>
          <w:spacing w:val="0"/>
          <w:w w:val="100"/>
          <w:position w:val="0"/>
          <w:sz w:val="24"/>
          <w:szCs w:val="24"/>
        </w:rPr>
        <w:t>、</w:t>
        <w:tab/>
        <w:t>报告期内召开的年度股东大会和临时股东大会的有关情况</w:t>
      </w:r>
      <w:bookmarkEnd w:id="558"/>
      <w:bookmarkEnd w:id="559"/>
      <w:bookmarkEnd w:id="561"/>
    </w:p>
    <w:p>
      <w:pPr>
        <w:pStyle w:val="Style33"/>
        <w:keepNext/>
        <w:keepLines/>
        <w:widowControl w:val="0"/>
        <w:shd w:val="clear" w:color="auto" w:fill="auto"/>
        <w:bidi w:val="0"/>
        <w:spacing w:before="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1</w:t>
      </w:r>
      <w:bookmarkEnd w:id="564"/>
      <w:r>
        <w:rPr>
          <w:color w:val="000000"/>
          <w:spacing w:val="0"/>
          <w:w w:val="100"/>
          <w:position w:val="0"/>
        </w:rPr>
        <w:t>、本报告期股东大会情况</w:t>
      </w:r>
      <w:bookmarkEnd w:id="562"/>
      <w:bookmarkEnd w:id="563"/>
      <w:bookmarkEnd w:id="565"/>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651"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08" w:lineRule="exact"/>
              <w:ind w:left="0" w:right="0" w:firstLine="0"/>
              <w:jc w:val="left"/>
            </w:pPr>
            <w:r>
              <w:rPr>
                <w:color w:val="000000"/>
                <w:spacing w:val="0"/>
                <w:w w:val="100"/>
                <w:position w:val="0"/>
              </w:rPr>
              <w:t>《高伟达软件股份 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 一次临时股东大会 决议公告》（公告编 号 </w:t>
            </w:r>
            <w:r>
              <w:rPr>
                <w:rFonts w:ascii="Times New Roman" w:eastAsia="Times New Roman" w:hAnsi="Times New Roman" w:cs="Times New Roman"/>
                <w:color w:val="000000"/>
                <w:spacing w:val="0"/>
                <w:w w:val="100"/>
                <w:position w:val="0"/>
                <w:sz w:val="18"/>
                <w:szCs w:val="18"/>
              </w:rPr>
              <w:t>2016-001</w:t>
            </w:r>
            <w:r>
              <w:rPr>
                <w:color w:val="000000"/>
                <w:spacing w:val="0"/>
                <w:w w:val="100"/>
                <w:position w:val="0"/>
              </w:rPr>
              <w:t>）</w:t>
            </w:r>
          </w:p>
        </w:tc>
      </w:tr>
      <w:tr>
        <w:trPr>
          <w:trHeight w:val="1661"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308" w:lineRule="exact"/>
              <w:ind w:left="0" w:right="0" w:firstLine="0"/>
              <w:jc w:val="left"/>
            </w:pPr>
            <w:r>
              <w:rPr>
                <w:color w:val="000000"/>
                <w:spacing w:val="0"/>
                <w:w w:val="100"/>
                <w:position w:val="0"/>
              </w:rPr>
              <w:t>《高伟达软件股份 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年年 度股东大会决议公 告》（公告编号 </w:t>
            </w:r>
            <w:r>
              <w:rPr>
                <w:rFonts w:ascii="Times New Roman" w:eastAsia="Times New Roman" w:hAnsi="Times New Roman" w:cs="Times New Roman"/>
                <w:color w:val="000000"/>
                <w:spacing w:val="0"/>
                <w:w w:val="100"/>
                <w:position w:val="0"/>
                <w:sz w:val="18"/>
                <w:szCs w:val="18"/>
              </w:rPr>
              <w:t>2016-041</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603"/>
      </w:tblGrid>
      <w:tr>
        <w:trPr>
          <w:trHeight w:val="1651"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08" w:lineRule="exact"/>
              <w:ind w:left="0" w:right="0" w:firstLine="0"/>
              <w:jc w:val="left"/>
            </w:pPr>
            <w:r>
              <w:rPr>
                <w:color w:val="000000"/>
                <w:spacing w:val="0"/>
                <w:w w:val="100"/>
                <w:position w:val="0"/>
              </w:rPr>
              <w:t>《高伟达软件股份 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 二次临时股东大会 决议公告》（公告编 号 </w:t>
            </w:r>
            <w:r>
              <w:rPr>
                <w:rFonts w:ascii="Times New Roman" w:eastAsia="Times New Roman" w:hAnsi="Times New Roman" w:cs="Times New Roman"/>
                <w:color w:val="000000"/>
                <w:spacing w:val="0"/>
                <w:w w:val="100"/>
                <w:position w:val="0"/>
                <w:sz w:val="18"/>
                <w:szCs w:val="18"/>
              </w:rPr>
              <w:t>2016-064</w:t>
            </w:r>
            <w:r>
              <w:rPr>
                <w:color w:val="000000"/>
                <w:spacing w:val="0"/>
                <w:w w:val="100"/>
                <w:position w:val="0"/>
              </w:rPr>
              <w:t>）</w:t>
            </w:r>
          </w:p>
        </w:tc>
      </w:tr>
      <w:tr>
        <w:trPr>
          <w:trHeight w:val="1651"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《高伟达软件股份 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 三次临时股东大会 决议公告》（公告编 号 </w:t>
            </w:r>
            <w:r>
              <w:rPr>
                <w:rFonts w:ascii="Times New Roman" w:eastAsia="Times New Roman" w:hAnsi="Times New Roman" w:cs="Times New Roman"/>
                <w:color w:val="000000"/>
                <w:spacing w:val="0"/>
                <w:w w:val="100"/>
                <w:position w:val="0"/>
                <w:sz w:val="18"/>
                <w:szCs w:val="18"/>
              </w:rPr>
              <w:t>2016-087</w:t>
            </w:r>
            <w:r>
              <w:rPr>
                <w:color w:val="000000"/>
                <w:spacing w:val="0"/>
                <w:w w:val="100"/>
                <w:position w:val="0"/>
              </w:rPr>
              <w:t>）</w:t>
            </w:r>
          </w:p>
        </w:tc>
      </w:tr>
      <w:tr>
        <w:trPr>
          <w:trHeight w:val="1661"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308" w:lineRule="exact"/>
              <w:ind w:left="0" w:right="0" w:firstLine="0"/>
              <w:jc w:val="left"/>
            </w:pPr>
            <w:r>
              <w:rPr>
                <w:color w:val="000000"/>
                <w:spacing w:val="0"/>
                <w:w w:val="100"/>
                <w:position w:val="0"/>
              </w:rPr>
              <w:t>《高伟达软件股份 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 四次临时股东大会 决议公告》（公告编 号 </w:t>
            </w:r>
            <w:r>
              <w:rPr>
                <w:rFonts w:ascii="Times New Roman" w:eastAsia="Times New Roman" w:hAnsi="Times New Roman" w:cs="Times New Roman"/>
                <w:color w:val="000000"/>
                <w:spacing w:val="0"/>
                <w:w w:val="100"/>
                <w:position w:val="0"/>
                <w:sz w:val="18"/>
                <w:szCs w:val="18"/>
              </w:rPr>
              <w:t>2016-111</w:t>
            </w:r>
            <w:r>
              <w:rPr>
                <w:color w:val="000000"/>
                <w:spacing w:val="0"/>
                <w:w w:val="100"/>
                <w:position w:val="0"/>
              </w:rPr>
              <w:t>）</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2</w:t>
      </w:r>
      <w:bookmarkEnd w:id="568"/>
      <w:r>
        <w:rPr>
          <w:color w:val="000000"/>
          <w:spacing w:val="0"/>
          <w:w w:val="100"/>
          <w:position w:val="0"/>
        </w:rPr>
        <w:t>、表决权恢复的优先股股东请求召开临时股东大会</w:t>
      </w:r>
      <w:bookmarkEnd w:id="566"/>
      <w:bookmarkEnd w:id="567"/>
      <w:bookmarkEnd w:id="569"/>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left"/>
      </w:pPr>
      <w:bookmarkStart w:id="570" w:name="bookmark570"/>
      <w:bookmarkStart w:id="571" w:name="bookmark571"/>
      <w:bookmarkStart w:id="572" w:name="bookmark572"/>
      <w:bookmarkStart w:id="573" w:name="bookmark573"/>
      <w:r>
        <w:rPr>
          <w:color w:val="000000"/>
          <w:spacing w:val="0"/>
          <w:w w:val="100"/>
          <w:position w:val="0"/>
          <w:sz w:val="24"/>
          <w:szCs w:val="24"/>
        </w:rPr>
        <w:t>五</w:t>
      </w:r>
      <w:bookmarkEnd w:id="572"/>
      <w:r>
        <w:rPr>
          <w:color w:val="000000"/>
          <w:spacing w:val="0"/>
          <w:w w:val="100"/>
          <w:position w:val="0"/>
          <w:sz w:val="24"/>
          <w:szCs w:val="24"/>
        </w:rPr>
        <w:t>、报告期内独立董事履行职责的情况</w:t>
      </w:r>
      <w:bookmarkEnd w:id="570"/>
      <w:bookmarkEnd w:id="571"/>
      <w:bookmarkEnd w:id="573"/>
    </w:p>
    <w:p>
      <w:pPr>
        <w:pStyle w:val="Style33"/>
        <w:keepNext/>
        <w:keepLines/>
        <w:widowControl w:val="0"/>
        <w:shd w:val="clear" w:color="auto" w:fill="auto"/>
        <w:bidi w:val="0"/>
        <w:spacing w:before="0" w:after="340" w:line="240" w:lineRule="auto"/>
        <w:ind w:left="0" w:right="0" w:firstLine="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1</w:t>
      </w:r>
      <w:bookmarkEnd w:id="576"/>
      <w:r>
        <w:rPr>
          <w:color w:val="000000"/>
          <w:spacing w:val="0"/>
          <w:w w:val="100"/>
          <w:position w:val="0"/>
        </w:rPr>
        <w:t>、独立董事出席董事会及股东大会的情况</w:t>
      </w:r>
      <w:bookmarkEnd w:id="574"/>
      <w:bookmarkEnd w:id="575"/>
      <w:bookmarkEnd w:id="577"/>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现场出席次数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潘红</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夏鹏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2</w:t>
      </w:r>
      <w:bookmarkEnd w:id="580"/>
      <w:r>
        <w:rPr>
          <w:color w:val="000000"/>
          <w:spacing w:val="0"/>
          <w:w w:val="100"/>
          <w:position w:val="0"/>
        </w:rPr>
        <w:t>、</w:t>
        <w:tab/>
        <w:t>独立董事对公司有关事项提出异议的情况</w:t>
      </w:r>
      <w:bookmarkEnd w:id="578"/>
      <w:bookmarkEnd w:id="579"/>
      <w:bookmarkEnd w:id="58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33"/>
        <w:keepNext/>
        <w:keepLines/>
        <w:widowControl w:val="0"/>
        <w:shd w:val="clear" w:color="auto" w:fill="auto"/>
        <w:tabs>
          <w:tab w:pos="378" w:val="left"/>
        </w:tabs>
        <w:bidi w:val="0"/>
        <w:spacing w:before="0" w:after="38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3</w:t>
      </w:r>
      <w:bookmarkEnd w:id="584"/>
      <w:r>
        <w:rPr>
          <w:color w:val="000000"/>
          <w:spacing w:val="0"/>
          <w:w w:val="100"/>
          <w:position w:val="0"/>
        </w:rPr>
        <w:t>、</w:t>
        <w:tab/>
        <w:t>独立董事履行职责的其他说明</w:t>
      </w:r>
      <w:bookmarkEnd w:id="582"/>
      <w:bookmarkEnd w:id="583"/>
      <w:bookmarkEnd w:id="58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120" w:line="314" w:lineRule="exact"/>
        <w:ind w:left="0" w:right="0" w:firstLine="0"/>
        <w:jc w:val="left"/>
      </w:pPr>
      <w:r>
        <w:rPr>
          <w:color w:val="000000"/>
          <w:spacing w:val="0"/>
          <w:w w:val="100"/>
          <w:position w:val="0"/>
        </w:rPr>
        <w:t>独立董事对公司有关建议被采纳或未被采纳的说明</w:t>
      </w:r>
    </w:p>
    <w:p>
      <w:pPr>
        <w:pStyle w:val="Style70"/>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报告期内独立董事对公司有关事项未提出异议。</w:t>
      </w:r>
    </w:p>
    <w:p>
      <w:pPr>
        <w:pStyle w:val="Style27"/>
        <w:keepNext/>
        <w:keepLines/>
        <w:widowControl w:val="0"/>
        <w:shd w:val="clear" w:color="auto" w:fill="auto"/>
        <w:tabs>
          <w:tab w:pos="517" w:val="left"/>
        </w:tabs>
        <w:bidi w:val="0"/>
        <w:spacing w:before="0" w:after="260" w:line="240" w:lineRule="auto"/>
        <w:ind w:left="0" w:right="0" w:firstLine="0"/>
        <w:jc w:val="left"/>
      </w:pPr>
      <w:bookmarkStart w:id="586" w:name="bookmark586"/>
      <w:bookmarkStart w:id="587" w:name="bookmark587"/>
      <w:bookmarkStart w:id="588" w:name="bookmark588"/>
      <w:bookmarkStart w:id="589" w:name="bookmark589"/>
      <w:r>
        <w:rPr>
          <w:color w:val="000000"/>
          <w:spacing w:val="0"/>
          <w:w w:val="100"/>
          <w:position w:val="0"/>
          <w:sz w:val="24"/>
          <w:szCs w:val="24"/>
        </w:rPr>
        <w:t>六</w:t>
      </w:r>
      <w:bookmarkEnd w:id="588"/>
      <w:r>
        <w:rPr>
          <w:color w:val="000000"/>
          <w:spacing w:val="0"/>
          <w:w w:val="100"/>
          <w:position w:val="0"/>
          <w:sz w:val="24"/>
          <w:szCs w:val="24"/>
        </w:rPr>
        <w:t>、</w:t>
        <w:tab/>
        <w:t>董事会下设专门委员会在报告期内履行职责情况</w:t>
      </w:r>
      <w:bookmarkEnd w:id="586"/>
      <w:bookmarkEnd w:id="587"/>
      <w:bookmarkEnd w:id="589"/>
    </w:p>
    <w:p>
      <w:pPr>
        <w:pStyle w:val="Style29"/>
        <w:keepNext w:val="0"/>
        <w:keepLines w:val="0"/>
        <w:widowControl w:val="0"/>
        <w:shd w:val="clear" w:color="auto" w:fill="auto"/>
        <w:tabs>
          <w:tab w:pos="911" w:val="left"/>
        </w:tabs>
        <w:bidi w:val="0"/>
        <w:spacing w:before="0" w:after="0" w:line="314" w:lineRule="exact"/>
        <w:ind w:left="0" w:right="0"/>
        <w:jc w:val="left"/>
      </w:pPr>
      <w:bookmarkStart w:id="590" w:name="bookmark590"/>
      <w:r>
        <w:rPr>
          <w:color w:val="000000"/>
          <w:spacing w:val="0"/>
          <w:w w:val="100"/>
          <w:position w:val="0"/>
        </w:rPr>
        <w:t>（</w:t>
      </w:r>
      <w:bookmarkEnd w:id="590"/>
      <w:r>
        <w:rPr>
          <w:color w:val="000000"/>
          <w:spacing w:val="0"/>
          <w:w w:val="100"/>
          <w:position w:val="0"/>
        </w:rPr>
        <w:t>一）</w:t>
        <w:tab/>
        <w:t>审计委员会履职情况</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 xml:space="preserve">报告期内，审计委员会根据《公司法》、《证券法》、《上市公司治理准则》、《内部审计制度》及《审计与风险控制 委员会议事规则》等有关规定，积极履行职责。报告期内，审计委员会共召开了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次会议，对相关事项进行了审议并听取了 内审部相关工作报告。报告期内，审计委员会针对公司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年度变更会计师事务所进行了审议。</w:t>
      </w:r>
    </w:p>
    <w:p>
      <w:pPr>
        <w:pStyle w:val="Style29"/>
        <w:keepNext w:val="0"/>
        <w:keepLines w:val="0"/>
        <w:widowControl w:val="0"/>
        <w:shd w:val="clear" w:color="auto" w:fill="auto"/>
        <w:tabs>
          <w:tab w:pos="911" w:val="left"/>
        </w:tabs>
        <w:bidi w:val="0"/>
        <w:spacing w:before="0" w:after="0" w:line="314" w:lineRule="exact"/>
        <w:ind w:left="0" w:right="0"/>
        <w:jc w:val="both"/>
      </w:pPr>
      <w:bookmarkStart w:id="591" w:name="bookmark591"/>
      <w:r>
        <w:rPr>
          <w:color w:val="000000"/>
          <w:spacing w:val="0"/>
          <w:w w:val="100"/>
          <w:position w:val="0"/>
        </w:rPr>
        <w:t>（</w:t>
      </w:r>
      <w:bookmarkEnd w:id="591"/>
      <w:r>
        <w:rPr>
          <w:color w:val="000000"/>
          <w:spacing w:val="0"/>
          <w:w w:val="100"/>
          <w:position w:val="0"/>
        </w:rPr>
        <w:t>二）</w:t>
        <w:tab/>
        <w:t>薪酬与考核委员会履职情况</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报告期内，薪酬与考核委员根据《公司法》、《证券法》、《上市公司治理准则》、及《薪酬与考核委员会议事规则》 等有关规定，积极履行职责。报告期内，薪酬与考核委员会对公司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年度限制性股票股权激励计划进行了审议，并提交董 事会审议。</w:t>
      </w:r>
    </w:p>
    <w:p>
      <w:pPr>
        <w:pStyle w:val="Style29"/>
        <w:keepNext w:val="0"/>
        <w:keepLines w:val="0"/>
        <w:widowControl w:val="0"/>
        <w:shd w:val="clear" w:color="auto" w:fill="auto"/>
        <w:tabs>
          <w:tab w:pos="911" w:val="left"/>
        </w:tabs>
        <w:bidi w:val="0"/>
        <w:spacing w:before="0" w:after="0" w:line="314" w:lineRule="exact"/>
        <w:ind w:left="0" w:right="0"/>
        <w:jc w:val="both"/>
      </w:pPr>
      <w:bookmarkStart w:id="592" w:name="bookmark592"/>
      <w:r>
        <w:rPr>
          <w:color w:val="000000"/>
          <w:spacing w:val="0"/>
          <w:w w:val="100"/>
          <w:position w:val="0"/>
        </w:rPr>
        <w:t>（</w:t>
      </w:r>
      <w:bookmarkEnd w:id="592"/>
      <w:r>
        <w:rPr>
          <w:color w:val="000000"/>
          <w:spacing w:val="0"/>
          <w:w w:val="100"/>
          <w:position w:val="0"/>
        </w:rPr>
        <w:t>三）</w:t>
        <w:tab/>
        <w:t>提名委员会履职情况</w:t>
      </w:r>
    </w:p>
    <w:p>
      <w:pPr>
        <w:pStyle w:val="Style29"/>
        <w:keepNext w:val="0"/>
        <w:keepLines w:val="0"/>
        <w:widowControl w:val="0"/>
        <w:shd w:val="clear" w:color="auto" w:fill="auto"/>
        <w:bidi w:val="0"/>
        <w:spacing w:before="0" w:after="0" w:line="322" w:lineRule="exact"/>
        <w:ind w:left="0" w:right="0"/>
        <w:jc w:val="both"/>
      </w:pPr>
      <w:r>
        <w:rPr>
          <w:color w:val="000000"/>
          <w:spacing w:val="0"/>
          <w:w w:val="100"/>
          <w:position w:val="0"/>
        </w:rPr>
        <w:t>报告期内，提名委员会按照《公司法》、《证券法》、《上市公司治理准则》、及《提名委员会议事规则》等有关规定， 积极履行职责。</w:t>
      </w:r>
    </w:p>
    <w:p>
      <w:pPr>
        <w:pStyle w:val="Style29"/>
        <w:keepNext w:val="0"/>
        <w:keepLines w:val="0"/>
        <w:widowControl w:val="0"/>
        <w:shd w:val="clear" w:color="auto" w:fill="auto"/>
        <w:tabs>
          <w:tab w:pos="911" w:val="left"/>
        </w:tabs>
        <w:bidi w:val="0"/>
        <w:spacing w:before="0" w:after="0" w:line="314" w:lineRule="exact"/>
        <w:ind w:left="0" w:right="0"/>
        <w:jc w:val="both"/>
      </w:pPr>
      <w:bookmarkStart w:id="593" w:name="bookmark593"/>
      <w:r>
        <w:rPr>
          <w:color w:val="000000"/>
          <w:spacing w:val="0"/>
          <w:w w:val="100"/>
          <w:position w:val="0"/>
        </w:rPr>
        <w:t>（</w:t>
      </w:r>
      <w:bookmarkEnd w:id="593"/>
      <w:r>
        <w:rPr>
          <w:color w:val="000000"/>
          <w:spacing w:val="0"/>
          <w:w w:val="100"/>
          <w:position w:val="0"/>
        </w:rPr>
        <w:t>四）</w:t>
        <w:tab/>
        <w:t>战略发展委员会履职情况</w:t>
      </w:r>
    </w:p>
    <w:p>
      <w:pPr>
        <w:pStyle w:val="Style29"/>
        <w:keepNext w:val="0"/>
        <w:keepLines w:val="0"/>
        <w:widowControl w:val="0"/>
        <w:shd w:val="clear" w:color="auto" w:fill="auto"/>
        <w:bidi w:val="0"/>
        <w:spacing w:before="0" w:after="360" w:line="317" w:lineRule="exact"/>
        <w:ind w:left="0" w:right="0"/>
        <w:jc w:val="both"/>
      </w:pPr>
      <w:r>
        <w:rPr>
          <w:color w:val="000000"/>
          <w:spacing w:val="0"/>
          <w:w w:val="100"/>
          <w:position w:val="0"/>
        </w:rPr>
        <w:t>报告期内，战略发展委员按照《公司法》、《证券法》、《上市公司治理准则》、及《战略委员会议事规则》等有关规 定，积极履行职责。</w:t>
      </w:r>
    </w:p>
    <w:p>
      <w:pPr>
        <w:pStyle w:val="Style27"/>
        <w:keepNext/>
        <w:keepLines/>
        <w:widowControl w:val="0"/>
        <w:shd w:val="clear" w:color="auto" w:fill="auto"/>
        <w:tabs>
          <w:tab w:pos="517" w:val="left"/>
        </w:tabs>
        <w:bidi w:val="0"/>
        <w:spacing w:before="0" w:after="26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sz w:val="24"/>
          <w:szCs w:val="24"/>
        </w:rPr>
        <w:t>七</w:t>
      </w:r>
      <w:bookmarkEnd w:id="596"/>
      <w:r>
        <w:rPr>
          <w:color w:val="000000"/>
          <w:spacing w:val="0"/>
          <w:w w:val="100"/>
          <w:position w:val="0"/>
          <w:sz w:val="24"/>
          <w:szCs w:val="24"/>
        </w:rPr>
        <w:t>、</w:t>
        <w:tab/>
        <w:t>监事会工作情况</w:t>
      </w:r>
      <w:bookmarkEnd w:id="594"/>
      <w:bookmarkEnd w:id="595"/>
      <w:bookmarkEnd w:id="597"/>
    </w:p>
    <w:p>
      <w:pPr>
        <w:pStyle w:val="Style29"/>
        <w:keepNext w:val="0"/>
        <w:keepLines w:val="0"/>
        <w:widowControl w:val="0"/>
        <w:shd w:val="clear" w:color="auto" w:fill="auto"/>
        <w:bidi w:val="0"/>
        <w:spacing w:before="0" w:after="120" w:line="314" w:lineRule="exact"/>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公司监事会对报告期内的监督事项无异议。</w:t>
      </w:r>
    </w:p>
    <w:p>
      <w:pPr>
        <w:pStyle w:val="Style27"/>
        <w:keepNext/>
        <w:keepLines/>
        <w:widowControl w:val="0"/>
        <w:shd w:val="clear" w:color="auto" w:fill="auto"/>
        <w:tabs>
          <w:tab w:pos="517" w:val="left"/>
        </w:tabs>
        <w:bidi w:val="0"/>
        <w:spacing w:before="0" w:after="26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sz w:val="24"/>
          <w:szCs w:val="24"/>
        </w:rPr>
        <w:t>八</w:t>
      </w:r>
      <w:bookmarkEnd w:id="600"/>
      <w:r>
        <w:rPr>
          <w:color w:val="000000"/>
          <w:spacing w:val="0"/>
          <w:w w:val="100"/>
          <w:position w:val="0"/>
          <w:sz w:val="24"/>
          <w:szCs w:val="24"/>
        </w:rPr>
        <w:t>、</w:t>
        <w:tab/>
        <w:t>高级管理人员的考评及激励情况</w:t>
      </w:r>
      <w:bookmarkEnd w:id="598"/>
      <w:bookmarkEnd w:id="599"/>
      <w:bookmarkEnd w:id="601"/>
    </w:p>
    <w:p>
      <w:pPr>
        <w:pStyle w:val="Style29"/>
        <w:keepNext w:val="0"/>
        <w:keepLines w:val="0"/>
        <w:widowControl w:val="0"/>
        <w:shd w:val="clear" w:color="auto" w:fill="auto"/>
        <w:bidi w:val="0"/>
        <w:spacing w:before="0" w:after="700" w:line="317" w:lineRule="exact"/>
        <w:ind w:left="0" w:right="0"/>
        <w:jc w:val="left"/>
      </w:pPr>
      <w:r>
        <w:rPr>
          <w:color w:val="000000"/>
          <w:spacing w:val="0"/>
          <w:w w:val="100"/>
          <w:position w:val="0"/>
        </w:rPr>
        <w:t>公司高级管理人员的薪酬与考核以公司经济效益及工作目标为出发点，根据公司年度经营计划和高级管理人员分管工作 的职责，进行综合考核，根据考核结果确定高级管理人员的年度薪酬水平。</w:t>
      </w:r>
    </w:p>
    <w:p>
      <w:pPr>
        <w:pStyle w:val="Style27"/>
        <w:keepNext/>
        <w:keepLines/>
        <w:widowControl w:val="0"/>
        <w:shd w:val="clear" w:color="auto" w:fill="auto"/>
        <w:tabs>
          <w:tab w:pos="517" w:val="left"/>
        </w:tabs>
        <w:bidi w:val="0"/>
        <w:spacing w:before="0" w:line="240" w:lineRule="auto"/>
        <w:ind w:left="0" w:right="0" w:firstLine="0"/>
        <w:jc w:val="left"/>
      </w:pPr>
      <w:bookmarkStart w:id="602" w:name="bookmark602"/>
      <w:bookmarkStart w:id="603" w:name="bookmark603"/>
      <w:bookmarkStart w:id="604" w:name="bookmark604"/>
      <w:bookmarkStart w:id="605" w:name="bookmark605"/>
      <w:r>
        <w:rPr>
          <w:color w:val="000000"/>
          <w:spacing w:val="0"/>
          <w:w w:val="100"/>
          <w:position w:val="0"/>
          <w:sz w:val="24"/>
          <w:szCs w:val="24"/>
        </w:rPr>
        <w:t>九</w:t>
      </w:r>
      <w:bookmarkEnd w:id="604"/>
      <w:r>
        <w:rPr>
          <w:color w:val="000000"/>
          <w:spacing w:val="0"/>
          <w:w w:val="100"/>
          <w:position w:val="0"/>
          <w:sz w:val="24"/>
          <w:szCs w:val="24"/>
        </w:rPr>
        <w:t>、</w:t>
        <w:tab/>
        <w:t>内部控制评价报告</w:t>
      </w:r>
      <w:bookmarkEnd w:id="602"/>
      <w:bookmarkEnd w:id="603"/>
      <w:bookmarkEnd w:id="605"/>
    </w:p>
    <w:p>
      <w:pPr>
        <w:pStyle w:val="Style33"/>
        <w:keepNext/>
        <w:keepLines/>
        <w:widowControl w:val="0"/>
        <w:shd w:val="clear" w:color="auto" w:fill="auto"/>
        <w:bidi w:val="0"/>
        <w:spacing w:before="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1</w:t>
      </w:r>
      <w:bookmarkEnd w:id="608"/>
      <w:r>
        <w:rPr>
          <w:color w:val="000000"/>
          <w:spacing w:val="0"/>
          <w:w w:val="100"/>
          <w:position w:val="0"/>
        </w:rPr>
        <w:t>、报告期内发现的内部控制重大缺陷的具体情况</w:t>
      </w:r>
      <w:bookmarkEnd w:id="606"/>
      <w:bookmarkEnd w:id="607"/>
      <w:bookmarkEnd w:id="609"/>
    </w:p>
    <w:p>
      <w:pPr>
        <w:pStyle w:val="Style29"/>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2</w:t>
      </w:r>
      <w:bookmarkEnd w:id="612"/>
      <w:r>
        <w:rPr>
          <w:color w:val="000000"/>
          <w:spacing w:val="0"/>
          <w:w w:val="100"/>
          <w:position w:val="0"/>
        </w:rPr>
        <w:t>、内控自我评价报告</w:t>
      </w:r>
      <w:bookmarkEnd w:id="610"/>
      <w:bookmarkEnd w:id="611"/>
      <w:bookmarkEnd w:id="613"/>
    </w:p>
    <w:tbl>
      <w:tblPr>
        <w:tblOverlap w:val="never"/>
        <w:jc w:val="center"/>
        <w:tblLayout w:type="fixed"/>
      </w:tblPr>
      <w:tblGrid>
        <w:gridCol w:w="3197"/>
        <w:gridCol w:w="6384"/>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line="1" w:lineRule="exact"/>
      </w:pPr>
      <w:r>
        <w:br w:type="page"/>
      </w:r>
    </w:p>
    <w:tbl>
      <w:tblPr>
        <w:tblOverlap w:val="never"/>
        <w:jc w:val="center"/>
        <w:tblLayout w:type="fixed"/>
      </w:tblPr>
      <w:tblGrid>
        <w:gridCol w:w="3197"/>
        <w:gridCol w:w="3326"/>
        <w:gridCol w:w="3058"/>
      </w:tblGrid>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18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02" w:lineRule="exact"/>
              <w:ind w:left="0" w:right="0" w:firstLine="0"/>
              <w:jc w:val="both"/>
            </w:pPr>
            <w:r>
              <w:rPr>
                <w:color w:val="000000"/>
                <w:spacing w:val="0"/>
                <w:w w:val="100"/>
                <w:position w:val="0"/>
              </w:rPr>
              <w:t>公司确定的财务报告内部控制缺陷评价的 定性标准如下：</w:t>
            </w:r>
          </w:p>
          <w:p>
            <w:pPr>
              <w:pStyle w:val="Style5"/>
              <w:keepNext w:val="0"/>
              <w:keepLines w:val="0"/>
              <w:widowControl w:val="0"/>
              <w:shd w:val="clear" w:color="auto" w:fill="auto"/>
              <w:tabs>
                <w:tab w:pos="422"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公司董事、监事和高级管理人员的舞 弊行为；</w:t>
            </w:r>
          </w:p>
          <w:p>
            <w:pPr>
              <w:pStyle w:val="Style5"/>
              <w:keepNext w:val="0"/>
              <w:keepLines w:val="0"/>
              <w:widowControl w:val="0"/>
              <w:shd w:val="clear" w:color="auto" w:fill="auto"/>
              <w:tabs>
                <w:tab w:pos="355" w:val="left"/>
              </w:tabs>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公司更正已公布的财务报告；</w:t>
            </w:r>
          </w:p>
          <w:p>
            <w:pPr>
              <w:pStyle w:val="Style5"/>
              <w:keepNext w:val="0"/>
              <w:keepLines w:val="0"/>
              <w:widowControl w:val="0"/>
              <w:shd w:val="clear" w:color="auto" w:fill="auto"/>
              <w:tabs>
                <w:tab w:pos="384"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注册会计师发现的却未被公司内部控 制识别的当期财务报告中的重大错报；</w:t>
            </w:r>
          </w:p>
          <w:p>
            <w:pPr>
              <w:pStyle w:val="Style5"/>
              <w:keepNext w:val="0"/>
              <w:keepLines w:val="0"/>
              <w:widowControl w:val="0"/>
              <w:shd w:val="clear" w:color="auto" w:fill="auto"/>
              <w:tabs>
                <w:tab w:pos="389"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审计委员会和审计部门对公司的对外 财务报告和财务报告内部控制监督无效。</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非财务报告缺陷认定主要以缺陷对业 务流程有效性的影响程度、发生的可能 性作判定。</w:t>
            </w:r>
          </w:p>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如果缺陷发生的可能性较小，会降低工 作效率或效果、或加大效果的不确定 性、或使之偏离预期目标为一般缺陷； 如果缺陷发生的可能性较高，会显著降 低工作效率或效果、或显著加大效果的 不确定性、或使之显著偏离预期目标为 重要缺陷；如果缺陷发生的可能性高， 会严重降低工作效率或效果、或严重加 大效果的不确定性、或使之严重偏离预 期目标为重大缺陷。</w:t>
            </w:r>
          </w:p>
        </w:tc>
      </w:tr>
      <w:tr>
        <w:trPr>
          <w:trHeight w:val="414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定量标准以营业收入、资产总额作为衡量 指标。如果该缺陷单独或连同其他缺陷可 能导致或导致的财务报告错报金额小于营 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,则认定为一般缺陷；如果超 过营业收入的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,则为重要缺 陷；如果超过营业收入的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 大缺陷。如果该缺陷单独或连同其他缺陷 可能导致的财务报告错报金额小于资产总 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，则认定为一般缺陷；如果超过资 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认定为重要缺陷； 如果超过资产总额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,则认定为重大缺 陷。</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定量标准以营业收入、资产总额作为衡 量指标。如果该缺陷单独或连同其他缺 陷可能导致或导致的财务报告错报金 额小于营业收入的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 缺陷；如果超过营业收入的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但小于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,则为重要缺陷；如果超过营业收 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,则认定为重大缺陷。如果该 缺陷单独或连同其他缺陷可能导致的 财务报告错报金额小于资产总额的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,则认定为一般缺陷；如果超过资 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认定为重要缺 陷；如果超过资产总额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 重大缺陷。</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614" w:name="bookmark614"/>
      <w:bookmarkStart w:id="615" w:name="bookmark615"/>
      <w:bookmarkStart w:id="616" w:name="bookmark616"/>
      <w:r>
        <w:rPr>
          <w:color w:val="000000"/>
          <w:spacing w:val="0"/>
          <w:w w:val="100"/>
          <w:position w:val="0"/>
          <w:sz w:val="24"/>
          <w:szCs w:val="24"/>
        </w:rPr>
        <w:t>十、内部控制审计报告或鉴证报告</w:t>
      </w:r>
      <w:bookmarkEnd w:id="614"/>
      <w:bookmarkEnd w:id="615"/>
      <w:bookmarkEnd w:id="616"/>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18"/>
        <w:keepNext/>
        <w:keepLines/>
        <w:widowControl w:val="0"/>
        <w:shd w:val="clear" w:color="auto" w:fill="auto"/>
        <w:bidi w:val="0"/>
        <w:spacing w:before="0" w:after="600" w:line="240" w:lineRule="auto"/>
        <w:ind w:left="0" w:right="0" w:firstLine="0"/>
        <w:jc w:val="center"/>
      </w:pPr>
      <w:bookmarkStart w:id="617" w:name="bookmark617"/>
      <w:bookmarkStart w:id="618" w:name="bookmark618"/>
      <w:bookmarkStart w:id="619" w:name="bookmark619"/>
      <w:r>
        <w:rPr>
          <w:color w:val="000000"/>
          <w:spacing w:val="0"/>
          <w:w w:val="100"/>
          <w:position w:val="0"/>
        </w:rPr>
        <w:t>第十节公司债券相关情况</w:t>
      </w:r>
      <w:bookmarkEnd w:id="617"/>
      <w:bookmarkEnd w:id="618"/>
      <w:bookmarkEnd w:id="619"/>
    </w:p>
    <w:p>
      <w:pPr>
        <w:pStyle w:val="Style29"/>
        <w:keepNext w:val="0"/>
        <w:keepLines w:val="0"/>
        <w:widowControl w:val="0"/>
        <w:shd w:val="clear" w:color="auto" w:fill="auto"/>
        <w:bidi w:val="0"/>
        <w:spacing w:before="0" w:after="140" w:line="240" w:lineRule="auto"/>
        <w:ind w:left="0" w:right="0" w:firstLine="0"/>
        <w:jc w:val="left"/>
      </w:pPr>
      <w:bookmarkStart w:id="620" w:name="bookmark620"/>
      <w:r>
        <w:rPr>
          <w:color w:val="000000"/>
          <w:spacing w:val="0"/>
          <w:w w:val="100"/>
          <w:position w:val="0"/>
        </w:rPr>
        <w:t>公司是否存在公开发行并在证券交易所上市，且在年度报告批准报出日未到期或到期未能全额兑付的公司债券</w:t>
      </w:r>
      <w:bookmarkEnd w:id="620"/>
    </w:p>
    <w:p>
      <w:pPr>
        <w:pStyle w:val="Style29"/>
        <w:keepNext w:val="0"/>
        <w:keepLines w:val="0"/>
        <w:widowControl w:val="0"/>
        <w:shd w:val="clear" w:color="auto" w:fill="auto"/>
        <w:bidi w:val="0"/>
        <w:spacing w:before="0" w:after="380" w:line="240" w:lineRule="auto"/>
        <w:ind w:left="0" w:right="0" w:firstLine="0"/>
        <w:jc w:val="left"/>
        <w:sectPr>
          <w:footnotePr>
            <w:pos w:val="pageBottom"/>
            <w:numFmt w:val="decimal"/>
            <w:numStart w:val="1"/>
            <w:numRestart w:val="continuous"/>
            <w15:footnoteColumns w:val="1"/>
          </w:footnotePr>
          <w:type w:val="continuous"/>
          <w:pgSz w:w="11900" w:h="16840"/>
          <w:pgMar w:top="1378" w:right="1070" w:bottom="1522" w:left="1058" w:header="0" w:footer="3" w:gutter="0"/>
          <w:cols w:space="720"/>
          <w:noEndnote/>
          <w:rtlGutter w:val="0"/>
          <w:docGrid w:linePitch="360"/>
        </w:sectPr>
      </w:pPr>
      <w:r>
        <w:rPr>
          <w:color w:val="000000"/>
          <w:spacing w:val="0"/>
          <w:w w:val="100"/>
          <w:position w:val="0"/>
        </w:rPr>
        <w:t>否</w:t>
      </w:r>
    </w:p>
    <w:p>
      <w:pPr>
        <w:pStyle w:val="Style18"/>
        <w:keepNext/>
        <w:keepLines/>
        <w:widowControl w:val="0"/>
        <w:shd w:val="clear" w:color="auto" w:fill="auto"/>
        <w:bidi w:val="0"/>
        <w:spacing w:before="540" w:after="520" w:line="240" w:lineRule="auto"/>
        <w:ind w:left="0" w:right="0" w:firstLine="0"/>
        <w:jc w:val="center"/>
      </w:pPr>
      <w:bookmarkStart w:id="621" w:name="bookmark621"/>
      <w:bookmarkStart w:id="622" w:name="bookmark622"/>
      <w:bookmarkStart w:id="623" w:name="bookmark623"/>
      <w:r>
        <w:rPr>
          <w:color w:val="000000"/>
          <w:spacing w:val="0"/>
          <w:w w:val="100"/>
          <w:position w:val="0"/>
        </w:rPr>
        <w:t>第十一节财务报告</w:t>
      </w:r>
      <w:bookmarkEnd w:id="621"/>
      <w:bookmarkEnd w:id="622"/>
      <w:bookmarkEnd w:id="623"/>
    </w:p>
    <w:p>
      <w:pPr>
        <w:pStyle w:val="Style27"/>
        <w:keepNext/>
        <w:keepLines/>
        <w:widowControl w:val="0"/>
        <w:shd w:val="clear" w:color="auto" w:fill="auto"/>
        <w:bidi w:val="0"/>
        <w:spacing w:before="0" w:after="320" w:line="240" w:lineRule="auto"/>
        <w:ind w:left="0" w:right="0" w:firstLine="0"/>
        <w:jc w:val="left"/>
      </w:pPr>
      <w:bookmarkStart w:id="624" w:name="bookmark624"/>
      <w:bookmarkStart w:id="625" w:name="bookmark625"/>
      <w:bookmarkStart w:id="626" w:name="bookmark626"/>
      <w:bookmarkStart w:id="627" w:name="bookmark627"/>
      <w:bookmarkStart w:id="628" w:name="bookmark628"/>
      <w:r>
        <w:rPr>
          <w:color w:val="000000"/>
          <w:spacing w:val="0"/>
          <w:w w:val="100"/>
          <w:position w:val="0"/>
          <w:sz w:val="24"/>
          <w:szCs w:val="24"/>
        </w:rPr>
        <w:t>一</w:t>
      </w:r>
      <w:bookmarkEnd w:id="627"/>
      <w:r>
        <w:rPr>
          <w:color w:val="000000"/>
          <w:spacing w:val="0"/>
          <w:w w:val="100"/>
          <w:position w:val="0"/>
          <w:sz w:val="24"/>
          <w:szCs w:val="24"/>
        </w:rPr>
        <w:t>、审计报告</w:t>
      </w:r>
      <w:bookmarkEnd w:id="625"/>
      <w:bookmarkEnd w:id="626"/>
      <w:bookmarkEnd w:id="628"/>
      <w:bookmarkEnd w:id="624"/>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中汇会计师事务所（特殊普通合伙）</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中汇会审</w:t>
            </w:r>
            <w:r>
              <w:rPr>
                <w:rFonts w:ascii="Times New Roman" w:eastAsia="Times New Roman" w:hAnsi="Times New Roman" w:cs="Times New Roman"/>
                <w:color w:val="000000"/>
                <w:spacing w:val="0"/>
                <w:w w:val="100"/>
                <w:position w:val="0"/>
                <w:sz w:val="18"/>
                <w:szCs w:val="18"/>
              </w:rPr>
              <w:t>[2017]2043</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赵亦飞、潘高峰</w:t>
            </w:r>
          </w:p>
        </w:tc>
      </w:tr>
    </w:tbl>
    <w:p>
      <w:pPr>
        <w:widowControl w:val="0"/>
        <w:spacing w:after="99" w:line="1" w:lineRule="exact"/>
      </w:pPr>
    </w:p>
    <w:p>
      <w:pPr>
        <w:pStyle w:val="Style29"/>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审计报告正文</w:t>
      </w:r>
    </w:p>
    <w:p>
      <w:pPr>
        <w:pStyle w:val="Style72"/>
        <w:keepNext w:val="0"/>
        <w:keepLines w:val="0"/>
        <w:widowControl w:val="0"/>
        <w:shd w:val="clear" w:color="auto" w:fill="auto"/>
        <w:bidi w:val="0"/>
        <w:spacing w:before="0" w:after="860" w:line="240" w:lineRule="auto"/>
        <w:ind w:left="0" w:right="0" w:firstLine="0"/>
        <w:jc w:val="center"/>
      </w:pPr>
      <w:r>
        <w:rPr>
          <w:color w:val="000000"/>
          <w:spacing w:val="0"/>
          <w:w w:val="100"/>
          <w:position w:val="0"/>
        </w:rPr>
        <w:t>审计报告</w:t>
      </w:r>
    </w:p>
    <w:p>
      <w:pPr>
        <w:pStyle w:val="Style67"/>
        <w:keepNext w:val="0"/>
        <w:keepLines w:val="0"/>
        <w:widowControl w:val="0"/>
        <w:shd w:val="clear" w:color="auto" w:fill="auto"/>
        <w:bidi w:val="0"/>
        <w:spacing w:before="0" w:after="40" w:line="240" w:lineRule="auto"/>
        <w:ind w:left="0" w:right="0" w:firstLine="0"/>
        <w:jc w:val="right"/>
        <w:rPr>
          <w:sz w:val="17"/>
          <w:szCs w:val="17"/>
        </w:rPr>
      </w:pPr>
      <w:r>
        <w:rPr>
          <w:rFonts w:ascii="SimSun" w:eastAsia="SimSun" w:hAnsi="SimSun" w:cs="SimSun"/>
          <w:b/>
          <w:bCs/>
          <w:color w:val="000000"/>
          <w:spacing w:val="0"/>
          <w:w w:val="100"/>
          <w:position w:val="0"/>
          <w:sz w:val="17"/>
          <w:szCs w:val="17"/>
        </w:rPr>
        <w:t>中汇会审</w:t>
      </w:r>
      <w:r>
        <w:rPr>
          <w:color w:val="000000"/>
          <w:spacing w:val="0"/>
          <w:w w:val="100"/>
          <w:position w:val="0"/>
          <w:sz w:val="18"/>
          <w:szCs w:val="18"/>
        </w:rPr>
        <w:t>[2017]2043</w:t>
      </w:r>
      <w:r>
        <w:rPr>
          <w:rFonts w:ascii="SimSun" w:eastAsia="SimSun" w:hAnsi="SimSun" w:cs="SimSun"/>
          <w:b/>
          <w:bCs/>
          <w:color w:val="000000"/>
          <w:spacing w:val="0"/>
          <w:w w:val="100"/>
          <w:position w:val="0"/>
          <w:sz w:val="17"/>
          <w:szCs w:val="17"/>
        </w:rPr>
        <w:t>号</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高伟达软件股份有限公司全体股东：</w:t>
      </w:r>
    </w:p>
    <w:p>
      <w:pPr>
        <w:pStyle w:val="Style29"/>
        <w:keepNext w:val="0"/>
        <w:keepLines w:val="0"/>
        <w:widowControl w:val="0"/>
        <w:shd w:val="clear" w:color="auto" w:fill="auto"/>
        <w:bidi w:val="0"/>
        <w:spacing w:before="0" w:after="40" w:line="314" w:lineRule="exact"/>
        <w:ind w:left="0" w:right="0" w:firstLine="0"/>
        <w:jc w:val="both"/>
      </w:pPr>
      <w:r>
        <w:rPr>
          <w:color w:val="000000"/>
          <w:spacing w:val="0"/>
          <w:w w:val="100"/>
          <w:position w:val="0"/>
        </w:rPr>
        <w:t>我们审计了后附的高伟达软件股份有限公司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以下简称高伟达公司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日的合并及母公司资产 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年度的合并及母公司利润表、合并及母公司现金流量表、合并及母公司所有者权益变动表，以及财务报表附 注。</w:t>
      </w:r>
    </w:p>
    <w:p>
      <w:pPr>
        <w:pStyle w:val="Style29"/>
        <w:keepNext w:val="0"/>
        <w:keepLines w:val="0"/>
        <w:widowControl w:val="0"/>
        <w:shd w:val="clear" w:color="auto" w:fill="auto"/>
        <w:tabs>
          <w:tab w:pos="440" w:val="left"/>
        </w:tabs>
        <w:bidi w:val="0"/>
        <w:spacing w:before="0" w:after="40" w:line="312" w:lineRule="exact"/>
        <w:ind w:left="0" w:right="0" w:firstLine="0"/>
        <w:jc w:val="both"/>
      </w:pPr>
      <w:bookmarkStart w:id="629" w:name="bookmark629"/>
      <w:r>
        <w:rPr>
          <w:b/>
          <w:bCs/>
          <w:color w:val="000000"/>
          <w:spacing w:val="0"/>
          <w:w w:val="100"/>
          <w:position w:val="0"/>
        </w:rPr>
        <w:t>一</w:t>
      </w:r>
      <w:bookmarkEnd w:id="629"/>
      <w:r>
        <w:rPr>
          <w:b/>
          <w:bCs/>
          <w:color w:val="000000"/>
          <w:spacing w:val="0"/>
          <w:w w:val="100"/>
          <w:position w:val="0"/>
        </w:rPr>
        <w:t>、</w:t>
        <w:tab/>
        <w:t>管理层对财务报表的责任</w:t>
      </w:r>
    </w:p>
    <w:p>
      <w:pPr>
        <w:pStyle w:val="Style29"/>
        <w:keepNext w:val="0"/>
        <w:keepLines w:val="0"/>
        <w:widowControl w:val="0"/>
        <w:shd w:val="clear" w:color="auto" w:fill="auto"/>
        <w:bidi w:val="0"/>
        <w:spacing w:before="0" w:after="40" w:line="307" w:lineRule="exact"/>
        <w:ind w:left="0" w:right="0" w:firstLine="0"/>
        <w:jc w:val="both"/>
      </w:pPr>
      <w:r>
        <w:rPr>
          <w:color w:val="000000"/>
          <w:spacing w:val="0"/>
          <w:w w:val="100"/>
          <w:position w:val="0"/>
        </w:rPr>
        <w:t>编制和公允列报财务报表是高伟达公司管理层的责任，这种责任包括：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按照企业会计准则的规定编制财务报表，并使其 实现公允反映；</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9"/>
        <w:keepNext w:val="0"/>
        <w:keepLines w:val="0"/>
        <w:widowControl w:val="0"/>
        <w:shd w:val="clear" w:color="auto" w:fill="auto"/>
        <w:tabs>
          <w:tab w:pos="440" w:val="left"/>
        </w:tabs>
        <w:bidi w:val="0"/>
        <w:spacing w:before="0" w:after="40" w:line="312" w:lineRule="exact"/>
        <w:ind w:left="0" w:right="0" w:firstLine="0"/>
        <w:jc w:val="both"/>
      </w:pPr>
      <w:bookmarkStart w:id="630" w:name="bookmark630"/>
      <w:r>
        <w:rPr>
          <w:b/>
          <w:bCs/>
          <w:color w:val="000000"/>
          <w:spacing w:val="0"/>
          <w:w w:val="100"/>
          <w:position w:val="0"/>
        </w:rPr>
        <w:t>二</w:t>
      </w:r>
      <w:bookmarkEnd w:id="630"/>
      <w:r>
        <w:rPr>
          <w:b/>
          <w:bCs/>
          <w:color w:val="000000"/>
          <w:spacing w:val="0"/>
          <w:w w:val="100"/>
          <w:position w:val="0"/>
        </w:rPr>
        <w:t>、</w:t>
        <w:tab/>
        <w:t>注册会计师的责任</w:t>
      </w:r>
    </w:p>
    <w:p>
      <w:pPr>
        <w:pStyle w:val="Style29"/>
        <w:keepNext w:val="0"/>
        <w:keepLines w:val="0"/>
        <w:widowControl w:val="0"/>
        <w:shd w:val="clear" w:color="auto" w:fill="auto"/>
        <w:bidi w:val="0"/>
        <w:spacing w:before="0" w:after="40" w:line="314" w:lineRule="exact"/>
        <w:ind w:left="0" w:right="0" w:firstLine="0"/>
        <w:jc w:val="both"/>
      </w:pPr>
      <w:r>
        <w:rPr>
          <w:color w:val="000000"/>
          <w:spacing w:val="0"/>
          <w:w w:val="100"/>
          <w:position w:val="0"/>
        </w:rPr>
        <w:t>我们的责任是在执行审计工作的基础上对财务报表发表审计意见。我们按照中国注册会计师审计准则的规定执行了审计工 作。中国注册会计师审计准则要求我们遵守中国注册会计师职业道德守则，计划和执行审计工作以对财务报表是否不存在重 大错报获取合理保证。</w:t>
      </w:r>
    </w:p>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审计工作涉及实施审计程序，以获取有关财务报表金额和披露的审计证据。选择的审计程序取决于注册会计师的判断，包括 对由于舞弊或错误导致的财务报表重大错报风险的评估。在进行风险评估时，注册会计师考虑与财务报表编制和公允列报相 关的内部控制，以设计恰当的审计程序，但目的并非对内部控制的有效性发表意见。审计工作还包括评价管理层选用会计政 策的恰当性和作出会计估计的合理性，以及评价财务报表的总体列报。</w:t>
      </w:r>
    </w:p>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rPr>
        <w:t>我们相信，我们获取的审计证据是充分、适当的，为发表审计意见提供了基础。</w:t>
      </w:r>
    </w:p>
    <w:p>
      <w:pPr>
        <w:pStyle w:val="Style29"/>
        <w:keepNext w:val="0"/>
        <w:keepLines w:val="0"/>
        <w:widowControl w:val="0"/>
        <w:shd w:val="clear" w:color="auto" w:fill="auto"/>
        <w:tabs>
          <w:tab w:pos="445" w:val="left"/>
        </w:tabs>
        <w:bidi w:val="0"/>
        <w:spacing w:before="0" w:after="40" w:line="312" w:lineRule="exact"/>
        <w:ind w:left="0" w:right="0" w:firstLine="0"/>
        <w:jc w:val="both"/>
      </w:pPr>
      <w:bookmarkStart w:id="631" w:name="bookmark631"/>
      <w:r>
        <w:rPr>
          <w:b/>
          <w:bCs/>
          <w:color w:val="000000"/>
          <w:spacing w:val="0"/>
          <w:w w:val="100"/>
          <w:position w:val="0"/>
        </w:rPr>
        <w:t>三</w:t>
      </w:r>
      <w:bookmarkEnd w:id="631"/>
      <w:r>
        <w:rPr>
          <w:b/>
          <w:bCs/>
          <w:color w:val="000000"/>
          <w:spacing w:val="0"/>
          <w:w w:val="100"/>
          <w:position w:val="0"/>
        </w:rPr>
        <w:t>、</w:t>
        <w:tab/>
        <w:t>审计意见</w:t>
      </w:r>
    </w:p>
    <w:p>
      <w:pPr>
        <w:pStyle w:val="Style29"/>
        <w:keepNext w:val="0"/>
        <w:keepLines w:val="0"/>
        <w:widowControl w:val="0"/>
        <w:shd w:val="clear" w:color="auto" w:fill="auto"/>
        <w:bidi w:val="0"/>
        <w:spacing w:before="0" w:after="40" w:line="307" w:lineRule="exact"/>
        <w:ind w:left="0" w:right="0" w:firstLine="0"/>
        <w:jc w:val="both"/>
      </w:pPr>
      <w:r>
        <w:rPr>
          <w:color w:val="000000"/>
          <w:spacing w:val="0"/>
          <w:w w:val="100"/>
          <w:position w:val="0"/>
        </w:rPr>
        <w:t>我们认为，高伟达公司财务报表在所有重大方面按照企业会计准则的规定编制，公允反映了高伟达公司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的合并及母公司财务状况以及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年度的合并及母公司经营成果和现金流量。</w:t>
      </w:r>
      <w:r>
        <w:br w:type="page"/>
      </w:r>
    </w:p>
    <w:p>
      <w:pPr>
        <w:widowControl w:val="0"/>
        <w:spacing w:line="1" w:lineRule="exact"/>
      </w:pPr>
      <w:r>
        <mc:AlternateContent>
          <mc:Choice Requires="wps">
            <w:drawing>
              <wp:anchor distT="0" distB="1019175" distL="0" distR="0" simplePos="0" relativeHeight="125829406" behindDoc="0" locked="0" layoutInCell="1" allowOverlap="1">
                <wp:simplePos x="0" y="0"/>
                <wp:positionH relativeFrom="page">
                  <wp:posOffset>1010285</wp:posOffset>
                </wp:positionH>
                <wp:positionV relativeFrom="paragraph">
                  <wp:posOffset>0</wp:posOffset>
                </wp:positionV>
                <wp:extent cx="1972310" cy="176530"/>
                <wp:wrapTopAndBottom/>
                <wp:docPr id="43" name="Shape 43"/>
                <a:graphic xmlns:a="http://schemas.openxmlformats.org/drawingml/2006/main">
                  <a:graphicData uri="http://schemas.microsoft.com/office/word/2010/wordprocessingShape">
                    <wps:wsp>
                      <wps:cNvSpPr txBox="1"/>
                      <wps:spPr>
                        <a:xfrm>
                          <a:ext cx="1972310" cy="17653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p>
                        </w:txbxContent>
                      </wps:txbx>
                      <wps:bodyPr wrap="none" lIns="0" tIns="0" rIns="0" bIns="0">
                        <a:noAutoFit/>
                      </wps:bodyPr>
                    </wps:wsp>
                  </a:graphicData>
                </a:graphic>
              </wp:anchor>
            </w:drawing>
          </mc:Choice>
          <mc:Fallback>
            <w:pict>
              <v:shape id="_x0000_s1069" type="#_x0000_t202" style="position:absolute;margin-left:79.549999999999997pt;margin-top:0;width:155.30000000000001pt;height:13.9pt;z-index:-125829347;mso-wrap-distance-left:0;mso-wrap-distance-right:0;mso-wrap-distance-bottom:80.25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p>
                  </w:txbxContent>
                </v:textbox>
                <w10:wrap type="topAndBottom" anchorx="page"/>
              </v:shape>
            </w:pict>
          </mc:Fallback>
        </mc:AlternateContent>
      </w:r>
      <w:r>
        <mc:AlternateContent>
          <mc:Choice Requires="wps">
            <w:drawing>
              <wp:anchor distT="0" distB="1028065" distL="0" distR="0" simplePos="0" relativeHeight="125829408" behindDoc="0" locked="0" layoutInCell="1" allowOverlap="1">
                <wp:simplePos x="0" y="0"/>
                <wp:positionH relativeFrom="page">
                  <wp:posOffset>3698875</wp:posOffset>
                </wp:positionH>
                <wp:positionV relativeFrom="paragraph">
                  <wp:posOffset>0</wp:posOffset>
                </wp:positionV>
                <wp:extent cx="1484630" cy="167640"/>
                <wp:wrapTopAndBottom/>
                <wp:docPr id="45" name="Shape 45"/>
                <a:graphic xmlns:a="http://schemas.openxmlformats.org/drawingml/2006/main">
                  <a:graphicData uri="http://schemas.microsoft.com/office/word/2010/wordprocessingShape">
                    <wps:wsp>
                      <wps:cNvSpPr txBox="1"/>
                      <wps:spPr>
                        <a:xfrm>
                          <a:ext cx="1484630" cy="16764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中国注册会计师：赵亦飞</w:t>
                            </w:r>
                          </w:p>
                        </w:txbxContent>
                      </wps:txbx>
                      <wps:bodyPr wrap="none" lIns="0" tIns="0" rIns="0" bIns="0">
                        <a:noAutoFit/>
                      </wps:bodyPr>
                    </wps:wsp>
                  </a:graphicData>
                </a:graphic>
              </wp:anchor>
            </w:drawing>
          </mc:Choice>
          <mc:Fallback>
            <w:pict>
              <v:shape id="_x0000_s1071" type="#_x0000_t202" style="position:absolute;margin-left:291.25pt;margin-top:0;width:116.90000000000001pt;height:13.200000000000001pt;z-index:-125829345;mso-wrap-distance-left:0;mso-wrap-distance-right:0;mso-wrap-distance-bottom:80.950000000000003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中国注册会计师：赵亦飞</w:t>
                      </w:r>
                    </w:p>
                  </w:txbxContent>
                </v:textbox>
                <w10:wrap type="topAndBottom" anchorx="page"/>
              </v:shape>
            </w:pict>
          </mc:Fallback>
        </mc:AlternateContent>
      </w:r>
      <w:r>
        <mc:AlternateContent>
          <mc:Choice Requires="wps">
            <w:drawing>
              <wp:anchor distT="685800" distB="330200" distL="0" distR="0" simplePos="0" relativeHeight="125829410" behindDoc="0" locked="0" layoutInCell="1" allowOverlap="1">
                <wp:simplePos x="0" y="0"/>
                <wp:positionH relativeFrom="page">
                  <wp:posOffset>1610995</wp:posOffset>
                </wp:positionH>
                <wp:positionV relativeFrom="paragraph">
                  <wp:posOffset>685800</wp:posOffset>
                </wp:positionV>
                <wp:extent cx="591185" cy="179705"/>
                <wp:wrapTopAndBottom/>
                <wp:docPr id="47" name="Shape 47"/>
                <a:graphic xmlns:a="http://schemas.openxmlformats.org/drawingml/2006/main">
                  <a:graphicData uri="http://schemas.microsoft.com/office/word/2010/wordprocessingShape">
                    <wps:wsp>
                      <wps:cNvSpPr txBox="1"/>
                      <wps:spPr>
                        <a:xfrm>
                          <a:ext cx="591185" cy="17970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杭州</w:t>
                            </w:r>
                          </w:p>
                        </w:txbxContent>
                      </wps:txbx>
                      <wps:bodyPr wrap="none" lIns="0" tIns="0" rIns="0" bIns="0">
                        <a:noAutoFit/>
                      </wps:bodyPr>
                    </wps:wsp>
                  </a:graphicData>
                </a:graphic>
              </wp:anchor>
            </w:drawing>
          </mc:Choice>
          <mc:Fallback>
            <w:pict>
              <v:shape id="_x0000_s1073" type="#_x0000_t202" style="position:absolute;margin-left:126.85000000000001pt;margin-top:54.pt;width:46.550000000000004pt;height:14.15pt;z-index:-125829343;mso-wrap-distance-left:0;mso-wrap-distance-top:54.pt;mso-wrap-distance-right:0;mso-wrap-distance-bottom:26.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杭州</w:t>
                      </w:r>
                    </w:p>
                  </w:txbxContent>
                </v:textbox>
                <w10:wrap type="topAndBottom" anchorx="page"/>
              </v:shape>
            </w:pict>
          </mc:Fallback>
        </mc:AlternateContent>
      </w:r>
      <w:r>
        <mc:AlternateContent>
          <mc:Choice Requires="wps">
            <w:drawing>
              <wp:anchor distT="685800" distB="342265" distL="0" distR="0" simplePos="0" relativeHeight="125829412" behindDoc="0" locked="0" layoutInCell="1" allowOverlap="1">
                <wp:simplePos x="0" y="0"/>
                <wp:positionH relativeFrom="page">
                  <wp:posOffset>3655695</wp:posOffset>
                </wp:positionH>
                <wp:positionV relativeFrom="paragraph">
                  <wp:posOffset>685800</wp:posOffset>
                </wp:positionV>
                <wp:extent cx="1481455" cy="167640"/>
                <wp:wrapTopAndBottom/>
                <wp:docPr id="49" name="Shape 49"/>
                <a:graphic xmlns:a="http://schemas.openxmlformats.org/drawingml/2006/main">
                  <a:graphicData uri="http://schemas.microsoft.com/office/word/2010/wordprocessingShape">
                    <wps:wsp>
                      <wps:cNvSpPr txBox="1"/>
                      <wps:spPr>
                        <a:xfrm>
                          <a:ext cx="1481455" cy="16764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中国注册会计师：潘高峰</w:t>
                            </w:r>
                          </w:p>
                        </w:txbxContent>
                      </wps:txbx>
                      <wps:bodyPr wrap="none" lIns="0" tIns="0" rIns="0" bIns="0">
                        <a:noAutoFit/>
                      </wps:bodyPr>
                    </wps:wsp>
                  </a:graphicData>
                </a:graphic>
              </wp:anchor>
            </w:drawing>
          </mc:Choice>
          <mc:Fallback>
            <w:pict>
              <v:shape id="_x0000_s1075" type="#_x0000_t202" style="position:absolute;margin-left:287.85000000000002pt;margin-top:54.pt;width:116.65000000000001pt;height:13.200000000000001pt;z-index:-125829341;mso-wrap-distance-left:0;mso-wrap-distance-top:54.pt;mso-wrap-distance-right:0;mso-wrap-distance-bottom:26.949999999999999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中国注册会计师：潘高峰</w:t>
                      </w:r>
                    </w:p>
                  </w:txbxContent>
                </v:textbox>
                <w10:wrap type="topAndBottom" anchorx="page"/>
              </v:shape>
            </w:pict>
          </mc:Fallback>
        </mc:AlternateContent>
      </w:r>
    </w:p>
    <w:p>
      <w:pPr>
        <w:pStyle w:val="Style72"/>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报告日期：</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p>
      <w:pPr>
        <w:pStyle w:val="Style27"/>
        <w:keepNext/>
        <w:keepLines/>
        <w:widowControl w:val="0"/>
        <w:shd w:val="clear" w:color="auto" w:fill="auto"/>
        <w:bidi w:val="0"/>
        <w:spacing w:before="0" w:after="38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sz w:val="24"/>
          <w:szCs w:val="24"/>
        </w:rPr>
        <w:t>二</w:t>
      </w:r>
      <w:bookmarkEnd w:id="634"/>
      <w:r>
        <w:rPr>
          <w:color w:val="000000"/>
          <w:spacing w:val="0"/>
          <w:w w:val="100"/>
          <w:position w:val="0"/>
          <w:sz w:val="24"/>
          <w:szCs w:val="24"/>
        </w:rPr>
        <w:t>、财务报表</w:t>
      </w:r>
      <w:bookmarkEnd w:id="632"/>
      <w:bookmarkEnd w:id="633"/>
      <w:bookmarkEnd w:id="63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3"/>
        <w:keepNext/>
        <w:keepLines/>
        <w:widowControl w:val="0"/>
        <w:shd w:val="clear" w:color="auto" w:fill="auto"/>
        <w:bidi w:val="0"/>
        <w:spacing w:before="0" w:after="38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1</w:t>
      </w:r>
      <w:bookmarkEnd w:id="638"/>
      <w:r>
        <w:rPr>
          <w:color w:val="000000"/>
          <w:spacing w:val="0"/>
          <w:w w:val="100"/>
          <w:position w:val="0"/>
        </w:rPr>
        <w:t>、合并资产负债表</w:t>
      </w:r>
      <w:bookmarkEnd w:id="636"/>
      <w:bookmarkEnd w:id="637"/>
      <w:bookmarkEnd w:id="639"/>
    </w:p>
    <w:p>
      <w:pPr>
        <w:pStyle w:val="Style29"/>
        <w:keepNext w:val="0"/>
        <w:keepLines w:val="0"/>
        <w:widowControl w:val="0"/>
        <w:shd w:val="clear" w:color="auto" w:fill="auto"/>
        <w:bidi w:val="0"/>
        <w:spacing w:before="0" w:after="120" w:line="240" w:lineRule="auto"/>
        <w:ind w:left="0" w:right="0" w:firstLine="0"/>
        <w:jc w:val="left"/>
      </w:pPr>
      <w:r>
        <mc:AlternateContent>
          <mc:Choice Requires="wps">
            <w:drawing>
              <wp:anchor distT="0" distB="0" distL="0" distR="0" simplePos="0" relativeHeight="125829414" behindDoc="0" locked="0" layoutInCell="1" allowOverlap="1">
                <wp:simplePos x="0" y="0"/>
                <wp:positionH relativeFrom="page">
                  <wp:posOffset>6398895</wp:posOffset>
                </wp:positionH>
                <wp:positionV relativeFrom="paragraph">
                  <wp:posOffset>444500</wp:posOffset>
                </wp:positionV>
                <wp:extent cx="481330" cy="152400"/>
                <wp:wrapSquare wrapText="bothSides"/>
                <wp:docPr id="51" name="Shape 51"/>
                <a:graphic xmlns:a="http://schemas.openxmlformats.org/drawingml/2006/main">
                  <a:graphicData uri="http://schemas.microsoft.com/office/word/2010/wordprocessingShape">
                    <wps:wsp>
                      <wps:cNvSpPr txBox="1"/>
                      <wps:spPr>
                        <a:xfrm>
                          <a:ext cx="481330" cy="1524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77" type="#_x0000_t202" style="position:absolute;margin-left:503.85000000000002pt;margin-top:35.pt;width:37.899999999999999pt;height:12.pt;z-index:-125829339;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编制单位：高伟达软件股份有限公司</w:t>
      </w:r>
    </w:p>
    <w:tbl>
      <w:tblPr>
        <w:tblOverlap w:val="never"/>
        <w:jc w:val="left"/>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5"/>
              <w:keepNext w:val="0"/>
              <w:keepLines w:val="0"/>
              <w:framePr w:w="9581" w:h="7963" w:vSpace="658" w:wrap="notBeside" w:vAnchor="text" w:hAnchor="text" w:x="140" w:y="659"/>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framePr w:w="9581" w:h="7963" w:vSpace="658" w:wrap="notBeside" w:vAnchor="text" w:hAnchor="text" w:x="140" w:y="659"/>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framePr w:w="9581" w:h="7963" w:vSpace="658" w:wrap="notBeside" w:vAnchor="text" w:hAnchor="text" w:x="140" w:y="659"/>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5"/>
              <w:keepNext w:val="0"/>
              <w:keepLines w:val="0"/>
              <w:framePr w:w="9581" w:h="7963" w:vSpace="658" w:wrap="notBeside" w:vAnchor="text" w:hAnchor="text" w:x="140" w:y="659"/>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7963" w:vSpace="658" w:wrap="notBeside" w:vAnchor="text" w:hAnchor="text" w:x="140" w:y="659"/>
              <w:widowControl w:val="0"/>
              <w:rPr>
                <w:sz w:val="10"/>
                <w:szCs w:val="10"/>
              </w:rPr>
            </w:pPr>
          </w:p>
        </w:tc>
        <w:tc>
          <w:tcPr>
            <w:tcBorders>
              <w:top w:val="single" w:sz="4"/>
              <w:left w:val="single" w:sz="4"/>
              <w:right w:val="single" w:sz="4"/>
            </w:tcBorders>
            <w:shd w:val="clear" w:color="auto" w:fill="D3D3D3"/>
            <w:vAlign w:val="top"/>
          </w:tcPr>
          <w:p>
            <w:pPr>
              <w:framePr w:w="9581" w:h="7963" w:vSpace="658" w:wrap="notBeside" w:vAnchor="text" w:hAnchor="text" w:x="140" w:y="659"/>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framePr w:w="9581" w:h="7963" w:vSpace="658" w:wrap="notBeside" w:vAnchor="text" w:hAnchor="text" w:x="140" w:y="659"/>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5"/>
              <w:keepNext w:val="0"/>
              <w:keepLines w:val="0"/>
              <w:framePr w:w="9581" w:h="7963" w:vSpace="658" w:wrap="notBeside" w:vAnchor="text" w:hAnchor="text" w:x="140"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260,222,261.58</w:t>
            </w:r>
          </w:p>
        </w:tc>
        <w:tc>
          <w:tcPr>
            <w:tcBorders>
              <w:top w:val="single" w:sz="4"/>
              <w:left w:val="single" w:sz="4"/>
              <w:right w:val="single" w:sz="4"/>
            </w:tcBorders>
            <w:shd w:val="clear" w:color="auto" w:fill="FFFFFF"/>
            <w:vAlign w:val="center"/>
          </w:tcPr>
          <w:p>
            <w:pPr>
              <w:pStyle w:val="Style5"/>
              <w:keepNext w:val="0"/>
              <w:keepLines w:val="0"/>
              <w:framePr w:w="9581" w:h="7963" w:vSpace="658" w:wrap="notBeside" w:vAnchor="text" w:hAnchor="text" w:x="140"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411,329,772.48</w:t>
            </w:r>
          </w:p>
        </w:tc>
      </w:tr>
      <w:tr>
        <w:trPr>
          <w:trHeight w:val="403" w:hRule="exact"/>
        </w:trPr>
        <w:tc>
          <w:tcPr>
            <w:tcBorders>
              <w:top w:val="single" w:sz="4"/>
              <w:left w:val="single" w:sz="4"/>
            </w:tcBorders>
            <w:shd w:val="clear" w:color="auto" w:fill="D3D3D3"/>
            <w:vAlign w:val="center"/>
          </w:tcPr>
          <w:p>
            <w:pPr>
              <w:pStyle w:val="Style5"/>
              <w:keepNext w:val="0"/>
              <w:keepLines w:val="0"/>
              <w:framePr w:w="9581" w:h="7963" w:vSpace="658" w:wrap="notBeside" w:vAnchor="text" w:hAnchor="text" w:x="140" w:y="659"/>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1" w:h="7963" w:vSpace="658" w:wrap="notBeside" w:vAnchor="text" w:hAnchor="text" w:x="140" w:y="659"/>
              <w:widowControl w:val="0"/>
              <w:rPr>
                <w:sz w:val="10"/>
                <w:szCs w:val="10"/>
              </w:rPr>
            </w:pPr>
          </w:p>
        </w:tc>
        <w:tc>
          <w:tcPr>
            <w:tcBorders>
              <w:top w:val="single" w:sz="4"/>
              <w:left w:val="single" w:sz="4"/>
              <w:right w:val="single" w:sz="4"/>
            </w:tcBorders>
            <w:shd w:val="clear" w:color="auto" w:fill="FFFFFF"/>
            <w:vAlign w:val="top"/>
          </w:tcPr>
          <w:p>
            <w:pPr>
              <w:framePr w:w="9581" w:h="7963" w:vSpace="658" w:wrap="notBeside" w:vAnchor="text" w:hAnchor="text" w:x="140" w:y="659"/>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framePr w:w="9581" w:h="7963" w:vSpace="658" w:wrap="notBeside" w:vAnchor="text" w:hAnchor="text" w:x="140" w:y="659"/>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framePr w:w="9581" w:h="7963" w:vSpace="658" w:wrap="notBeside" w:vAnchor="text" w:hAnchor="text" w:x="140" w:y="659"/>
              <w:widowControl w:val="0"/>
              <w:rPr>
                <w:sz w:val="10"/>
                <w:szCs w:val="10"/>
              </w:rPr>
            </w:pPr>
          </w:p>
        </w:tc>
        <w:tc>
          <w:tcPr>
            <w:tcBorders>
              <w:top w:val="single" w:sz="4"/>
              <w:left w:val="single" w:sz="4"/>
              <w:right w:val="single" w:sz="4"/>
            </w:tcBorders>
            <w:shd w:val="clear" w:color="auto" w:fill="FFFFFF"/>
            <w:vAlign w:val="top"/>
          </w:tcPr>
          <w:p>
            <w:pPr>
              <w:framePr w:w="9581" w:h="7963" w:vSpace="658" w:wrap="notBeside" w:vAnchor="text" w:hAnchor="text" w:x="140" w:y="659"/>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framePr w:w="9581" w:h="7963" w:vSpace="658" w:wrap="notBeside" w:vAnchor="text" w:hAnchor="text" w:x="140" w:y="659"/>
              <w:widowControl w:val="0"/>
              <w:shd w:val="clear" w:color="auto" w:fill="auto"/>
              <w:bidi w:val="0"/>
              <w:spacing w:before="0" w:after="0" w:line="307" w:lineRule="exact"/>
              <w:ind w:left="0" w:right="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framePr w:w="9581" w:h="7963" w:vSpace="658" w:wrap="notBeside" w:vAnchor="text" w:hAnchor="text" w:x="140" w:y="659"/>
              <w:widowControl w:val="0"/>
              <w:rPr>
                <w:sz w:val="10"/>
                <w:szCs w:val="10"/>
              </w:rPr>
            </w:pPr>
          </w:p>
        </w:tc>
        <w:tc>
          <w:tcPr>
            <w:tcBorders>
              <w:top w:val="single" w:sz="4"/>
              <w:left w:val="single" w:sz="4"/>
              <w:right w:val="single" w:sz="4"/>
            </w:tcBorders>
            <w:shd w:val="clear" w:color="auto" w:fill="FFFFFF"/>
            <w:vAlign w:val="top"/>
          </w:tcPr>
          <w:p>
            <w:pPr>
              <w:framePr w:w="9581" w:h="7963" w:vSpace="658" w:wrap="notBeside" w:vAnchor="text" w:hAnchor="text" w:x="140" w:y="659"/>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framePr w:w="9581" w:h="7963" w:vSpace="658" w:wrap="notBeside" w:vAnchor="text" w:hAnchor="text" w:x="140" w:y="659"/>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7963" w:vSpace="658" w:wrap="notBeside" w:vAnchor="text" w:hAnchor="text" w:x="140" w:y="659"/>
              <w:widowControl w:val="0"/>
              <w:rPr>
                <w:sz w:val="10"/>
                <w:szCs w:val="10"/>
              </w:rPr>
            </w:pPr>
          </w:p>
        </w:tc>
        <w:tc>
          <w:tcPr>
            <w:tcBorders>
              <w:top w:val="single" w:sz="4"/>
              <w:left w:val="single" w:sz="4"/>
              <w:right w:val="single" w:sz="4"/>
            </w:tcBorders>
            <w:shd w:val="clear" w:color="auto" w:fill="FFFFFF"/>
            <w:vAlign w:val="top"/>
          </w:tcPr>
          <w:p>
            <w:pPr>
              <w:framePr w:w="9581" w:h="7963" w:vSpace="658" w:wrap="notBeside" w:vAnchor="text" w:hAnchor="text" w:x="140" w:y="659"/>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framePr w:w="9581" w:h="7963" w:vSpace="658" w:wrap="notBeside" w:vAnchor="text" w:hAnchor="text" w:x="140" w:y="659"/>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5"/>
              <w:keepNext w:val="0"/>
              <w:keepLines w:val="0"/>
              <w:framePr w:w="9581" w:h="7963" w:vSpace="658" w:wrap="notBeside" w:vAnchor="text" w:hAnchor="text" w:x="140"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5,246,973.74</w:t>
            </w:r>
          </w:p>
        </w:tc>
        <w:tc>
          <w:tcPr>
            <w:tcBorders>
              <w:top w:val="single" w:sz="4"/>
              <w:left w:val="single" w:sz="4"/>
              <w:right w:val="single" w:sz="4"/>
            </w:tcBorders>
            <w:shd w:val="clear" w:color="auto" w:fill="FFFFFF"/>
            <w:vAlign w:val="top"/>
          </w:tcPr>
          <w:p>
            <w:pPr>
              <w:framePr w:w="9581" w:h="7963" w:vSpace="658" w:wrap="notBeside" w:vAnchor="text" w:hAnchor="text" w:x="140" w:y="659"/>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framePr w:w="9581" w:h="7963" w:vSpace="658" w:wrap="notBeside" w:vAnchor="text" w:hAnchor="text" w:x="140" w:y="659"/>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framePr w:w="9581" w:h="7963" w:vSpace="658" w:wrap="notBeside" w:vAnchor="text" w:hAnchor="text" w:x="140"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391,703,500.73</w:t>
            </w:r>
          </w:p>
        </w:tc>
        <w:tc>
          <w:tcPr>
            <w:tcBorders>
              <w:top w:val="single" w:sz="4"/>
              <w:left w:val="single" w:sz="4"/>
              <w:right w:val="single" w:sz="4"/>
            </w:tcBorders>
            <w:shd w:val="clear" w:color="auto" w:fill="FFFFFF"/>
            <w:vAlign w:val="center"/>
          </w:tcPr>
          <w:p>
            <w:pPr>
              <w:pStyle w:val="Style5"/>
              <w:keepNext w:val="0"/>
              <w:keepLines w:val="0"/>
              <w:framePr w:w="9581" w:h="7963" w:vSpace="658" w:wrap="notBeside" w:vAnchor="text" w:hAnchor="text" w:x="140"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275,433,209.10</w:t>
            </w:r>
          </w:p>
        </w:tc>
      </w:tr>
      <w:tr>
        <w:trPr>
          <w:trHeight w:val="403" w:hRule="exact"/>
        </w:trPr>
        <w:tc>
          <w:tcPr>
            <w:tcBorders>
              <w:top w:val="single" w:sz="4"/>
              <w:left w:val="single" w:sz="4"/>
            </w:tcBorders>
            <w:shd w:val="clear" w:color="auto" w:fill="D3D3D3"/>
            <w:vAlign w:val="center"/>
          </w:tcPr>
          <w:p>
            <w:pPr>
              <w:pStyle w:val="Style5"/>
              <w:keepNext w:val="0"/>
              <w:keepLines w:val="0"/>
              <w:framePr w:w="9581" w:h="7963" w:vSpace="658" w:wrap="notBeside" w:vAnchor="text" w:hAnchor="text" w:x="140" w:y="659"/>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5"/>
              <w:keepNext w:val="0"/>
              <w:keepLines w:val="0"/>
              <w:framePr w:w="9581" w:h="7963" w:vSpace="658" w:wrap="notBeside" w:vAnchor="text" w:hAnchor="text" w:x="140"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4,279,787.04</w:t>
            </w:r>
          </w:p>
        </w:tc>
        <w:tc>
          <w:tcPr>
            <w:tcBorders>
              <w:top w:val="single" w:sz="4"/>
              <w:left w:val="single" w:sz="4"/>
              <w:right w:val="single" w:sz="4"/>
            </w:tcBorders>
            <w:shd w:val="clear" w:color="auto" w:fill="FFFFFF"/>
            <w:vAlign w:val="center"/>
          </w:tcPr>
          <w:p>
            <w:pPr>
              <w:pStyle w:val="Style5"/>
              <w:keepNext w:val="0"/>
              <w:keepLines w:val="0"/>
              <w:framePr w:w="9581" w:h="7963" w:vSpace="658" w:wrap="notBeside" w:vAnchor="text" w:hAnchor="text" w:x="140"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4,214,827.04</w:t>
            </w:r>
          </w:p>
        </w:tc>
      </w:tr>
      <w:tr>
        <w:trPr>
          <w:trHeight w:val="398" w:hRule="exact"/>
        </w:trPr>
        <w:tc>
          <w:tcPr>
            <w:tcBorders>
              <w:top w:val="single" w:sz="4"/>
              <w:left w:val="single" w:sz="4"/>
            </w:tcBorders>
            <w:shd w:val="clear" w:color="auto" w:fill="D3D3D3"/>
            <w:vAlign w:val="center"/>
          </w:tcPr>
          <w:p>
            <w:pPr>
              <w:pStyle w:val="Style5"/>
              <w:keepNext w:val="0"/>
              <w:keepLines w:val="0"/>
              <w:framePr w:w="9581" w:h="7963" w:vSpace="658" w:wrap="notBeside" w:vAnchor="text" w:hAnchor="text" w:x="140" w:y="659"/>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framePr w:w="9581" w:h="7963" w:vSpace="658" w:wrap="notBeside" w:vAnchor="text" w:hAnchor="text" w:x="140" w:y="659"/>
              <w:widowControl w:val="0"/>
              <w:rPr>
                <w:sz w:val="10"/>
                <w:szCs w:val="10"/>
              </w:rPr>
            </w:pPr>
          </w:p>
        </w:tc>
        <w:tc>
          <w:tcPr>
            <w:tcBorders>
              <w:top w:val="single" w:sz="4"/>
              <w:left w:val="single" w:sz="4"/>
              <w:right w:val="single" w:sz="4"/>
            </w:tcBorders>
            <w:shd w:val="clear" w:color="auto" w:fill="FFFFFF"/>
            <w:vAlign w:val="top"/>
          </w:tcPr>
          <w:p>
            <w:pPr>
              <w:framePr w:w="9581" w:h="7963" w:vSpace="658" w:wrap="notBeside" w:vAnchor="text" w:hAnchor="text" w:x="140" w:y="659"/>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framePr w:w="9581" w:h="7963" w:vSpace="658" w:wrap="notBeside" w:vAnchor="text" w:hAnchor="text" w:x="140" w:y="659"/>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1" w:h="7963" w:vSpace="658" w:wrap="notBeside" w:vAnchor="text" w:hAnchor="text" w:x="140" w:y="659"/>
              <w:widowControl w:val="0"/>
              <w:rPr>
                <w:sz w:val="10"/>
                <w:szCs w:val="10"/>
              </w:rPr>
            </w:pPr>
          </w:p>
        </w:tc>
        <w:tc>
          <w:tcPr>
            <w:tcBorders>
              <w:top w:val="single" w:sz="4"/>
              <w:left w:val="single" w:sz="4"/>
              <w:right w:val="single" w:sz="4"/>
            </w:tcBorders>
            <w:shd w:val="clear" w:color="auto" w:fill="FFFFFF"/>
            <w:vAlign w:val="top"/>
          </w:tcPr>
          <w:p>
            <w:pPr>
              <w:framePr w:w="9581" w:h="7963" w:vSpace="658" w:wrap="notBeside" w:vAnchor="text" w:hAnchor="text" w:x="140" w:y="659"/>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framePr w:w="9581" w:h="7963" w:vSpace="658" w:wrap="notBeside" w:vAnchor="text" w:hAnchor="text" w:x="140" w:y="659"/>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1" w:h="7963" w:vSpace="658" w:wrap="notBeside" w:vAnchor="text" w:hAnchor="text" w:x="140" w:y="659"/>
              <w:widowControl w:val="0"/>
              <w:rPr>
                <w:sz w:val="10"/>
                <w:szCs w:val="10"/>
              </w:rPr>
            </w:pPr>
          </w:p>
        </w:tc>
        <w:tc>
          <w:tcPr>
            <w:tcBorders>
              <w:top w:val="single" w:sz="4"/>
              <w:left w:val="single" w:sz="4"/>
              <w:right w:val="single" w:sz="4"/>
            </w:tcBorders>
            <w:shd w:val="clear" w:color="auto" w:fill="FFFFFF"/>
            <w:vAlign w:val="top"/>
          </w:tcPr>
          <w:p>
            <w:pPr>
              <w:framePr w:w="9581" w:h="7963" w:vSpace="658" w:wrap="notBeside" w:vAnchor="text" w:hAnchor="text" w:x="140" w:y="659"/>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framePr w:w="9581" w:h="7963" w:vSpace="658" w:wrap="notBeside" w:vAnchor="text" w:hAnchor="text" w:x="140" w:y="659"/>
              <w:widowControl w:val="0"/>
              <w:shd w:val="clear" w:color="auto" w:fill="auto"/>
              <w:bidi w:val="0"/>
              <w:spacing w:before="0" w:after="0" w:line="240" w:lineRule="auto"/>
              <w:ind w:left="0" w:right="0"/>
              <w:jc w:val="left"/>
            </w:pPr>
            <w:r>
              <w:rPr>
                <w:color w:val="000000"/>
                <w:spacing w:val="0"/>
                <w:w w:val="100"/>
                <w:position w:val="0"/>
              </w:rPr>
              <w:t>应收利息</w:t>
            </w:r>
          </w:p>
        </w:tc>
        <w:tc>
          <w:tcPr>
            <w:tcBorders>
              <w:top w:val="single" w:sz="4"/>
              <w:left w:val="single" w:sz="4"/>
            </w:tcBorders>
            <w:shd w:val="clear" w:color="auto" w:fill="FFFFFF"/>
            <w:vAlign w:val="top"/>
          </w:tcPr>
          <w:p>
            <w:pPr>
              <w:framePr w:w="9581" w:h="7963" w:vSpace="658" w:wrap="notBeside" w:vAnchor="text" w:hAnchor="text" w:x="140" w:y="659"/>
              <w:widowControl w:val="0"/>
              <w:rPr>
                <w:sz w:val="10"/>
                <w:szCs w:val="10"/>
              </w:rPr>
            </w:pPr>
          </w:p>
        </w:tc>
        <w:tc>
          <w:tcPr>
            <w:tcBorders>
              <w:top w:val="single" w:sz="4"/>
              <w:left w:val="single" w:sz="4"/>
              <w:right w:val="single" w:sz="4"/>
            </w:tcBorders>
            <w:shd w:val="clear" w:color="auto" w:fill="FFFFFF"/>
            <w:vAlign w:val="top"/>
          </w:tcPr>
          <w:p>
            <w:pPr>
              <w:framePr w:w="9581" w:h="7963" w:vSpace="658" w:wrap="notBeside" w:vAnchor="text" w:hAnchor="text" w:x="140" w:y="659"/>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framePr w:w="9581" w:h="7963" w:vSpace="658" w:wrap="notBeside" w:vAnchor="text" w:hAnchor="text" w:x="140" w:y="659"/>
              <w:widowControl w:val="0"/>
              <w:shd w:val="clear" w:color="auto" w:fill="auto"/>
              <w:bidi w:val="0"/>
              <w:spacing w:before="0" w:after="0" w:line="240" w:lineRule="auto"/>
              <w:ind w:left="0" w:right="0"/>
              <w:jc w:val="left"/>
            </w:pPr>
            <w:r>
              <w:rPr>
                <w:color w:val="000000"/>
                <w:spacing w:val="0"/>
                <w:w w:val="100"/>
                <w:position w:val="0"/>
              </w:rPr>
              <w:t>应收股利</w:t>
            </w:r>
          </w:p>
        </w:tc>
        <w:tc>
          <w:tcPr>
            <w:tcBorders>
              <w:top w:val="single" w:sz="4"/>
              <w:left w:val="single" w:sz="4"/>
            </w:tcBorders>
            <w:shd w:val="clear" w:color="auto" w:fill="FFFFFF"/>
            <w:vAlign w:val="top"/>
          </w:tcPr>
          <w:p>
            <w:pPr>
              <w:framePr w:w="9581" w:h="7963" w:vSpace="658" w:wrap="notBeside" w:vAnchor="text" w:hAnchor="text" w:x="140" w:y="659"/>
              <w:widowControl w:val="0"/>
              <w:rPr>
                <w:sz w:val="10"/>
                <w:szCs w:val="10"/>
              </w:rPr>
            </w:pPr>
          </w:p>
        </w:tc>
        <w:tc>
          <w:tcPr>
            <w:tcBorders>
              <w:top w:val="single" w:sz="4"/>
              <w:left w:val="single" w:sz="4"/>
              <w:right w:val="single" w:sz="4"/>
            </w:tcBorders>
            <w:shd w:val="clear" w:color="auto" w:fill="FFFFFF"/>
            <w:vAlign w:val="top"/>
          </w:tcPr>
          <w:p>
            <w:pPr>
              <w:framePr w:w="9581" w:h="7963" w:vSpace="658" w:wrap="notBeside" w:vAnchor="text" w:hAnchor="text" w:x="140" w:y="659"/>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framePr w:w="9581" w:h="7963" w:vSpace="658" w:wrap="notBeside" w:vAnchor="text" w:hAnchor="text" w:x="140" w:y="659"/>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framePr w:w="9581" w:h="7963" w:vSpace="658" w:wrap="notBeside" w:vAnchor="text" w:hAnchor="text" w:x="140"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6,610,539.38</w:t>
            </w:r>
          </w:p>
        </w:tc>
        <w:tc>
          <w:tcPr>
            <w:tcBorders>
              <w:top w:val="single" w:sz="4"/>
              <w:left w:val="single" w:sz="4"/>
              <w:right w:val="single" w:sz="4"/>
            </w:tcBorders>
            <w:shd w:val="clear" w:color="auto" w:fill="FFFFFF"/>
            <w:vAlign w:val="center"/>
          </w:tcPr>
          <w:p>
            <w:pPr>
              <w:pStyle w:val="Style5"/>
              <w:keepNext w:val="0"/>
              <w:keepLines w:val="0"/>
              <w:framePr w:w="9581" w:h="7963" w:vSpace="658" w:wrap="notBeside" w:vAnchor="text" w:hAnchor="text" w:x="140"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5,267,862.49</w:t>
            </w:r>
          </w:p>
        </w:tc>
      </w:tr>
      <w:tr>
        <w:trPr>
          <w:trHeight w:val="403" w:hRule="exact"/>
        </w:trPr>
        <w:tc>
          <w:tcPr>
            <w:tcBorders>
              <w:top w:val="single" w:sz="4"/>
              <w:left w:val="single" w:sz="4"/>
            </w:tcBorders>
            <w:shd w:val="clear" w:color="auto" w:fill="D3D3D3"/>
            <w:vAlign w:val="center"/>
          </w:tcPr>
          <w:p>
            <w:pPr>
              <w:pStyle w:val="Style5"/>
              <w:keepNext w:val="0"/>
              <w:keepLines w:val="0"/>
              <w:framePr w:w="9581" w:h="7963" w:vSpace="658" w:wrap="notBeside" w:vAnchor="text" w:hAnchor="text" w:x="140" w:y="659"/>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framePr w:w="9581" w:h="7963" w:vSpace="658" w:wrap="notBeside" w:vAnchor="text" w:hAnchor="text" w:x="140" w:y="659"/>
              <w:widowControl w:val="0"/>
              <w:rPr>
                <w:sz w:val="10"/>
                <w:szCs w:val="10"/>
              </w:rPr>
            </w:pPr>
          </w:p>
        </w:tc>
        <w:tc>
          <w:tcPr>
            <w:tcBorders>
              <w:top w:val="single" w:sz="4"/>
              <w:left w:val="single" w:sz="4"/>
              <w:right w:val="single" w:sz="4"/>
            </w:tcBorders>
            <w:shd w:val="clear" w:color="auto" w:fill="FFFFFF"/>
            <w:vAlign w:val="top"/>
          </w:tcPr>
          <w:p>
            <w:pPr>
              <w:framePr w:w="9581" w:h="7963" w:vSpace="658" w:wrap="notBeside" w:vAnchor="text" w:hAnchor="text" w:x="140" w:y="659"/>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framePr w:w="9581" w:h="7963" w:vSpace="658" w:wrap="notBeside" w:vAnchor="text" w:hAnchor="text" w:x="140" w:y="659"/>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5"/>
              <w:keepNext w:val="0"/>
              <w:keepLines w:val="0"/>
              <w:framePr w:w="9581" w:h="7963" w:vSpace="658" w:wrap="notBeside" w:vAnchor="text" w:hAnchor="text" w:x="140"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50,557,122.69</w:t>
            </w:r>
          </w:p>
        </w:tc>
        <w:tc>
          <w:tcPr>
            <w:tcBorders>
              <w:top w:val="single" w:sz="4"/>
              <w:left w:val="single" w:sz="4"/>
              <w:right w:val="single" w:sz="4"/>
            </w:tcBorders>
            <w:shd w:val="clear" w:color="auto" w:fill="FFFFFF"/>
            <w:vAlign w:val="center"/>
          </w:tcPr>
          <w:p>
            <w:pPr>
              <w:pStyle w:val="Style5"/>
              <w:keepNext w:val="0"/>
              <w:keepLines w:val="0"/>
              <w:framePr w:w="9581" w:h="7963" w:vSpace="658" w:wrap="notBeside" w:vAnchor="text" w:hAnchor="text" w:x="140"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19,618,448.61</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framePr w:w="9581" w:h="7963" w:vSpace="658" w:wrap="notBeside" w:vAnchor="text" w:hAnchor="text" w:x="140" w:y="659"/>
              <w:widowControl w:val="0"/>
              <w:shd w:val="clear" w:color="auto" w:fill="auto"/>
              <w:bidi w:val="0"/>
              <w:spacing w:before="0" w:after="0" w:line="240" w:lineRule="auto"/>
              <w:ind w:left="0" w:right="0"/>
              <w:jc w:val="left"/>
            </w:pPr>
            <w:r>
              <w:rPr>
                <w:color w:val="000000"/>
                <w:spacing w:val="0"/>
                <w:w w:val="100"/>
                <w:position w:val="0"/>
              </w:rPr>
              <w:t>划分为持有待售的资产</w:t>
            </w:r>
          </w:p>
        </w:tc>
        <w:tc>
          <w:tcPr>
            <w:tcBorders>
              <w:top w:val="single" w:sz="4"/>
              <w:left w:val="single" w:sz="4"/>
              <w:bottom w:val="single" w:sz="4"/>
            </w:tcBorders>
            <w:shd w:val="clear" w:color="auto" w:fill="FFFFFF"/>
            <w:vAlign w:val="top"/>
          </w:tcPr>
          <w:p>
            <w:pPr>
              <w:framePr w:w="9581" w:h="7963" w:vSpace="658" w:wrap="notBeside" w:vAnchor="text" w:hAnchor="text" w:x="140" w:y="659"/>
              <w:widowControl w:val="0"/>
              <w:rPr>
                <w:sz w:val="10"/>
                <w:szCs w:val="10"/>
              </w:rPr>
            </w:pPr>
          </w:p>
        </w:tc>
        <w:tc>
          <w:tcPr>
            <w:tcBorders>
              <w:top w:val="single" w:sz="4"/>
              <w:left w:val="single" w:sz="4"/>
              <w:bottom w:val="single" w:sz="4"/>
              <w:right w:val="single" w:sz="4"/>
            </w:tcBorders>
            <w:shd w:val="clear" w:color="auto" w:fill="FFFFFF"/>
            <w:vAlign w:val="top"/>
          </w:tcPr>
          <w:p>
            <w:pPr>
              <w:framePr w:w="9581" w:h="7963" w:vSpace="658" w:wrap="notBeside" w:vAnchor="text" w:hAnchor="text" w:x="140" w:y="659"/>
              <w:widowControl w:val="0"/>
              <w:rPr>
                <w:sz w:val="10"/>
                <w:szCs w:val="10"/>
              </w:rPr>
            </w:pPr>
          </w:p>
        </w:tc>
      </w:tr>
    </w:tbl>
    <w:p>
      <w:pPr>
        <w:pStyle w:val="Style51"/>
        <w:keepNext w:val="0"/>
        <w:keepLines w:val="0"/>
        <w:framePr w:w="1531" w:h="235" w:hSpace="139" w:wrap="notBeside" w:vAnchor="text" w:hAnchor="text" w:x="4196"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130,757,082.94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849,377,268.10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715,864,119.72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69,500,000.00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19,500,000.00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118,275,007.57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55,806,509.33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53,262,756.10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6,411,890.33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13,680,362.70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14,278,954.58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586,285,565.17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4,445,113.89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1,219,731.41</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4,850,010.31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3,634,882.41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850,298,815.74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150,851,968.06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1,699,676,083.84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866,716,087.78</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73,400,000.00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100,932,516.68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40,895,634.32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29,539,150.09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28,524,600.09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37,915,920.37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7,469,995.07</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11,338,021.49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22,633,739.94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6,978.13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157,878,599.95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2,106,008.50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8,403,664.46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419,488,451.17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121,629,977.92</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32,526,000.00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201,575,635.17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2,176,601.25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236,278,236.42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655,766,687.59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121,629,977.92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452,976,657.00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133,340,000.00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375,387,243.57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355,146,053.05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58,195,840.00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238,941.33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22,936,757.78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22,838,357.75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250,565,636.57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233,761,699.06</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1,043,909,396.25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745,086,109.86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1,043,909,396.25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745,086,109.86</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1,699,676,083.84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866,716,087.78</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59705" simplePos="0" relativeHeight="125829416" behindDoc="0" locked="0" layoutInCell="1" allowOverlap="1">
                <wp:simplePos x="0" y="0"/>
                <wp:positionH relativeFrom="page">
                  <wp:posOffset>706755</wp:posOffset>
                </wp:positionH>
                <wp:positionV relativeFrom="margin">
                  <wp:posOffset>3322320</wp:posOffset>
                </wp:positionV>
                <wp:extent cx="938530" cy="149225"/>
                <wp:wrapTopAndBottom/>
                <wp:docPr id="53" name="Shape 53"/>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法定代表人：于伟</w:t>
                            </w:r>
                          </w:p>
                        </w:txbxContent>
                      </wps:txbx>
                      <wps:bodyPr wrap="none" lIns="0" tIns="0" rIns="0" bIns="0">
                        <a:noAutoFit/>
                      </wps:bodyPr>
                    </wps:wsp>
                  </a:graphicData>
                </a:graphic>
              </wp:anchor>
            </w:drawing>
          </mc:Choice>
          <mc:Fallback>
            <w:pict>
              <v:shape id="_x0000_s1079" type="#_x0000_t202" style="position:absolute;margin-left:55.649999999999999pt;margin-top:261.60000000000002pt;width:73.900000000000006pt;height:11.75pt;z-index:-125829337;mso-wrap-distance-left:9.pt;mso-wrap-distance-top:12.pt;mso-wrap-distance-right:414.15000000000003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法定代表人：于伟</w:t>
                      </w:r>
                    </w:p>
                  </w:txbxContent>
                </v:textbox>
                <w10:wrap type="topAndBottom" anchorx="page" anchory="margin"/>
              </v:shape>
            </w:pict>
          </mc:Fallback>
        </mc:AlternateContent>
      </w:r>
      <w:r>
        <mc:AlternateContent>
          <mc:Choice Requires="wps">
            <w:drawing>
              <wp:anchor distT="152400" distB="3175" distL="2290445" distR="2628900" simplePos="0" relativeHeight="125829418" behindDoc="0" locked="0" layoutInCell="1" allowOverlap="1">
                <wp:simplePos x="0" y="0"/>
                <wp:positionH relativeFrom="page">
                  <wp:posOffset>2882900</wp:posOffset>
                </wp:positionH>
                <wp:positionV relativeFrom="margin">
                  <wp:posOffset>3322320</wp:posOffset>
                </wp:positionV>
                <wp:extent cx="1393190" cy="146050"/>
                <wp:wrapTopAndBottom/>
                <wp:docPr id="55" name="Shape 55"/>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主管会计工作负责人：高源</w:t>
                            </w:r>
                          </w:p>
                        </w:txbxContent>
                      </wps:txbx>
                      <wps:bodyPr wrap="none" lIns="0" tIns="0" rIns="0" bIns="0">
                        <a:noAutoFit/>
                      </wps:bodyPr>
                    </wps:wsp>
                  </a:graphicData>
                </a:graphic>
              </wp:anchor>
            </w:drawing>
          </mc:Choice>
          <mc:Fallback>
            <w:pict>
              <v:shape id="_x0000_s1081" type="#_x0000_t202" style="position:absolute;margin-left:227.pt;margin-top:261.60000000000002pt;width:109.7pt;height:11.5pt;z-index:-125829335;mso-wrap-distance-left:180.34999999999999pt;mso-wrap-distance-top:12.pt;mso-wrap-distance-right:207.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主管会计工作负责人：高源</w:t>
                      </w:r>
                    </w:p>
                  </w:txbxContent>
                </v:textbox>
                <w10:wrap type="topAndBottom" anchorx="page" anchory="margin"/>
              </v:shape>
            </w:pict>
          </mc:Fallback>
        </mc:AlternateContent>
      </w:r>
      <w:r>
        <mc:AlternateContent>
          <mc:Choice Requires="wps">
            <w:drawing>
              <wp:anchor distT="152400" distB="0" distL="4911725" distR="114300" simplePos="0" relativeHeight="125829420" behindDoc="0" locked="0" layoutInCell="1" allowOverlap="1">
                <wp:simplePos x="0" y="0"/>
                <wp:positionH relativeFrom="page">
                  <wp:posOffset>5504180</wp:posOffset>
                </wp:positionH>
                <wp:positionV relativeFrom="margin">
                  <wp:posOffset>3322320</wp:posOffset>
                </wp:positionV>
                <wp:extent cx="1286510" cy="149225"/>
                <wp:wrapTopAndBottom/>
                <wp:docPr id="57" name="Shape 5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会计机构负责人：贾银肖</w:t>
                            </w:r>
                          </w:p>
                        </w:txbxContent>
                      </wps:txbx>
                      <wps:bodyPr wrap="none" lIns="0" tIns="0" rIns="0" bIns="0">
                        <a:noAutoFit/>
                      </wps:bodyPr>
                    </wps:wsp>
                  </a:graphicData>
                </a:graphic>
              </wp:anchor>
            </w:drawing>
          </mc:Choice>
          <mc:Fallback>
            <w:pict>
              <v:shape id="_x0000_s1083" type="#_x0000_t202" style="position:absolute;margin-left:433.40000000000003pt;margin-top:261.60000000000002pt;width:101.3pt;height:11.75pt;z-index:-125829333;mso-wrap-distance-left:386.75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会计机构负责人：贾银肖</w:t>
                      </w:r>
                    </w:p>
                  </w:txbxContent>
                </v:textbox>
                <w10:wrap type="topAndBottom" anchorx="page" anchory="margin"/>
              </v:shape>
            </w:pict>
          </mc:Fallback>
        </mc:AlternateContent>
      </w: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2</w:t>
      </w:r>
      <w:bookmarkEnd w:id="642"/>
      <w:r>
        <w:rPr>
          <w:color w:val="000000"/>
          <w:spacing w:val="0"/>
          <w:w w:val="100"/>
          <w:position w:val="0"/>
        </w:rPr>
        <w:t>、母公司资产负债表</w:t>
      </w:r>
      <w:bookmarkEnd w:id="640"/>
      <w:bookmarkEnd w:id="641"/>
      <w:bookmarkEnd w:id="64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194,140,365.62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407,610,841.93</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5,246,973.74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273,400,459.16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260,127,715.66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750,022.15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4,082,778.73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4,557,650.04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4,631,256.08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42,487,509.82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16,989,837.47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126,841,436.78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647,424,417.31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693,442,429.87</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69,500,000.00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679,895,408.70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29,500,000.00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116,715,385.28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54,676,942.32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39,140,190.76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7,236,646.70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13,680,362.70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14,278,954.58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3,790,985.55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426,940.84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4,633,749.99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3,529,682.15</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927,356,082.98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159,649,166.59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1,574,780,500.29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853,091,596.46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56,400,000.00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74,298,455.40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35,730,745.28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25,073,949.92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25,457,538.33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23,031,903.23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5,952,291.43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5,770,587.43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19,909,838.18</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170,187,504.62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43,339,374.42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6,682,287.91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361,518,288.51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150,389,787.64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32,526,000.00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201,575,635.17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234,101,635.17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595,619,923.68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150,389,787.64</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452,976,657.00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133,340,000.00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375,331,753.20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355,090,562.68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58,195,840.00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21,992,248.15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21,893,848.12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187,055,758.26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192,377,398.02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979,160,576.61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702,701,808.82</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1,574,780,500.29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853,091,596.46</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3</w:t>
      </w:r>
      <w:bookmarkEnd w:id="646"/>
      <w:r>
        <w:rPr>
          <w:color w:val="000000"/>
          <w:spacing w:val="0"/>
          <w:w w:val="100"/>
          <w:position w:val="0"/>
        </w:rPr>
        <w:t>、合并利润表</w:t>
      </w:r>
      <w:bookmarkEnd w:id="644"/>
      <w:bookmarkEnd w:id="645"/>
      <w:bookmarkEnd w:id="64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972,683,347.16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938,623,959.01</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972,683,347.16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938,623,959.01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950,970,832.93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893,234,067.85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737,747,140.41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712,197,972.00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4,530,910.35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1,534,629.80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101,876,529.82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82,332,899.18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105,644,938.18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89,780,376.08</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-1,679,590.78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1,584,209.67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2,850,904.95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5,803,981.12</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78" w:lineRule="exact"/>
              <w:ind w:left="0" w:right="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21,712,514.23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45,389,891.16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813,630.01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1,877,138.63</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130,801.27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70,793.20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1,247,881.03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610,555.49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47,881.03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130,555.49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21,278,263.21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46,656,474.30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-1,831,314.33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5,427,534.84</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23,109,577.54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41,228,939.46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23,109,577.54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41,228,939.46</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少数股东损益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238,941.33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238,941.33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9"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238,941.33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36"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238,941.33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23,348,518.87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41,228,939.46</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23,348,518.87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41,228,939.46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0.1079</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0.0539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0.1079</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29"/>
        <w:keepNext w:val="0"/>
        <w:keepLines w:val="0"/>
        <w:widowControl w:val="0"/>
        <w:shd w:val="clear" w:color="auto" w:fill="auto"/>
        <w:tabs>
          <w:tab w:pos="3422" w:val="left"/>
          <w:tab w:pos="7536" w:val="left"/>
        </w:tabs>
        <w:bidi w:val="0"/>
        <w:spacing w:before="0" w:after="380" w:line="240" w:lineRule="auto"/>
        <w:ind w:left="0" w:right="0" w:firstLine="0"/>
        <w:jc w:val="left"/>
      </w:pPr>
      <w:r>
        <w:rPr>
          <w:color w:val="000000"/>
          <w:spacing w:val="0"/>
          <w:w w:val="100"/>
          <w:position w:val="0"/>
        </w:rPr>
        <w:t>法定代表人：于伟</w:t>
        <w:tab/>
        <w:t>主管会计工作负责人：高源</w:t>
        <w:tab/>
        <w:t>会计机构负责人：贾银肖</w:t>
      </w:r>
    </w:p>
    <w:p>
      <w:pPr>
        <w:pStyle w:val="Style33"/>
        <w:keepNext/>
        <w:keepLines/>
        <w:widowControl w:val="0"/>
        <w:shd w:val="clear" w:color="auto" w:fill="auto"/>
        <w:bidi w:val="0"/>
        <w:spacing w:before="0" w:after="38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4</w:t>
      </w:r>
      <w:bookmarkEnd w:id="650"/>
      <w:r>
        <w:rPr>
          <w:color w:val="000000"/>
          <w:spacing w:val="0"/>
          <w:w w:val="100"/>
          <w:position w:val="0"/>
        </w:rPr>
        <w:t>、母公司利润表</w:t>
      </w:r>
      <w:bookmarkEnd w:id="648"/>
      <w:bookmarkEnd w:id="649"/>
      <w:bookmarkEnd w:id="651"/>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784,186,689.75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797,308,908.66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606,231,313.98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602,811,715.41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3,691,157.84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1,060,729.60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85,409,284.68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70,596,419.22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89,220,851.37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78,445,142.56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-1,885,055.52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1,581,160.40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2,182,627.14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5,877,069.74</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78" w:lineRule="exact"/>
              <w:ind w:left="0" w:right="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-663,489.74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36,936,671.73</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513,630.01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1,661,402.53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130,801.27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5,057.10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1,246,785.35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608,502.62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46,785.35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128,502.62</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-1,396,645.08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37,989,571.64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-2,380,645.35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4,121,639.56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984,000.27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33,867,932.08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984,000.27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33,867,932.08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5</w:t>
      </w:r>
      <w:bookmarkEnd w:id="654"/>
      <w:r>
        <w:rPr>
          <w:color w:val="000000"/>
          <w:spacing w:val="0"/>
          <w:w w:val="100"/>
          <w:position w:val="0"/>
        </w:rPr>
        <w:t>、合并现金流量表</w:t>
      </w:r>
      <w:bookmarkEnd w:id="652"/>
      <w:bookmarkEnd w:id="653"/>
      <w:bookmarkEnd w:id="65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1,022,327,211.30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968,652,701.64</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230,927.30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377,618.83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25,352,869.90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21,395,600.74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1,047,911,008.50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990,425,921.21</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526,090,569.44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537,945,148.15</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客户贷款及垫款净增加额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363,281,971.68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334,275,002.97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27,071,828.62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26,794,533.14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78,536,413.18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60,732,390.75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994,980,782.92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959,747,075.01</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52,930,225.58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30,678,846.20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113,299.04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203,186.93</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113,299.04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203,186.93</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108,577,593.94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30,892,945.61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69,500,000.00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132,951,193.39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310,528,787.33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100,392,945.61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-310,415,488.29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-100,189,758.68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103,149,350.65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336,441,642.00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88,926,000.00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192,075,350.65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418,441,642.00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196,700,000.00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7,121,005.42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4,230,682.37</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4,199,267.79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31,320,273.21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200,930,682.37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160,755,077.44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217,510,959.63</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183,172.35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-96,547,012.92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148,000,051.34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404,957,311.42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256,957,260.08</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308,410,298.50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404,957,311.42</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6</w:t>
      </w:r>
      <w:bookmarkEnd w:id="658"/>
      <w:r>
        <w:rPr>
          <w:color w:val="000000"/>
          <w:spacing w:val="0"/>
          <w:w w:val="100"/>
          <w:position w:val="0"/>
        </w:rPr>
        <w:t>、母公司现金流量表</w:t>
      </w:r>
      <w:bookmarkEnd w:id="656"/>
      <w:bookmarkEnd w:id="657"/>
      <w:bookmarkEnd w:id="65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835,925,522.86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809,896,721.72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230,927.30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377,618.83</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42,420,314.05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153,931,174.06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878,576,764.21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964,205,514.61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451,494,383.89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451,889,394.06</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283,532,458.93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277,991,996.20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20,311,624.78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20,434,562.01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117,079,050.84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182,894,253.56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872,417,518.44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933,210,205.83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6,159,245.77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30,995,308.78</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113,299.04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113,299.04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66,200.00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108,451,973.88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29,847,400.31</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151,070,000.00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69,500,000.00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328,521,973.88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99,347,400.31</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-328,408,674.84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-99,281,200.31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103,149,350.65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336,441,642.00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88,926,000.00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192,075,350.65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418,441,642.00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196,700,000.00</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7,067,717.92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4,230,682.37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1,850,585.35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28,918,303.27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200,930,682.37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163,157,047.38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217,510,959.63</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-159,092,378.33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149,225,072.29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401,420,780.87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252,195,708.58</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242,328,402.54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401,420,780.87</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7</w:t>
      </w:r>
      <w:bookmarkEnd w:id="662"/>
      <w:r>
        <w:rPr>
          <w:color w:val="000000"/>
          <w:spacing w:val="0"/>
          <w:w w:val="100"/>
          <w:position w:val="0"/>
        </w:rPr>
        <w:t>、合并所有者权益变动表</w:t>
      </w:r>
      <w:bookmarkEnd w:id="660"/>
      <w:bookmarkEnd w:id="661"/>
      <w:bookmarkEnd w:id="663"/>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6797"/>
        <w:gridCol w:w="677"/>
        <w:gridCol w:w="672"/>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权益合</w:t>
            </w:r>
          </w:p>
          <w:p>
            <w:pPr>
              <w:pStyle w:val="Style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133,34</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5"/>
              <w:keepNext w:val="0"/>
              <w:keepLines w:val="0"/>
              <w:widowControl w:val="0"/>
              <w:shd w:val="clear" w:color="auto" w:fill="auto"/>
              <w:bidi w:val="0"/>
              <w:spacing w:before="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355,146</w:t>
            </w:r>
          </w:p>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22,838,</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233,761</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745,086</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,109.86</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同一控</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133,34</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5"/>
              <w:keepNext w:val="0"/>
              <w:keepLines w:val="0"/>
              <w:widowControl w:val="0"/>
              <w:shd w:val="clear" w:color="auto" w:fill="auto"/>
              <w:bidi w:val="0"/>
              <w:spacing w:before="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355,146</w:t>
            </w:r>
          </w:p>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22,838,</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233,761</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745,086</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,109.86</w:t>
            </w:r>
          </w:p>
        </w:tc>
      </w:tr>
      <w:tr>
        <w:trPr>
          <w:trHeight w:val="10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319,63</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6,657.</w:t>
            </w:r>
          </w:p>
          <w:p>
            <w:pPr>
              <w:pStyle w:val="Style5"/>
              <w:keepNext w:val="0"/>
              <w:keepLines w:val="0"/>
              <w:widowControl w:val="0"/>
              <w:shd w:val="clear" w:color="auto" w:fill="auto"/>
              <w:bidi w:val="0"/>
              <w:spacing w:before="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20,241,</w:t>
            </w:r>
          </w:p>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190.52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58,195,</w:t>
            </w:r>
          </w:p>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238,941</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16,803,</w:t>
            </w:r>
          </w:p>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298,823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,286.39</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238,941</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23,109,</w:t>
            </w:r>
          </w:p>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23,348,</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518.87</w:t>
            </w: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22,768</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,657.0</w:t>
            </w:r>
          </w:p>
          <w:p>
            <w:pPr>
              <w:pStyle w:val="Style5"/>
              <w:keepNext w:val="0"/>
              <w:keepLines w:val="0"/>
              <w:widowControl w:val="0"/>
              <w:shd w:val="clear" w:color="auto" w:fill="auto"/>
              <w:bidi w:val="0"/>
              <w:spacing w:before="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317,109</w:t>
            </w:r>
          </w:p>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58,195,</w:t>
            </w:r>
          </w:p>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281,682</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,007.52</w:t>
            </w: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22,768</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,657.0</w:t>
            </w:r>
          </w:p>
          <w:p>
            <w:pPr>
              <w:pStyle w:val="Style5"/>
              <w:keepNext w:val="0"/>
              <w:keepLines w:val="0"/>
              <w:widowControl w:val="0"/>
              <w:shd w:val="clear" w:color="auto" w:fill="auto"/>
              <w:bidi w:val="0"/>
              <w:spacing w:before="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317,109</w:t>
            </w:r>
          </w:p>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335,898</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,747.52</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3,979,1</w:t>
            </w:r>
          </w:p>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58,195,</w:t>
            </w:r>
          </w:p>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-54,216,</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-6,305,6</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-6,207,2</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-98,400.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-6,207,2</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-6,207,2</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296,86</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p>
            <w:pPr>
              <w:pStyle w:val="Style5"/>
              <w:keepNext w:val="0"/>
              <w:keepLines w:val="0"/>
              <w:widowControl w:val="0"/>
              <w:shd w:val="clear" w:color="auto" w:fill="auto"/>
              <w:bidi w:val="0"/>
              <w:spacing w:before="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-296,86</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296,86</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p>
            <w:pPr>
              <w:pStyle w:val="Style5"/>
              <w:keepNext w:val="0"/>
              <w:keepLines w:val="0"/>
              <w:widowControl w:val="0"/>
              <w:shd w:val="clear" w:color="auto" w:fill="auto"/>
              <w:bidi w:val="0"/>
              <w:spacing w:before="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-296,86</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452,97</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6,657.</w:t>
            </w:r>
          </w:p>
          <w:p>
            <w:pPr>
              <w:pStyle w:val="Style5"/>
              <w:keepNext w:val="0"/>
              <w:keepLines w:val="0"/>
              <w:widowControl w:val="0"/>
              <w:shd w:val="clear" w:color="auto" w:fill="auto"/>
              <w:bidi w:val="0"/>
              <w:spacing w:before="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375,387</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,243.57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58,195,</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238,941</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22,936,</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250,565</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1,043,9</w:t>
            </w:r>
          </w:p>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09,396.</w:t>
            </w:r>
          </w:p>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line="240" w:lineRule="auto"/>
              <w:ind w:left="0" w:right="0" w:firstLine="0"/>
              <w:jc w:val="center"/>
            </w:pPr>
            <w:r>
              <w:rPr>
                <w:color w:val="000000"/>
                <w:spacing w:val="0"/>
                <w:w w:val="100"/>
                <w:position w:val="0"/>
              </w:rPr>
              <w:t>所有者</w:t>
            </w:r>
          </w:p>
          <w:p>
            <w:pPr>
              <w:pStyle w:val="Style5"/>
              <w:keepNext w:val="0"/>
              <w:keepLines w:val="0"/>
              <w:widowControl w:val="0"/>
              <w:shd w:val="clear" w:color="auto" w:fill="auto"/>
              <w:bidi w:val="0"/>
              <w:spacing w:before="0" w:line="240" w:lineRule="auto"/>
              <w:ind w:left="0" w:right="0" w:firstLine="0"/>
              <w:jc w:val="center"/>
            </w:pPr>
            <w:r>
              <w:rPr>
                <w:color w:val="000000"/>
                <w:spacing w:val="0"/>
                <w:w w:val="100"/>
                <w:position w:val="0"/>
              </w:rPr>
              <w:t>权益合</w:t>
            </w:r>
          </w:p>
          <w:p>
            <w:pPr>
              <w:pStyle w:val="Style5"/>
              <w:keepNext w:val="0"/>
              <w:keepLines w:val="0"/>
              <w:widowControl w:val="0"/>
              <w:shd w:val="clear" w:color="auto" w:fill="auto"/>
              <w:bidi w:val="0"/>
              <w:spacing w:before="0" w:line="240" w:lineRule="auto"/>
              <w:ind w:left="0" w:right="0" w:firstLine="0"/>
              <w:jc w:val="center"/>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40,044,</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19,451,</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195,919</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355,415</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line="240" w:lineRule="auto"/>
              <w:ind w:left="0" w:right="0" w:firstLine="740"/>
              <w:jc w:val="left"/>
            </w:pPr>
            <w:r>
              <w:rPr>
                <w:color w:val="000000"/>
                <w:spacing w:val="0"/>
                <w:w w:val="100"/>
                <w:position w:val="0"/>
              </w:rPr>
              <w:t>同一控</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40,044,</w:t>
            </w:r>
          </w:p>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19,451,</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195,919</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355,415</w:t>
            </w:r>
          </w:p>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,528.40</w:t>
            </w: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9"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33,340</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5"/>
              <w:keepNext w:val="0"/>
              <w:keepLines w:val="0"/>
              <w:widowControl w:val="0"/>
              <w:shd w:val="clear" w:color="auto" w:fill="auto"/>
              <w:bidi w:val="0"/>
              <w:spacing w:before="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315,101</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3,386,7</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37,842,</w:t>
            </w:r>
          </w:p>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389,670</w:t>
            </w:r>
          </w:p>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,581.46</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41,228,</w:t>
            </w:r>
          </w:p>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41,228,</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939.46</w:t>
            </w: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33,340</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5"/>
              <w:keepNext w:val="0"/>
              <w:keepLines w:val="0"/>
              <w:widowControl w:val="0"/>
              <w:shd w:val="clear" w:color="auto" w:fill="auto"/>
              <w:bidi w:val="0"/>
              <w:spacing w:before="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315,101</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348,441</w:t>
            </w:r>
          </w:p>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,642.00</w:t>
            </w:r>
          </w:p>
        </w:tc>
      </w:tr>
      <w:tr>
        <w:trPr>
          <w:trHeight w:val="10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33,340</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5"/>
              <w:keepNext w:val="0"/>
              <w:keepLines w:val="0"/>
              <w:widowControl w:val="0"/>
              <w:shd w:val="clear" w:color="auto" w:fill="auto"/>
              <w:bidi w:val="0"/>
              <w:spacing w:before="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303,101</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336,441</w:t>
            </w:r>
          </w:p>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,642.00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w:t>
            </w:r>
          </w:p>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3,386,7</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-3,386,7</w:t>
            </w:r>
          </w:p>
          <w:p>
            <w:pPr>
              <w:pStyle w:val="Style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3,386,7</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-3,386,7</w:t>
            </w:r>
          </w:p>
          <w:p>
            <w:pPr>
              <w:pStyle w:val="Style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133,34</w:t>
            </w:r>
          </w:p>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5"/>
              <w:keepNext w:val="0"/>
              <w:keepLines w:val="0"/>
              <w:widowControl w:val="0"/>
              <w:shd w:val="clear" w:color="auto" w:fill="auto"/>
              <w:bidi w:val="0"/>
              <w:spacing w:before="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355,146</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22,838,</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233,761</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745,086</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,109.86</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8</w:t>
      </w:r>
      <w:bookmarkEnd w:id="666"/>
      <w:r>
        <w:rPr>
          <w:color w:val="000000"/>
          <w:spacing w:val="0"/>
          <w:w w:val="100"/>
          <w:position w:val="0"/>
        </w:rPr>
        <w:t>、母公司所有者权益变动表</w:t>
      </w:r>
      <w:bookmarkEnd w:id="664"/>
      <w:bookmarkEnd w:id="665"/>
      <w:bookmarkEnd w:id="667"/>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line="240" w:lineRule="auto"/>
              <w:ind w:left="0" w:right="0" w:firstLine="0"/>
              <w:jc w:val="right"/>
            </w:pPr>
            <w:r>
              <w:rPr>
                <w:color w:val="000000"/>
                <w:spacing w:val="0"/>
                <w:w w:val="100"/>
                <w:position w:val="0"/>
              </w:rPr>
              <w:t>减：库存</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133,340,</w:t>
            </w:r>
          </w:p>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355,090,5</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21,893,84</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192,377</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,398.02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702,701,8</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08.82</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133,340,</w:t>
            </w:r>
          </w:p>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355,090,5</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21,893,84</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192,377</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,398.02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702,701,8</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08.82</w:t>
            </w: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9"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319,636,</w:t>
            </w:r>
          </w:p>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20,241,19</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58,195,84</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98,400.03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-5,321,6</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276,458,7</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67.79</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984,000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984,000.2</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22,768,6</w:t>
            </w:r>
          </w:p>
          <w:p>
            <w:pPr>
              <w:pStyle w:val="Style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317,109,1</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58,195,84</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281,682,0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07.52</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22,768,6</w:t>
            </w:r>
          </w:p>
          <w:p>
            <w:pPr>
              <w:pStyle w:val="Style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313,130,0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335,898,7</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47.52</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3,979,100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58,195,84</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-54,216,7</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98,400.03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-6,305,6</w:t>
            </w:r>
          </w:p>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40.03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-6,207,24</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98,400.03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-98,400.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-6,207,2</w:t>
            </w:r>
          </w:p>
          <w:p>
            <w:pPr>
              <w:pStyle w:val="Style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-6,207,24</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296,868,</w:t>
            </w:r>
          </w:p>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-296,868,</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296,868,</w:t>
            </w:r>
          </w:p>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-296,868,</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452,976,</w:t>
            </w:r>
          </w:p>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375,331,7</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58,195,84</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21,992,24</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187,055</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,758.26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979,160,5</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76.61</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减：库存</w:t>
            </w:r>
          </w:p>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39,988,92</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18,507,05</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161,896</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,259.15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320,392,2</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39,988,92</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18,507,05</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161,896</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,259.15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320,392,2</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33,340,0</w:t>
            </w:r>
          </w:p>
          <w:p>
            <w:pPr>
              <w:pStyle w:val="Style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315,101,6</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3,386,793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30,481,</w:t>
            </w:r>
          </w:p>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138.87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382,309,5</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74.08</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33,867,</w:t>
            </w:r>
          </w:p>
          <w:p>
            <w:pPr>
              <w:pStyle w:val="Style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932.08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33,867,93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33,340,0</w:t>
            </w:r>
          </w:p>
          <w:p>
            <w:pPr>
              <w:pStyle w:val="Style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315,101,6</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348,441,6</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33,340,0</w:t>
            </w:r>
          </w:p>
          <w:p>
            <w:pPr>
              <w:pStyle w:val="Style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303,101,6</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336,441,6</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3,386,793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-3,386,7</w:t>
            </w:r>
          </w:p>
          <w:p>
            <w:pPr>
              <w:pStyle w:val="Style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93.21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3,386,793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-3,386,7</w:t>
            </w:r>
          </w:p>
          <w:p>
            <w:pPr>
              <w:pStyle w:val="Style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93.21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133,340,</w:t>
            </w:r>
          </w:p>
          <w:p>
            <w:pPr>
              <w:pStyle w:val="Style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355,090,5</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21,893,84</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192,377</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,398.02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702,701,8</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08.82</w:t>
            </w:r>
          </w:p>
        </w:tc>
      </w:tr>
    </w:tbl>
    <w:p>
      <w:pPr>
        <w:pStyle w:val="Style27"/>
        <w:keepNext/>
        <w:keepLines/>
        <w:widowControl w:val="0"/>
        <w:shd w:val="clear" w:color="auto" w:fill="auto"/>
        <w:bidi w:val="0"/>
        <w:spacing w:before="0" w:after="300" w:line="240" w:lineRule="auto"/>
        <w:ind w:left="0" w:right="0" w:firstLine="0"/>
        <w:jc w:val="both"/>
      </w:pPr>
      <w:bookmarkStart w:id="668" w:name="bookmark668"/>
      <w:bookmarkStart w:id="669" w:name="bookmark669"/>
      <w:bookmarkStart w:id="670" w:name="bookmark670"/>
      <w:bookmarkStart w:id="671" w:name="bookmark671"/>
      <w:r>
        <w:rPr>
          <w:color w:val="000000"/>
          <w:spacing w:val="0"/>
          <w:w w:val="100"/>
          <w:position w:val="0"/>
          <w:sz w:val="24"/>
          <w:szCs w:val="24"/>
        </w:rPr>
        <w:t>三</w:t>
      </w:r>
      <w:bookmarkEnd w:id="670"/>
      <w:r>
        <w:rPr>
          <w:color w:val="000000"/>
          <w:spacing w:val="0"/>
          <w:w w:val="100"/>
          <w:position w:val="0"/>
          <w:sz w:val="24"/>
          <w:szCs w:val="24"/>
        </w:rPr>
        <w:t>、公司基本情况</w:t>
      </w:r>
      <w:bookmarkEnd w:id="668"/>
      <w:bookmarkEnd w:id="669"/>
      <w:bookmarkEnd w:id="671"/>
    </w:p>
    <w:p>
      <w:pPr>
        <w:pStyle w:val="Style7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以下简称公司或本公司</w:t>
      </w:r>
      <w:r>
        <w:rPr>
          <w:color w:val="000000"/>
          <w:spacing w:val="0"/>
          <w:w w:val="100"/>
          <w:position w:val="0"/>
        </w:rPr>
        <w:t>）</w:t>
      </w:r>
      <w:r>
        <w:rPr>
          <w:color w:val="000000"/>
          <w:spacing w:val="0"/>
          <w:w w:val="100"/>
          <w:position w:val="0"/>
        </w:rPr>
        <w:t>系于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r>
        <w:rPr>
          <w:color w:val="000000"/>
          <w:spacing w:val="0"/>
          <w:w w:val="100"/>
          <w:position w:val="0"/>
        </w:rPr>
        <w:t>，</w:t>
      </w:r>
      <w:r>
        <w:rPr>
          <w:color w:val="000000"/>
          <w:spacing w:val="0"/>
          <w:w w:val="100"/>
          <w:position w:val="0"/>
        </w:rPr>
        <w:t>经北京高伟达系统集成有限公 司股东会决议</w:t>
      </w:r>
      <w:r>
        <w:rPr>
          <w:color w:val="000000"/>
          <w:spacing w:val="0"/>
          <w:w w:val="100"/>
          <w:position w:val="0"/>
        </w:rPr>
        <w:t>，</w:t>
      </w:r>
      <w:r>
        <w:rPr>
          <w:color w:val="000000"/>
          <w:spacing w:val="0"/>
          <w:w w:val="100"/>
          <w:position w:val="0"/>
        </w:rPr>
        <w:t>由北京高伟达系统集成有限公司整体变更设立的股份有限公司。并于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日在北京 市工商行政管理局登记注册，取得注册号为</w:t>
      </w:r>
      <w:r>
        <w:rPr>
          <w:rFonts w:ascii="Times New Roman" w:eastAsia="Times New Roman" w:hAnsi="Times New Roman" w:cs="Times New Roman"/>
          <w:color w:val="000000"/>
          <w:spacing w:val="0"/>
          <w:w w:val="100"/>
          <w:position w:val="0"/>
        </w:rPr>
        <w:t>110000410182828</w:t>
      </w:r>
      <w:r>
        <w:rPr>
          <w:color w:val="000000"/>
          <w:spacing w:val="0"/>
          <w:w w:val="100"/>
          <w:position w:val="0"/>
        </w:rPr>
        <w:t>的《企业法人营业执照》。股份公司成立时 注册资本为人民币</w:t>
      </w:r>
      <w:r>
        <w:rPr>
          <w:rFonts w:ascii="Times New Roman" w:eastAsia="Times New Roman" w:hAnsi="Times New Roman" w:cs="Times New Roman"/>
          <w:color w:val="000000"/>
          <w:spacing w:val="0"/>
          <w:w w:val="100"/>
          <w:position w:val="0"/>
        </w:rPr>
        <w:t>10,000.00</w:t>
      </w:r>
      <w:r>
        <w:rPr>
          <w:color w:val="000000"/>
          <w:spacing w:val="0"/>
          <w:w w:val="100"/>
          <w:position w:val="0"/>
        </w:rPr>
        <w:t>万元，折股份总数</w:t>
      </w:r>
      <w:r>
        <w:rPr>
          <w:rFonts w:ascii="Times New Roman" w:eastAsia="Times New Roman" w:hAnsi="Times New Roman" w:cs="Times New Roman"/>
          <w:color w:val="000000"/>
          <w:spacing w:val="0"/>
          <w:w w:val="100"/>
          <w:position w:val="0"/>
        </w:rPr>
        <w:t>10,000</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日，经中国证券 监督管理委员会《关于核准高伟达软件股份有限公司首次公开发行股票的批复》（证监许可</w:t>
      </w:r>
      <w:r>
        <w:rPr>
          <w:rFonts w:ascii="Times New Roman" w:eastAsia="Times New Roman" w:hAnsi="Times New Roman" w:cs="Times New Roman"/>
          <w:color w:val="000000"/>
          <w:spacing w:val="0"/>
          <w:w w:val="100"/>
          <w:position w:val="0"/>
        </w:rPr>
        <w:t>[2015]833</w:t>
      </w:r>
      <w:r>
        <w:rPr>
          <w:color w:val="000000"/>
          <w:spacing w:val="0"/>
          <w:w w:val="100"/>
          <w:position w:val="0"/>
        </w:rPr>
        <w:t>号） 核准，本公司公开发行人民币普通股股票</w:t>
      </w:r>
      <w:r>
        <w:rPr>
          <w:rFonts w:ascii="Times New Roman" w:eastAsia="Times New Roman" w:hAnsi="Times New Roman" w:cs="Times New Roman"/>
          <w:color w:val="000000"/>
          <w:spacing w:val="0"/>
          <w:w w:val="100"/>
          <w:position w:val="0"/>
        </w:rPr>
        <w:t>33,340,000</w:t>
      </w:r>
      <w:r>
        <w:rPr>
          <w:color w:val="000000"/>
          <w:spacing w:val="0"/>
          <w:w w:val="100"/>
          <w:position w:val="0"/>
        </w:rPr>
        <w:t>股，公开发行后股份总额为</w:t>
      </w:r>
      <w:r>
        <w:rPr>
          <w:rFonts w:ascii="Times New Roman" w:eastAsia="Times New Roman" w:hAnsi="Times New Roman" w:cs="Times New Roman"/>
          <w:color w:val="000000"/>
          <w:spacing w:val="0"/>
          <w:w w:val="100"/>
          <w:position w:val="0"/>
        </w:rPr>
        <w:t>133,340,000</w:t>
      </w:r>
      <w:r>
        <w:rPr>
          <w:color w:val="000000"/>
          <w:spacing w:val="0"/>
          <w:w w:val="100"/>
          <w:position w:val="0"/>
        </w:rPr>
        <w:t>股。公司股票 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日在深圳证券交易所挂牌交易。公司现有注册资本为人民币</w:t>
      </w:r>
      <w:r>
        <w:rPr>
          <w:rFonts w:ascii="Times New Roman" w:eastAsia="Times New Roman" w:hAnsi="Times New Roman" w:cs="Times New Roman"/>
          <w:color w:val="000000"/>
          <w:spacing w:val="0"/>
          <w:w w:val="100"/>
          <w:position w:val="0"/>
        </w:rPr>
        <w:t>431,808,000.00</w:t>
      </w:r>
      <w:r>
        <w:rPr>
          <w:color w:val="000000"/>
          <w:spacing w:val="0"/>
          <w:w w:val="100"/>
          <w:position w:val="0"/>
        </w:rPr>
        <w:t xml:space="preserve">元，总股本为 </w:t>
      </w:r>
      <w:r>
        <w:rPr>
          <w:rFonts w:ascii="Times New Roman" w:eastAsia="Times New Roman" w:hAnsi="Times New Roman" w:cs="Times New Roman"/>
          <w:color w:val="000000"/>
          <w:spacing w:val="0"/>
          <w:w w:val="100"/>
          <w:position w:val="0"/>
        </w:rPr>
        <w:t>452,976,657</w:t>
      </w:r>
      <w:r>
        <w:rPr>
          <w:color w:val="000000"/>
          <w:spacing w:val="0"/>
          <w:w w:val="100"/>
          <w:position w:val="0"/>
        </w:rPr>
        <w:t>股，每股面值人民币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元。其中：有限售条件的流通股份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197,280,657</w:t>
      </w:r>
      <w:r>
        <w:rPr>
          <w:color w:val="000000"/>
          <w:spacing w:val="0"/>
          <w:w w:val="100"/>
          <w:position w:val="0"/>
        </w:rPr>
        <w:t>股；无限售条件的 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255,696,000</w:t>
      </w:r>
      <w:r>
        <w:rPr>
          <w:color w:val="000000"/>
          <w:spacing w:val="0"/>
          <w:w w:val="100"/>
          <w:position w:val="0"/>
        </w:rPr>
        <w:t>股。</w:t>
      </w:r>
    </w:p>
    <w:p>
      <w:pPr>
        <w:pStyle w:val="Style7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公司注册地：北京市海淀区大慧寺</w:t>
      </w:r>
      <w:r>
        <w:rPr>
          <w:rFonts w:ascii="Times New Roman" w:eastAsia="Times New Roman" w:hAnsi="Times New Roman" w:cs="Times New Roman"/>
          <w:color w:val="000000"/>
          <w:spacing w:val="0"/>
          <w:w w:val="100"/>
          <w:position w:val="0"/>
        </w:rPr>
        <w:t>8</w:t>
      </w:r>
      <w:r>
        <w:rPr>
          <w:color w:val="000000"/>
          <w:spacing w:val="0"/>
          <w:w w:val="100"/>
          <w:position w:val="0"/>
        </w:rPr>
        <w:t>号北区</w:t>
      </w:r>
      <w:r>
        <w:rPr>
          <w:rFonts w:ascii="Times New Roman" w:eastAsia="Times New Roman" w:hAnsi="Times New Roman" w:cs="Times New Roman"/>
          <w:color w:val="000000"/>
          <w:spacing w:val="0"/>
          <w:w w:val="100"/>
          <w:position w:val="0"/>
        </w:rPr>
        <w:t>20</w:t>
      </w:r>
      <w:r>
        <w:rPr>
          <w:color w:val="000000"/>
          <w:spacing w:val="0"/>
          <w:w w:val="100"/>
          <w:position w:val="0"/>
        </w:rPr>
        <w:t>栋</w:t>
      </w:r>
      <w:r>
        <w:rPr>
          <w:rFonts w:ascii="Times New Roman" w:eastAsia="Times New Roman" w:hAnsi="Times New Roman" w:cs="Times New Roman"/>
          <w:color w:val="000000"/>
          <w:spacing w:val="0"/>
          <w:w w:val="100"/>
          <w:position w:val="0"/>
        </w:rPr>
        <w:t>604</w:t>
      </w:r>
      <w:r>
        <w:rPr>
          <w:color w:val="000000"/>
          <w:spacing w:val="0"/>
          <w:w w:val="100"/>
          <w:position w:val="0"/>
        </w:rPr>
        <w:t xml:space="preserve">房间。法定代表人：于伟。统一社会信用代码： </w:t>
      </w:r>
      <w:r>
        <w:rPr>
          <w:rFonts w:ascii="Times New Roman" w:eastAsia="Times New Roman" w:hAnsi="Times New Roman" w:cs="Times New Roman"/>
          <w:color w:val="000000"/>
          <w:spacing w:val="0"/>
          <w:w w:val="100"/>
          <w:position w:val="0"/>
        </w:rPr>
        <w:t>91110000633713369X</w:t>
      </w:r>
      <w:r>
        <w:rPr>
          <w:color w:val="000000"/>
          <w:spacing w:val="0"/>
          <w:w w:val="100"/>
          <w:position w:val="0"/>
        </w:rPr>
        <w:t>。</w:t>
      </w:r>
    </w:p>
    <w:p>
      <w:pPr>
        <w:pStyle w:val="Style7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年第一次临时股东大会审议通过的《关于</w:t>
      </w:r>
      <w:r>
        <w:rPr>
          <w:rFonts w:ascii="SimHei" w:eastAsia="SimHei" w:hAnsi="SimHei" w:cs="SimHei"/>
          <w:color w:val="000000"/>
          <w:spacing w:val="0"/>
          <w:w w:val="100"/>
          <w:position w:val="0"/>
        </w:rPr>
        <w:t>〈</w:t>
      </w:r>
      <w:r>
        <w:rPr>
          <w:color w:val="000000"/>
          <w:spacing w:val="0"/>
          <w:w w:val="100"/>
          <w:position w:val="0"/>
        </w:rPr>
        <w:t>高伟达软件股份有限 公司限制性股票激励计划（草案修订稿）</w:t>
      </w:r>
      <w:r>
        <w:rPr>
          <w:rFonts w:ascii="Times New Roman" w:eastAsia="Times New Roman" w:hAnsi="Times New Roman" w:cs="Times New Roman"/>
          <w:color w:val="000000"/>
          <w:spacing w:val="0"/>
          <w:w w:val="100"/>
          <w:position w:val="0"/>
        </w:rPr>
        <w:t>＞</w:t>
      </w:r>
      <w:r>
        <w:rPr>
          <w:color w:val="000000"/>
          <w:spacing w:val="0"/>
          <w:w w:val="100"/>
          <w:position w:val="0"/>
        </w:rPr>
        <w:t>及其摘要的议案》，本公司定向增发股份</w:t>
      </w:r>
      <w:r>
        <w:rPr>
          <w:rFonts w:ascii="Times New Roman" w:eastAsia="Times New Roman" w:hAnsi="Times New Roman" w:cs="Times New Roman"/>
          <w:color w:val="000000"/>
          <w:spacing w:val="0"/>
          <w:w w:val="100"/>
          <w:position w:val="0"/>
        </w:rPr>
        <w:t>1,600,000</w:t>
      </w:r>
      <w:r>
        <w:rPr>
          <w:color w:val="000000"/>
          <w:spacing w:val="0"/>
          <w:w w:val="100"/>
          <w:position w:val="0"/>
        </w:rPr>
        <w:t>股，由</w:t>
      </w:r>
      <w:r>
        <w:rPr>
          <w:rFonts w:ascii="Times New Roman" w:eastAsia="Times New Roman" w:hAnsi="Times New Roman" w:cs="Times New Roman"/>
          <w:color w:val="000000"/>
          <w:spacing w:val="0"/>
          <w:w w:val="100"/>
          <w:position w:val="0"/>
        </w:rPr>
        <w:t>100</w:t>
      </w:r>
      <w:r>
        <w:rPr>
          <w:color w:val="000000"/>
          <w:spacing w:val="0"/>
          <w:w w:val="100"/>
          <w:position w:val="0"/>
        </w:rPr>
        <w:t>名 核心管理、业务与技术人员以货币资金认购，每股认购价格</w:t>
      </w:r>
      <w:r>
        <w:rPr>
          <w:rFonts w:ascii="Times New Roman" w:eastAsia="Times New Roman" w:hAnsi="Times New Roman" w:cs="Times New Roman"/>
          <w:color w:val="000000"/>
          <w:spacing w:val="0"/>
          <w:w w:val="100"/>
          <w:position w:val="0"/>
        </w:rPr>
        <w:t>20.89</w:t>
      </w:r>
      <w:r>
        <w:rPr>
          <w:color w:val="000000"/>
          <w:spacing w:val="0"/>
          <w:w w:val="100"/>
          <w:position w:val="0"/>
        </w:rPr>
        <w:t>元。</w:t>
      </w:r>
    </w:p>
    <w:p>
      <w:pPr>
        <w:pStyle w:val="Style7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日，本公司已收到授予股权激励股份的</w:t>
      </w:r>
      <w:r>
        <w:rPr>
          <w:rFonts w:ascii="Times New Roman" w:eastAsia="Times New Roman" w:hAnsi="Times New Roman" w:cs="Times New Roman"/>
          <w:color w:val="000000"/>
          <w:spacing w:val="0"/>
          <w:w w:val="100"/>
          <w:position w:val="0"/>
        </w:rPr>
        <w:t>100</w:t>
      </w:r>
      <w:r>
        <w:rPr>
          <w:color w:val="000000"/>
          <w:spacing w:val="0"/>
          <w:w w:val="100"/>
          <w:position w:val="0"/>
        </w:rPr>
        <w:t xml:space="preserve">名人员缴纳的股份认购款合计人民币 </w:t>
      </w:r>
      <w:r>
        <w:rPr>
          <w:rFonts w:ascii="Times New Roman" w:eastAsia="Times New Roman" w:hAnsi="Times New Roman" w:cs="Times New Roman"/>
          <w:color w:val="000000"/>
          <w:spacing w:val="0"/>
          <w:w w:val="100"/>
          <w:position w:val="0"/>
        </w:rPr>
        <w:t>33,424,000.00</w:t>
      </w:r>
      <w:r>
        <w:rPr>
          <w:color w:val="000000"/>
          <w:spacing w:val="0"/>
          <w:w w:val="100"/>
          <w:position w:val="0"/>
        </w:rPr>
        <w:t>元，业经信永中和会计师事务所（特殊普通合伙）审验并出具</w:t>
      </w:r>
      <w:r>
        <w:rPr>
          <w:rFonts w:ascii="Times New Roman" w:eastAsia="Times New Roman" w:hAnsi="Times New Roman" w:cs="Times New Roman"/>
          <w:color w:val="000000"/>
          <w:spacing w:val="0"/>
          <w:w w:val="100"/>
          <w:position w:val="0"/>
        </w:rPr>
        <w:t>XYZH/2016BJA80009</w:t>
      </w:r>
      <w:r>
        <w:rPr>
          <w:color w:val="000000"/>
          <w:spacing w:val="0"/>
          <w:w w:val="100"/>
          <w:position w:val="0"/>
        </w:rPr>
        <w:t>号验资报 告。公司本次授予股权激励对象的</w:t>
      </w:r>
      <w:r>
        <w:rPr>
          <w:rFonts w:ascii="Times New Roman" w:eastAsia="Times New Roman" w:hAnsi="Times New Roman" w:cs="Times New Roman"/>
          <w:color w:val="000000"/>
          <w:spacing w:val="0"/>
          <w:w w:val="100"/>
          <w:position w:val="0"/>
        </w:rPr>
        <w:t>160</w:t>
      </w:r>
      <w:r>
        <w:rPr>
          <w:color w:val="000000"/>
          <w:spacing w:val="0"/>
          <w:w w:val="100"/>
          <w:position w:val="0"/>
        </w:rPr>
        <w:t>万股限制性股票已于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日上市，本公司总股本变更为 </w:t>
      </w:r>
      <w:r>
        <w:rPr>
          <w:rFonts w:ascii="Times New Roman" w:eastAsia="Times New Roman" w:hAnsi="Times New Roman" w:cs="Times New Roman"/>
          <w:color w:val="000000"/>
          <w:spacing w:val="0"/>
          <w:w w:val="100"/>
          <w:position w:val="0"/>
        </w:rPr>
        <w:t>134,940,000</w:t>
      </w:r>
      <w:r>
        <w:rPr>
          <w:color w:val="000000"/>
          <w:spacing w:val="0"/>
          <w:w w:val="100"/>
          <w:position w:val="0"/>
        </w:rPr>
        <w:t>股。</w:t>
      </w:r>
    </w:p>
    <w:p>
      <w:pPr>
        <w:pStyle w:val="Style7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年第三次临时股东大会决议，本公司以</w:t>
      </w:r>
      <w:r>
        <w:rPr>
          <w:rFonts w:ascii="Times New Roman" w:eastAsia="Times New Roman" w:hAnsi="Times New Roman" w:cs="Times New Roman"/>
          <w:color w:val="000000"/>
          <w:spacing w:val="0"/>
          <w:w w:val="100"/>
          <w:position w:val="0"/>
        </w:rPr>
        <w:t>134,940,000</w:t>
      </w:r>
      <w:r>
        <w:rPr>
          <w:color w:val="000000"/>
          <w:spacing w:val="0"/>
          <w:w w:val="100"/>
          <w:position w:val="0"/>
        </w:rPr>
        <w:t>股为基数进行资本 公积金转增股本，向全体股东每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22</w:t>
      </w:r>
      <w:r>
        <w:rPr>
          <w:color w:val="000000"/>
          <w:spacing w:val="0"/>
          <w:w w:val="100"/>
          <w:position w:val="0"/>
        </w:rPr>
        <w:t>股，共计转增</w:t>
      </w:r>
      <w:r>
        <w:rPr>
          <w:rFonts w:ascii="Times New Roman" w:eastAsia="Times New Roman" w:hAnsi="Times New Roman" w:cs="Times New Roman"/>
          <w:color w:val="000000"/>
          <w:spacing w:val="0"/>
          <w:w w:val="100"/>
          <w:position w:val="0"/>
        </w:rPr>
        <w:t>296,868,000</w:t>
      </w:r>
      <w:r>
        <w:rPr>
          <w:color w:val="000000"/>
          <w:spacing w:val="0"/>
          <w:w w:val="100"/>
          <w:position w:val="0"/>
        </w:rPr>
        <w:t xml:space="preserve">股，转增后公司总股本增加至 </w:t>
      </w:r>
      <w:r>
        <w:rPr>
          <w:rFonts w:ascii="Times New Roman" w:eastAsia="Times New Roman" w:hAnsi="Times New Roman" w:cs="Times New Roman"/>
          <w:color w:val="000000"/>
          <w:spacing w:val="0"/>
          <w:w w:val="100"/>
          <w:position w:val="0"/>
        </w:rPr>
        <w:t>431,808,000</w:t>
      </w:r>
      <w:r>
        <w:rPr>
          <w:color w:val="000000"/>
          <w:spacing w:val="0"/>
          <w:w w:val="100"/>
          <w:position w:val="0"/>
        </w:rPr>
        <w:t>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月，本公司</w:t>
      </w:r>
      <w:r>
        <w:rPr>
          <w:rFonts w:ascii="Times New Roman" w:eastAsia="Times New Roman" w:hAnsi="Times New Roman" w:cs="Times New Roman"/>
          <w:color w:val="000000"/>
          <w:spacing w:val="0"/>
          <w:w w:val="100"/>
          <w:position w:val="0"/>
        </w:rPr>
        <w:t>2016</w:t>
      </w:r>
      <w:r>
        <w:rPr>
          <w:color w:val="000000"/>
          <w:spacing w:val="0"/>
          <w:w w:val="100"/>
          <w:position w:val="0"/>
        </w:rPr>
        <w:t>年半年度利润分配实施完成。</w:t>
      </w:r>
    </w:p>
    <w:p>
      <w:pPr>
        <w:pStyle w:val="Style7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日第四届临时股东大会审议通过《关于</w:t>
      </w:r>
      <w:r>
        <w:rPr>
          <w:rFonts w:ascii="SimHei" w:eastAsia="SimHei" w:hAnsi="SimHei" w:cs="SimHei"/>
          <w:color w:val="000000"/>
          <w:spacing w:val="0"/>
          <w:w w:val="100"/>
          <w:position w:val="0"/>
        </w:rPr>
        <w:t>〈</w:t>
      </w: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 股票激励计划（草案</w:t>
      </w:r>
      <w:r>
        <w:rPr>
          <w:rFonts w:ascii="SimHei" w:eastAsia="SimHei" w:hAnsi="SimHei" w:cs="SimHei"/>
          <w:color w:val="000000"/>
          <w:spacing w:val="0"/>
          <w:w w:val="100"/>
          <w:position w:val="0"/>
        </w:rPr>
        <w:t>）〉</w:t>
      </w:r>
      <w:r>
        <w:rPr>
          <w:color w:val="000000"/>
          <w:spacing w:val="0"/>
          <w:w w:val="100"/>
          <w:position w:val="0"/>
        </w:rPr>
        <w:t>及摘要的议案》、第二届董事会第二十八次会议通过的《关于调整</w:t>
      </w:r>
      <w:r>
        <w:rPr>
          <w:rFonts w:ascii="Times New Roman" w:eastAsia="Times New Roman" w:hAnsi="Times New Roman" w:cs="Times New Roman"/>
          <w:color w:val="000000"/>
          <w:spacing w:val="0"/>
          <w:w w:val="100"/>
          <w:position w:val="0"/>
        </w:rPr>
        <w:t>2016</w:t>
      </w:r>
      <w:r>
        <w:rPr>
          <w:color w:val="000000"/>
          <w:spacing w:val="0"/>
          <w:w w:val="100"/>
          <w:position w:val="0"/>
        </w:rPr>
        <w:t>年限制性股 票激励计划相关事项的议案》，公司进行股权激励，向</w:t>
      </w:r>
      <w:r>
        <w:rPr>
          <w:rFonts w:ascii="Times New Roman" w:eastAsia="Times New Roman" w:hAnsi="Times New Roman" w:cs="Times New Roman"/>
          <w:color w:val="000000"/>
          <w:spacing w:val="0"/>
          <w:w w:val="100"/>
          <w:position w:val="0"/>
        </w:rPr>
        <w:t>48</w:t>
      </w:r>
      <w:r>
        <w:rPr>
          <w:color w:val="000000"/>
          <w:spacing w:val="0"/>
          <w:w w:val="100"/>
          <w:position w:val="0"/>
        </w:rPr>
        <w:t>名核心管理、业务与技术人员授予限制性股票数 量</w:t>
      </w:r>
      <w:r>
        <w:rPr>
          <w:rFonts w:ascii="Times New Roman" w:eastAsia="Times New Roman" w:hAnsi="Times New Roman" w:cs="Times New Roman"/>
          <w:color w:val="000000"/>
          <w:spacing w:val="0"/>
          <w:w w:val="100"/>
          <w:position w:val="0"/>
        </w:rPr>
        <w:t>278.4</w:t>
      </w:r>
      <w:r>
        <w:rPr>
          <w:rFonts w:ascii="Times New Roman" w:eastAsia="Times New Roman" w:hAnsi="Times New Roman" w:cs="Times New Roman"/>
          <w:color w:val="000000"/>
          <w:spacing w:val="0"/>
          <w:w w:val="100"/>
          <w:position w:val="0"/>
        </w:rPr>
        <w:t>0</w:t>
      </w:r>
      <w:r>
        <w:rPr>
          <w:color w:val="000000"/>
          <w:spacing w:val="0"/>
          <w:w w:val="100"/>
          <w:position w:val="0"/>
        </w:rPr>
        <w:t>万股，限制性股票价格为每股</w:t>
      </w:r>
      <w:r>
        <w:rPr>
          <w:rFonts w:ascii="Times New Roman" w:eastAsia="Times New Roman" w:hAnsi="Times New Roman" w:cs="Times New Roman"/>
          <w:color w:val="000000"/>
          <w:spacing w:val="0"/>
          <w:w w:val="100"/>
          <w:position w:val="0"/>
        </w:rPr>
        <w:t>7.66</w:t>
      </w:r>
      <w:r>
        <w:rPr>
          <w:color w:val="000000"/>
          <w:spacing w:val="0"/>
          <w:w w:val="100"/>
          <w:position w:val="0"/>
        </w:rPr>
        <w:t>元，共</w:t>
      </w:r>
      <w:r>
        <w:rPr>
          <w:rFonts w:ascii="Times New Roman" w:eastAsia="Times New Roman" w:hAnsi="Times New Roman" w:cs="Times New Roman"/>
          <w:color w:val="000000"/>
          <w:spacing w:val="0"/>
          <w:w w:val="100"/>
          <w:position w:val="0"/>
        </w:rPr>
        <w:t>21,325,440.00</w:t>
      </w:r>
      <w:r>
        <w:rPr>
          <w:color w:val="000000"/>
          <w:spacing w:val="0"/>
          <w:w w:val="100"/>
          <w:position w:val="0"/>
        </w:rPr>
        <w:t>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日，公司已收到被授 予股权激励限制性股票的</w:t>
      </w:r>
      <w:r>
        <w:rPr>
          <w:rFonts w:ascii="Times New Roman" w:eastAsia="Times New Roman" w:hAnsi="Times New Roman" w:cs="Times New Roman"/>
          <w:color w:val="000000"/>
          <w:spacing w:val="0"/>
          <w:w w:val="100"/>
          <w:position w:val="0"/>
        </w:rPr>
        <w:t>48</w:t>
      </w:r>
      <w:r>
        <w:rPr>
          <w:color w:val="000000"/>
          <w:spacing w:val="0"/>
          <w:w w:val="100"/>
          <w:position w:val="0"/>
        </w:rPr>
        <w:t>名核心管理、业务与技术人员缴纳的股份认购款共计人民币</w:t>
      </w:r>
      <w:r>
        <w:rPr>
          <w:rFonts w:ascii="Times New Roman" w:eastAsia="Times New Roman" w:hAnsi="Times New Roman" w:cs="Times New Roman"/>
          <w:color w:val="000000"/>
          <w:spacing w:val="0"/>
          <w:w w:val="100"/>
          <w:position w:val="0"/>
        </w:rPr>
        <w:t>21,325,440.00</w:t>
      </w:r>
      <w:r>
        <w:rPr>
          <w:color w:val="000000"/>
          <w:spacing w:val="0"/>
          <w:w w:val="100"/>
          <w:position w:val="0"/>
        </w:rPr>
        <w:t>元， 均为货币资金缴纳，股本变更后累计股本达</w:t>
      </w:r>
      <w:r>
        <w:rPr>
          <w:rFonts w:ascii="Times New Roman" w:eastAsia="Times New Roman" w:hAnsi="Times New Roman" w:cs="Times New Roman"/>
          <w:color w:val="000000"/>
          <w:spacing w:val="0"/>
          <w:w w:val="100"/>
          <w:position w:val="0"/>
        </w:rPr>
        <w:t>434,592,000.00</w:t>
      </w:r>
      <w:r>
        <w:rPr>
          <w:color w:val="000000"/>
          <w:spacing w:val="0"/>
          <w:w w:val="100"/>
          <w:position w:val="0"/>
        </w:rPr>
        <w:t>元，业经信永中和会计师事务所（特殊普通合伙） 审验并出具</w:t>
      </w:r>
      <w:r>
        <w:rPr>
          <w:rFonts w:ascii="Times New Roman" w:eastAsia="Times New Roman" w:hAnsi="Times New Roman" w:cs="Times New Roman"/>
          <w:color w:val="000000"/>
          <w:spacing w:val="0"/>
          <w:w w:val="100"/>
          <w:position w:val="0"/>
        </w:rPr>
        <w:t>XYZH/2016BJA80316</w:t>
      </w:r>
      <w:r>
        <w:rPr>
          <w:color w:val="000000"/>
          <w:spacing w:val="0"/>
          <w:w w:val="100"/>
          <w:position w:val="0"/>
        </w:rPr>
        <w:t>号验资报告。截至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日，本次增资尚未完成工商登记变更手续。</w:t>
      </w:r>
    </w:p>
    <w:p>
      <w:pPr>
        <w:pStyle w:val="Style7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日召开的第二届董事会第二十一次会议和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 东大会决议，并经中国证券监督管理委员会《关于核准高伟达软件股份有限公司向北京睿韬科技有限责任 公司等发行股份购买资产并募集配套资金的批复》（证监许可</w:t>
      </w:r>
      <w:r>
        <w:rPr>
          <w:rFonts w:ascii="Times New Roman" w:eastAsia="Times New Roman" w:hAnsi="Times New Roman" w:cs="Times New Roman"/>
          <w:color w:val="000000"/>
          <w:spacing w:val="0"/>
          <w:w w:val="100"/>
          <w:position w:val="0"/>
        </w:rPr>
        <w:t>[2016]2562</w:t>
      </w:r>
      <w:r>
        <w:rPr>
          <w:color w:val="000000"/>
          <w:spacing w:val="0"/>
          <w:w w:val="100"/>
          <w:position w:val="0"/>
        </w:rPr>
        <w:t>号）核准，本公司向北京睿韬科 技有限责任公司、宁波镇海翔易融联投资管理合伙企业（有限合伙）合计发行股份</w:t>
      </w:r>
      <w:r>
        <w:rPr>
          <w:rFonts w:ascii="Times New Roman" w:eastAsia="Times New Roman" w:hAnsi="Times New Roman" w:cs="Times New Roman"/>
          <w:color w:val="000000"/>
          <w:spacing w:val="0"/>
          <w:w w:val="100"/>
          <w:position w:val="0"/>
        </w:rPr>
        <w:t>14,745,442</w:t>
      </w:r>
      <w:r>
        <w:rPr>
          <w:color w:val="000000"/>
          <w:spacing w:val="0"/>
          <w:w w:val="100"/>
          <w:position w:val="0"/>
        </w:rPr>
        <w:t>股（其中北 京睿韬科技有限责任公司</w:t>
      </w:r>
      <w:r>
        <w:rPr>
          <w:rFonts w:ascii="Times New Roman" w:eastAsia="Times New Roman" w:hAnsi="Times New Roman" w:cs="Times New Roman"/>
          <w:color w:val="000000"/>
          <w:spacing w:val="0"/>
          <w:w w:val="100"/>
          <w:position w:val="0"/>
        </w:rPr>
        <w:t>8,847,265</w:t>
      </w:r>
      <w:r>
        <w:rPr>
          <w:color w:val="000000"/>
          <w:spacing w:val="0"/>
          <w:w w:val="100"/>
          <w:position w:val="0"/>
        </w:rPr>
        <w:t>股、宁波镇海翔易融联投资管理合伙企业（有限合伙）</w:t>
      </w:r>
      <w:r>
        <w:rPr>
          <w:rFonts w:ascii="Times New Roman" w:eastAsia="Times New Roman" w:hAnsi="Times New Roman" w:cs="Times New Roman"/>
          <w:color w:val="000000"/>
          <w:spacing w:val="0"/>
          <w:w w:val="100"/>
          <w:position w:val="0"/>
        </w:rPr>
        <w:t>5,898,177</w:t>
      </w:r>
      <w:r>
        <w:rPr>
          <w:color w:val="000000"/>
          <w:spacing w:val="0"/>
          <w:w w:val="100"/>
          <w:position w:val="0"/>
        </w:rPr>
        <w:t>股）并 支付现金</w:t>
      </w:r>
      <w:r>
        <w:rPr>
          <w:rFonts w:ascii="Times New Roman" w:eastAsia="Times New Roman" w:hAnsi="Times New Roman" w:cs="Times New Roman"/>
          <w:color w:val="000000"/>
          <w:spacing w:val="0"/>
          <w:w w:val="100"/>
          <w:position w:val="0"/>
        </w:rPr>
        <w:t>6,540.00</w:t>
      </w:r>
      <w:r>
        <w:rPr>
          <w:color w:val="000000"/>
          <w:spacing w:val="0"/>
          <w:w w:val="100"/>
          <w:position w:val="0"/>
        </w:rPr>
        <w:t>万元购买其合计持有的上海睿民互联网科技有限公司</w:t>
      </w:r>
      <w:r>
        <w:rPr>
          <w:rFonts w:ascii="Times New Roman" w:eastAsia="Times New Roman" w:hAnsi="Times New Roman" w:cs="Times New Roman"/>
          <w:color w:val="000000"/>
          <w:spacing w:val="0"/>
          <w:w w:val="100"/>
          <w:position w:val="0"/>
        </w:rPr>
        <w:t>100%</w:t>
      </w:r>
      <w:r>
        <w:rPr>
          <w:color w:val="000000"/>
          <w:spacing w:val="0"/>
          <w:w w:val="100"/>
          <w:position w:val="0"/>
        </w:rPr>
        <w:t>股权；同时本公司分别向鹰潭 市鹰高投资咨询有限公司、余江县泰和睿思技术服务中心（有限合伙）发行股份</w:t>
      </w:r>
      <w:r>
        <w:rPr>
          <w:rFonts w:ascii="Times New Roman" w:eastAsia="Times New Roman" w:hAnsi="Times New Roman" w:cs="Times New Roman"/>
          <w:color w:val="000000"/>
          <w:spacing w:val="0"/>
          <w:w w:val="100"/>
          <w:position w:val="0"/>
        </w:rPr>
        <w:t>2,514,140</w:t>
      </w:r>
      <w:r>
        <w:rPr>
          <w:color w:val="000000"/>
          <w:spacing w:val="0"/>
          <w:w w:val="100"/>
          <w:position w:val="0"/>
        </w:rPr>
        <w:t>股和</w:t>
      </w:r>
      <w:r>
        <w:rPr>
          <w:rFonts w:ascii="Times New Roman" w:eastAsia="Times New Roman" w:hAnsi="Times New Roman" w:cs="Times New Roman"/>
          <w:color w:val="000000"/>
          <w:spacing w:val="0"/>
          <w:w w:val="100"/>
          <w:position w:val="0"/>
        </w:rPr>
        <w:t>1,125,075</w:t>
      </w:r>
      <w:r>
        <w:rPr>
          <w:color w:val="000000"/>
          <w:spacing w:val="0"/>
          <w:w w:val="100"/>
          <w:position w:val="0"/>
        </w:rPr>
        <w:t>股 配套募集资金</w:t>
      </w:r>
      <w:r>
        <w:rPr>
          <w:rFonts w:ascii="Times New Roman" w:eastAsia="Times New Roman" w:hAnsi="Times New Roman" w:cs="Times New Roman"/>
          <w:color w:val="000000"/>
          <w:spacing w:val="0"/>
          <w:w w:val="100"/>
          <w:position w:val="0"/>
        </w:rPr>
        <w:t>57,899,910.65</w:t>
      </w:r>
      <w:r>
        <w:rPr>
          <w:color w:val="000000"/>
          <w:spacing w:val="0"/>
          <w:w w:val="100"/>
          <w:position w:val="0"/>
        </w:rPr>
        <w:t>元。发行后公司股本</w:t>
      </w:r>
      <w:r>
        <w:rPr>
          <w:rFonts w:ascii="Times New Roman" w:eastAsia="Times New Roman" w:hAnsi="Times New Roman" w:cs="Times New Roman"/>
          <w:color w:val="000000"/>
          <w:spacing w:val="0"/>
          <w:w w:val="100"/>
          <w:position w:val="0"/>
        </w:rPr>
        <w:t>452,976,657</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元，其中有限售条件的流通 股份为</w:t>
      </w:r>
      <w:r>
        <w:rPr>
          <w:rFonts w:ascii="Times New Roman" w:eastAsia="Times New Roman" w:hAnsi="Times New Roman" w:cs="Times New Roman"/>
          <w:color w:val="000000"/>
          <w:spacing w:val="0"/>
          <w:w w:val="100"/>
          <w:position w:val="0"/>
        </w:rPr>
        <w:t>197,280,657</w:t>
      </w:r>
      <w:r>
        <w:rPr>
          <w:color w:val="000000"/>
          <w:spacing w:val="0"/>
          <w:w w:val="100"/>
          <w:position w:val="0"/>
        </w:rPr>
        <w:t>股，占股份总数的</w:t>
      </w:r>
      <w:r>
        <w:rPr>
          <w:rFonts w:ascii="Times New Roman" w:eastAsia="Times New Roman" w:hAnsi="Times New Roman" w:cs="Times New Roman"/>
          <w:color w:val="000000"/>
          <w:spacing w:val="0"/>
          <w:w w:val="100"/>
          <w:position w:val="0"/>
        </w:rPr>
        <w:t>43.55%</w:t>
      </w:r>
      <w:r>
        <w:rPr>
          <w:color w:val="000000"/>
          <w:spacing w:val="0"/>
          <w:w w:val="100"/>
          <w:position w:val="0"/>
        </w:rPr>
        <w:t>；无限售条件的流通股份为</w:t>
      </w:r>
      <w:r>
        <w:rPr>
          <w:rFonts w:ascii="Times New Roman" w:eastAsia="Times New Roman" w:hAnsi="Times New Roman" w:cs="Times New Roman"/>
          <w:color w:val="000000"/>
          <w:spacing w:val="0"/>
          <w:w w:val="100"/>
          <w:position w:val="0"/>
        </w:rPr>
        <w:t>255,696,000</w:t>
      </w:r>
      <w:r>
        <w:rPr>
          <w:color w:val="000000"/>
          <w:spacing w:val="0"/>
          <w:w w:val="100"/>
          <w:position w:val="0"/>
        </w:rPr>
        <w:t xml:space="preserve">股，占股份总数的 </w:t>
      </w:r>
      <w:r>
        <w:rPr>
          <w:rFonts w:ascii="Times New Roman" w:eastAsia="Times New Roman" w:hAnsi="Times New Roman" w:cs="Times New Roman"/>
          <w:color w:val="000000"/>
          <w:spacing w:val="0"/>
          <w:w w:val="100"/>
          <w:position w:val="0"/>
        </w:rPr>
        <w:t>56.45%</w:t>
      </w:r>
      <w:r>
        <w:rPr>
          <w:color w:val="000000"/>
          <w:spacing w:val="0"/>
          <w:w w:val="100"/>
          <w:position w:val="0"/>
        </w:rPr>
        <w:t>。本次增资业经中汇会计师事务所（特殊普通合伙）审验，并于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日出具中汇会验 </w:t>
      </w:r>
      <w:r>
        <w:rPr>
          <w:rFonts w:ascii="Times New Roman" w:eastAsia="Times New Roman" w:hAnsi="Times New Roman" w:cs="Times New Roman"/>
          <w:color w:val="000000"/>
          <w:spacing w:val="0"/>
          <w:w w:val="100"/>
          <w:position w:val="0"/>
        </w:rPr>
        <w:t>[2016]4648</w:t>
      </w:r>
      <w:r>
        <w:rPr>
          <w:color w:val="000000"/>
          <w:spacing w:val="0"/>
          <w:w w:val="100"/>
          <w:position w:val="0"/>
        </w:rPr>
        <w:t>号验资报告。截至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日，本次增资尚未完成工商登记变更手续。</w:t>
      </w:r>
    </w:p>
    <w:p>
      <w:pPr>
        <w:pStyle w:val="Style7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日，公司股本结构如下：</w:t>
      </w:r>
    </w:p>
    <w:p>
      <w:pPr>
        <w:pStyle w:val="Style29"/>
        <w:keepNext w:val="0"/>
        <w:keepLines w:val="0"/>
        <w:widowControl w:val="0"/>
        <w:shd w:val="clear" w:color="auto" w:fill="auto"/>
        <w:tabs>
          <w:tab w:pos="5741" w:val="left"/>
          <w:tab w:pos="7632" w:val="left"/>
        </w:tabs>
        <w:bidi w:val="0"/>
        <w:spacing w:before="0" w:after="0" w:line="311" w:lineRule="exact"/>
        <w:ind w:left="0" w:right="0" w:firstLine="0"/>
        <w:jc w:val="both"/>
      </w:pPr>
      <w:r>
        <w:rPr>
          <w:color w:val="000000"/>
          <w:spacing w:val="0"/>
          <w:w w:val="100"/>
          <w:position w:val="0"/>
        </w:rPr>
        <w:t>股东名称</w:t>
        <w:tab/>
        <w:t>所持股份（股）</w:t>
        <w:tab/>
        <w:t>股权比例（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67"/>
        <w:keepNext w:val="0"/>
        <w:keepLines w:val="0"/>
        <w:widowControl w:val="0"/>
        <w:shd w:val="clear" w:color="auto" w:fill="auto"/>
        <w:tabs>
          <w:tab w:pos="6125" w:val="left"/>
          <w:tab w:pos="8486" w:val="left"/>
        </w:tabs>
        <w:bidi w:val="0"/>
        <w:spacing w:before="0" w:after="0" w:line="311" w:lineRule="exact"/>
        <w:ind w:left="0" w:right="0" w:firstLine="0"/>
        <w:jc w:val="both"/>
      </w:pPr>
      <w:r>
        <w:rPr>
          <w:rFonts w:ascii="SimSun" w:eastAsia="SimSun" w:hAnsi="SimSun" w:cs="SimSun"/>
          <w:color w:val="000000"/>
          <w:spacing w:val="0"/>
          <w:w w:val="100"/>
          <w:position w:val="0"/>
          <w:sz w:val="17"/>
          <w:szCs w:val="17"/>
        </w:rPr>
        <w:t>鹰潭市鹰高投资咨询有限公司</w:t>
        <w:tab/>
      </w:r>
      <w:r>
        <w:rPr>
          <w:color w:val="000000"/>
          <w:spacing w:val="0"/>
          <w:w w:val="100"/>
          <w:position w:val="0"/>
        </w:rPr>
        <w:t>140,843,740</w:t>
        <w:tab/>
      </w:r>
      <w:r>
        <w:rPr>
          <w:color w:val="000000"/>
          <w:spacing w:val="0"/>
          <w:w w:val="100"/>
          <w:position w:val="0"/>
        </w:rPr>
        <w:t>31.09</w:t>
      </w:r>
    </w:p>
    <w:tbl>
      <w:tblPr>
        <w:tblOverlap w:val="never"/>
        <w:jc w:val="left"/>
        <w:tblLayout w:type="fixed"/>
      </w:tblPr>
      <w:tblGrid>
        <w:gridCol w:w="5074"/>
        <w:gridCol w:w="2683"/>
        <w:gridCol w:w="1186"/>
      </w:tblGrid>
      <w:tr>
        <w:trPr>
          <w:trHeight w:val="293" w:hRule="exact"/>
        </w:trPr>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银联科技有限公司</w:t>
            </w:r>
            <w:r>
              <w:rPr>
                <w:rFonts w:ascii="Times New Roman" w:eastAsia="Times New Roman" w:hAnsi="Times New Roman" w:cs="Times New Roman"/>
                <w:color w:val="000000"/>
                <w:spacing w:val="0"/>
                <w:w w:val="100"/>
                <w:position w:val="0"/>
                <w:sz w:val="18"/>
                <w:szCs w:val="18"/>
              </w:rPr>
              <w:t>(Silver Team Technology Limited)</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54,000,000</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w:t>
            </w:r>
          </w:p>
        </w:tc>
      </w:tr>
      <w:tr>
        <w:trPr>
          <w:trHeight w:val="326" w:hRule="exact"/>
        </w:trPr>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贵昌有限公司</w:t>
            </w:r>
            <w:r>
              <w:rPr>
                <w:rFonts w:ascii="Times New Roman" w:eastAsia="Times New Roman" w:hAnsi="Times New Roman" w:cs="Times New Roman"/>
                <w:color w:val="000000"/>
                <w:spacing w:val="0"/>
                <w:w w:val="100"/>
                <w:position w:val="0"/>
                <w:sz w:val="18"/>
                <w:szCs w:val="18"/>
              </w:rPr>
              <w:t>(Noble Effort Technology Limited)</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13,345,600</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r>
      <w:tr>
        <w:trPr>
          <w:trHeight w:val="326" w:hRule="exact"/>
        </w:trPr>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鹰潭市锐鹰投资咨询有限公司</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9,760,000</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r>
      <w:tr>
        <w:trPr>
          <w:trHeight w:val="331" w:hRule="exact"/>
        </w:trPr>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鹰潭市华鹰投资咨询有限公司</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9,638,400</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r>
      <w:tr>
        <w:trPr>
          <w:trHeight w:val="331" w:hRule="exact"/>
        </w:trPr>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北京睿韬科技有限责任公司</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8,847,265</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r>
      <w:tr>
        <w:trPr>
          <w:trHeight w:val="331" w:hRule="exact"/>
        </w:trPr>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宁波镇海翔易融联投资管理合伙企业（有限合伙）</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5,898,177</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r>
      <w:tr>
        <w:trPr>
          <w:trHeight w:val="341" w:hRule="exact"/>
        </w:trPr>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余江县泰和睿思技术服务中心（有限合伙）</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1,125,075</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326" w:hRule="exact"/>
        </w:trPr>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201,614,400</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w:t>
            </w:r>
          </w:p>
        </w:tc>
      </w:tr>
      <w:tr>
        <w:trPr>
          <w:trHeight w:val="336" w:hRule="exact"/>
        </w:trPr>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内部员工股权激励持股</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7,904,000</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r>
      <w:tr>
        <w:trPr>
          <w:trHeight w:val="278" w:hRule="exact"/>
        </w:trPr>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u w:val="single"/>
              </w:rPr>
              <w:t>452,976,657</w:t>
            </w:r>
          </w:p>
        </w:tc>
        <w:tc>
          <w:tcPr>
            <w:tcBorders>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本公司的基本组织架构：根据国家法律法规和公司章程的规定，建立了由股东大会、董事会、监事会 及经营管理层组成的规范的多层次治理结构；董事会下设战略委员会、薪酬与考核委员会、提名委员会、 审计与风险控制委员会等四个专门委员会和董事会办公室。公司下设营销管理部、金融软件中心、保险软 件中心、技术服务中心、研发中心、战略发展部、运营管理部、解决方案中心、财务部、人力资源部、资 金部、行政管理部、市场部等主要职能部门。</w:t>
      </w:r>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本公司属软件和信息技术服务业。经营范围为：开发计算机软件及配套硬件、系统集成；销售自产产 品、批发机电设备产品；售后技术服务、技术咨询；承接计算机网络工程安装。（上述经营范围不涉及国 营贸易管理商品；涉及配额、许可证管理商品的按照国家有关规定办理申请）（依法须经批准的项目，经 相关部门批准后依批准的内容开展经营活动）。主营业务为</w:t>
      </w:r>
      <w:r>
        <w:rPr>
          <w:rFonts w:ascii="Times New Roman" w:eastAsia="Times New Roman" w:hAnsi="Times New Roman" w:cs="Times New Roman"/>
          <w:color w:val="000000"/>
          <w:spacing w:val="0"/>
          <w:w w:val="100"/>
          <w:position w:val="0"/>
        </w:rPr>
        <w:t>IT</w:t>
      </w:r>
      <w:r>
        <w:rPr>
          <w:color w:val="000000"/>
          <w:spacing w:val="0"/>
          <w:w w:val="100"/>
          <w:position w:val="0"/>
        </w:rPr>
        <w:t>服务，包括</w:t>
      </w:r>
      <w:r>
        <w:rPr>
          <w:rFonts w:ascii="Times New Roman" w:eastAsia="Times New Roman" w:hAnsi="Times New Roman" w:cs="Times New Roman"/>
          <w:color w:val="000000"/>
          <w:spacing w:val="0"/>
          <w:w w:val="100"/>
          <w:position w:val="0"/>
        </w:rPr>
        <w:t>IT</w:t>
      </w:r>
      <w:r>
        <w:rPr>
          <w:color w:val="000000"/>
          <w:spacing w:val="0"/>
          <w:w w:val="100"/>
          <w:position w:val="0"/>
        </w:rPr>
        <w:t>解决方案、系统集成、</w:t>
      </w:r>
      <w:r>
        <w:rPr>
          <w:rFonts w:ascii="Times New Roman" w:eastAsia="Times New Roman" w:hAnsi="Times New Roman" w:cs="Times New Roman"/>
          <w:color w:val="000000"/>
          <w:spacing w:val="0"/>
          <w:w w:val="100"/>
          <w:position w:val="0"/>
        </w:rPr>
        <w:t>IT</w:t>
      </w:r>
      <w:r>
        <w:rPr>
          <w:color w:val="000000"/>
          <w:spacing w:val="0"/>
          <w:w w:val="100"/>
          <w:position w:val="0"/>
        </w:rPr>
        <w:t>运维 服务和软件外包服务；移动广告营销，包括移动数据推广、专有品牌推广、自有平台广告、电商推广。</w:t>
      </w:r>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本财务报表及财务报表附注已于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日经公司第二届董事会第三十四次会议批准。</w:t>
      </w:r>
    </w:p>
    <w:p>
      <w:pPr>
        <w:pStyle w:val="Style70"/>
        <w:keepNext w:val="0"/>
        <w:keepLines w:val="0"/>
        <w:widowControl w:val="0"/>
        <w:shd w:val="clear" w:color="auto" w:fill="auto"/>
        <w:bidi w:val="0"/>
        <w:spacing w:before="0" w:line="312" w:lineRule="exact"/>
        <w:ind w:left="0" w:right="0" w:firstLine="44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rPr>
        <w:t>6</w:t>
      </w:r>
      <w:r>
        <w:rPr>
          <w:color w:val="000000"/>
          <w:spacing w:val="0"/>
          <w:w w:val="100"/>
          <w:position w:val="0"/>
        </w:rPr>
        <w:t>家，详见附注七</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在其他主体中的权益与上年度相比，本 公司本年度合并范围增加</w:t>
      </w:r>
      <w:r>
        <w:rPr>
          <w:rFonts w:ascii="Times New Roman" w:eastAsia="Times New Roman" w:hAnsi="Times New Roman" w:cs="Times New Roman"/>
          <w:color w:val="000000"/>
          <w:spacing w:val="0"/>
          <w:w w:val="100"/>
          <w:position w:val="0"/>
        </w:rPr>
        <w:t>4</w:t>
      </w:r>
      <w:r>
        <w:rPr>
          <w:color w:val="000000"/>
          <w:spacing w:val="0"/>
          <w:w w:val="100"/>
          <w:position w:val="0"/>
        </w:rPr>
        <w:t>家，详见</w:t>
      </w:r>
      <w:r>
        <w:rPr>
          <w:rFonts w:ascii="Times New Roman" w:eastAsia="Times New Roman" w:hAnsi="Times New Roman" w:cs="Times New Roman"/>
          <w:color w:val="000000"/>
          <w:spacing w:val="0"/>
          <w:w w:val="100"/>
          <w:position w:val="0"/>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7"/>
        <w:keepNext/>
        <w:keepLines/>
        <w:widowControl w:val="0"/>
        <w:shd w:val="clear" w:color="auto" w:fill="auto"/>
        <w:tabs>
          <w:tab w:pos="482" w:val="left"/>
        </w:tabs>
        <w:bidi w:val="0"/>
        <w:spacing w:before="0" w:line="240" w:lineRule="auto"/>
        <w:ind w:left="0" w:right="0" w:firstLine="0"/>
        <w:jc w:val="both"/>
      </w:pPr>
      <w:bookmarkStart w:id="672" w:name="bookmark672"/>
      <w:bookmarkStart w:id="673" w:name="bookmark673"/>
      <w:bookmarkStart w:id="674" w:name="bookmark674"/>
      <w:bookmarkStart w:id="675" w:name="bookmark675"/>
      <w:r>
        <w:rPr>
          <w:color w:val="000000"/>
          <w:spacing w:val="0"/>
          <w:w w:val="100"/>
          <w:position w:val="0"/>
          <w:sz w:val="24"/>
          <w:szCs w:val="24"/>
        </w:rPr>
        <w:t>四</w:t>
      </w:r>
      <w:bookmarkEnd w:id="674"/>
      <w:r>
        <w:rPr>
          <w:color w:val="000000"/>
          <w:spacing w:val="0"/>
          <w:w w:val="100"/>
          <w:position w:val="0"/>
          <w:sz w:val="24"/>
          <w:szCs w:val="24"/>
        </w:rPr>
        <w:t>、</w:t>
        <w:tab/>
        <w:t>财务报表的编制基础</w:t>
      </w:r>
      <w:bookmarkEnd w:id="672"/>
      <w:bookmarkEnd w:id="673"/>
      <w:bookmarkEnd w:id="675"/>
    </w:p>
    <w:p>
      <w:pPr>
        <w:pStyle w:val="Style33"/>
        <w:keepNext/>
        <w:keepLines/>
        <w:widowControl w:val="0"/>
        <w:shd w:val="clear" w:color="auto" w:fill="auto"/>
        <w:tabs>
          <w:tab w:pos="394" w:val="left"/>
        </w:tabs>
        <w:bidi w:val="0"/>
        <w:spacing w:before="0" w:after="180" w:line="326" w:lineRule="auto"/>
        <w:ind w:left="0" w:right="0" w:firstLine="0"/>
        <w:jc w:val="both"/>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1</w:t>
      </w:r>
      <w:bookmarkEnd w:id="678"/>
      <w:r>
        <w:rPr>
          <w:color w:val="000000"/>
          <w:spacing w:val="0"/>
          <w:w w:val="100"/>
          <w:position w:val="0"/>
        </w:rPr>
        <w:t>、</w:t>
        <w:tab/>
        <w:t>编制基础</w:t>
      </w:r>
      <w:bookmarkEnd w:id="676"/>
      <w:bookmarkEnd w:id="677"/>
      <w:bookmarkEnd w:id="679"/>
    </w:p>
    <w:p>
      <w:pPr>
        <w:pStyle w:val="Style70"/>
        <w:keepNext w:val="0"/>
        <w:keepLines w:val="0"/>
        <w:widowControl w:val="0"/>
        <w:shd w:val="clear" w:color="auto" w:fill="auto"/>
        <w:bidi w:val="0"/>
        <w:spacing w:before="0" w:line="310" w:lineRule="exact"/>
        <w:ind w:left="0" w:right="0" w:firstLine="440"/>
        <w:jc w:val="both"/>
      </w:pPr>
      <w:r>
        <w:rPr>
          <w:color w:val="000000"/>
          <w:spacing w:val="0"/>
          <w:w w:val="100"/>
          <w:position w:val="0"/>
        </w:rPr>
        <w:t>公司以持续经营为基础，根据实际发生的交易和事项，按照财政部颁布的《企业会计准则一基本准 则》和各项具体会计准则、企业会计准则应用指南、企业会计准则解释及其他相关规定</w:t>
      </w:r>
      <w:r>
        <w:rPr>
          <w:rFonts w:ascii="Times New Roman" w:eastAsia="Times New Roman" w:hAnsi="Times New Roman" w:cs="Times New Roman"/>
          <w:color w:val="000000"/>
          <w:spacing w:val="0"/>
          <w:w w:val="100"/>
          <w:position w:val="0"/>
        </w:rPr>
        <w:t>（</w:t>
      </w:r>
      <w:r>
        <w:rPr>
          <w:color w:val="000000"/>
          <w:spacing w:val="0"/>
          <w:w w:val="100"/>
          <w:position w:val="0"/>
        </w:rPr>
        <w:t>以下合称</w:t>
      </w:r>
      <w:r>
        <w:rPr>
          <w:rFonts w:ascii="Times New Roman" w:eastAsia="Times New Roman" w:hAnsi="Times New Roman" w:cs="Times New Roman"/>
          <w:color w:val="000000"/>
          <w:spacing w:val="0"/>
          <w:w w:val="100"/>
          <w:position w:val="0"/>
        </w:rPr>
        <w:t>“</w:t>
      </w:r>
      <w:r>
        <w:rPr>
          <w:color w:val="000000"/>
          <w:spacing w:val="0"/>
          <w:w w:val="100"/>
          <w:position w:val="0"/>
        </w:rPr>
        <w:t>企业会 计准则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 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的披露规定编制财务报表。</w:t>
      </w:r>
    </w:p>
    <w:p>
      <w:pPr>
        <w:pStyle w:val="Style33"/>
        <w:keepNext/>
        <w:keepLines/>
        <w:widowControl w:val="0"/>
        <w:shd w:val="clear" w:color="auto" w:fill="auto"/>
        <w:tabs>
          <w:tab w:pos="394" w:val="left"/>
        </w:tabs>
        <w:bidi w:val="0"/>
        <w:spacing w:before="0" w:after="180" w:line="326" w:lineRule="auto"/>
        <w:ind w:left="0" w:right="0" w:firstLine="0"/>
        <w:jc w:val="both"/>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2</w:t>
      </w:r>
      <w:bookmarkEnd w:id="682"/>
      <w:r>
        <w:rPr>
          <w:color w:val="000000"/>
          <w:spacing w:val="0"/>
          <w:w w:val="100"/>
          <w:position w:val="0"/>
        </w:rPr>
        <w:t>、</w:t>
        <w:tab/>
        <w:t>持续经营</w:t>
      </w:r>
      <w:bookmarkEnd w:id="680"/>
      <w:bookmarkEnd w:id="681"/>
      <w:bookmarkEnd w:id="683"/>
    </w:p>
    <w:p>
      <w:pPr>
        <w:pStyle w:val="Style70"/>
        <w:keepNext w:val="0"/>
        <w:keepLines w:val="0"/>
        <w:widowControl w:val="0"/>
        <w:shd w:val="clear" w:color="auto" w:fill="auto"/>
        <w:bidi w:val="0"/>
        <w:spacing w:before="0" w:line="312" w:lineRule="exact"/>
        <w:ind w:left="0" w:right="0" w:firstLine="440"/>
        <w:jc w:val="both"/>
      </w:pPr>
      <w:r>
        <w:rPr>
          <w:color w:val="000000"/>
          <w:spacing w:val="0"/>
          <w:w w:val="100"/>
          <w:position w:val="0"/>
        </w:rPr>
        <w:t>本公司管理层综合考虑了宏观政策风险、市场经营风险、公司目前和长期盈利能力、偿债能力、财务 弹性以及管理层改变经营政策的意向等因素，认为本公司自报告期末起</w:t>
      </w:r>
      <w:r>
        <w:rPr>
          <w:rFonts w:ascii="Times New Roman" w:eastAsia="Times New Roman" w:hAnsi="Times New Roman" w:cs="Times New Roman"/>
          <w:color w:val="000000"/>
          <w:spacing w:val="0"/>
          <w:w w:val="100"/>
          <w:position w:val="0"/>
        </w:rPr>
        <w:t>12</w:t>
      </w:r>
      <w:r>
        <w:rPr>
          <w:color w:val="000000"/>
          <w:spacing w:val="0"/>
          <w:w w:val="100"/>
          <w:position w:val="0"/>
        </w:rPr>
        <w:t>月内不存在影响持续经营能力的 事项。</w:t>
      </w:r>
    </w:p>
    <w:p>
      <w:pPr>
        <w:pStyle w:val="Style27"/>
        <w:keepNext/>
        <w:keepLines/>
        <w:widowControl w:val="0"/>
        <w:shd w:val="clear" w:color="auto" w:fill="auto"/>
        <w:tabs>
          <w:tab w:pos="501" w:val="left"/>
        </w:tabs>
        <w:bidi w:val="0"/>
        <w:spacing w:before="0" w:line="240" w:lineRule="auto"/>
        <w:ind w:left="0" w:right="0" w:firstLine="0"/>
        <w:jc w:val="left"/>
      </w:pPr>
      <w:bookmarkStart w:id="684" w:name="bookmark684"/>
      <w:bookmarkStart w:id="685" w:name="bookmark685"/>
      <w:bookmarkStart w:id="686" w:name="bookmark686"/>
      <w:bookmarkStart w:id="687" w:name="bookmark687"/>
      <w:r>
        <w:rPr>
          <w:color w:val="000000"/>
          <w:spacing w:val="0"/>
          <w:w w:val="100"/>
          <w:position w:val="0"/>
          <w:sz w:val="24"/>
          <w:szCs w:val="24"/>
        </w:rPr>
        <w:t>五</w:t>
      </w:r>
      <w:bookmarkEnd w:id="686"/>
      <w:r>
        <w:rPr>
          <w:color w:val="000000"/>
          <w:spacing w:val="0"/>
          <w:w w:val="100"/>
          <w:position w:val="0"/>
          <w:sz w:val="24"/>
          <w:szCs w:val="24"/>
        </w:rPr>
        <w:t>、</w:t>
        <w:tab/>
        <w:t>重要会计政策及会计估计</w:t>
      </w:r>
      <w:bookmarkEnd w:id="684"/>
      <w:bookmarkEnd w:id="685"/>
      <w:bookmarkEnd w:id="687"/>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是</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互联网营销业</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具体会计政策和会计估计提示：</w:t>
      </w:r>
    </w:p>
    <w:p>
      <w:pPr>
        <w:pStyle w:val="Style70"/>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本公司及各子公司根据实际生产经营特点，依据相关企业会计准则的规定，对应收款项坏账准备的确 认标准和计提方法、固定资产折旧政策、无形资产摊销政策、长期待摊费用摊销政策和收入确认原则等交 易和事项指定了若干具体会计政策和会计估计。</w:t>
      </w:r>
    </w:p>
    <w:p>
      <w:pPr>
        <w:pStyle w:val="Style33"/>
        <w:keepNext/>
        <w:keepLines/>
        <w:widowControl w:val="0"/>
        <w:shd w:val="clear" w:color="auto" w:fill="auto"/>
        <w:tabs>
          <w:tab w:pos="368" w:val="left"/>
        </w:tabs>
        <w:bidi w:val="0"/>
        <w:spacing w:before="0" w:after="200" w:line="326"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1</w:t>
      </w:r>
      <w:bookmarkEnd w:id="690"/>
      <w:r>
        <w:rPr>
          <w:color w:val="000000"/>
          <w:spacing w:val="0"/>
          <w:w w:val="100"/>
          <w:position w:val="0"/>
        </w:rPr>
        <w:t>、</w:t>
        <w:tab/>
        <w:t>遵循企业会计准则的声明</w:t>
      </w:r>
      <w:bookmarkEnd w:id="688"/>
      <w:bookmarkEnd w:id="689"/>
      <w:bookmarkEnd w:id="691"/>
    </w:p>
    <w:p>
      <w:pPr>
        <w:pStyle w:val="Style70"/>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本公司编制的财务报表符合企业会计准则的要求，真实、完整地反映了公司的财务状况、经营成果和 现金流量等有关信息。</w:t>
      </w:r>
    </w:p>
    <w:p>
      <w:pPr>
        <w:pStyle w:val="Style33"/>
        <w:keepNext/>
        <w:keepLines/>
        <w:widowControl w:val="0"/>
        <w:shd w:val="clear" w:color="auto" w:fill="auto"/>
        <w:tabs>
          <w:tab w:pos="378" w:val="left"/>
        </w:tabs>
        <w:bidi w:val="0"/>
        <w:spacing w:before="0" w:after="200" w:line="326"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2</w:t>
      </w:r>
      <w:bookmarkEnd w:id="694"/>
      <w:r>
        <w:rPr>
          <w:color w:val="000000"/>
          <w:spacing w:val="0"/>
          <w:w w:val="100"/>
          <w:position w:val="0"/>
        </w:rPr>
        <w:t>、</w:t>
        <w:tab/>
        <w:t>会计期间</w:t>
      </w:r>
      <w:bookmarkEnd w:id="692"/>
      <w:bookmarkEnd w:id="693"/>
      <w:bookmarkEnd w:id="695"/>
    </w:p>
    <w:p>
      <w:pPr>
        <w:pStyle w:val="Style70"/>
        <w:keepNext w:val="0"/>
        <w:keepLines w:val="0"/>
        <w:widowControl w:val="0"/>
        <w:shd w:val="clear" w:color="auto" w:fill="auto"/>
        <w:bidi w:val="0"/>
        <w:spacing w:before="0" w:after="380" w:line="313" w:lineRule="exact"/>
        <w:ind w:left="0" w:right="0" w:firstLine="440"/>
        <w:jc w:val="left"/>
      </w:pPr>
      <w:r>
        <w:rPr>
          <w:color w:val="000000"/>
          <w:spacing w:val="0"/>
          <w:w w:val="100"/>
          <w:position w:val="0"/>
        </w:rPr>
        <w:t>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3"/>
        <w:keepNext/>
        <w:keepLines/>
        <w:widowControl w:val="0"/>
        <w:shd w:val="clear" w:color="auto" w:fill="auto"/>
        <w:tabs>
          <w:tab w:pos="378" w:val="left"/>
        </w:tabs>
        <w:bidi w:val="0"/>
        <w:spacing w:before="0" w:after="200" w:line="326"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3</w:t>
      </w:r>
      <w:bookmarkEnd w:id="698"/>
      <w:r>
        <w:rPr>
          <w:color w:val="000000"/>
          <w:spacing w:val="0"/>
          <w:w w:val="100"/>
          <w:position w:val="0"/>
        </w:rPr>
        <w:t>、</w:t>
        <w:tab/>
        <w:t>营业周期</w:t>
      </w:r>
      <w:bookmarkEnd w:id="696"/>
      <w:bookmarkEnd w:id="697"/>
      <w:bookmarkEnd w:id="699"/>
    </w:p>
    <w:p>
      <w:pPr>
        <w:pStyle w:val="Style70"/>
        <w:keepNext w:val="0"/>
        <w:keepLines w:val="0"/>
        <w:widowControl w:val="0"/>
        <w:shd w:val="clear" w:color="auto" w:fill="auto"/>
        <w:bidi w:val="0"/>
        <w:spacing w:before="0" w:after="380" w:line="278" w:lineRule="exact"/>
        <w:ind w:left="0" w:right="0" w:firstLine="440"/>
        <w:jc w:val="both"/>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rPr>
        <w:t>12</w:t>
      </w:r>
      <w:r>
        <w:rPr>
          <w:color w:val="000000"/>
          <w:spacing w:val="0"/>
          <w:w w:val="100"/>
          <w:position w:val="0"/>
        </w:rPr>
        <w:t>个月 作为一个营业周期，并以其作为资产和负债的流动性划分标准。</w:t>
      </w:r>
    </w:p>
    <w:p>
      <w:pPr>
        <w:pStyle w:val="Style33"/>
        <w:keepNext/>
        <w:keepLines/>
        <w:widowControl w:val="0"/>
        <w:shd w:val="clear" w:color="auto" w:fill="auto"/>
        <w:tabs>
          <w:tab w:pos="378" w:val="left"/>
        </w:tabs>
        <w:bidi w:val="0"/>
        <w:spacing w:before="0" w:after="200" w:line="326"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4</w:t>
      </w:r>
      <w:bookmarkEnd w:id="702"/>
      <w:r>
        <w:rPr>
          <w:color w:val="000000"/>
          <w:spacing w:val="0"/>
          <w:w w:val="100"/>
          <w:position w:val="0"/>
        </w:rPr>
        <w:t>、</w:t>
        <w:tab/>
        <w:t>记账本位币</w:t>
      </w:r>
      <w:bookmarkEnd w:id="700"/>
      <w:bookmarkEnd w:id="701"/>
      <w:bookmarkEnd w:id="703"/>
    </w:p>
    <w:p>
      <w:pPr>
        <w:pStyle w:val="Style70"/>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本公司及境内子公司采用人民币为记账本位币。</w:t>
      </w:r>
    </w:p>
    <w:p>
      <w:pPr>
        <w:pStyle w:val="Style70"/>
        <w:keepNext w:val="0"/>
        <w:keepLines w:val="0"/>
        <w:widowControl w:val="0"/>
        <w:shd w:val="clear" w:color="auto" w:fill="auto"/>
        <w:bidi w:val="0"/>
        <w:spacing w:before="0" w:after="600" w:line="313" w:lineRule="exact"/>
        <w:ind w:left="0" w:right="0" w:firstLine="440"/>
        <w:jc w:val="left"/>
      </w:pPr>
      <w:r>
        <w:rPr>
          <w:color w:val="000000"/>
          <w:spacing w:val="0"/>
          <w:w w:val="100"/>
          <w:position w:val="0"/>
        </w:rPr>
        <w:t>本公司编制本财务报表时所采用的货币为人民币。</w:t>
      </w:r>
    </w:p>
    <w:p>
      <w:pPr>
        <w:pStyle w:val="Style33"/>
        <w:keepNext/>
        <w:keepLines/>
        <w:widowControl w:val="0"/>
        <w:shd w:val="clear" w:color="auto" w:fill="auto"/>
        <w:bidi w:val="0"/>
        <w:spacing w:before="0" w:after="300" w:line="312" w:lineRule="exact"/>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5</w:t>
      </w:r>
      <w:bookmarkEnd w:id="706"/>
      <w:r>
        <w:rPr>
          <w:color w:val="000000"/>
          <w:spacing w:val="0"/>
          <w:w w:val="100"/>
          <w:position w:val="0"/>
        </w:rPr>
        <w:t>、同一控制下和非同一控制下企业合并的会计处理方法</w:t>
      </w:r>
      <w:bookmarkEnd w:id="704"/>
      <w:bookmarkEnd w:id="705"/>
      <w:bookmarkEnd w:id="707"/>
    </w:p>
    <w:p>
      <w:pPr>
        <w:pStyle w:val="Style70"/>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企业合并，是指将两个或两个以上单独的企业合并形成一个报告主体的交易或事项。企业合并分为同 一控制下企业合并和非同一控制下企业合并。</w:t>
      </w:r>
    </w:p>
    <w:p>
      <w:pPr>
        <w:pStyle w:val="Style70"/>
        <w:keepNext w:val="0"/>
        <w:keepLines w:val="0"/>
        <w:widowControl w:val="0"/>
        <w:numPr>
          <w:ilvl w:val="0"/>
          <w:numId w:val="9"/>
        </w:numPr>
        <w:shd w:val="clear" w:color="auto" w:fill="auto"/>
        <w:tabs>
          <w:tab w:pos="698" w:val="left"/>
        </w:tabs>
        <w:bidi w:val="0"/>
        <w:spacing w:before="0" w:after="0" w:line="326" w:lineRule="auto"/>
        <w:ind w:left="0" w:right="0" w:firstLine="440"/>
        <w:jc w:val="both"/>
      </w:pPr>
      <w:bookmarkStart w:id="708" w:name="bookmark708"/>
      <w:bookmarkEnd w:id="708"/>
      <w:r>
        <w:rPr>
          <w:color w:val="000000"/>
          <w:spacing w:val="0"/>
          <w:w w:val="100"/>
          <w:position w:val="0"/>
        </w:rPr>
        <w:t>.同一控制下企业合并的会计处理</w:t>
      </w:r>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参与合并的企业在合并前后均受同一方或相同的多方最终控制，且该控制并非暂时性的，为同一控制 下的企业合并。</w:t>
      </w:r>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公司在企业合并中取得的资产和负债，合并方在合并中取得的被合并方的资产、负债，除因会计政策 不同而进行的调整以外，按照合并日被合并方在最终控制方合并财务报表中的账面价值计量。公司取得的 被合并方所有者权益在最终控制方合并财务报表中的账面价值的份额与支付的合并对价账面价值</w:t>
      </w:r>
      <w:r>
        <w:rPr>
          <w:rFonts w:ascii="Times New Roman" w:eastAsia="Times New Roman" w:hAnsi="Times New Roman" w:cs="Times New Roman"/>
          <w:color w:val="000000"/>
          <w:spacing w:val="0"/>
          <w:w w:val="100"/>
          <w:position w:val="0"/>
        </w:rPr>
        <w:t>（</w:t>
      </w:r>
      <w:r>
        <w:rPr>
          <w:color w:val="000000"/>
          <w:spacing w:val="0"/>
          <w:w w:val="100"/>
          <w:position w:val="0"/>
        </w:rPr>
        <w:t>或发行 股份面值总额</w:t>
      </w:r>
      <w:r>
        <w:rPr>
          <w:rFonts w:ascii="Times New Roman" w:eastAsia="Times New Roman" w:hAnsi="Times New Roman" w:cs="Times New Roman"/>
          <w:color w:val="000000"/>
          <w:spacing w:val="0"/>
          <w:w w:val="100"/>
          <w:position w:val="0"/>
        </w:rPr>
        <w:t>）</w:t>
      </w:r>
      <w:r>
        <w:rPr>
          <w:color w:val="000000"/>
          <w:spacing w:val="0"/>
          <w:w w:val="100"/>
          <w:position w:val="0"/>
        </w:rPr>
        <w:t>的差额，调整资本公积；资本公积不足冲减的，调整留存收益。</w:t>
      </w:r>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通过多次交易分步实现同一控制下的企业合并，合并前持有投资的账面价值加上合并日新支付对价的 账面价值之和，与合并中取得的净资产账面价值的差额，调整资本公积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，资本公积不足冲减的， 调整留存收益。合并方在取得被合并方控制权之前持有的长期股权投资，在取得原股权之日与合并方与被 合并方同处于同一方最终控制之日孰晚日起至合并日之间已确认有关损益、其他综合收益和其他所有者权 益变动，应分别冲减比较报表期间的期初留存收益或当期损益，由于被投资方重新计量设定受益计划净负 债或净资产变动而产生的其他综合收益除外。</w:t>
      </w:r>
    </w:p>
    <w:p>
      <w:pPr>
        <w:pStyle w:val="Style70"/>
        <w:keepNext w:val="0"/>
        <w:keepLines w:val="0"/>
        <w:widowControl w:val="0"/>
        <w:numPr>
          <w:ilvl w:val="0"/>
          <w:numId w:val="11"/>
        </w:numPr>
        <w:shd w:val="clear" w:color="auto" w:fill="auto"/>
        <w:bidi w:val="0"/>
        <w:spacing w:before="0" w:after="0" w:line="312" w:lineRule="exact"/>
        <w:ind w:left="0" w:right="0" w:firstLine="440"/>
        <w:jc w:val="both"/>
      </w:pPr>
      <w:bookmarkStart w:id="709" w:name="bookmark709"/>
      <w:bookmarkEnd w:id="709"/>
      <w:r>
        <w:rPr>
          <w:color w:val="000000"/>
          <w:spacing w:val="0"/>
          <w:w w:val="100"/>
          <w:position w:val="0"/>
        </w:rPr>
        <w:t>非同一控制下企业合并的会计处理</w:t>
      </w:r>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参与合并的企业在合并前后不受同一方或相同的多方最终控制的，为非同一控制下的企业合并。</w:t>
      </w:r>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公司在购买日对合并成本大于合并中取得的被购买方可辨认净资产公允价值份额的差额，确认为商 </w:t>
      </w:r>
      <w:r>
        <w:rPr>
          <w:color w:val="000000"/>
          <w:spacing w:val="0"/>
          <w:w w:val="100"/>
          <w:position w:val="0"/>
        </w:rPr>
        <w:t>誉；对于合并成本小于合并中取得的被购买方可辨认净资产公允价值份额，首先对取得的被购买方各项可 辨认资产、负债及或有负债的公允价值以及合并成本的计量进行复核，经复核后合并成本仍小于合并中取 得的被购买方可辨认净资产公允价值份额的，其差额计入当期损益。</w:t>
      </w:r>
    </w:p>
    <w:p>
      <w:pPr>
        <w:pStyle w:val="Style7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如果在购买日或合并当期期末，因各种因素影响无法合理确定作为合并对价付出的各项资产的公允价 值，或合并中取得被购买方各项可辨认资产、负债的公允价值，合并当期期末，公司以暂时确定的价值为 基础对企业合并进行核算。自购买日算起</w:t>
      </w:r>
      <w:r>
        <w:rPr>
          <w:rFonts w:ascii="Times New Roman" w:eastAsia="Times New Roman" w:hAnsi="Times New Roman" w:cs="Times New Roman"/>
          <w:color w:val="000000"/>
          <w:spacing w:val="0"/>
          <w:w w:val="100"/>
          <w:position w:val="0"/>
        </w:rPr>
        <w:t>12</w:t>
      </w:r>
      <w:r>
        <w:rPr>
          <w:color w:val="000000"/>
          <w:spacing w:val="0"/>
          <w:w w:val="100"/>
          <w:position w:val="0"/>
        </w:rPr>
        <w:t>个月内取得进一步的信息表明需对原暂时确定的价值进行调整 的，则视同在购买日发生，进行追溯调整，同时对以暂时性价值为基础提供的比较报表信息进行相关的调 整；自购买日算起</w:t>
      </w:r>
      <w:r>
        <w:rPr>
          <w:rFonts w:ascii="Times New Roman" w:eastAsia="Times New Roman" w:hAnsi="Times New Roman" w:cs="Times New Roman"/>
          <w:color w:val="000000"/>
          <w:spacing w:val="0"/>
          <w:w w:val="100"/>
          <w:position w:val="0"/>
        </w:rPr>
        <w:t>12</w:t>
      </w:r>
      <w:r>
        <w:rPr>
          <w:color w:val="000000"/>
          <w:spacing w:val="0"/>
          <w:w w:val="100"/>
          <w:position w:val="0"/>
        </w:rPr>
        <w:t>个月以后对企业合并成本或合并中取得的可辨认资产、负债价值的调整，按照《企业 会计准则第</w:t>
      </w:r>
      <w:r>
        <w:rPr>
          <w:rFonts w:ascii="Times New Roman" w:eastAsia="Times New Roman" w:hAnsi="Times New Roman" w:cs="Times New Roman"/>
          <w:color w:val="000000"/>
          <w:spacing w:val="0"/>
          <w:w w:val="100"/>
          <w:position w:val="0"/>
        </w:rPr>
        <w:t>28</w:t>
      </w:r>
      <w:r>
        <w:rPr>
          <w:color w:val="000000"/>
          <w:spacing w:val="0"/>
          <w:w w:val="100"/>
          <w:position w:val="0"/>
        </w:rPr>
        <w:t>号——会计政策、会计估计变更和会计差错更正》的原则进行处理。</w:t>
      </w:r>
    </w:p>
    <w:p>
      <w:pPr>
        <w:pStyle w:val="Style7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公司在企业合并中取得的被购买方的可抵扣暂时性差异，在购买日不符合递延所得税资产确认条件 的，不予以确认。购买日后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个月内，如取得新的或进一步的信息表明购买日的相关情况已经存在，预期 被购买方在购买日可抵扣暂时性差异带来的经济利益能够实现的，确认相关的递延所得税资产，同时减少 商誉，商誉不足冲减的，差额部分确认为当期损益；除上述情况以外，确认与企业合并相关的递延所得税 资产，计入当期损益。</w:t>
      </w:r>
    </w:p>
    <w:p>
      <w:pPr>
        <w:pStyle w:val="Style7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通过多次交易分步实现的非同一控制下企业合并，根据企业会计准则判断该多次交易是否属于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 子交易多次交易的条款、条件以及经济影响符合以下一种或多种情况，通常表明应将多次交易事项作 为一揽子交易进行会计处理：①这些交易是同时或者在考虑了彼此影响的情况下订立的；②这些交易整体 才能达成一项完整的商业结果；③一项交易的发生取决于其他至少一项交易的发生；④一项交易单独看是 不经济的，但是和其他交易一并考虑时是经济的。</w:t>
      </w:r>
    </w:p>
    <w:p>
      <w:pPr>
        <w:pStyle w:val="Style70"/>
        <w:keepNext w:val="0"/>
        <w:keepLines w:val="0"/>
        <w:widowControl w:val="0"/>
        <w:shd w:val="clear" w:color="auto" w:fill="auto"/>
        <w:bidi w:val="0"/>
        <w:spacing w:before="0" w:after="80" w:line="311" w:lineRule="exact"/>
        <w:ind w:left="0" w:right="0" w:firstLine="440"/>
        <w:jc w:val="both"/>
      </w:pPr>
      <w:r>
        <w:rPr>
          <w:color w:val="000000"/>
          <w:spacing w:val="0"/>
          <w:w w:val="100"/>
          <w:position w:val="0"/>
        </w:rPr>
        <w:t>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 在合并财务报表中，对于购买日之前持有的被购买方的股权，按照该股权在购买日的公允价值进行重新计 量，公允价值与其账面价值的差额计入当期投资收益；购买日之前已经持有的被购买方的股权涉及其他综 合收益、其他所有者权益变动转为购买日当期收益，由于被投资方重新计量设定受益计划净负债或净资产 变动而产生的其他综合收益除外。</w:t>
      </w:r>
    </w:p>
    <w:p>
      <w:pPr>
        <w:pStyle w:val="Style70"/>
        <w:keepNext w:val="0"/>
        <w:keepLines w:val="0"/>
        <w:widowControl w:val="0"/>
        <w:numPr>
          <w:ilvl w:val="0"/>
          <w:numId w:val="11"/>
        </w:numPr>
        <w:shd w:val="clear" w:color="auto" w:fill="auto"/>
        <w:bidi w:val="0"/>
        <w:spacing w:before="0" w:after="0" w:line="324" w:lineRule="auto"/>
        <w:ind w:left="0" w:right="0" w:firstLine="440"/>
        <w:jc w:val="both"/>
      </w:pPr>
      <w:bookmarkStart w:id="710" w:name="bookmark710"/>
      <w:bookmarkEnd w:id="710"/>
      <w:r>
        <w:rPr>
          <w:color w:val="000000"/>
          <w:spacing w:val="0"/>
          <w:w w:val="100"/>
          <w:position w:val="0"/>
        </w:rPr>
        <w:t>企业合并中有关交易费用的处理</w:t>
      </w:r>
    </w:p>
    <w:p>
      <w:pPr>
        <w:pStyle w:val="Style70"/>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为进行企业合并发生的审计、法律服务、评估咨询等中介费用以及其他相关管理费用，于发生时计入 当期损益。作为合并对价发行的权益性证券或债务性证券的交易费用，计入权益性证券或债务性证券的初 始确认金额。</w:t>
      </w:r>
    </w:p>
    <w:p>
      <w:pPr>
        <w:pStyle w:val="Style33"/>
        <w:keepNext/>
        <w:keepLines/>
        <w:widowControl w:val="0"/>
        <w:shd w:val="clear" w:color="auto" w:fill="auto"/>
        <w:bidi w:val="0"/>
        <w:spacing w:before="0" w:after="300" w:line="324"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6</w:t>
      </w:r>
      <w:bookmarkEnd w:id="713"/>
      <w:r>
        <w:rPr>
          <w:color w:val="000000"/>
          <w:spacing w:val="0"/>
          <w:w w:val="100"/>
          <w:position w:val="0"/>
        </w:rPr>
        <w:t>、合并财务报表的编制方法</w:t>
      </w:r>
      <w:bookmarkEnd w:id="711"/>
      <w:bookmarkEnd w:id="712"/>
      <w:bookmarkEnd w:id="714"/>
    </w:p>
    <w:p>
      <w:pPr>
        <w:pStyle w:val="Style70"/>
        <w:keepNext w:val="0"/>
        <w:keepLines w:val="0"/>
        <w:widowControl w:val="0"/>
        <w:numPr>
          <w:ilvl w:val="0"/>
          <w:numId w:val="13"/>
        </w:numPr>
        <w:shd w:val="clear" w:color="auto" w:fill="auto"/>
        <w:bidi w:val="0"/>
        <w:spacing w:before="0" w:after="0" w:line="324" w:lineRule="auto"/>
        <w:ind w:left="0" w:right="0" w:firstLine="440"/>
        <w:jc w:val="both"/>
      </w:pPr>
      <w:bookmarkStart w:id="715" w:name="bookmark715"/>
      <w:bookmarkEnd w:id="715"/>
      <w:r>
        <w:rPr>
          <w:color w:val="000000"/>
          <w:spacing w:val="0"/>
          <w:w w:val="100"/>
          <w:position w:val="0"/>
        </w:rPr>
        <w:t>合并范围</w:t>
      </w:r>
    </w:p>
    <w:p>
      <w:pPr>
        <w:pStyle w:val="Style70"/>
        <w:keepNext w:val="0"/>
        <w:keepLines w:val="0"/>
        <w:widowControl w:val="0"/>
        <w:shd w:val="clear" w:color="auto" w:fill="auto"/>
        <w:bidi w:val="0"/>
        <w:spacing w:before="0" w:after="80" w:line="311" w:lineRule="exact"/>
        <w:ind w:left="0" w:right="0" w:firstLine="440"/>
        <w:jc w:val="both"/>
      </w:pPr>
      <w:r>
        <w:rPr>
          <w:color w:val="000000"/>
          <w:spacing w:val="0"/>
          <w:w w:val="100"/>
          <w:position w:val="0"/>
        </w:rPr>
        <w:t>合并财务报表的合并范围以控制为基础确定。控制是指本公司拥有对被投资方的权力，通过参与被投 资方的相关活动而享有可变回报，并且有能力运用对被投资方的权力影响该回报金额。合并范围包括本公 司及全部子公司。子公司，是指被本公司控制的主体</w:t>
      </w:r>
      <w:r>
        <w:rPr>
          <w:rFonts w:ascii="Times New Roman" w:eastAsia="Times New Roman" w:hAnsi="Times New Roman" w:cs="Times New Roman"/>
          <w:color w:val="000000"/>
          <w:spacing w:val="0"/>
          <w:w w:val="100"/>
          <w:position w:val="0"/>
        </w:rPr>
        <w:t>（</w:t>
      </w:r>
      <w:r>
        <w:rPr>
          <w:color w:val="000000"/>
          <w:spacing w:val="0"/>
          <w:w w:val="100"/>
          <w:position w:val="0"/>
        </w:rPr>
        <w:t>含企业、被投资单位中可分割的部分、结构化主体等</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70"/>
        <w:keepNext w:val="0"/>
        <w:keepLines w:val="0"/>
        <w:widowControl w:val="0"/>
        <w:numPr>
          <w:ilvl w:val="0"/>
          <w:numId w:val="9"/>
        </w:numPr>
        <w:shd w:val="clear" w:color="auto" w:fill="auto"/>
        <w:tabs>
          <w:tab w:pos="671" w:val="left"/>
        </w:tabs>
        <w:bidi w:val="0"/>
        <w:spacing w:before="0" w:after="0" w:line="324" w:lineRule="auto"/>
        <w:ind w:left="0" w:right="0" w:firstLine="440"/>
        <w:jc w:val="both"/>
      </w:pPr>
      <w:bookmarkStart w:id="716" w:name="bookmark716"/>
      <w:bookmarkEnd w:id="716"/>
      <w:r>
        <w:rPr>
          <w:color w:val="000000"/>
          <w:spacing w:val="0"/>
          <w:w w:val="100"/>
          <w:position w:val="0"/>
        </w:rPr>
        <w:t>.合并报表的编制方法</w:t>
      </w:r>
    </w:p>
    <w:p>
      <w:pPr>
        <w:pStyle w:val="Style7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本公司以自身和各子公司的财务报表为基础，根据其他有关资料，编制合并报表。本公司编制合并财 务报表，将整个企业集团视为一个会计主体，依据相关企业会计准则的确定、计量和列报要求，按照统一 的会计政策，反映本公司整体财务状况、经营成果和现金流量。</w:t>
      </w:r>
    </w:p>
    <w:p>
      <w:pPr>
        <w:pStyle w:val="Style7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合并财务报表时抵销本公司与各子公司、各子公司相互之间发生的内部交易和往来对合并资产负债 表、合并利润表、合并现金流量表、合并所有者权益变动表的影响。</w:t>
      </w:r>
    </w:p>
    <w:p>
      <w:pPr>
        <w:pStyle w:val="Style7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 xml:space="preserve">在报告期内因同一控制下企业合并增加的子公司以及业务，视同该子公司以及业务自同受最终控制方 控制之日起纳入本公司的合并范围，将其自同受最终控制方控制之日起的经营成果、现金流量分别纳入合 并利润表、合并现金流量表中。在报告期内，同时调整合并资产负债表的期初数，同时对比较报表的相关 </w:t>
      </w:r>
      <w:r>
        <w:rPr>
          <w:color w:val="000000"/>
          <w:spacing w:val="0"/>
          <w:w w:val="100"/>
          <w:position w:val="0"/>
        </w:rPr>
        <w:t>项目进行调整，视同合并后的报表主体自最终控制方开始控制时点起一直存在。</w:t>
      </w:r>
    </w:p>
    <w:p>
      <w:pPr>
        <w:pStyle w:val="Style7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本期若因非同一控制下企业合并增加子公司的，则不调整合并资产负债表期初数；以购买日可辨认净 资产公允价值为基础对其财务报表进行调整。将子公司自购买日至期末的收入、费用、利润纳入合并利润 表；该子公司自购买日至期末的现金流量纳入合并现金流量表。</w:t>
      </w:r>
    </w:p>
    <w:p>
      <w:pPr>
        <w:pStyle w:val="Style70"/>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子公司少数股东应占的权益、损益和当期综合收益中分别在合并资产负债表中所有者权益项目下、合 并利润表中净利润项目和综合收益总额项下单独列示。子公司少数股东分担的当期亏损超过了少数股东在 该子公司期初所有者权益中所享有份额而形成的余额，冲减少数股东权益。</w:t>
      </w:r>
    </w:p>
    <w:p>
      <w:pPr>
        <w:pStyle w:val="Style70"/>
        <w:keepNext w:val="0"/>
        <w:keepLines w:val="0"/>
        <w:widowControl w:val="0"/>
        <w:numPr>
          <w:ilvl w:val="0"/>
          <w:numId w:val="9"/>
        </w:numPr>
        <w:shd w:val="clear" w:color="auto" w:fill="auto"/>
        <w:tabs>
          <w:tab w:pos="662" w:val="left"/>
        </w:tabs>
        <w:bidi w:val="0"/>
        <w:spacing w:before="0" w:after="0" w:line="326" w:lineRule="auto"/>
        <w:ind w:left="0" w:right="0" w:firstLine="440"/>
        <w:jc w:val="both"/>
      </w:pPr>
      <w:bookmarkStart w:id="717" w:name="bookmark717"/>
      <w:bookmarkEnd w:id="717"/>
      <w:r>
        <w:rPr>
          <w:color w:val="000000"/>
          <w:spacing w:val="0"/>
          <w:w w:val="100"/>
          <w:position w:val="0"/>
        </w:rPr>
        <w:t>.购买少数股东股权及不丧失控制权的部分处置子公司股权</w:t>
      </w:r>
    </w:p>
    <w:p>
      <w:pPr>
        <w:pStyle w:val="Style70"/>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本公司因购买少数股权新取得的长期股权投资成本与按照新增持股比例计算应享有子公司自购买日 或合并日开始持续计算的净资产份额之间的差额，以及在不丧失控制权的情况下因部分处置对子公司的股 权投资而取得的处置价款与处置长期股权投资相对应享有子公司自购买日或合并日开始持续计算的净资 产份额之间的差额，均调整合并资产负债表中的资本公积中的股本溢价，资本公积中的股本溢价不足冲减 的，调整留存收益。</w:t>
      </w:r>
    </w:p>
    <w:p>
      <w:pPr>
        <w:pStyle w:val="Style70"/>
        <w:keepNext w:val="0"/>
        <w:keepLines w:val="0"/>
        <w:widowControl w:val="0"/>
        <w:numPr>
          <w:ilvl w:val="0"/>
          <w:numId w:val="11"/>
        </w:numPr>
        <w:shd w:val="clear" w:color="auto" w:fill="auto"/>
        <w:bidi w:val="0"/>
        <w:spacing w:before="0" w:after="0" w:line="326" w:lineRule="auto"/>
        <w:ind w:left="0" w:right="0" w:firstLine="440"/>
        <w:jc w:val="both"/>
      </w:pPr>
      <w:bookmarkStart w:id="718" w:name="bookmark718"/>
      <w:bookmarkEnd w:id="718"/>
      <w:r>
        <w:rPr>
          <w:color w:val="000000"/>
          <w:spacing w:val="0"/>
          <w:w w:val="100"/>
          <w:position w:val="0"/>
        </w:rPr>
        <w:t>丧失控制权的处置子公司股权</w:t>
      </w:r>
    </w:p>
    <w:p>
      <w:pPr>
        <w:pStyle w:val="Style70"/>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本期本公司处置子公司，则该子公司期初至处置日的收入、费用、利润纳入合并利润表；该子公司期 初至处置日的现金流量纳入合并现金流量表。因处置部分股权投资或其他原因丧失了对原有子公司控制权 时，对于处置后的剩余股权投资，本公司按照其在丧失控制权日的公允价值进行重新计量。处置股权取得 的对价与剩余股权公允价值之和，减去按原持股比例计算应享有原有子公司自购买日开始持续计算的净资 产的份额与商誉之和，形成的差额计入丧失控制权当期的投资收益。与原有子公司股权投资相关的其他综 合收益，在丧失控制权时采用被购买方直接处置相关资产和负债相同的基础进行会计处理</w:t>
      </w:r>
      <w:r>
        <w:rPr>
          <w:rFonts w:ascii="Times New Roman" w:eastAsia="Times New Roman" w:hAnsi="Times New Roman" w:cs="Times New Roman"/>
          <w:color w:val="000000"/>
          <w:spacing w:val="0"/>
          <w:w w:val="100"/>
          <w:position w:val="0"/>
        </w:rPr>
        <w:t>（</w:t>
      </w:r>
      <w:r>
        <w:rPr>
          <w:color w:val="000000"/>
          <w:spacing w:val="0"/>
          <w:w w:val="100"/>
          <w:position w:val="0"/>
        </w:rPr>
        <w:t>即除了在该原有 子公司重新计量设定受益计划外净负债或者净资产导致的变动以外，其余一并转入当期投资收益</w:t>
      </w:r>
      <w:r>
        <w:rPr>
          <w:rFonts w:ascii="Times New Roman" w:eastAsia="Times New Roman" w:hAnsi="Times New Roman" w:cs="Times New Roman"/>
          <w:color w:val="000000"/>
          <w:spacing w:val="0"/>
          <w:w w:val="100"/>
          <w:position w:val="0"/>
        </w:rPr>
        <w:t>）</w:t>
      </w:r>
      <w:r>
        <w:rPr>
          <w:color w:val="000000"/>
          <w:spacing w:val="0"/>
          <w:w w:val="100"/>
          <w:position w:val="0"/>
        </w:rPr>
        <w:t>。其后， 对该部分剩余股权按照《企业会计准则第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号一长期股权投资》或《企业会计准则第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 确认和计量》等相关规定进行后续计量。</w:t>
      </w:r>
    </w:p>
    <w:p>
      <w:pPr>
        <w:pStyle w:val="Style70"/>
        <w:keepNext w:val="0"/>
        <w:keepLines w:val="0"/>
        <w:widowControl w:val="0"/>
        <w:shd w:val="clear" w:color="auto" w:fill="auto"/>
        <w:bidi w:val="0"/>
        <w:spacing w:before="0" w:after="0" w:line="326" w:lineRule="auto"/>
        <w:ind w:left="0" w:right="0" w:firstLine="440"/>
        <w:jc w:val="both"/>
      </w:pPr>
      <w:r>
        <w:rPr>
          <w:rFonts w:ascii="Times New Roman" w:eastAsia="Times New Roman" w:hAnsi="Times New Roman" w:cs="Times New Roman"/>
          <w:color w:val="000000"/>
          <w:spacing w:val="0"/>
          <w:w w:val="100"/>
          <w:position w:val="0"/>
        </w:rPr>
        <w:t xml:space="preserve">5 </w:t>
      </w:r>
      <w:r>
        <w:rPr>
          <w:color w:val="000000"/>
          <w:spacing w:val="0"/>
          <w:w w:val="100"/>
          <w:position w:val="0"/>
        </w:rPr>
        <w:t>.分步处置对子公司股权投资至丧失控制权的处理</w:t>
      </w:r>
    </w:p>
    <w:p>
      <w:pPr>
        <w:pStyle w:val="Style7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本公司通过多次交易分步处置对子公司股权投资直至丧失控制权的，需区分处置对子公司股权投资直 至丧失控制权的各项交易是否属于一揽子交易。</w:t>
      </w:r>
    </w:p>
    <w:p>
      <w:pPr>
        <w:pStyle w:val="Style7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处置对子公司股权投资直至丧失控制权的各项交易属于一揽子交易的，将各项交易作为一项处置子公 司并丧失控制权的交易进行会计处理；但是，在丧失控制权之前每一次处置价款与处置投资对应的享有该 子公司净资产份额的差额，在合并财务报表中确认为其他综合收益，在丧失控制权时一并转入丧失控制权 当期的损益。</w:t>
      </w:r>
    </w:p>
    <w:p>
      <w:pPr>
        <w:pStyle w:val="Style70"/>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不属于一揽子交易的，对其中的每一项交易视情况分别按照</w:t>
      </w:r>
      <w:r>
        <w:rPr>
          <w:rFonts w:ascii="Times New Roman" w:eastAsia="Times New Roman" w:hAnsi="Times New Roman" w:cs="Times New Roman"/>
          <w:color w:val="000000"/>
          <w:spacing w:val="0"/>
          <w:w w:val="100"/>
          <w:position w:val="0"/>
        </w:rPr>
        <w:t>“</w:t>
      </w:r>
      <w:r>
        <w:rPr>
          <w:color w:val="000000"/>
          <w:spacing w:val="0"/>
          <w:w w:val="100"/>
          <w:position w:val="0"/>
        </w:rPr>
        <w:t>不丧失控制权的情况下部分处置对子公 司的长期股权投资</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因处置部分股权投资或其他原因丧失了对原有子公司的控制权</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详见前段</w:t>
      </w:r>
      <w:r>
        <w:rPr>
          <w:rFonts w:ascii="Times New Roman" w:eastAsia="Times New Roman" w:hAnsi="Times New Roman" w:cs="Times New Roman"/>
          <w:color w:val="000000"/>
          <w:spacing w:val="0"/>
          <w:w w:val="100"/>
          <w:position w:val="0"/>
        </w:rPr>
        <w:t>）</w:t>
      </w:r>
      <w:r>
        <w:rPr>
          <w:color w:val="000000"/>
          <w:spacing w:val="0"/>
          <w:w w:val="100"/>
          <w:position w:val="0"/>
        </w:rPr>
        <w:t>适用的 原则进行会计处理。即在丧失控制权之前每一次处置价款与处置投资对应的享有该子公司自购买日开始持 续计算的净资产账面价值份额之间的差额，作为权益性交易计入资本公积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。在丧失控制权时不 得转入丧失控制权当期的损益。</w:t>
      </w:r>
    </w:p>
    <w:p>
      <w:pPr>
        <w:pStyle w:val="Style33"/>
        <w:keepNext/>
        <w:keepLines/>
        <w:widowControl w:val="0"/>
        <w:shd w:val="clear" w:color="auto" w:fill="auto"/>
        <w:bidi w:val="0"/>
        <w:spacing w:before="0" w:after="200" w:line="326" w:lineRule="auto"/>
        <w:ind w:left="0" w:right="0" w:firstLine="0"/>
        <w:jc w:val="both"/>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7</w:t>
      </w:r>
      <w:bookmarkEnd w:id="721"/>
      <w:r>
        <w:rPr>
          <w:color w:val="000000"/>
          <w:spacing w:val="0"/>
          <w:w w:val="100"/>
          <w:position w:val="0"/>
        </w:rPr>
        <w:t>、合营安排分类及共同经营会计处理方法</w:t>
      </w:r>
      <w:bookmarkEnd w:id="719"/>
      <w:bookmarkEnd w:id="720"/>
      <w:bookmarkEnd w:id="722"/>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合营安排，是指一项由两个或两个以上的参与方共同控制的安排。本公司根据在合营安排中享有的权 利和承担的义务，将合营安排分为共同经营和合营企业。</w:t>
      </w:r>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合营企业，是指本公司仅对该安排的净资产享有权利的合营安排。本公司对合营企业的投资采用权益 法核算，按照本附注三</w:t>
      </w:r>
      <w:r>
        <w:rPr>
          <w:rFonts w:ascii="Times New Roman" w:eastAsia="Times New Roman" w:hAnsi="Times New Roman" w:cs="Times New Roman"/>
          <w:color w:val="000000"/>
          <w:spacing w:val="0"/>
          <w:w w:val="100"/>
          <w:position w:val="0"/>
        </w:rPr>
        <w:t>（</w:t>
      </w:r>
      <w:r>
        <w:rPr>
          <w:color w:val="000000"/>
          <w:spacing w:val="0"/>
          <w:w w:val="100"/>
          <w:position w:val="0"/>
        </w:rPr>
        <w:t>十四广权益法核算的长期股权投资</w:t>
      </w:r>
      <w:r>
        <w:rPr>
          <w:color w:val="000000"/>
          <w:spacing w:val="0"/>
          <w:w w:val="100"/>
          <w:position w:val="0"/>
        </w:rPr>
        <w:t>''</w:t>
      </w:r>
      <w:r>
        <w:rPr>
          <w:color w:val="000000"/>
          <w:spacing w:val="0"/>
          <w:w w:val="100"/>
          <w:position w:val="0"/>
        </w:rPr>
        <w:t>中所述的会计政策处理。</w:t>
      </w:r>
    </w:p>
    <w:p>
      <w:pPr>
        <w:pStyle w:val="Style70"/>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共同经营，是指本公司享有该安排相关资产且承担该安排相关负债的合营安排。本公司确认与共同经 营中利益份额相关的下列项目，并按照相关企业会计准则的规定进行会计处理：</w:t>
      </w:r>
    </w:p>
    <w:p>
      <w:pPr>
        <w:pStyle w:val="Style70"/>
        <w:keepNext w:val="0"/>
        <w:keepLines w:val="0"/>
        <w:widowControl w:val="0"/>
        <w:numPr>
          <w:ilvl w:val="0"/>
          <w:numId w:val="15"/>
        </w:numPr>
        <w:shd w:val="clear" w:color="auto" w:fill="auto"/>
        <w:tabs>
          <w:tab w:pos="833" w:val="left"/>
        </w:tabs>
        <w:bidi w:val="0"/>
        <w:spacing w:before="0" w:after="0" w:line="312" w:lineRule="exact"/>
        <w:ind w:left="0" w:right="0" w:firstLine="440"/>
        <w:jc w:val="left"/>
      </w:pPr>
      <w:bookmarkStart w:id="723" w:name="bookmark723"/>
      <w:bookmarkEnd w:id="723"/>
      <w:r>
        <w:rPr>
          <w:color w:val="000000"/>
          <w:spacing w:val="0"/>
          <w:w w:val="100"/>
          <w:position w:val="0"/>
        </w:rPr>
        <w:t>确认本公司单独所持有的资产，以及按本公司份额确认共同持有的资产；</w:t>
      </w:r>
    </w:p>
    <w:p>
      <w:pPr>
        <w:pStyle w:val="Style70"/>
        <w:keepNext w:val="0"/>
        <w:keepLines w:val="0"/>
        <w:widowControl w:val="0"/>
        <w:numPr>
          <w:ilvl w:val="0"/>
          <w:numId w:val="15"/>
        </w:numPr>
        <w:shd w:val="clear" w:color="auto" w:fill="auto"/>
        <w:tabs>
          <w:tab w:pos="833" w:val="left"/>
        </w:tabs>
        <w:bidi w:val="0"/>
        <w:spacing w:before="0" w:after="0" w:line="312" w:lineRule="exact"/>
        <w:ind w:left="0" w:right="0" w:firstLine="440"/>
        <w:jc w:val="left"/>
      </w:pPr>
      <w:bookmarkStart w:id="724" w:name="bookmark724"/>
      <w:bookmarkEnd w:id="724"/>
      <w:r>
        <w:rPr>
          <w:color w:val="000000"/>
          <w:spacing w:val="0"/>
          <w:w w:val="100"/>
          <w:position w:val="0"/>
        </w:rPr>
        <w:t>确认本公司单独所承担的负债，以及按本公司份额确认共同承担的负债；</w:t>
      </w:r>
    </w:p>
    <w:p>
      <w:pPr>
        <w:pStyle w:val="Style70"/>
        <w:keepNext w:val="0"/>
        <w:keepLines w:val="0"/>
        <w:widowControl w:val="0"/>
        <w:numPr>
          <w:ilvl w:val="0"/>
          <w:numId w:val="15"/>
        </w:numPr>
        <w:shd w:val="clear" w:color="auto" w:fill="auto"/>
        <w:tabs>
          <w:tab w:pos="833" w:val="left"/>
        </w:tabs>
        <w:bidi w:val="0"/>
        <w:spacing w:before="0" w:after="0" w:line="312" w:lineRule="exact"/>
        <w:ind w:left="0" w:right="0" w:firstLine="440"/>
        <w:jc w:val="left"/>
      </w:pPr>
      <w:bookmarkStart w:id="725" w:name="bookmark725"/>
      <w:bookmarkEnd w:id="725"/>
      <w:r>
        <w:rPr>
          <w:color w:val="000000"/>
          <w:spacing w:val="0"/>
          <w:w w:val="100"/>
          <w:position w:val="0"/>
        </w:rPr>
        <w:t>确认出售本公司享有的共同经营产出份额所产生的收入；</w:t>
      </w:r>
    </w:p>
    <w:p>
      <w:pPr>
        <w:pStyle w:val="Style70"/>
        <w:keepNext w:val="0"/>
        <w:keepLines w:val="0"/>
        <w:widowControl w:val="0"/>
        <w:numPr>
          <w:ilvl w:val="0"/>
          <w:numId w:val="15"/>
        </w:numPr>
        <w:shd w:val="clear" w:color="auto" w:fill="auto"/>
        <w:tabs>
          <w:tab w:pos="833" w:val="left"/>
        </w:tabs>
        <w:bidi w:val="0"/>
        <w:spacing w:before="0" w:after="60" w:line="312" w:lineRule="exact"/>
        <w:ind w:left="0" w:right="0" w:firstLine="440"/>
        <w:jc w:val="left"/>
      </w:pPr>
      <w:bookmarkStart w:id="726" w:name="bookmark726"/>
      <w:bookmarkEnd w:id="726"/>
      <w:r>
        <w:rPr>
          <w:color w:val="000000"/>
          <w:spacing w:val="0"/>
          <w:w w:val="100"/>
          <w:position w:val="0"/>
        </w:rPr>
        <w:t>按本公司份额确认共同经营因出售产出所产生的收入；</w:t>
      </w:r>
    </w:p>
    <w:p>
      <w:pPr>
        <w:pStyle w:val="Style70"/>
        <w:keepNext w:val="0"/>
        <w:keepLines w:val="0"/>
        <w:widowControl w:val="0"/>
        <w:numPr>
          <w:ilvl w:val="0"/>
          <w:numId w:val="15"/>
        </w:numPr>
        <w:shd w:val="clear" w:color="auto" w:fill="auto"/>
        <w:tabs>
          <w:tab w:pos="833" w:val="left"/>
        </w:tabs>
        <w:bidi w:val="0"/>
        <w:spacing w:before="0" w:after="0" w:line="240" w:lineRule="auto"/>
        <w:ind w:left="0" w:right="0" w:firstLine="440"/>
        <w:jc w:val="left"/>
      </w:pPr>
      <w:bookmarkStart w:id="727" w:name="bookmark727"/>
      <w:bookmarkEnd w:id="727"/>
      <w:r>
        <w:rPr>
          <w:color w:val="000000"/>
          <w:spacing w:val="0"/>
          <w:w w:val="100"/>
          <w:position w:val="0"/>
        </w:rPr>
        <w:t>确认单独所发生的费用，以及按本公司份额确认共同经营发生的费用。</w:t>
      </w:r>
    </w:p>
    <w:p>
      <w:pPr>
        <w:pStyle w:val="Style70"/>
        <w:keepNext w:val="0"/>
        <w:keepLines w:val="0"/>
        <w:widowControl w:val="0"/>
        <w:shd w:val="clear" w:color="auto" w:fill="auto"/>
        <w:bidi w:val="0"/>
        <w:spacing w:before="0" w:after="300" w:line="322" w:lineRule="exact"/>
        <w:ind w:left="0" w:right="0" w:firstLine="440"/>
        <w:jc w:val="both"/>
      </w:pPr>
      <w:r>
        <w:rPr>
          <w:color w:val="000000"/>
          <w:spacing w:val="0"/>
          <w:w w:val="100"/>
          <w:position w:val="0"/>
        </w:rPr>
        <w:t>当本公司作为合营方向共同经营投出或出售资产</w:t>
      </w:r>
      <w:r>
        <w:rPr>
          <w:rFonts w:ascii="Times New Roman" w:eastAsia="Times New Roman" w:hAnsi="Times New Roman" w:cs="Times New Roman"/>
          <w:color w:val="000000"/>
          <w:spacing w:val="0"/>
          <w:w w:val="100"/>
          <w:position w:val="0"/>
        </w:rPr>
        <w:t>(</w:t>
      </w:r>
      <w:r>
        <w:rPr>
          <w:color w:val="000000"/>
          <w:spacing w:val="0"/>
          <w:w w:val="100"/>
          <w:position w:val="0"/>
        </w:rPr>
        <w:t>该资产不构成业务，下同</w:t>
      </w:r>
      <w:r>
        <w:rPr>
          <w:rFonts w:ascii="Times New Roman" w:eastAsia="Times New Roman" w:hAnsi="Times New Roman" w:cs="Times New Roman"/>
          <w:color w:val="000000"/>
          <w:spacing w:val="0"/>
          <w:w w:val="100"/>
          <w:position w:val="0"/>
        </w:rPr>
        <w:t>)</w:t>
      </w:r>
      <w:r>
        <w:rPr>
          <w:color w:val="000000"/>
          <w:spacing w:val="0"/>
          <w:w w:val="100"/>
          <w:position w:val="0"/>
        </w:rPr>
        <w:t>或者自共同经营购买资产 时，在该等资产出售给第三方之前，本公司仅确认因该项交易产生的损益中属于共同经营其他参与方的部 分。该等资产发生符合《企业会计准则第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号——资产减值》等规定的资产减值损失的，对于由于本公司 向共同经营投出或者出售资产的情况，本公司全额确认损失；对于本公司自共同经营购买资产的情况，本 公司按承担的份额确认该损失。</w:t>
      </w:r>
    </w:p>
    <w:p>
      <w:pPr>
        <w:pStyle w:val="Style33"/>
        <w:keepNext/>
        <w:keepLines/>
        <w:widowControl w:val="0"/>
        <w:shd w:val="clear" w:color="auto" w:fill="auto"/>
        <w:tabs>
          <w:tab w:pos="345" w:val="left"/>
        </w:tabs>
        <w:bidi w:val="0"/>
        <w:spacing w:before="0" w:after="300" w:line="312" w:lineRule="exact"/>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8</w:t>
      </w:r>
      <w:bookmarkEnd w:id="730"/>
      <w:r>
        <w:rPr>
          <w:color w:val="000000"/>
          <w:spacing w:val="0"/>
          <w:w w:val="100"/>
          <w:position w:val="0"/>
        </w:rPr>
        <w:t>、</w:t>
        <w:tab/>
        <w:t>现金及现金等价物的确定标准</w:t>
      </w:r>
      <w:bookmarkEnd w:id="728"/>
      <w:bookmarkEnd w:id="729"/>
      <w:bookmarkEnd w:id="731"/>
    </w:p>
    <w:p>
      <w:pPr>
        <w:pStyle w:val="Style70"/>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在编制现金流量表时，将本公司库存现金及可以随时用于支付的存款确认为现金。现金等价物是指企 业持有的期限短</w:t>
      </w:r>
      <w:r>
        <w:rPr>
          <w:rFonts w:ascii="Times New Roman" w:eastAsia="Times New Roman" w:hAnsi="Times New Roman" w:cs="Times New Roman"/>
          <w:color w:val="000000"/>
          <w:spacing w:val="0"/>
          <w:w w:val="100"/>
          <w:position w:val="0"/>
        </w:rPr>
        <w:t>(</w:t>
      </w:r>
      <w:r>
        <w:rPr>
          <w:color w:val="000000"/>
          <w:spacing w:val="0"/>
          <w:w w:val="100"/>
          <w:position w:val="0"/>
        </w:rPr>
        <w:t>一般是指从购买日起</w:t>
      </w:r>
      <w:r>
        <w:rPr>
          <w:rFonts w:ascii="Times New Roman" w:eastAsia="Times New Roman" w:hAnsi="Times New Roman" w:cs="Times New Roman"/>
          <w:color w:val="000000"/>
          <w:spacing w:val="0"/>
          <w:w w:val="100"/>
          <w:position w:val="0"/>
        </w:rPr>
        <w:t>3</w:t>
      </w:r>
      <w:r>
        <w:rPr>
          <w:color w:val="000000"/>
          <w:spacing w:val="0"/>
          <w:w w:val="100"/>
          <w:position w:val="0"/>
        </w:rPr>
        <w:t>个月内到期</w:t>
      </w:r>
      <w:r>
        <w:rPr>
          <w:rFonts w:ascii="Times New Roman" w:eastAsia="Times New Roman" w:hAnsi="Times New Roman" w:cs="Times New Roman"/>
          <w:color w:val="000000"/>
          <w:spacing w:val="0"/>
          <w:w w:val="100"/>
          <w:position w:val="0"/>
        </w:rPr>
        <w:t>)</w:t>
      </w:r>
      <w:r>
        <w:rPr>
          <w:color w:val="000000"/>
          <w:spacing w:val="0"/>
          <w:w w:val="100"/>
          <w:position w:val="0"/>
        </w:rPr>
        <w:t>、流动性强、易于转换为已知金额现金、价值变动风险 很小的投资。</w:t>
      </w:r>
    </w:p>
    <w:p>
      <w:pPr>
        <w:pStyle w:val="Style33"/>
        <w:keepNext/>
        <w:keepLines/>
        <w:widowControl w:val="0"/>
        <w:shd w:val="clear" w:color="auto" w:fill="auto"/>
        <w:tabs>
          <w:tab w:pos="345" w:val="left"/>
        </w:tabs>
        <w:bidi w:val="0"/>
        <w:spacing w:before="0" w:after="300" w:line="312" w:lineRule="exact"/>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9</w:t>
      </w:r>
      <w:bookmarkEnd w:id="734"/>
      <w:r>
        <w:rPr>
          <w:color w:val="000000"/>
          <w:spacing w:val="0"/>
          <w:w w:val="100"/>
          <w:position w:val="0"/>
        </w:rPr>
        <w:t>、</w:t>
        <w:tab/>
        <w:t>外币业务和外币报表折算</w:t>
      </w:r>
      <w:bookmarkEnd w:id="732"/>
      <w:bookmarkEnd w:id="733"/>
      <w:bookmarkEnd w:id="735"/>
    </w:p>
    <w:p>
      <w:pPr>
        <w:pStyle w:val="Style70"/>
        <w:keepNext w:val="0"/>
        <w:keepLines w:val="0"/>
        <w:widowControl w:val="0"/>
        <w:numPr>
          <w:ilvl w:val="0"/>
          <w:numId w:val="17"/>
        </w:numPr>
        <w:shd w:val="clear" w:color="auto" w:fill="auto"/>
        <w:tabs>
          <w:tab w:pos="746" w:val="left"/>
        </w:tabs>
        <w:bidi w:val="0"/>
        <w:spacing w:before="0" w:after="0" w:line="312" w:lineRule="exact"/>
        <w:ind w:left="0" w:right="0" w:firstLine="440"/>
        <w:jc w:val="both"/>
      </w:pPr>
      <w:bookmarkStart w:id="736" w:name="bookmark736"/>
      <w:bookmarkEnd w:id="736"/>
      <w:r>
        <w:rPr>
          <w:color w:val="000000"/>
          <w:spacing w:val="0"/>
          <w:w w:val="100"/>
          <w:position w:val="0"/>
        </w:rPr>
        <w:t>外币交易业务</w:t>
      </w:r>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对发生的外币业务，采用交易发生日的即期汇率</w:t>
      </w:r>
      <w:r>
        <w:rPr>
          <w:rFonts w:ascii="Times New Roman" w:eastAsia="Times New Roman" w:hAnsi="Times New Roman" w:cs="Times New Roman"/>
          <w:color w:val="000000"/>
          <w:spacing w:val="0"/>
          <w:w w:val="100"/>
          <w:position w:val="0"/>
        </w:rPr>
        <w:t>(</w:t>
      </w:r>
      <w:r>
        <w:rPr>
          <w:color w:val="000000"/>
          <w:spacing w:val="0"/>
          <w:w w:val="100"/>
          <w:position w:val="0"/>
        </w:rPr>
        <w:t>通常指中国人民银行公布的当日外汇牌价的中间价， 下同</w:t>
      </w:r>
      <w:r>
        <w:rPr>
          <w:rFonts w:ascii="Times New Roman" w:eastAsia="Times New Roman" w:hAnsi="Times New Roman" w:cs="Times New Roman"/>
          <w:color w:val="000000"/>
          <w:spacing w:val="0"/>
          <w:w w:val="100"/>
          <w:position w:val="0"/>
        </w:rPr>
        <w:t>)</w:t>
      </w:r>
      <w:r>
        <w:rPr>
          <w:color w:val="000000"/>
          <w:spacing w:val="0"/>
          <w:w w:val="100"/>
          <w:position w:val="0"/>
        </w:rPr>
        <w:t>、当期加权平均汇率折合人民币记账。但公司发生的外币兑换业务或涉及外币兑换的交易事项，按照 实际采用的汇率折算为记账本位币金额。</w:t>
      </w:r>
    </w:p>
    <w:p>
      <w:pPr>
        <w:pStyle w:val="Style70"/>
        <w:keepNext w:val="0"/>
        <w:keepLines w:val="0"/>
        <w:widowControl w:val="0"/>
        <w:numPr>
          <w:ilvl w:val="0"/>
          <w:numId w:val="17"/>
        </w:numPr>
        <w:shd w:val="clear" w:color="auto" w:fill="auto"/>
        <w:tabs>
          <w:tab w:pos="766" w:val="left"/>
        </w:tabs>
        <w:bidi w:val="0"/>
        <w:spacing w:before="0" w:after="0" w:line="312" w:lineRule="exact"/>
        <w:ind w:left="0" w:right="0" w:firstLine="440"/>
        <w:jc w:val="both"/>
      </w:pPr>
      <w:bookmarkStart w:id="737" w:name="bookmark737"/>
      <w:bookmarkEnd w:id="737"/>
      <w:r>
        <w:rPr>
          <w:color w:val="000000"/>
          <w:spacing w:val="0"/>
          <w:w w:val="100"/>
          <w:position w:val="0"/>
        </w:rPr>
        <w:t>外币货币性项目和非货币性项目的折算方法</w:t>
      </w:r>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资产负债表日，对于外币货币性项目采用资产负债表日即期汇率折算，由此产生的汇兑差额，除① 属于与购建符合资本化条件的资产相关的外币专门借款产生的汇兑差额按照借款费用资本化的原则处理； ②用于境外经营净投资有效套期的套期工具的汇兑差额</w:t>
      </w:r>
      <w:r>
        <w:rPr>
          <w:rFonts w:ascii="Times New Roman" w:eastAsia="Times New Roman" w:hAnsi="Times New Roman" w:cs="Times New Roman"/>
          <w:color w:val="000000"/>
          <w:spacing w:val="0"/>
          <w:w w:val="100"/>
          <w:position w:val="0"/>
        </w:rPr>
        <w:t>(</w:t>
      </w:r>
      <w:r>
        <w:rPr>
          <w:color w:val="000000"/>
          <w:spacing w:val="0"/>
          <w:w w:val="100"/>
          <w:position w:val="0"/>
        </w:rPr>
        <w:t>该差额计入其他综合收益，直至净投资被处置才被 确认为当期损益</w:t>
      </w:r>
      <w:r>
        <w:rPr>
          <w:rFonts w:ascii="Times New Roman" w:eastAsia="Times New Roman" w:hAnsi="Times New Roman" w:cs="Times New Roman"/>
          <w:color w:val="000000"/>
          <w:spacing w:val="0"/>
          <w:w w:val="100"/>
          <w:position w:val="0"/>
        </w:rPr>
        <w:t>)</w:t>
      </w:r>
      <w:r>
        <w:rPr>
          <w:color w:val="000000"/>
          <w:spacing w:val="0"/>
          <w:w w:val="100"/>
          <w:position w:val="0"/>
        </w:rPr>
        <w:t>；以及③可供出售的外币货币性项目除摊余成本之外的其他账面余额变动产生的汇兑差额 计入其他综合收益之外，均计入当期损益。</w:t>
      </w:r>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以历史成本计量的外币非货币性项目，仍采用交易发生日的即期汇率折算的记账本位币金额计量。以 公允价值计量的外币非货币性项目，采用公允价值确定日的即期汇率折算，折算后的记账本位币金额与原 记账本位币金额的差额，计入当期损益。</w:t>
      </w:r>
    </w:p>
    <w:p>
      <w:pPr>
        <w:pStyle w:val="Style70"/>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.外币报表折算</w:t>
      </w:r>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润''项目外，其他项目采用发生时的即期汇率折算；利润表中的收入和费用项目，采用交易发生日的当期 加权平均汇率折算；年初未分配利润为上一年折算后的年末未分配利润；年末未分配利润按折算后的利润 分配各项目计算列示；按照上述折算产生的外币财务报表折算差额，在资产负债表股东权益项目下的</w:t>
      </w:r>
      <w:r>
        <w:rPr>
          <w:rFonts w:ascii="Times New Roman" w:eastAsia="Times New Roman" w:hAnsi="Times New Roman" w:cs="Times New Roman"/>
          <w:color w:val="000000"/>
          <w:spacing w:val="0"/>
          <w:w w:val="100"/>
          <w:position w:val="0"/>
        </w:rPr>
        <w:t>“</w:t>
      </w:r>
      <w:r>
        <w:rPr>
          <w:color w:val="000000"/>
          <w:spacing w:val="0"/>
          <w:w w:val="100"/>
          <w:position w:val="0"/>
        </w:rPr>
        <w:t>其 他综合收益''项目反映。处置境外经营并丧失控制权时，将资产负债表中股东权益项目下列示的、与该境 外经营相关的外币报表折算差额，全部或按处置该境外经营的比例转入处置当期损益。在处置部分股权投 资或其他原因导致持有境外经营权益比例降低但不丧失对境外经营控制权时，与该境外经营处置部分相关 的外币报表折算差额将归属于少数股东权益，不转入当期损益。</w:t>
      </w:r>
    </w:p>
    <w:p>
      <w:pPr>
        <w:pStyle w:val="Style70"/>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现金流量表采用现金流量发生日的当期加权平均汇率折算。汇率变动对现金的影响额作为调节项目， 在现金流量表中单独列示</w:t>
      </w:r>
      <w:r>
        <w:rPr>
          <w:rFonts w:ascii="Times New Roman" w:eastAsia="Times New Roman" w:hAnsi="Times New Roman" w:cs="Times New Roman"/>
          <w:color w:val="000000"/>
          <w:spacing w:val="0"/>
          <w:w w:val="100"/>
          <w:position w:val="0"/>
        </w:rPr>
        <w:t>“</w:t>
      </w:r>
      <w:r>
        <w:rPr>
          <w:color w:val="000000"/>
          <w:spacing w:val="0"/>
          <w:w w:val="100"/>
          <w:position w:val="0"/>
        </w:rPr>
        <w:t>汇率变动对现金及现金等价物的影响''项目反映。</w:t>
      </w:r>
    </w:p>
    <w:p>
      <w:pPr>
        <w:pStyle w:val="Style33"/>
        <w:keepNext/>
        <w:keepLines/>
        <w:widowControl w:val="0"/>
        <w:shd w:val="clear" w:color="auto" w:fill="auto"/>
        <w:bidi w:val="0"/>
        <w:spacing w:before="0" w:after="280" w:line="312" w:lineRule="exact"/>
        <w:ind w:left="0" w:right="0" w:firstLine="0"/>
        <w:jc w:val="both"/>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1</w:t>
      </w:r>
      <w:bookmarkEnd w:id="740"/>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38"/>
      <w:bookmarkEnd w:id="739"/>
      <w:bookmarkEnd w:id="741"/>
    </w:p>
    <w:p>
      <w:pPr>
        <w:pStyle w:val="Style7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金融工具是指形成一个企业的金融资产，并形成其他单位的金融负债或者权益工具的合同。金融工具 包括金融资产、金融负债和权益工具。金融资产和金融负债在初始确认时以公允价值计量。对于以公允价 值计量且其变动计入当期损益的金融资产和金融负债，相关的交易费用直接计入损益，对于其他类别的金 融资产和金融负债，相关交易费用计入初始确认金额。</w:t>
      </w:r>
    </w:p>
    <w:p>
      <w:pPr>
        <w:pStyle w:val="Style70"/>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.金融资产的分类、确认和计量</w:t>
      </w:r>
    </w:p>
    <w:p>
      <w:pPr>
        <w:pStyle w:val="Style7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以常规方式买卖金融资产，按交易日进行会计确认和终止确认。金融资产在初始确认时划分为以公允 价值计量且其变动计入当期损益的金融资产、持有至到期投资、贷款和应收款项以及可供出售金融资产。</w:t>
      </w:r>
    </w:p>
    <w:p>
      <w:pPr>
        <w:pStyle w:val="Style70"/>
        <w:keepNext w:val="0"/>
        <w:keepLines w:val="0"/>
        <w:widowControl w:val="0"/>
        <w:shd w:val="clear" w:color="auto" w:fill="auto"/>
        <w:tabs>
          <w:tab w:pos="822" w:val="left"/>
        </w:tabs>
        <w:bidi w:val="0"/>
        <w:spacing w:before="0" w:after="0" w:line="313" w:lineRule="exact"/>
        <w:ind w:left="0" w:right="0" w:firstLine="440"/>
        <w:jc w:val="both"/>
      </w:pPr>
      <w:bookmarkStart w:id="742" w:name="bookmark742"/>
      <w:r>
        <w:rPr>
          <w:rFonts w:ascii="Times New Roman" w:eastAsia="Times New Roman" w:hAnsi="Times New Roman" w:cs="Times New Roman"/>
          <w:color w:val="000000"/>
          <w:spacing w:val="0"/>
          <w:w w:val="100"/>
          <w:position w:val="0"/>
        </w:rPr>
        <w:t>（</w:t>
      </w:r>
      <w:bookmarkEnd w:id="742"/>
      <w:r>
        <w:rPr>
          <w:rFonts w:ascii="Times New Roman" w:eastAsia="Times New Roman" w:hAnsi="Times New Roman" w:cs="Times New Roman"/>
          <w:color w:val="000000"/>
          <w:spacing w:val="0"/>
          <w:w w:val="100"/>
          <w:position w:val="0"/>
        </w:rPr>
        <w:t>1）</w:t>
        <w:tab/>
      </w:r>
      <w:r>
        <w:rPr>
          <w:color w:val="000000"/>
          <w:spacing w:val="0"/>
          <w:w w:val="100"/>
          <w:position w:val="0"/>
        </w:rPr>
        <w:t>以公允价值计量且其变动计入当期损益的金融资产</w:t>
      </w:r>
    </w:p>
    <w:p>
      <w:pPr>
        <w:pStyle w:val="Style7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包括交易性金融资产和指定为以公允价值计量且其变动计入当期损益的金融资产。</w:t>
      </w:r>
    </w:p>
    <w:p>
      <w:pPr>
        <w:pStyle w:val="Style7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交易性金融资产是指满足下列条件之一的金融资产：</w:t>
      </w:r>
      <w:r>
        <w:rPr>
          <w:rFonts w:ascii="Times New Roman" w:eastAsia="Times New Roman" w:hAnsi="Times New Roman" w:cs="Times New Roman"/>
          <w:color w:val="000000"/>
          <w:spacing w:val="0"/>
          <w:w w:val="100"/>
          <w:position w:val="0"/>
        </w:rPr>
        <w:t>1）</w:t>
      </w:r>
      <w:r>
        <w:rPr>
          <w:color w:val="000000"/>
          <w:spacing w:val="0"/>
          <w:w w:val="100"/>
          <w:position w:val="0"/>
        </w:rPr>
        <w:t>取得该金融资产的目的，主要是为了近期内出 售；</w:t>
      </w:r>
      <w:r>
        <w:rPr>
          <w:rFonts w:ascii="Times New Roman" w:eastAsia="Times New Roman" w:hAnsi="Times New Roman" w:cs="Times New Roman"/>
          <w:color w:val="000000"/>
          <w:spacing w:val="0"/>
          <w:w w:val="100"/>
          <w:position w:val="0"/>
        </w:rPr>
        <w:t>2）</w:t>
      </w:r>
      <w:r>
        <w:rPr>
          <w:color w:val="000000"/>
          <w:spacing w:val="0"/>
          <w:w w:val="100"/>
          <w:position w:val="0"/>
        </w:rPr>
        <w:t>属于进行集中管理的可辨认金融工具组合的一部分，且有客观证据表明本公司近期采用短期获利方 式对该组合进行管理；</w:t>
      </w:r>
      <w:r>
        <w:rPr>
          <w:rFonts w:ascii="Times New Roman" w:eastAsia="Times New Roman" w:hAnsi="Times New Roman" w:cs="Times New Roman"/>
          <w:color w:val="000000"/>
          <w:spacing w:val="0"/>
          <w:w w:val="100"/>
          <w:position w:val="0"/>
        </w:rPr>
        <w:t>3）</w:t>
      </w:r>
      <w:r>
        <w:rPr>
          <w:color w:val="000000"/>
          <w:spacing w:val="0"/>
          <w:w w:val="100"/>
          <w:position w:val="0"/>
        </w:rPr>
        <w:t>属于衍生工具，但是，被指定且为有效套期工具的衍生工具、属于财务担保合同 的衍生工具、与在活跃市场中没有报价且其公允价值不能可靠计量的权益工具投资挂钩并须通过交付该权 益工具结算的衍生工具除外。</w:t>
      </w:r>
    </w:p>
    <w:p>
      <w:pPr>
        <w:pStyle w:val="Style7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符合下述条件之一的金融资产，在初始确认时可指定为以公允价值计量且其变动计入当期损益的金融 资产：</w:t>
      </w:r>
      <w:r>
        <w:rPr>
          <w:rFonts w:ascii="Times New Roman" w:eastAsia="Times New Roman" w:hAnsi="Times New Roman" w:cs="Times New Roman"/>
          <w:color w:val="000000"/>
          <w:spacing w:val="0"/>
          <w:w w:val="100"/>
          <w:position w:val="0"/>
        </w:rPr>
        <w:t>1）</w:t>
      </w:r>
      <w:r>
        <w:rPr>
          <w:color w:val="000000"/>
          <w:spacing w:val="0"/>
          <w:w w:val="100"/>
          <w:position w:val="0"/>
        </w:rPr>
        <w:t>该指定可以消除或明显减少由于该金融资产的计量基础不同所导致的相关利得或损失在确认或计 量方面不一致的情况；</w:t>
      </w:r>
      <w:r>
        <w:rPr>
          <w:rFonts w:ascii="Times New Roman" w:eastAsia="Times New Roman" w:hAnsi="Times New Roman" w:cs="Times New Roman"/>
          <w:color w:val="000000"/>
          <w:spacing w:val="0"/>
          <w:w w:val="100"/>
          <w:position w:val="0"/>
        </w:rPr>
        <w:t>2）</w:t>
      </w:r>
      <w:r>
        <w:rPr>
          <w:color w:val="000000"/>
          <w:spacing w:val="0"/>
          <w:w w:val="100"/>
          <w:position w:val="0"/>
        </w:rPr>
        <w:t>本公司风险管理或投资策略的正式书面文件已载明，对该金融资产所在的金融资 产组合或金融资产和金融负债组合以公允价值为基础进行管理、评价并向关键管理人员报告。</w:t>
      </w:r>
    </w:p>
    <w:p>
      <w:pPr>
        <w:pStyle w:val="Style70"/>
        <w:keepNext w:val="0"/>
        <w:keepLines w:val="0"/>
        <w:widowControl w:val="0"/>
        <w:shd w:val="clear" w:color="auto" w:fill="auto"/>
        <w:bidi w:val="0"/>
        <w:spacing w:before="0" w:after="0" w:line="266" w:lineRule="exact"/>
        <w:ind w:left="0" w:right="0" w:firstLine="440"/>
        <w:jc w:val="both"/>
        <w:rPr>
          <w:sz w:val="17"/>
          <w:szCs w:val="17"/>
        </w:rPr>
      </w:pPr>
      <w:r>
        <w:rPr>
          <w:color w:val="000000"/>
          <w:spacing w:val="0"/>
          <w:w w:val="100"/>
          <w:position w:val="0"/>
          <w:sz w:val="20"/>
          <w:szCs w:val="20"/>
        </w:rPr>
        <w:t>以公允价值计量且其变动计入当期损益的金融资产取得时以公允价值</w:t>
      </w:r>
      <w:r>
        <w:rPr>
          <w:rFonts w:ascii="SimHei" w:eastAsia="SimHei" w:hAnsi="SimHei" w:cs="SimHei"/>
          <w:color w:val="000000"/>
          <w:spacing w:val="0"/>
          <w:w w:val="100"/>
          <w:position w:val="0"/>
          <w:sz w:val="20"/>
          <w:szCs w:val="20"/>
        </w:rPr>
        <w:t>（</w:t>
      </w:r>
      <w:r>
        <w:rPr>
          <w:color w:val="000000"/>
          <w:spacing w:val="0"/>
          <w:w w:val="100"/>
          <w:position w:val="0"/>
          <w:sz w:val="20"/>
          <w:szCs w:val="20"/>
        </w:rPr>
        <w:t>扣除已宣告但尚未发放的现金 股利或已付息期但尚未领取的债券利息</w:t>
      </w:r>
      <w:r>
        <w:rPr>
          <w:rFonts w:ascii="SimHei" w:eastAsia="SimHei" w:hAnsi="SimHei" w:cs="SimHei"/>
          <w:color w:val="000000"/>
          <w:spacing w:val="0"/>
          <w:w w:val="100"/>
          <w:position w:val="0"/>
          <w:sz w:val="20"/>
          <w:szCs w:val="20"/>
        </w:rPr>
        <w:t>）</w:t>
      </w:r>
      <w:r>
        <w:rPr>
          <w:color w:val="000000"/>
          <w:spacing w:val="0"/>
          <w:w w:val="100"/>
          <w:position w:val="0"/>
          <w:sz w:val="20"/>
          <w:szCs w:val="20"/>
        </w:rPr>
        <w:t xml:space="preserve">作为初始确认金额，相关的交易费用计入当期损益。采用公允价值 进行后续计量，公允价值变动形成的利得或损失以及与该等金融资产相关的股利和利息收入计入当期损 </w:t>
      </w:r>
      <w:r>
        <w:rPr>
          <w:rFonts w:ascii="SimHei" w:eastAsia="SimHei" w:hAnsi="SimHei" w:cs="SimHei"/>
          <w:color w:val="000000"/>
          <w:spacing w:val="0"/>
          <w:w w:val="100"/>
          <w:position w:val="0"/>
          <w:sz w:val="20"/>
          <w:szCs w:val="20"/>
          <w:u w:val="single"/>
        </w:rPr>
        <w:t>、</w:t>
      </w:r>
      <w:r>
        <w:rPr>
          <w:i/>
          <w:iCs/>
          <w:color w:val="000000"/>
          <w:spacing w:val="0"/>
          <w:w w:val="100"/>
          <w:position w:val="0"/>
          <w:sz w:val="17"/>
          <w:szCs w:val="17"/>
          <w:u w:val="single"/>
        </w:rPr>
        <w:t>八</w:t>
      </w:r>
    </w:p>
    <w:p>
      <w:pPr>
        <w:pStyle w:val="Style70"/>
        <w:keepNext w:val="0"/>
        <w:keepLines w:val="0"/>
        <w:widowControl w:val="0"/>
        <w:shd w:val="clear" w:color="auto" w:fill="auto"/>
        <w:bidi w:val="0"/>
        <w:spacing w:before="0" w:after="0" w:line="312" w:lineRule="exact"/>
        <w:ind w:left="0" w:right="0" w:firstLine="0"/>
        <w:jc w:val="both"/>
      </w:pPr>
      <w:r>
        <w:rPr>
          <w:color w:val="000000"/>
          <w:spacing w:val="0"/>
          <w:w w:val="100"/>
          <w:position w:val="0"/>
        </w:rPr>
        <w:t>益。</w:t>
      </w:r>
    </w:p>
    <w:p>
      <w:pPr>
        <w:pStyle w:val="Style70"/>
        <w:keepNext w:val="0"/>
        <w:keepLines w:val="0"/>
        <w:widowControl w:val="0"/>
        <w:shd w:val="clear" w:color="auto" w:fill="auto"/>
        <w:tabs>
          <w:tab w:pos="822" w:val="left"/>
        </w:tabs>
        <w:bidi w:val="0"/>
        <w:spacing w:before="0" w:after="0" w:line="312" w:lineRule="exact"/>
        <w:ind w:left="0" w:right="0" w:firstLine="440"/>
        <w:jc w:val="both"/>
      </w:pPr>
      <w:bookmarkStart w:id="743" w:name="bookmark743"/>
      <w:r>
        <w:rPr>
          <w:rFonts w:ascii="Times New Roman" w:eastAsia="Times New Roman" w:hAnsi="Times New Roman" w:cs="Times New Roman"/>
          <w:color w:val="000000"/>
          <w:spacing w:val="0"/>
          <w:w w:val="100"/>
          <w:position w:val="0"/>
        </w:rPr>
        <w:t>（</w:t>
      </w:r>
      <w:bookmarkEnd w:id="743"/>
      <w:r>
        <w:rPr>
          <w:rFonts w:ascii="Times New Roman" w:eastAsia="Times New Roman" w:hAnsi="Times New Roman" w:cs="Times New Roman"/>
          <w:color w:val="000000"/>
          <w:spacing w:val="0"/>
          <w:w w:val="100"/>
          <w:position w:val="0"/>
        </w:rPr>
        <w:t>2）</w:t>
        <w:tab/>
      </w:r>
      <w:r>
        <w:rPr>
          <w:color w:val="000000"/>
          <w:spacing w:val="0"/>
          <w:w w:val="100"/>
          <w:position w:val="0"/>
        </w:rPr>
        <w:t>持有至到期投资</w:t>
      </w:r>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持有至到期投资是指到期日固定、回收金额固定或可确定，且本公司有明确意图和能力持有至到期的 非衍生金融资产。</w:t>
      </w:r>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持有至到期投资取得时按公允价值</w:t>
      </w:r>
      <w:r>
        <w:rPr>
          <w:rFonts w:ascii="Times New Roman" w:eastAsia="Times New Roman" w:hAnsi="Times New Roman" w:cs="Times New Roman"/>
          <w:color w:val="000000"/>
          <w:spacing w:val="0"/>
          <w:w w:val="100"/>
          <w:position w:val="0"/>
        </w:rPr>
        <w:t>（</w:t>
      </w:r>
      <w:r>
        <w:rPr>
          <w:color w:val="000000"/>
          <w:spacing w:val="0"/>
          <w:w w:val="100"/>
          <w:position w:val="0"/>
        </w:rPr>
        <w:t>扣除已到付息期但尚未领取的债券利息</w:t>
      </w:r>
      <w:r>
        <w:rPr>
          <w:rFonts w:ascii="Times New Roman" w:eastAsia="Times New Roman" w:hAnsi="Times New Roman" w:cs="Times New Roman"/>
          <w:color w:val="000000"/>
          <w:spacing w:val="0"/>
          <w:w w:val="100"/>
          <w:position w:val="0"/>
        </w:rPr>
        <w:t>）</w:t>
      </w:r>
      <w:r>
        <w:rPr>
          <w:color w:val="000000"/>
          <w:spacing w:val="0"/>
          <w:w w:val="100"/>
          <w:position w:val="0"/>
        </w:rPr>
        <w:t>和相关交易费用之和作为 初始确认金额。采用实际利率法，按摊余成本进行后续计量，在终止确认、发生减值或摊销时产生的利得 或损失，计入当期损益。</w:t>
      </w:r>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实际利率法是指按照金融资产或金融负债</w:t>
      </w:r>
      <w:r>
        <w:rPr>
          <w:rFonts w:ascii="Times New Roman" w:eastAsia="Times New Roman" w:hAnsi="Times New Roman" w:cs="Times New Roman"/>
          <w:color w:val="000000"/>
          <w:spacing w:val="0"/>
          <w:w w:val="100"/>
          <w:position w:val="0"/>
        </w:rPr>
        <w:t>（</w:t>
      </w:r>
      <w:r>
        <w:rPr>
          <w:color w:val="000000"/>
          <w:spacing w:val="0"/>
          <w:w w:val="100"/>
          <w:position w:val="0"/>
        </w:rPr>
        <w:t>含一组金融资产或金融负债</w:t>
      </w:r>
      <w:r>
        <w:rPr>
          <w:rFonts w:ascii="Times New Roman" w:eastAsia="Times New Roman" w:hAnsi="Times New Roman" w:cs="Times New Roman"/>
          <w:color w:val="000000"/>
          <w:spacing w:val="0"/>
          <w:w w:val="100"/>
          <w:position w:val="0"/>
        </w:rPr>
        <w:t>）</w:t>
      </w:r>
      <w:r>
        <w:rPr>
          <w:color w:val="000000"/>
          <w:spacing w:val="0"/>
          <w:w w:val="100"/>
          <w:position w:val="0"/>
        </w:rPr>
        <w:t>的实际利率计算其摊余成本及 各期利息收入或支出的方法。实际利率是指将金融资产或金融负债在预期存续期间或适用的更短期间内的 未来现金流量，折现为该金融资产或金融负债当前账面价值所使用的利率。在计算实际利率时，本公司将 在考虑金融资产或金融负债所有合同条款的基础上预计未来现金流量</w:t>
      </w:r>
      <w:r>
        <w:rPr>
          <w:rFonts w:ascii="Times New Roman" w:eastAsia="Times New Roman" w:hAnsi="Times New Roman" w:cs="Times New Roman"/>
          <w:color w:val="000000"/>
          <w:spacing w:val="0"/>
          <w:w w:val="100"/>
          <w:position w:val="0"/>
        </w:rPr>
        <w:t>（</w:t>
      </w:r>
      <w:r>
        <w:rPr>
          <w:color w:val="000000"/>
          <w:spacing w:val="0"/>
          <w:w w:val="100"/>
          <w:position w:val="0"/>
        </w:rPr>
        <w:t>不考虑未来的信用损失</w:t>
      </w:r>
      <w:r>
        <w:rPr>
          <w:rFonts w:ascii="Times New Roman" w:eastAsia="Times New Roman" w:hAnsi="Times New Roman" w:cs="Times New Roman"/>
          <w:color w:val="000000"/>
          <w:spacing w:val="0"/>
          <w:w w:val="100"/>
          <w:position w:val="0"/>
        </w:rPr>
        <w:t>）</w:t>
      </w:r>
      <w:r>
        <w:rPr>
          <w:color w:val="000000"/>
          <w:spacing w:val="0"/>
          <w:w w:val="100"/>
          <w:position w:val="0"/>
        </w:rPr>
        <w:t>，同时还将 考虑金融资产或金融负债合同各方之间支付或收取的、属于实际利率组成部分的各项收费、交易费用及折 价或溢价等。</w:t>
      </w:r>
    </w:p>
    <w:p>
      <w:pPr>
        <w:pStyle w:val="Style70"/>
        <w:keepNext w:val="0"/>
        <w:keepLines w:val="0"/>
        <w:widowControl w:val="0"/>
        <w:shd w:val="clear" w:color="auto" w:fill="auto"/>
        <w:tabs>
          <w:tab w:pos="822" w:val="left"/>
        </w:tabs>
        <w:bidi w:val="0"/>
        <w:spacing w:before="0" w:after="0" w:line="312" w:lineRule="exact"/>
        <w:ind w:left="0" w:right="0" w:firstLine="440"/>
        <w:jc w:val="both"/>
      </w:pPr>
      <w:bookmarkStart w:id="744" w:name="bookmark744"/>
      <w:r>
        <w:rPr>
          <w:rFonts w:ascii="Times New Roman" w:eastAsia="Times New Roman" w:hAnsi="Times New Roman" w:cs="Times New Roman"/>
          <w:color w:val="000000"/>
          <w:spacing w:val="0"/>
          <w:w w:val="100"/>
          <w:position w:val="0"/>
        </w:rPr>
        <w:t>（</w:t>
      </w:r>
      <w:bookmarkEnd w:id="744"/>
      <w:r>
        <w:rPr>
          <w:rFonts w:ascii="Times New Roman" w:eastAsia="Times New Roman" w:hAnsi="Times New Roman" w:cs="Times New Roman"/>
          <w:color w:val="000000"/>
          <w:spacing w:val="0"/>
          <w:w w:val="100"/>
          <w:position w:val="0"/>
        </w:rPr>
        <w:t>3）</w:t>
        <w:tab/>
      </w:r>
      <w:r>
        <w:rPr>
          <w:color w:val="000000"/>
          <w:spacing w:val="0"/>
          <w:w w:val="100"/>
          <w:position w:val="0"/>
        </w:rPr>
        <w:t>贷款和应收款项</w:t>
      </w:r>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贷款和应收款项是指在活跃市场中没有报价、回收金额固定或可确定的非衍生金融资产。本公司划分 为贷款和应收款的金融资产包括应收票据、应收账款、应收利息、应收股利及其他应收款等。以向购货方 应收的合同或协议价款作为初始确认金额；具有融资性质的，按其现值进行初始确认。贷款和应收款项采 用实际利率法，按摊余成本进行后续计量，在终止确认、发生减值或摊销时产生的利得或损失，计入当期 损益。</w:t>
      </w:r>
    </w:p>
    <w:p>
      <w:pPr>
        <w:pStyle w:val="Style70"/>
        <w:keepNext w:val="0"/>
        <w:keepLines w:val="0"/>
        <w:widowControl w:val="0"/>
        <w:shd w:val="clear" w:color="auto" w:fill="auto"/>
        <w:tabs>
          <w:tab w:pos="822" w:val="left"/>
        </w:tabs>
        <w:bidi w:val="0"/>
        <w:spacing w:before="0" w:after="0" w:line="312" w:lineRule="exact"/>
        <w:ind w:left="0" w:right="0" w:firstLine="440"/>
        <w:jc w:val="both"/>
      </w:pPr>
      <w:bookmarkStart w:id="745" w:name="bookmark745"/>
      <w:r>
        <w:rPr>
          <w:rFonts w:ascii="Times New Roman" w:eastAsia="Times New Roman" w:hAnsi="Times New Roman" w:cs="Times New Roman"/>
          <w:color w:val="000000"/>
          <w:spacing w:val="0"/>
          <w:w w:val="100"/>
          <w:position w:val="0"/>
        </w:rPr>
        <w:t>（</w:t>
      </w:r>
      <w:bookmarkEnd w:id="745"/>
      <w:r>
        <w:rPr>
          <w:rFonts w:ascii="Times New Roman" w:eastAsia="Times New Roman" w:hAnsi="Times New Roman" w:cs="Times New Roman"/>
          <w:color w:val="000000"/>
          <w:spacing w:val="0"/>
          <w:w w:val="100"/>
          <w:position w:val="0"/>
        </w:rPr>
        <w:t>4）</w:t>
        <w:tab/>
      </w:r>
      <w:r>
        <w:rPr>
          <w:color w:val="000000"/>
          <w:spacing w:val="0"/>
          <w:w w:val="100"/>
          <w:position w:val="0"/>
        </w:rPr>
        <w:t>可供出售金融资产</w:t>
      </w:r>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可供出售金融资产包括初始确认时即被指定为可供出售的非衍生金融资产，以及除了以公允价值计量 </w:t>
      </w:r>
      <w:r>
        <w:rPr>
          <w:color w:val="000000"/>
          <w:spacing w:val="0"/>
          <w:w w:val="100"/>
          <w:position w:val="0"/>
        </w:rPr>
        <w:t>且其变动计入当期损益的金融资产、贷款和应收款项、持有至到期投资以外的金融资产。</w:t>
      </w:r>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可供出售债务工具投资的期末成本按照摊余成本法确定，即初始确认金额扣除已偿还的本金，加上或 减去采用实际利率法将该初始确认金额与到期日金额之间的差额进行摊销形成的累计摊销额，并扣除已发 生的减值损失后的金额。可供出售权益工具投资的期末成本为其初始取得成本。</w:t>
      </w:r>
    </w:p>
    <w:p>
      <w:pPr>
        <w:pStyle w:val="Style70"/>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取得时按照公允价值</w:t>
      </w:r>
      <w:r>
        <w:rPr>
          <w:rFonts w:ascii="Times New Roman" w:eastAsia="Times New Roman" w:hAnsi="Times New Roman" w:cs="Times New Roman"/>
          <w:color w:val="000000"/>
          <w:spacing w:val="0"/>
          <w:w w:val="100"/>
          <w:position w:val="0"/>
        </w:rPr>
        <w:t>（</w:t>
      </w:r>
      <w:r>
        <w:rPr>
          <w:color w:val="000000"/>
          <w:spacing w:val="0"/>
          <w:w w:val="100"/>
          <w:position w:val="0"/>
        </w:rPr>
        <w:t>扣除已宣告但尚未发放的现金股利或已到付息期但尚未领取的债券利息</w:t>
      </w:r>
      <w:r>
        <w:rPr>
          <w:rFonts w:ascii="Times New Roman" w:eastAsia="Times New Roman" w:hAnsi="Times New Roman" w:cs="Times New Roman"/>
          <w:color w:val="000000"/>
          <w:spacing w:val="0"/>
          <w:w w:val="100"/>
          <w:position w:val="0"/>
        </w:rPr>
        <w:t>）</w:t>
      </w:r>
      <w:r>
        <w:rPr>
          <w:color w:val="000000"/>
          <w:spacing w:val="0"/>
          <w:w w:val="100"/>
          <w:position w:val="0"/>
        </w:rPr>
        <w:t>和相关 费用之和作为初始确认金额。持有期间将取得的利息或现金股利确认为投资收益。可供出售金融资产采用 公允价值进行后续计量，其折溢价采用实际利率法摊销并确认为利息收入。期末除减值损失和外币货币性 金融资产与摊余成本相关的汇兑差额确认为当期损益外，可供出售金融资产的公允价值变动确认为其他综 合收益；但是，对于在活跃市场中没有报价且其公允价值不能可靠计量的权益工具投资，以及与该权益工 具挂钩并须通过交付该权益工具结算的衍生金融资产，按成本计量。处置时，将取得的价款与该项金融资 产账面价值之间的差额，计入投资损益；同时，将原直接计入其他综合收益的公允价值变动累计额对应处 置部分的金额转出，计入当期损益。</w:t>
      </w:r>
    </w:p>
    <w:p>
      <w:pPr>
        <w:pStyle w:val="Style70"/>
        <w:keepNext w:val="0"/>
        <w:keepLines w:val="0"/>
        <w:widowControl w:val="0"/>
        <w:shd w:val="clear" w:color="auto" w:fill="auto"/>
        <w:bidi w:val="0"/>
        <w:spacing w:before="0" w:after="0" w:line="326" w:lineRule="auto"/>
        <w:ind w:left="0" w:right="0" w:firstLine="40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.金融资产转移的确认依据及计量方法</w:t>
      </w:r>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金融资产转移，是指将金融资产让与或交付该金融资产发行方以外的另一方。公司将金融资产转移区 分为金融资产整体转移和部分转移。</w:t>
      </w:r>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满足下列条件之一的金融资产，予以终止确认：</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收取该金融资产现金流量的合同权利终止；</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该金 融资产已转移，且将金融资产所有权上几乎所有的风险和报酬转移给转入方；</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该金融资产已转移，虽然 企业既没有转移也没有保留金融资产所有权上几乎所有的风险和报酬，但是放弃了对该金融资产的控制。</w:t>
      </w:r>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若企业既没有转移也没有保留金融资产所有权上几乎所有的风险和报酬，且未放弃对该金融资产的控 制的，则按照继续涉入所转移金融资产的程度确认有关金融资产，并相应确认有关负债。继续涉入所转移 金融资产的程度，是指该金融资产价值变动使企业面临的风险水平。</w:t>
      </w:r>
    </w:p>
    <w:p>
      <w:pPr>
        <w:pStyle w:val="Style70"/>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在判断金融资产转移是否满足上述金融资产终止确认条件时，采用实质重于形式的原则。金融资产转 移不满足终止确认条件的，继续确认该项金融资产，所收到的对价确认为一项金融负债。金融资产整体转 移满足终止确认条件的，将下列两项金额的差额计入当期损益：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因转移而收到的对价，与原直接计入所 有者权益的公允价值变动累计额之和；</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所转移金融资产的账面价值。金融资产部分转移满足终止确认条 件的，将所转移金融资产整体的账面价值，在终止确认部分和未终止确认部分之间，按照各自的相对公允 价值进行分摊，并将下列两项金额的差额计入当期损益：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终止确认部分收到的对价，与原直接计入所有 者权益的公允价值变动累计额中对应终止确认部分的金额之和；</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终止确认部分的账面价值。</w:t>
      </w:r>
    </w:p>
    <w:p>
      <w:pPr>
        <w:pStyle w:val="Style70"/>
        <w:keepNext w:val="0"/>
        <w:keepLines w:val="0"/>
        <w:widowControl w:val="0"/>
        <w:numPr>
          <w:ilvl w:val="0"/>
          <w:numId w:val="17"/>
        </w:numPr>
        <w:shd w:val="clear" w:color="auto" w:fill="auto"/>
        <w:bidi w:val="0"/>
        <w:spacing w:before="0" w:after="0" w:line="326" w:lineRule="auto"/>
        <w:ind w:left="0" w:right="0" w:firstLine="400"/>
        <w:jc w:val="both"/>
      </w:pPr>
      <w:bookmarkStart w:id="746" w:name="bookmark746"/>
      <w:bookmarkEnd w:id="746"/>
      <w:r>
        <w:rPr>
          <w:color w:val="000000"/>
          <w:spacing w:val="0"/>
          <w:w w:val="100"/>
          <w:position w:val="0"/>
        </w:rPr>
        <w:t>金融负债的分类、确认和计量</w:t>
      </w:r>
    </w:p>
    <w:p>
      <w:pPr>
        <w:pStyle w:val="Style70"/>
        <w:keepNext w:val="0"/>
        <w:keepLines w:val="0"/>
        <w:widowControl w:val="0"/>
        <w:shd w:val="clear" w:color="auto" w:fill="auto"/>
        <w:bidi w:val="0"/>
        <w:spacing w:before="0" w:after="80" w:line="312" w:lineRule="exact"/>
        <w:ind w:left="0" w:right="0" w:firstLine="400"/>
        <w:jc w:val="both"/>
      </w:pPr>
      <w:r>
        <w:rPr>
          <w:color w:val="000000"/>
          <w:spacing w:val="0"/>
          <w:w w:val="100"/>
          <w:position w:val="0"/>
        </w:rPr>
        <w:t>金融负债在初始确认时划分为以公允价值计量且其变动计入当期损益的金融负债和其他金融负债。</w:t>
      </w:r>
    </w:p>
    <w:p>
      <w:pPr>
        <w:pStyle w:val="Style70"/>
        <w:keepNext w:val="0"/>
        <w:keepLines w:val="0"/>
        <w:widowControl w:val="0"/>
        <w:shd w:val="clear" w:color="auto" w:fill="auto"/>
        <w:tabs>
          <w:tab w:pos="772" w:val="left"/>
        </w:tabs>
        <w:bidi w:val="0"/>
        <w:spacing w:before="0" w:after="0" w:line="326" w:lineRule="auto"/>
        <w:ind w:left="0" w:right="0" w:firstLine="400"/>
        <w:jc w:val="both"/>
      </w:pPr>
      <w:bookmarkStart w:id="747" w:name="bookmark747"/>
      <w:r>
        <w:rPr>
          <w:rFonts w:ascii="Times New Roman" w:eastAsia="Times New Roman" w:hAnsi="Times New Roman" w:cs="Times New Roman"/>
          <w:color w:val="000000"/>
          <w:spacing w:val="0"/>
          <w:w w:val="100"/>
          <w:position w:val="0"/>
        </w:rPr>
        <w:t>（</w:t>
      </w:r>
      <w:bookmarkEnd w:id="747"/>
      <w:r>
        <w:rPr>
          <w:rFonts w:ascii="Times New Roman" w:eastAsia="Times New Roman" w:hAnsi="Times New Roman" w:cs="Times New Roman"/>
          <w:color w:val="000000"/>
          <w:spacing w:val="0"/>
          <w:w w:val="100"/>
          <w:position w:val="0"/>
        </w:rPr>
        <w:t>1）</w:t>
        <w:tab/>
      </w:r>
      <w:r>
        <w:rPr>
          <w:color w:val="000000"/>
          <w:spacing w:val="0"/>
          <w:w w:val="100"/>
          <w:position w:val="0"/>
        </w:rPr>
        <w:t>以公允价值计量且其变动计入当期损益的金融负债</w:t>
      </w:r>
    </w:p>
    <w:p>
      <w:pPr>
        <w:pStyle w:val="Style70"/>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以公允价值计量且其变动计入当期损益的金融负债，包括交易性金融负债和初始确认时指定为以公允 价值计量且其变动计入当期损益的金融负债，其分类与前述在初始确认时指定为以公允价值计量且其变动 计入当期损益的金融资产的条件一致。对于此类金融负债，按照公允价值进行后续计量，公允价值变动形 成的利得或损失以及与该等金融负债相关的股利和利息支出计入当期损益。</w:t>
      </w:r>
    </w:p>
    <w:p>
      <w:pPr>
        <w:pStyle w:val="Style70"/>
        <w:keepNext w:val="0"/>
        <w:keepLines w:val="0"/>
        <w:widowControl w:val="0"/>
        <w:shd w:val="clear" w:color="auto" w:fill="auto"/>
        <w:tabs>
          <w:tab w:pos="812" w:val="left"/>
        </w:tabs>
        <w:bidi w:val="0"/>
        <w:spacing w:before="0" w:after="0" w:line="326" w:lineRule="auto"/>
        <w:ind w:left="0" w:right="0" w:firstLine="440"/>
        <w:jc w:val="both"/>
      </w:pPr>
      <w:bookmarkStart w:id="748" w:name="bookmark748"/>
      <w:r>
        <w:rPr>
          <w:rFonts w:ascii="Times New Roman" w:eastAsia="Times New Roman" w:hAnsi="Times New Roman" w:cs="Times New Roman"/>
          <w:color w:val="000000"/>
          <w:spacing w:val="0"/>
          <w:w w:val="100"/>
          <w:position w:val="0"/>
        </w:rPr>
        <w:t>（</w:t>
      </w:r>
      <w:bookmarkEnd w:id="748"/>
      <w:r>
        <w:rPr>
          <w:rFonts w:ascii="Times New Roman" w:eastAsia="Times New Roman" w:hAnsi="Times New Roman" w:cs="Times New Roman"/>
          <w:color w:val="000000"/>
          <w:spacing w:val="0"/>
          <w:w w:val="100"/>
          <w:position w:val="0"/>
        </w:rPr>
        <w:t>2）</w:t>
        <w:tab/>
      </w:r>
      <w:r>
        <w:rPr>
          <w:color w:val="000000"/>
          <w:spacing w:val="0"/>
          <w:w w:val="100"/>
          <w:position w:val="0"/>
        </w:rPr>
        <w:t>其他金融负债</w:t>
      </w:r>
    </w:p>
    <w:p>
      <w:pPr>
        <w:pStyle w:val="Style70"/>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与在活跃市场中没有报价、公允价值不能可靠计量的权益工具挂钩并须通过交付该权益工具结算的衍 生金融负债，按照成本进行后续计量。其他金融负债采用实际利率法，按摊余成本进行后续计量，终止确 认或摊销产生的利得或损失计入当期损益。</w:t>
      </w:r>
    </w:p>
    <w:p>
      <w:pPr>
        <w:pStyle w:val="Style70"/>
        <w:keepNext w:val="0"/>
        <w:keepLines w:val="0"/>
        <w:widowControl w:val="0"/>
        <w:shd w:val="clear" w:color="auto" w:fill="auto"/>
        <w:tabs>
          <w:tab w:pos="812" w:val="left"/>
        </w:tabs>
        <w:bidi w:val="0"/>
        <w:spacing w:before="0" w:after="0" w:line="326" w:lineRule="auto"/>
        <w:ind w:left="0" w:right="0" w:firstLine="440"/>
        <w:jc w:val="both"/>
      </w:pPr>
      <w:bookmarkStart w:id="749" w:name="bookmark749"/>
      <w:r>
        <w:rPr>
          <w:rFonts w:ascii="Times New Roman" w:eastAsia="Times New Roman" w:hAnsi="Times New Roman" w:cs="Times New Roman"/>
          <w:color w:val="000000"/>
          <w:spacing w:val="0"/>
          <w:w w:val="100"/>
          <w:position w:val="0"/>
        </w:rPr>
        <w:t>（</w:t>
      </w:r>
      <w:bookmarkEnd w:id="749"/>
      <w:r>
        <w:rPr>
          <w:rFonts w:ascii="Times New Roman" w:eastAsia="Times New Roman" w:hAnsi="Times New Roman" w:cs="Times New Roman"/>
          <w:color w:val="000000"/>
          <w:spacing w:val="0"/>
          <w:w w:val="100"/>
          <w:position w:val="0"/>
        </w:rPr>
        <w:t>3）</w:t>
        <w:tab/>
      </w:r>
      <w:r>
        <w:rPr>
          <w:color w:val="000000"/>
          <w:spacing w:val="0"/>
          <w:w w:val="100"/>
          <w:position w:val="0"/>
        </w:rPr>
        <w:t>财务担保合同</w:t>
      </w:r>
    </w:p>
    <w:p>
      <w:pPr>
        <w:pStyle w:val="Style70"/>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不属于指定为以公允价值计量且其变动计入当期损益的金融负债的财务担保合同，以公允价值进行初 始确认，在初始确认后按照《企业会计准则第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号一或有事项》确定的金额和初始确认金额扣除按照《企 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号——收入》的原则确定的累计摊销额后的余额之中的较高者进行后续计量。</w:t>
      </w:r>
    </w:p>
    <w:p>
      <w:pPr>
        <w:pStyle w:val="Style70"/>
        <w:keepNext w:val="0"/>
        <w:keepLines w:val="0"/>
        <w:widowControl w:val="0"/>
        <w:numPr>
          <w:ilvl w:val="0"/>
          <w:numId w:val="17"/>
        </w:numPr>
        <w:shd w:val="clear" w:color="auto" w:fill="auto"/>
        <w:bidi w:val="0"/>
        <w:spacing w:before="0" w:after="80" w:line="326" w:lineRule="auto"/>
        <w:ind w:left="0" w:right="0" w:firstLine="400"/>
        <w:jc w:val="both"/>
      </w:pPr>
      <w:bookmarkStart w:id="750" w:name="bookmark750"/>
      <w:bookmarkEnd w:id="750"/>
      <w:r>
        <w:rPr>
          <w:color w:val="000000"/>
          <w:spacing w:val="0"/>
          <w:w w:val="100"/>
          <w:position w:val="0"/>
        </w:rPr>
        <w:t>金融负债的终止确认</w:t>
      </w:r>
    </w:p>
    <w:p>
      <w:pPr>
        <w:pStyle w:val="Style70"/>
        <w:keepNext w:val="0"/>
        <w:keepLines w:val="0"/>
        <w:widowControl w:val="0"/>
        <w:shd w:val="clear" w:color="auto" w:fill="auto"/>
        <w:bidi w:val="0"/>
        <w:spacing w:before="0" w:after="0" w:line="313" w:lineRule="exact"/>
        <w:ind w:left="0" w:right="0" w:firstLine="420"/>
        <w:jc w:val="both"/>
      </w:pPr>
      <w:r>
        <w:rPr>
          <w:color w:val="000000"/>
          <w:spacing w:val="0"/>
          <w:w w:val="100"/>
          <w:position w:val="0"/>
        </w:rPr>
        <w:t>金融负债的现时义务全部或部分已经解除的，才能终止确认该金融负债或其一部分。本公司</w:t>
      </w:r>
      <w:r>
        <w:rPr>
          <w:rFonts w:ascii="Times New Roman" w:eastAsia="Times New Roman" w:hAnsi="Times New Roman" w:cs="Times New Roman"/>
          <w:color w:val="000000"/>
          <w:spacing w:val="0"/>
          <w:w w:val="100"/>
          <w:position w:val="0"/>
        </w:rPr>
        <w:t>（</w:t>
      </w:r>
      <w:r>
        <w:rPr>
          <w:color w:val="000000"/>
          <w:spacing w:val="0"/>
          <w:w w:val="100"/>
          <w:position w:val="0"/>
        </w:rPr>
        <w:t>债务人</w:t>
      </w:r>
      <w:r>
        <w:rPr>
          <w:rFonts w:ascii="Times New Roman" w:eastAsia="Times New Roman" w:hAnsi="Times New Roman" w:cs="Times New Roman"/>
          <w:color w:val="000000"/>
          <w:spacing w:val="0"/>
          <w:w w:val="100"/>
          <w:position w:val="0"/>
        </w:rPr>
        <w:t xml:space="preserve">） </w:t>
      </w:r>
      <w:r>
        <w:rPr>
          <w:color w:val="000000"/>
          <w:spacing w:val="0"/>
          <w:w w:val="100"/>
          <w:position w:val="0"/>
        </w:rPr>
        <w:t>与债权人之间签订协议，以承担新金融负债方式替换现存金融负债，且新金融负债与现存金融负债的合同 条款实质上不同的，终止确认现存金融负债，并同时确认新金融负债。对现存金融负债全部或者部分合同 条款作出实质性修改的，则终止确认现存金融负债或其一部分，同时将修改条款后的金融负债确认为一项 新金融负债。</w:t>
      </w:r>
    </w:p>
    <w:p>
      <w:pPr>
        <w:pStyle w:val="Style70"/>
        <w:keepNext w:val="0"/>
        <w:keepLines w:val="0"/>
        <w:widowControl w:val="0"/>
        <w:shd w:val="clear" w:color="auto" w:fill="auto"/>
        <w:bidi w:val="0"/>
        <w:spacing w:before="0" w:after="80" w:line="313" w:lineRule="exact"/>
        <w:ind w:left="0" w:right="0" w:firstLine="420"/>
        <w:jc w:val="both"/>
      </w:pPr>
      <w:r>
        <w:rPr>
          <w:color w:val="000000"/>
          <w:spacing w:val="0"/>
          <w:w w:val="100"/>
          <w:position w:val="0"/>
        </w:rPr>
        <w:t>金融负债全部或者部分终止确认时，终止确认的金融负债账面价值与支付对价</w:t>
      </w:r>
      <w:r>
        <w:rPr>
          <w:rFonts w:ascii="Times New Roman" w:eastAsia="Times New Roman" w:hAnsi="Times New Roman" w:cs="Times New Roman"/>
          <w:color w:val="000000"/>
          <w:spacing w:val="0"/>
          <w:w w:val="100"/>
          <w:position w:val="0"/>
        </w:rPr>
        <w:t>（</w:t>
      </w:r>
      <w:r>
        <w:rPr>
          <w:color w:val="000000"/>
          <w:spacing w:val="0"/>
          <w:w w:val="100"/>
          <w:position w:val="0"/>
        </w:rPr>
        <w:t>包括转出的非现金资产 或承担的新金融负债</w:t>
      </w:r>
      <w:r>
        <w:rPr>
          <w:rFonts w:ascii="Times New Roman" w:eastAsia="Times New Roman" w:hAnsi="Times New Roman" w:cs="Times New Roman"/>
          <w:color w:val="000000"/>
          <w:spacing w:val="0"/>
          <w:w w:val="100"/>
          <w:position w:val="0"/>
        </w:rPr>
        <w:t>）</w:t>
      </w:r>
      <w:r>
        <w:rPr>
          <w:color w:val="000000"/>
          <w:spacing w:val="0"/>
          <w:w w:val="100"/>
          <w:position w:val="0"/>
        </w:rPr>
        <w:t>之间的差额，计入当期损益。本公司若回购部分金融负债的，在回购日按照继续确认 部分与终止确认部分的相对公允价值，将该金融负债整体的账面价值进行分配。分配给终止确认部分的账 面价值与支付的对价</w:t>
      </w:r>
      <w:r>
        <w:rPr>
          <w:rFonts w:ascii="Times New Roman" w:eastAsia="Times New Roman" w:hAnsi="Times New Roman" w:cs="Times New Roman"/>
          <w:color w:val="000000"/>
          <w:spacing w:val="0"/>
          <w:w w:val="100"/>
          <w:position w:val="0"/>
        </w:rPr>
        <w:t>（</w:t>
      </w:r>
      <w:r>
        <w:rPr>
          <w:color w:val="000000"/>
          <w:spacing w:val="0"/>
          <w:w w:val="100"/>
          <w:position w:val="0"/>
        </w:rPr>
        <w:t>包括转出的非现金资产或者承担的新金融负债</w:t>
      </w:r>
      <w:r>
        <w:rPr>
          <w:rFonts w:ascii="Times New Roman" w:eastAsia="Times New Roman" w:hAnsi="Times New Roman" w:cs="Times New Roman"/>
          <w:color w:val="000000"/>
          <w:spacing w:val="0"/>
          <w:w w:val="100"/>
          <w:position w:val="0"/>
        </w:rPr>
        <w:t>）</w:t>
      </w:r>
      <w:r>
        <w:rPr>
          <w:color w:val="000000"/>
          <w:spacing w:val="0"/>
          <w:w w:val="100"/>
          <w:position w:val="0"/>
        </w:rPr>
        <w:t>之间的差额，计入当期损益。</w:t>
      </w:r>
    </w:p>
    <w:p>
      <w:pPr>
        <w:pStyle w:val="Style70"/>
        <w:keepNext w:val="0"/>
        <w:keepLines w:val="0"/>
        <w:widowControl w:val="0"/>
        <w:numPr>
          <w:ilvl w:val="0"/>
          <w:numId w:val="17"/>
        </w:numPr>
        <w:shd w:val="clear" w:color="auto" w:fill="auto"/>
        <w:tabs>
          <w:tab w:pos="688" w:val="left"/>
        </w:tabs>
        <w:bidi w:val="0"/>
        <w:spacing w:before="0" w:after="0" w:line="326" w:lineRule="auto"/>
        <w:ind w:left="0" w:right="0" w:firstLine="380"/>
        <w:jc w:val="both"/>
      </w:pPr>
      <w:bookmarkStart w:id="751" w:name="bookmark751"/>
      <w:bookmarkEnd w:id="751"/>
      <w:r>
        <w:rPr>
          <w:color w:val="000000"/>
          <w:spacing w:val="0"/>
          <w:w w:val="100"/>
          <w:position w:val="0"/>
        </w:rPr>
        <w:t>权益工具</w:t>
      </w:r>
    </w:p>
    <w:p>
      <w:pPr>
        <w:pStyle w:val="Style70"/>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权益工具是指能证明拥有本公司在扣除所有负债后的资产中的剩余权益的合同。本公司发行</w:t>
      </w:r>
      <w:r>
        <w:rPr>
          <w:rFonts w:ascii="Times New Roman" w:eastAsia="Times New Roman" w:hAnsi="Times New Roman" w:cs="Times New Roman"/>
          <w:color w:val="000000"/>
          <w:spacing w:val="0"/>
          <w:w w:val="100"/>
          <w:position w:val="0"/>
        </w:rPr>
        <w:t>（</w:t>
      </w:r>
      <w:r>
        <w:rPr>
          <w:color w:val="000000"/>
          <w:spacing w:val="0"/>
          <w:w w:val="100"/>
          <w:position w:val="0"/>
        </w:rPr>
        <w:t>含再融 资</w:t>
      </w:r>
      <w:r>
        <w:rPr>
          <w:rFonts w:ascii="Times New Roman" w:eastAsia="Times New Roman" w:hAnsi="Times New Roman" w:cs="Times New Roman"/>
          <w:color w:val="000000"/>
          <w:spacing w:val="0"/>
          <w:w w:val="100"/>
          <w:position w:val="0"/>
        </w:rPr>
        <w:t>）</w:t>
      </w:r>
      <w:r>
        <w:rPr>
          <w:color w:val="000000"/>
          <w:spacing w:val="0"/>
          <w:w w:val="100"/>
          <w:position w:val="0"/>
        </w:rPr>
        <w:t>、回购、出售或注销权益工具作为权益的变动处理。本公司不确认权益工具的公允价值变动。与权益性 交易相关的交易费用从权益中扣减。</w:t>
      </w:r>
    </w:p>
    <w:p>
      <w:pPr>
        <w:pStyle w:val="Style70"/>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本公司对权益工具持有方的各种分配</w:t>
      </w:r>
      <w:r>
        <w:rPr>
          <w:rFonts w:ascii="Times New Roman" w:eastAsia="Times New Roman" w:hAnsi="Times New Roman" w:cs="Times New Roman"/>
          <w:color w:val="000000"/>
          <w:spacing w:val="0"/>
          <w:w w:val="100"/>
          <w:position w:val="0"/>
        </w:rPr>
        <w:t>（</w:t>
      </w:r>
      <w:r>
        <w:rPr>
          <w:color w:val="000000"/>
          <w:spacing w:val="0"/>
          <w:w w:val="100"/>
          <w:position w:val="0"/>
        </w:rPr>
        <w:t>不包括股票股利</w:t>
      </w:r>
      <w:r>
        <w:rPr>
          <w:rFonts w:ascii="Times New Roman" w:eastAsia="Times New Roman" w:hAnsi="Times New Roman" w:cs="Times New Roman"/>
          <w:color w:val="000000"/>
          <w:spacing w:val="0"/>
          <w:w w:val="100"/>
          <w:position w:val="0"/>
        </w:rPr>
        <w:t>）</w:t>
      </w:r>
      <w:r>
        <w:rPr>
          <w:color w:val="000000"/>
          <w:spacing w:val="0"/>
          <w:w w:val="100"/>
          <w:position w:val="0"/>
        </w:rPr>
        <w:t>，减少股东权益。本公司不确认权益工具的公 允价值变动额。</w:t>
      </w:r>
    </w:p>
    <w:p>
      <w:pPr>
        <w:pStyle w:val="Style70"/>
        <w:keepNext w:val="0"/>
        <w:keepLines w:val="0"/>
        <w:widowControl w:val="0"/>
        <w:shd w:val="clear" w:color="auto" w:fill="auto"/>
        <w:bidi w:val="0"/>
        <w:spacing w:before="0" w:after="0" w:line="313" w:lineRule="exact"/>
        <w:ind w:left="0" w:right="0" w:firstLine="420"/>
        <w:jc w:val="both"/>
      </w:pPr>
      <w:r>
        <w:rPr>
          <w:color w:val="000000"/>
          <w:spacing w:val="0"/>
          <w:w w:val="100"/>
          <w:position w:val="0"/>
        </w:rPr>
        <w:t>金融负债与权益工具的区分：</w:t>
      </w:r>
    </w:p>
    <w:p>
      <w:pPr>
        <w:pStyle w:val="Style70"/>
        <w:keepNext w:val="0"/>
        <w:keepLines w:val="0"/>
        <w:widowControl w:val="0"/>
        <w:shd w:val="clear" w:color="auto" w:fill="auto"/>
        <w:bidi w:val="0"/>
        <w:spacing w:before="0" w:after="80" w:line="313" w:lineRule="exact"/>
        <w:ind w:left="0" w:right="0" w:firstLine="420"/>
        <w:jc w:val="both"/>
      </w:pPr>
      <w:r>
        <w:rPr>
          <w:color w:val="000000"/>
          <w:spacing w:val="0"/>
          <w:w w:val="100"/>
          <w:position w:val="0"/>
        </w:rPr>
        <w:t>金融负债，是指符合下列条件之一的负债：</w:t>
      </w:r>
    </w:p>
    <w:p>
      <w:pPr>
        <w:pStyle w:val="Style70"/>
        <w:keepNext w:val="0"/>
        <w:keepLines w:val="0"/>
        <w:widowControl w:val="0"/>
        <w:shd w:val="clear" w:color="auto" w:fill="auto"/>
        <w:tabs>
          <w:tab w:pos="800" w:val="left"/>
        </w:tabs>
        <w:bidi w:val="0"/>
        <w:spacing w:before="0" w:after="0" w:line="326" w:lineRule="auto"/>
        <w:ind w:left="0" w:right="0" w:firstLine="420"/>
        <w:jc w:val="both"/>
      </w:pPr>
      <w:bookmarkStart w:id="752" w:name="bookmark752"/>
      <w:r>
        <w:rPr>
          <w:rFonts w:ascii="Times New Roman" w:eastAsia="Times New Roman" w:hAnsi="Times New Roman" w:cs="Times New Roman"/>
          <w:color w:val="000000"/>
          <w:spacing w:val="0"/>
          <w:w w:val="100"/>
          <w:position w:val="0"/>
        </w:rPr>
        <w:t>（</w:t>
      </w:r>
      <w:bookmarkEnd w:id="752"/>
      <w:r>
        <w:rPr>
          <w:rFonts w:ascii="Times New Roman" w:eastAsia="Times New Roman" w:hAnsi="Times New Roman" w:cs="Times New Roman"/>
          <w:color w:val="000000"/>
          <w:spacing w:val="0"/>
          <w:w w:val="100"/>
          <w:position w:val="0"/>
        </w:rPr>
        <w:t>1）</w:t>
        <w:tab/>
      </w:r>
      <w:r>
        <w:rPr>
          <w:color w:val="000000"/>
          <w:spacing w:val="0"/>
          <w:w w:val="100"/>
          <w:position w:val="0"/>
        </w:rPr>
        <w:t>向其他方交付现金或其他金融资产的合同义务。</w:t>
      </w:r>
    </w:p>
    <w:p>
      <w:pPr>
        <w:pStyle w:val="Style70"/>
        <w:keepNext w:val="0"/>
        <w:keepLines w:val="0"/>
        <w:widowControl w:val="0"/>
        <w:shd w:val="clear" w:color="auto" w:fill="auto"/>
        <w:tabs>
          <w:tab w:pos="800" w:val="left"/>
        </w:tabs>
        <w:bidi w:val="0"/>
        <w:spacing w:before="0" w:after="0" w:line="326" w:lineRule="auto"/>
        <w:ind w:left="0" w:right="0" w:firstLine="420"/>
        <w:jc w:val="both"/>
      </w:pPr>
      <w:bookmarkStart w:id="753" w:name="bookmark753"/>
      <w:r>
        <w:rPr>
          <w:rFonts w:ascii="Times New Roman" w:eastAsia="Times New Roman" w:hAnsi="Times New Roman" w:cs="Times New Roman"/>
          <w:color w:val="000000"/>
          <w:spacing w:val="0"/>
          <w:w w:val="100"/>
          <w:position w:val="0"/>
        </w:rPr>
        <w:t>（</w:t>
      </w:r>
      <w:bookmarkEnd w:id="753"/>
      <w:r>
        <w:rPr>
          <w:rFonts w:ascii="Times New Roman" w:eastAsia="Times New Roman" w:hAnsi="Times New Roman" w:cs="Times New Roman"/>
          <w:color w:val="000000"/>
          <w:spacing w:val="0"/>
          <w:w w:val="100"/>
          <w:position w:val="0"/>
        </w:rPr>
        <w:t>2）</w:t>
        <w:tab/>
      </w:r>
      <w:r>
        <w:rPr>
          <w:color w:val="000000"/>
          <w:spacing w:val="0"/>
          <w:w w:val="100"/>
          <w:position w:val="0"/>
        </w:rPr>
        <w:t>在潜在不利条件下，与其他方交换金融资产或金融负债的合同义务。</w:t>
      </w:r>
    </w:p>
    <w:p>
      <w:pPr>
        <w:pStyle w:val="Style70"/>
        <w:keepNext w:val="0"/>
        <w:keepLines w:val="0"/>
        <w:widowControl w:val="0"/>
        <w:shd w:val="clear" w:color="auto" w:fill="auto"/>
        <w:tabs>
          <w:tab w:pos="788" w:val="left"/>
        </w:tabs>
        <w:bidi w:val="0"/>
        <w:spacing w:before="0" w:after="0" w:line="313" w:lineRule="exact"/>
        <w:ind w:left="0" w:right="0" w:firstLine="420"/>
        <w:jc w:val="both"/>
      </w:pPr>
      <w:bookmarkStart w:id="754" w:name="bookmark754"/>
      <w:r>
        <w:rPr>
          <w:rFonts w:ascii="Times New Roman" w:eastAsia="Times New Roman" w:hAnsi="Times New Roman" w:cs="Times New Roman"/>
          <w:color w:val="000000"/>
          <w:spacing w:val="0"/>
          <w:w w:val="100"/>
          <w:position w:val="0"/>
        </w:rPr>
        <w:t>（</w:t>
      </w:r>
      <w:bookmarkEnd w:id="754"/>
      <w:r>
        <w:rPr>
          <w:rFonts w:ascii="Times New Roman" w:eastAsia="Times New Roman" w:hAnsi="Times New Roman" w:cs="Times New Roman"/>
          <w:color w:val="000000"/>
          <w:spacing w:val="0"/>
          <w:w w:val="100"/>
          <w:position w:val="0"/>
        </w:rPr>
        <w:t>3）</w:t>
        <w:tab/>
      </w:r>
      <w:r>
        <w:rPr>
          <w:color w:val="000000"/>
          <w:spacing w:val="0"/>
          <w:w w:val="100"/>
          <w:position w:val="0"/>
        </w:rPr>
        <w:t>将来须用或可用企业自身权益工具进行结算的非衍生工具合同，且企业根据该合同将交付可变数量 的自身权益工具。</w:t>
      </w:r>
    </w:p>
    <w:p>
      <w:pPr>
        <w:pStyle w:val="Style70"/>
        <w:keepNext w:val="0"/>
        <w:keepLines w:val="0"/>
        <w:widowControl w:val="0"/>
        <w:shd w:val="clear" w:color="auto" w:fill="auto"/>
        <w:tabs>
          <w:tab w:pos="764" w:val="left"/>
        </w:tabs>
        <w:bidi w:val="0"/>
        <w:spacing w:before="0" w:after="0" w:line="313" w:lineRule="exact"/>
        <w:ind w:left="0" w:right="0" w:firstLine="420"/>
        <w:jc w:val="both"/>
      </w:pPr>
      <w:bookmarkStart w:id="755" w:name="bookmark755"/>
      <w:r>
        <w:rPr>
          <w:rFonts w:ascii="Times New Roman" w:eastAsia="Times New Roman" w:hAnsi="Times New Roman" w:cs="Times New Roman"/>
          <w:color w:val="000000"/>
          <w:spacing w:val="0"/>
          <w:w w:val="100"/>
          <w:position w:val="0"/>
        </w:rPr>
        <w:t>（</w:t>
      </w:r>
      <w:bookmarkEnd w:id="755"/>
      <w:r>
        <w:rPr>
          <w:rFonts w:ascii="Times New Roman" w:eastAsia="Times New Roman" w:hAnsi="Times New Roman" w:cs="Times New Roman"/>
          <w:color w:val="000000"/>
          <w:spacing w:val="0"/>
          <w:w w:val="100"/>
          <w:position w:val="0"/>
        </w:rPr>
        <w:t>4）</w:t>
        <w:tab/>
      </w:r>
      <w:r>
        <w:rPr>
          <w:color w:val="000000"/>
          <w:spacing w:val="0"/>
          <w:w w:val="100"/>
          <w:position w:val="0"/>
        </w:rPr>
        <w:t>将来须用或可用企业自身权益工具进行结算的衍生工具合同，但以固定数量的自身权益工具交换固 定金额的现金或其他金融资产的衍生工具合同除外。</w:t>
      </w:r>
    </w:p>
    <w:p>
      <w:pPr>
        <w:pStyle w:val="Style70"/>
        <w:keepNext w:val="0"/>
        <w:keepLines w:val="0"/>
        <w:widowControl w:val="0"/>
        <w:shd w:val="clear" w:color="auto" w:fill="auto"/>
        <w:bidi w:val="0"/>
        <w:spacing w:before="0" w:after="80" w:line="313" w:lineRule="exact"/>
        <w:ind w:left="0" w:right="0" w:firstLine="420"/>
        <w:jc w:val="both"/>
      </w:pPr>
      <w:r>
        <w:rPr>
          <w:color w:val="000000"/>
          <w:spacing w:val="0"/>
          <w:w w:val="100"/>
          <w:position w:val="0"/>
        </w:rPr>
        <w:t>如果本公司不能无条件地避免以交付现金或其他金融资产来履行一项合同义务，则该合同义务符合金 融负债的定义。如果一项金融工具须用或可用本公司自身权益工具进行结算，需要考虑用于结算该工具的 本公司自身权益工具，是作为现金或其他金融资产的替代品，还是为了使该工具持有方享有在发行方扣除 所有负债后的资产中的剩余权益。如果是前者，该工具是本公司的金融负债；如果是后者，该工具是本公 司的权益工具。</w:t>
      </w:r>
    </w:p>
    <w:p>
      <w:pPr>
        <w:pStyle w:val="Style70"/>
        <w:keepNext w:val="0"/>
        <w:keepLines w:val="0"/>
        <w:widowControl w:val="0"/>
        <w:numPr>
          <w:ilvl w:val="0"/>
          <w:numId w:val="17"/>
        </w:numPr>
        <w:shd w:val="clear" w:color="auto" w:fill="auto"/>
        <w:tabs>
          <w:tab w:pos="728" w:val="left"/>
        </w:tabs>
        <w:bidi w:val="0"/>
        <w:spacing w:before="0" w:after="0" w:line="326" w:lineRule="auto"/>
        <w:ind w:left="0" w:right="0" w:firstLine="420"/>
        <w:jc w:val="both"/>
      </w:pPr>
      <w:bookmarkStart w:id="756" w:name="bookmark756"/>
      <w:bookmarkEnd w:id="756"/>
      <w:r>
        <w:rPr>
          <w:color w:val="000000"/>
          <w:spacing w:val="0"/>
          <w:w w:val="100"/>
          <w:position w:val="0"/>
        </w:rPr>
        <w:t>衍生工具及嵌入衍生工具</w:t>
      </w:r>
    </w:p>
    <w:p>
      <w:pPr>
        <w:pStyle w:val="Style70"/>
        <w:keepNext w:val="0"/>
        <w:keepLines w:val="0"/>
        <w:widowControl w:val="0"/>
        <w:shd w:val="clear" w:color="auto" w:fill="auto"/>
        <w:bidi w:val="0"/>
        <w:spacing w:before="0" w:after="0" w:line="313" w:lineRule="exact"/>
        <w:ind w:left="0" w:right="0" w:firstLine="420"/>
        <w:jc w:val="both"/>
      </w:pPr>
      <w:r>
        <w:rPr>
          <w:color w:val="000000"/>
          <w:spacing w:val="0"/>
          <w:w w:val="100"/>
          <w:position w:val="0"/>
        </w:rPr>
        <w:t>衍生工具于相关合同签署日以公允价值进行初始计量，并以公允价值进行后续计量。公允价值为正数 的衍生金融工具确认为一项资产，公允价值为负数的确认为一项负债。除指定为套期工具且套期高度有效 的衍生工具，其公允价值变动形成的利得或损失将根据套期关系的性质按照套期会计的要求确定计入损益 的期间外，其余衍生工具的公允价值变动计入当期损益。</w:t>
      </w:r>
    </w:p>
    <w:p>
      <w:pPr>
        <w:pStyle w:val="Style70"/>
        <w:keepNext w:val="0"/>
        <w:keepLines w:val="0"/>
        <w:widowControl w:val="0"/>
        <w:shd w:val="clear" w:color="auto" w:fill="auto"/>
        <w:bidi w:val="0"/>
        <w:spacing w:before="0" w:after="80" w:line="313" w:lineRule="exact"/>
        <w:ind w:left="0" w:right="0" w:firstLine="420"/>
        <w:jc w:val="both"/>
      </w:pPr>
      <w:r>
        <w:rPr>
          <w:color w:val="000000"/>
          <w:spacing w:val="0"/>
          <w:w w:val="100"/>
          <w:position w:val="0"/>
        </w:rPr>
        <w:t>对包含嵌入衍生工具的混合工具，如未指定为以公允价值计量且其变动计入当期损益的金融资产或金 融负债，嵌入衍生工具与该主合同在经济特征及风险方面不存在紧密关系，且与嵌入衍生工具条件相同， 单独存在的工具符合衍生工具定义的，嵌入衍生工具从混合工具中分拆，作为单独的衍生金融工具处理。 如果无法在取得时或后续的资产负债表日对嵌入衍生工具进行单独计量，则将混合工具整体指定为以公允 价值计量且其变动计入当期损益的金融资产或金融负债。</w:t>
      </w:r>
    </w:p>
    <w:p>
      <w:pPr>
        <w:pStyle w:val="Style70"/>
        <w:keepNext w:val="0"/>
        <w:keepLines w:val="0"/>
        <w:widowControl w:val="0"/>
        <w:numPr>
          <w:ilvl w:val="0"/>
          <w:numId w:val="17"/>
        </w:numPr>
        <w:shd w:val="clear" w:color="auto" w:fill="auto"/>
        <w:tabs>
          <w:tab w:pos="728" w:val="left"/>
        </w:tabs>
        <w:bidi w:val="0"/>
        <w:spacing w:before="0" w:after="0" w:line="326" w:lineRule="auto"/>
        <w:ind w:left="0" w:right="0" w:firstLine="420"/>
        <w:jc w:val="both"/>
      </w:pPr>
      <w:bookmarkStart w:id="757" w:name="bookmark757"/>
      <w:bookmarkEnd w:id="757"/>
      <w:r>
        <w:rPr>
          <w:color w:val="000000"/>
          <w:spacing w:val="0"/>
          <w:w w:val="100"/>
          <w:position w:val="0"/>
        </w:rPr>
        <w:t>金融资产的减值准备</w:t>
      </w:r>
    </w:p>
    <w:p>
      <w:pPr>
        <w:pStyle w:val="Style70"/>
        <w:keepNext w:val="0"/>
        <w:keepLines w:val="0"/>
        <w:widowControl w:val="0"/>
        <w:shd w:val="clear" w:color="auto" w:fill="auto"/>
        <w:bidi w:val="0"/>
        <w:spacing w:before="0" w:after="0" w:line="313" w:lineRule="exact"/>
        <w:ind w:left="0" w:right="0" w:firstLine="420"/>
        <w:jc w:val="both"/>
      </w:pPr>
      <w:r>
        <w:rPr>
          <w:color w:val="000000"/>
          <w:spacing w:val="0"/>
          <w:w w:val="100"/>
          <w:position w:val="0"/>
        </w:rPr>
        <w:t>除了以公允价值计量且其变动计入当期损益的金融资产外，公司在每个资产负债表日对其他金融资产 的账面价值进行检查，有客观证据表明金融资产发生减值的，计提减值准备。</w:t>
      </w:r>
    </w:p>
    <w:p>
      <w:pPr>
        <w:pStyle w:val="Style70"/>
        <w:keepNext w:val="0"/>
        <w:keepLines w:val="0"/>
        <w:widowControl w:val="0"/>
        <w:shd w:val="clear" w:color="auto" w:fill="auto"/>
        <w:bidi w:val="0"/>
        <w:spacing w:before="0" w:after="80" w:line="313" w:lineRule="exact"/>
        <w:ind w:left="0" w:right="0" w:firstLine="420"/>
        <w:jc w:val="both"/>
      </w:pPr>
      <w:r>
        <w:rPr>
          <w:color w:val="000000"/>
          <w:spacing w:val="0"/>
          <w:w w:val="100"/>
          <w:position w:val="0"/>
        </w:rPr>
        <w:t xml:space="preserve">表明金融资产发生减值的客观证据，是指金融资产初始确认后实际发生的、对该金融资产的预计未来 现金流量有影响，且企业能够对该影响进行可靠计量的事项。金融资产发生减值的客观证据，包括下列可 观察到的情形：①发行方或债务人发生严重财务困难；②债务人违反了合同条款，如偿付利息或本金发生 </w:t>
      </w:r>
      <w:r>
        <w:rPr>
          <w:color w:val="000000"/>
          <w:spacing w:val="0"/>
          <w:w w:val="100"/>
          <w:position w:val="0"/>
        </w:rPr>
        <w:t>违约或逾期等；③本公司出于经济或法律等方面因素的考虑，对发生财务困难的债务人作出让步；④债务 人很可能倒闭或者进行其他财务重组；⑤因发行方发生重大财务困难，导致金融资产无法在活跃市场继续 交易；⑥无法辨认一组金融资产中的某项资产的现金流量是否已经减少，但根据公开的数据对其进行总体 评价后发现，该组金融资产自初始确认以来的预计未来现金流量确已减少且可计量，包括该组金融资产的 债务人支付能力逐步恶化，或者债务人所在国家或地区经济出现了可能导致该组金融资产无法支付的状 况；⑦债务人经营所处的技术、市场、经济或法律环境等发生重大不利变化，使权益工具投资人可能无法 收回投资成本；⑧权益工具投资的公允价值发生严重或非暂时性下跌；⑨其他表明金融资产发生减值的客 观证据。</w:t>
      </w:r>
    </w:p>
    <w:p>
      <w:pPr>
        <w:pStyle w:val="Style70"/>
        <w:keepNext w:val="0"/>
        <w:keepLines w:val="0"/>
        <w:widowControl w:val="0"/>
        <w:numPr>
          <w:ilvl w:val="0"/>
          <w:numId w:val="19"/>
        </w:numPr>
        <w:shd w:val="clear" w:color="auto" w:fill="auto"/>
        <w:tabs>
          <w:tab w:pos="786" w:val="left"/>
        </w:tabs>
        <w:bidi w:val="0"/>
        <w:spacing w:before="0" w:after="0" w:line="326" w:lineRule="auto"/>
        <w:ind w:left="0" w:right="0" w:firstLine="420"/>
        <w:jc w:val="both"/>
      </w:pPr>
      <w:bookmarkStart w:id="758" w:name="bookmark758"/>
      <w:bookmarkEnd w:id="758"/>
      <w:r>
        <w:rPr>
          <w:color w:val="000000"/>
          <w:spacing w:val="0"/>
          <w:w w:val="100"/>
          <w:position w:val="0"/>
        </w:rPr>
        <w:t>持有至到期投资、贷款和应收账款减值测试</w:t>
      </w:r>
    </w:p>
    <w:p>
      <w:pPr>
        <w:pStyle w:val="Style70"/>
        <w:keepNext w:val="0"/>
        <w:keepLines w:val="0"/>
        <w:widowControl w:val="0"/>
        <w:shd w:val="clear" w:color="auto" w:fill="auto"/>
        <w:bidi w:val="0"/>
        <w:spacing w:before="0" w:after="80" w:line="312" w:lineRule="exact"/>
        <w:ind w:left="0" w:right="0" w:firstLine="420"/>
        <w:jc w:val="both"/>
      </w:pPr>
      <w:r>
        <w:rPr>
          <w:color w:val="000000"/>
          <w:spacing w:val="0"/>
          <w:w w:val="100"/>
          <w:position w:val="0"/>
        </w:rPr>
        <w:t>先将单项金额重大的金融资产区分开来，单独进行减值测试；对单项金额不重大的金融资产，可以单 独进行减值测试，或包括在具有类似信用风险特征的金融资产组合中进行减值测试；单独测试未发生减值 的金融资产</w:t>
      </w:r>
      <w:r>
        <w:rPr>
          <w:rFonts w:ascii="Times New Roman" w:eastAsia="Times New Roman" w:hAnsi="Times New Roman" w:cs="Times New Roman"/>
          <w:color w:val="000000"/>
          <w:spacing w:val="0"/>
          <w:w w:val="100"/>
          <w:position w:val="0"/>
        </w:rPr>
        <w:t>(</w:t>
      </w:r>
      <w:r>
        <w:rPr>
          <w:color w:val="000000"/>
          <w:spacing w:val="0"/>
          <w:w w:val="100"/>
          <w:position w:val="0"/>
        </w:rPr>
        <w:t>包括单项金额重大和不重大的金融资产</w:t>
      </w:r>
      <w:r>
        <w:rPr>
          <w:rFonts w:ascii="Times New Roman" w:eastAsia="Times New Roman" w:hAnsi="Times New Roman" w:cs="Times New Roman"/>
          <w:color w:val="000000"/>
          <w:spacing w:val="0"/>
          <w:w w:val="100"/>
          <w:position w:val="0"/>
        </w:rPr>
        <w:t>)</w:t>
      </w:r>
      <w:r>
        <w:rPr>
          <w:color w:val="000000"/>
          <w:spacing w:val="0"/>
          <w:w w:val="100"/>
          <w:position w:val="0"/>
        </w:rPr>
        <w:t>，包括在具有类似信用风险特征的金融资产组合中再 进行减值测试。测试结果表明其发生了减值的，以成本或摊余成本计量的金融资产将其账面价值减记至预 计未来现金流量现值，减记金额确认为减值损失，计入当期损益；短期应收款项的预计未来现金流量与其 现值相差很小的，在确定相关减值损失时，不对其预计未来现金流量进行折现。在确认减值损失后，如有 客观证据表明该金融资产价值已恢复，且客观上与确认该损失后发生的事项有关，原确认的减值损失予以 转回，转回减值损失后的账面价值不超过假定不计提减值准备情况下该金融资产在转回日的摊余成本。</w:t>
      </w:r>
    </w:p>
    <w:p>
      <w:pPr>
        <w:pStyle w:val="Style70"/>
        <w:keepNext w:val="0"/>
        <w:keepLines w:val="0"/>
        <w:widowControl w:val="0"/>
        <w:numPr>
          <w:ilvl w:val="0"/>
          <w:numId w:val="19"/>
        </w:numPr>
        <w:shd w:val="clear" w:color="auto" w:fill="auto"/>
        <w:tabs>
          <w:tab w:pos="766" w:val="left"/>
        </w:tabs>
        <w:bidi w:val="0"/>
        <w:spacing w:before="0" w:after="0" w:line="326" w:lineRule="auto"/>
        <w:ind w:left="0" w:right="0" w:firstLine="400"/>
        <w:jc w:val="both"/>
      </w:pPr>
      <w:bookmarkStart w:id="759" w:name="bookmark759"/>
      <w:bookmarkEnd w:id="759"/>
      <w:r>
        <w:rPr>
          <w:color w:val="000000"/>
          <w:spacing w:val="0"/>
          <w:w w:val="100"/>
          <w:position w:val="0"/>
        </w:rPr>
        <w:t>可供出售金融资产减值</w:t>
      </w:r>
    </w:p>
    <w:p>
      <w:pPr>
        <w:pStyle w:val="Style7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本公司于资产负债表日对各项可供出售权益工具投资单独进行检查。对于以公允价值计量的权益工具 投资，当综合相关因素判断可供出售权益工具投资公允价值下跌是严重或非暂时性下跌时，表明该可供出 售权益工具投资发生减值。对于以成本计量的权益工具投资，公司综合考虑被投资单位经营所处的技术、 市场、经济或法律环境等是否发生重大不利变化，判断该权益工具是否发生减值。</w:t>
      </w:r>
    </w:p>
    <w:p>
      <w:pPr>
        <w:pStyle w:val="Style7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以公允价值计量的可供出售金融资产发生减值时，原直接计入其他综合收益的因公允价值下降形成的 累计损失予以转出并计入减值损失。对已确认减值损失的可供出售债务工具投资，在期后公允价值回升且 客观上与确认原减值损失后发生的事项有关的，原确认的减值损失予以转回并计入当期损益。对已确认减 值损失的可供出售权益工具投资，期后公允价值回升直接计入其他综合收益。</w:t>
      </w:r>
    </w:p>
    <w:p>
      <w:pPr>
        <w:pStyle w:val="Style70"/>
        <w:keepNext w:val="0"/>
        <w:keepLines w:val="0"/>
        <w:widowControl w:val="0"/>
        <w:shd w:val="clear" w:color="auto" w:fill="auto"/>
        <w:bidi w:val="0"/>
        <w:spacing w:before="0" w:after="80" w:line="326" w:lineRule="exact"/>
        <w:ind w:left="0" w:right="0" w:firstLine="420"/>
        <w:jc w:val="both"/>
      </w:pPr>
      <w:r>
        <w:rPr>
          <w:color w:val="000000"/>
          <w:spacing w:val="0"/>
          <w:w w:val="100"/>
          <w:position w:val="0"/>
        </w:rPr>
        <w:t>以成本计量的可供出售权益工具发生减值时，将该权益工具投资的账面价值，与按照类似金融资产当 时市场收益率对未来现金流量折现确定的现值之间的差额，确认为减值损失，计入当期损益，发生的减值 损失一经确认，不予转回。</w:t>
      </w:r>
    </w:p>
    <w:p>
      <w:pPr>
        <w:pStyle w:val="Style70"/>
        <w:keepNext w:val="0"/>
        <w:keepLines w:val="0"/>
        <w:widowControl w:val="0"/>
        <w:numPr>
          <w:ilvl w:val="0"/>
          <w:numId w:val="17"/>
        </w:numPr>
        <w:shd w:val="clear" w:color="auto" w:fill="auto"/>
        <w:bidi w:val="0"/>
        <w:spacing w:before="0" w:after="0" w:line="341" w:lineRule="auto"/>
        <w:ind w:left="0" w:right="0" w:firstLine="420"/>
        <w:jc w:val="both"/>
      </w:pPr>
      <w:bookmarkStart w:id="760" w:name="bookmark760"/>
      <w:bookmarkEnd w:id="760"/>
      <w:r>
        <w:rPr>
          <w:color w:val="000000"/>
          <w:spacing w:val="0"/>
          <w:w w:val="100"/>
          <w:position w:val="0"/>
        </w:rPr>
        <w:t>金融资产和金融负债的抵销</w:t>
      </w:r>
    </w:p>
    <w:p>
      <w:pPr>
        <w:pStyle w:val="Style70"/>
        <w:keepNext w:val="0"/>
        <w:keepLines w:val="0"/>
        <w:widowControl w:val="0"/>
        <w:shd w:val="clear" w:color="auto" w:fill="auto"/>
        <w:bidi w:val="0"/>
        <w:spacing w:before="0" w:after="380" w:line="334" w:lineRule="exact"/>
        <w:ind w:left="0" w:right="0" w:firstLine="420"/>
        <w:jc w:val="both"/>
      </w:pPr>
      <w:r>
        <w:rPr>
          <w:color w:val="000000"/>
          <w:spacing w:val="0"/>
          <w:w w:val="100"/>
          <w:position w:val="0"/>
        </w:rPr>
        <w:t>当本公司具有抵销已确认金融资产和金融负债的法定权利，且目前可执行该种法定权利，同时本公司 计划以净额结算或同时变现该金融资产和清偿该金融负债时，金融资产和金融负债以相互抵销后的金额在 资产负债表内列示。除此以外，金融资产和金融负债在资产负债表内分别列示，不予相互抵销。</w:t>
      </w:r>
    </w:p>
    <w:p>
      <w:pPr>
        <w:pStyle w:val="Style33"/>
        <w:keepNext/>
        <w:keepLines/>
        <w:widowControl w:val="0"/>
        <w:shd w:val="clear" w:color="auto" w:fill="auto"/>
        <w:bidi w:val="0"/>
        <w:spacing w:before="0" w:after="260" w:line="326" w:lineRule="auto"/>
        <w:ind w:left="0" w:right="0" w:firstLine="0"/>
        <w:jc w:val="both"/>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1</w:t>
      </w:r>
      <w:bookmarkEnd w:id="763"/>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61"/>
      <w:bookmarkEnd w:id="762"/>
      <w:bookmarkEnd w:id="764"/>
    </w:p>
    <w:p>
      <w:pPr>
        <w:pStyle w:val="Style51"/>
        <w:keepNext w:val="0"/>
        <w:keepLines w:val="0"/>
        <w:widowControl w:val="0"/>
        <w:shd w:val="clear" w:color="auto" w:fill="auto"/>
        <w:bidi w:val="0"/>
        <w:spacing w:before="0" w:after="0" w:line="240" w:lineRule="auto"/>
        <w:ind w:left="0" w:right="0" w:firstLine="0"/>
        <w:jc w:val="center"/>
        <w:rPr>
          <w:sz w:val="20"/>
          <w:szCs w:val="20"/>
        </w:rPr>
      </w:pPr>
      <w:bookmarkStart w:id="765" w:name="bookmark765"/>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)单项金额重大并单独计提坏账准备的应收款项</w:t>
      </w:r>
      <w:bookmarkEnd w:id="765"/>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应收账款</w:t>
            </w:r>
            <w:r>
              <w:rPr>
                <w:color w:val="000000"/>
                <w:spacing w:val="0"/>
                <w:w w:val="100"/>
                <w:position w:val="0"/>
              </w:rPr>
              <w:t>一</w:t>
            </w:r>
            <w:r>
              <w:rPr>
                <w:color w:val="000000"/>
                <w:spacing w:val="0"/>
                <w:w w:val="100"/>
                <w:position w:val="0"/>
              </w:rPr>
              <w:t>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的款项；其他应收款 </w:t>
            </w:r>
            <w:r>
              <w:rPr>
                <w:color w:val="000000"/>
                <w:spacing w:val="0"/>
                <w:w w:val="100"/>
                <w:position w:val="0"/>
              </w:rPr>
              <w:t>—</w:t>
            </w:r>
            <w:r>
              <w:rPr>
                <w:color w:val="000000"/>
                <w:spacing w:val="0"/>
                <w:w w:val="100"/>
                <w:position w:val="0"/>
              </w:rPr>
              <w:t>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的款项。</w:t>
            </w:r>
          </w:p>
        </w:tc>
      </w:tr>
      <w:tr>
        <w:trPr>
          <w:trHeight w:val="1037"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对其单独进行减值测试，当存在客观证据表明发生了减值， 根据其未来现金流量现值低于其账面价值的差额计提坏账准 备。</w:t>
            </w:r>
          </w:p>
        </w:tc>
      </w:tr>
    </w:tbl>
    <w:p>
      <w:pPr>
        <w:pStyle w:val="Style55"/>
        <w:keepNext/>
        <w:keepLines/>
        <w:widowControl w:val="0"/>
        <w:numPr>
          <w:ilvl w:val="0"/>
          <w:numId w:val="21"/>
        </w:numPr>
        <w:shd w:val="clear" w:color="auto" w:fill="auto"/>
        <w:bidi w:val="0"/>
        <w:spacing w:before="0" w:after="320" w:line="240" w:lineRule="auto"/>
        <w:ind w:left="0" w:right="0" w:firstLine="0"/>
        <w:jc w:val="left"/>
      </w:pPr>
      <w:bookmarkStart w:id="766" w:name="bookmark766"/>
      <w:bookmarkStart w:id="767" w:name="bookmark767"/>
      <w:bookmarkStart w:id="768" w:name="bookmark768"/>
      <w:bookmarkStart w:id="769" w:name="bookmark769"/>
      <w:bookmarkEnd w:id="768"/>
      <w:r>
        <w:rPr>
          <w:color w:val="000000"/>
          <w:spacing w:val="0"/>
          <w:w w:val="100"/>
          <w:position w:val="0"/>
        </w:rPr>
        <w:t>按信用风险特征组合计提坏账准备的应收款项</w:t>
      </w:r>
      <w:bookmarkEnd w:id="766"/>
      <w:bookmarkEnd w:id="767"/>
      <w:bookmarkEnd w:id="769"/>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numPr>
          <w:ilvl w:val="0"/>
          <w:numId w:val="21"/>
        </w:numPr>
        <w:shd w:val="clear" w:color="auto" w:fill="auto"/>
        <w:bidi w:val="0"/>
        <w:spacing w:before="0" w:after="320" w:line="240" w:lineRule="auto"/>
        <w:ind w:left="0" w:right="0" w:firstLine="0"/>
        <w:jc w:val="left"/>
      </w:pPr>
      <w:bookmarkStart w:id="770" w:name="bookmark770"/>
      <w:bookmarkStart w:id="771" w:name="bookmark771"/>
      <w:bookmarkStart w:id="772" w:name="bookmark772"/>
      <w:bookmarkStart w:id="773" w:name="bookmark773"/>
      <w:bookmarkEnd w:id="772"/>
      <w:r>
        <w:rPr>
          <w:color w:val="000000"/>
          <w:spacing w:val="0"/>
          <w:w w:val="100"/>
          <w:position w:val="0"/>
        </w:rPr>
        <w:t>单项金额不重大但单独计提坏账准备的应收款项</w:t>
      </w:r>
      <w:bookmarkEnd w:id="770"/>
      <w:bookmarkEnd w:id="771"/>
      <w:bookmarkEnd w:id="773"/>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存在涉及诉讼、客户信用状况恶化等明显减值迹象</w:t>
            </w:r>
          </w:p>
        </w:tc>
      </w:tr>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根据其未来现金流量现值低于其账面价值的差额计提坏账准 备</w:t>
            </w:r>
          </w:p>
        </w:tc>
      </w:tr>
    </w:tbl>
    <w:p>
      <w:pPr>
        <w:widowControl w:val="0"/>
        <w:spacing w:after="279" w:line="1" w:lineRule="exact"/>
      </w:pPr>
    </w:p>
    <w:p>
      <w:pPr>
        <w:pStyle w:val="Style33"/>
        <w:keepNext/>
        <w:keepLines/>
        <w:widowControl w:val="0"/>
        <w:shd w:val="clear" w:color="auto" w:fill="auto"/>
        <w:tabs>
          <w:tab w:pos="474" w:val="left"/>
        </w:tabs>
        <w:bidi w:val="0"/>
        <w:spacing w:before="0" w:after="380" w:line="313" w:lineRule="exact"/>
        <w:ind w:left="0" w:right="0" w:firstLine="0"/>
        <w:jc w:val="both"/>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1</w:t>
      </w:r>
      <w:bookmarkEnd w:id="776"/>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774"/>
      <w:bookmarkEnd w:id="775"/>
      <w:bookmarkEnd w:id="777"/>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w:t>
      </w:r>
    </w:p>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互联网营销业</w:t>
      </w:r>
    </w:p>
    <w:p>
      <w:pPr>
        <w:pStyle w:val="Style70"/>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存货包括系统集成商品、在产品。</w:t>
      </w:r>
    </w:p>
    <w:p>
      <w:pPr>
        <w:pStyle w:val="Style7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存货取得和发出的计价方法：公司存货在取得时，按实际成本入账，实行永续盘存制。领用和发出时， 采用个别认定法确定其实际成本。</w:t>
      </w:r>
    </w:p>
    <w:p>
      <w:pPr>
        <w:pStyle w:val="Style7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年末存货计价原则及存货跌价准备确认标准和计提方法：年末存货按成本与可变现净值孰低原则计 价。</w:t>
      </w:r>
    </w:p>
    <w:p>
      <w:pPr>
        <w:pStyle w:val="Style70"/>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存货可变现净值确定方法：为执行销售合同或者劳务合同而持有的存货，其可变现净值以合同价格为 基础计算；持有存货的数量多于销售合同订购数量的，超出部分的存货可变现净值以一般销售价格为基础 计算。</w:t>
      </w:r>
    </w:p>
    <w:p>
      <w:pPr>
        <w:pStyle w:val="Style33"/>
        <w:keepNext/>
        <w:keepLines/>
        <w:widowControl w:val="0"/>
        <w:shd w:val="clear" w:color="auto" w:fill="auto"/>
        <w:tabs>
          <w:tab w:pos="474" w:val="left"/>
        </w:tabs>
        <w:bidi w:val="0"/>
        <w:spacing w:before="0" w:after="280" w:line="313" w:lineRule="exact"/>
        <w:ind w:left="0" w:right="0" w:firstLine="0"/>
        <w:jc w:val="both"/>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1</w:t>
      </w:r>
      <w:bookmarkEnd w:id="780"/>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78"/>
      <w:bookmarkEnd w:id="779"/>
      <w:bookmarkEnd w:id="781"/>
    </w:p>
    <w:p>
      <w:pPr>
        <w:pStyle w:val="Style33"/>
        <w:keepNext/>
        <w:keepLines/>
        <w:widowControl w:val="0"/>
        <w:shd w:val="clear" w:color="auto" w:fill="auto"/>
        <w:tabs>
          <w:tab w:pos="474" w:val="left"/>
        </w:tabs>
        <w:bidi w:val="0"/>
        <w:spacing w:before="0" w:after="280" w:line="313" w:lineRule="exact"/>
        <w:ind w:left="0" w:right="0" w:firstLine="0"/>
        <w:jc w:val="both"/>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1</w:t>
      </w:r>
      <w:bookmarkEnd w:id="784"/>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82"/>
      <w:bookmarkEnd w:id="783"/>
      <w:bookmarkEnd w:id="785"/>
    </w:p>
    <w:p>
      <w:pPr>
        <w:pStyle w:val="Style70"/>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 xml:space="preserve">本部分所指的长期股权投资是指本公司对被投资单位具有控制、共同控制或重大影响的长期股权投 </w:t>
      </w:r>
      <w:r>
        <w:rPr>
          <w:color w:val="000000"/>
          <w:spacing w:val="0"/>
          <w:w w:val="100"/>
          <w:position w:val="0"/>
        </w:rPr>
        <w:t>资，包括对子公司、合营企业和联营企业的权益性投资。本公司对被投资单位不具有控制、共同控制或重 大影响的长期股权投资，作为可供出售金融资产或以公允价值计量且其变动计入当期损益的金融资产核 算，其会计政策详见本附注三</w:t>
      </w:r>
      <w:r>
        <w:rPr>
          <w:rFonts w:ascii="Times New Roman" w:eastAsia="Times New Roman" w:hAnsi="Times New Roman" w:cs="Times New Roman"/>
          <w:color w:val="000000"/>
          <w:spacing w:val="0"/>
          <w:w w:val="100"/>
          <w:position w:val="0"/>
        </w:rPr>
        <w:t>(</w:t>
      </w:r>
      <w:r>
        <w:rPr>
          <w:color w:val="000000"/>
          <w:spacing w:val="0"/>
          <w:w w:val="100"/>
          <w:position w:val="0"/>
        </w:rPr>
        <w:t>十广金融工具的确认和计量</w:t>
      </w:r>
    </w:p>
    <w:p>
      <w:pPr>
        <w:pStyle w:val="Style70"/>
        <w:keepNext w:val="0"/>
        <w:keepLines w:val="0"/>
        <w:widowControl w:val="0"/>
        <w:shd w:val="clear" w:color="auto" w:fill="auto"/>
        <w:bidi w:val="0"/>
        <w:spacing w:before="0" w:after="0" w:line="326" w:lineRule="auto"/>
        <w:ind w:left="0" w:right="0" w:firstLine="44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.共同控制和重大影响的判断标准</w:t>
      </w:r>
    </w:p>
    <w:p>
      <w:pPr>
        <w:pStyle w:val="Style7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的参与方一致同意后才能决策。本公司与其他合营方一同对被投资单位实施共同控制且对被投资单位实施 共同控制且对被投资单位净资产享有权利的，被投资单位为本公司的合营企业。判断是否存在共同控制时, 不考虑享有的保护性权利。</w:t>
      </w:r>
    </w:p>
    <w:p>
      <w:pPr>
        <w:pStyle w:val="Style70"/>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重大影响，是指对一个企业的财务和经营决策有参与决策的权力，但并不能够控制或者与其他方一起 共同控制这些政策的指定。本公司能够对被投资单位施加重大影响的，被投资单位为本公司联营企业。在 确定能否对被投资单位施加重大影响时，考虑投资方直接或间接持有被投资单位的表决权股份以及投资方 及其他方持有的当期可执行潜在表决权在假定转换为对被投资方单位的股权后产生的影响，包括被投资单 位发行的当期可转换的认股权证、股份期权及可转换公司债券等的影响。</w:t>
      </w:r>
    </w:p>
    <w:p>
      <w:pPr>
        <w:pStyle w:val="Style70"/>
        <w:keepNext w:val="0"/>
        <w:keepLines w:val="0"/>
        <w:widowControl w:val="0"/>
        <w:numPr>
          <w:ilvl w:val="0"/>
          <w:numId w:val="13"/>
        </w:numPr>
        <w:shd w:val="clear" w:color="auto" w:fill="auto"/>
        <w:bidi w:val="0"/>
        <w:spacing w:before="0" w:after="0" w:line="326" w:lineRule="auto"/>
        <w:ind w:left="0" w:right="0" w:firstLine="440"/>
        <w:jc w:val="both"/>
      </w:pPr>
      <w:bookmarkStart w:id="786" w:name="bookmark786"/>
      <w:bookmarkEnd w:id="786"/>
      <w:r>
        <w:rPr>
          <w:color w:val="000000"/>
          <w:spacing w:val="0"/>
          <w:w w:val="100"/>
          <w:position w:val="0"/>
        </w:rPr>
        <w:t>长期股权投资的投资成本的确定</w:t>
      </w:r>
    </w:p>
    <w:p>
      <w:pPr>
        <w:pStyle w:val="Style70"/>
        <w:keepNext w:val="0"/>
        <w:keepLines w:val="0"/>
        <w:widowControl w:val="0"/>
        <w:numPr>
          <w:ilvl w:val="0"/>
          <w:numId w:val="23"/>
        </w:numPr>
        <w:shd w:val="clear" w:color="auto" w:fill="auto"/>
        <w:tabs>
          <w:tab w:pos="793" w:val="left"/>
        </w:tabs>
        <w:bidi w:val="0"/>
        <w:spacing w:before="0" w:after="0" w:line="313" w:lineRule="exact"/>
        <w:ind w:left="0" w:right="0" w:firstLine="440"/>
        <w:jc w:val="both"/>
      </w:pPr>
      <w:bookmarkStart w:id="787" w:name="bookmark787"/>
      <w:bookmarkEnd w:id="787"/>
      <w:r>
        <w:rPr>
          <w:color w:val="000000"/>
          <w:spacing w:val="0"/>
          <w:w w:val="100"/>
          <w:position w:val="0"/>
        </w:rPr>
        <w:t>同一控制下的合并形成的，合并方以支付现金、转让非现金资产、承担债务或发行权益性证券作为 合并对价的，在合并日按取得被合并方所有者权益在最终控制方合并财务报表中的账面价值的份额作为其 初始投资成本。长期股权投资初始投资成本与支付的现金、转让的非现金资产、所承担债务账面价值或发 行股份的面值总额之间的差额调整资本公积；资本公积不足冲减的，调整留存收益。通过多次交易分步取 得同一控制下被合并方的股权，最终形成同一控制下企业合并的，应分别是否属于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进行处理: 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的，在 合并日按照应享有被合并方股东权益在最终控制方合并财务报表中的账面价值的份额作为长期股权投资 的初始投资成本，长期股权投资初始投资成本与达到合并前的长期股权投资账面价值加上合并日进一步取 得股份新支付对价的账面价值之和的差额，调整资本公积；资本公积不足冲减的，调整留存收益。合并日 之前持有的股权投资因采用权益法核算或为可供出售金融资产而确认的其他综合收益，暂不进行会计处 理。</w:t>
      </w:r>
    </w:p>
    <w:p>
      <w:pPr>
        <w:pStyle w:val="Style70"/>
        <w:keepNext w:val="0"/>
        <w:keepLines w:val="0"/>
        <w:widowControl w:val="0"/>
        <w:numPr>
          <w:ilvl w:val="0"/>
          <w:numId w:val="23"/>
        </w:numPr>
        <w:shd w:val="clear" w:color="auto" w:fill="auto"/>
        <w:tabs>
          <w:tab w:pos="788" w:val="left"/>
        </w:tabs>
        <w:bidi w:val="0"/>
        <w:spacing w:before="0" w:after="0" w:line="313" w:lineRule="exact"/>
        <w:ind w:left="0" w:right="0" w:firstLine="440"/>
        <w:jc w:val="both"/>
      </w:pPr>
      <w:bookmarkStart w:id="788" w:name="bookmark788"/>
      <w:bookmarkEnd w:id="788"/>
      <w:r>
        <w:rPr>
          <w:color w:val="000000"/>
          <w:spacing w:val="0"/>
          <w:w w:val="100"/>
          <w:position w:val="0"/>
        </w:rPr>
        <w:t>非同一控制下的企业合并形成的，公司按照购买日确定的合并成本作为长期股权投资的初始投资成 本。合并成本为购买日购买方为取得对被购买方的控制权而付出的资产、发生或承担的负债以及发行的权 益性证券的公允价值。购买方为企业合并而发生的审计、法律服务、评估咨询等中介费用以及其他相关管 理费用于发生时计入当期损益；购买方作为合并对价发行的权益性证券或债务性证券的交易费用，计入权 益性证券或债务性证券的初始确认金额。本公司将合并协议约定的或有对价作为企业合并转移对价的一部 分，按照其在购买日的公允价值计入企业合并成本。通过多次交易分步实现的非同一控制下企业合并，根 据企业会计准则判断该多次交易是否属于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 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的，按照原持有被购买方的股权投资账面价值加上新增 投资成本之和，作为改按成本法核算的长期股权投资的初始投资成本；原持有的股权采用权益法核算的， 相关其他综合收益暂不进行会计处理；原持有股权投资为可供出售金融资产的，其公允价值与账面价值之 间的差额，以及原计入其他综合收益的累计公允价值变动转入当期损益。</w:t>
      </w:r>
    </w:p>
    <w:p>
      <w:pPr>
        <w:pStyle w:val="Style70"/>
        <w:keepNext w:val="0"/>
        <w:keepLines w:val="0"/>
        <w:widowControl w:val="0"/>
        <w:numPr>
          <w:ilvl w:val="0"/>
          <w:numId w:val="23"/>
        </w:numPr>
        <w:shd w:val="clear" w:color="auto" w:fill="auto"/>
        <w:tabs>
          <w:tab w:pos="788" w:val="left"/>
        </w:tabs>
        <w:bidi w:val="0"/>
        <w:spacing w:before="0" w:after="0" w:line="313" w:lineRule="exact"/>
        <w:ind w:left="0" w:right="0" w:firstLine="440"/>
        <w:jc w:val="both"/>
      </w:pPr>
      <w:bookmarkStart w:id="789" w:name="bookmark789"/>
      <w:bookmarkEnd w:id="789"/>
      <w:r>
        <w:rPr>
          <w:color w:val="000000"/>
          <w:spacing w:val="0"/>
          <w:w w:val="100"/>
          <w:position w:val="0"/>
        </w:rPr>
        <w:t>除企业合并形成的长期股权投资外的其他股权投资，按成本进行初始计量：以支付现金取得的，按 照实际支付的购买价款作为其初始投资成本；以发行权益性证券取得的，按照发行权益性证券的公允价值 作为其初始投资成本，与发行权益性证券直接相关的费用，按照《企业会计准则第</w:t>
      </w:r>
      <w:r>
        <w:rPr>
          <w:rFonts w:ascii="Times New Roman" w:eastAsia="Times New Roman" w:hAnsi="Times New Roman" w:cs="Times New Roman"/>
          <w:color w:val="000000"/>
          <w:spacing w:val="0"/>
          <w:w w:val="100"/>
          <w:position w:val="0"/>
        </w:rPr>
        <w:t>37</w:t>
      </w:r>
      <w:r>
        <w:rPr>
          <w:color w:val="000000"/>
          <w:spacing w:val="0"/>
          <w:w w:val="100"/>
          <w:position w:val="0"/>
        </w:rPr>
        <w:t xml:space="preserve">号——金融工具列报》 的有关规定确定；在非货币性资产交换具有商业实质和换入资产或换出资产的公允价值能够可靠计量的前 提下，非货币性资产交货换入的长期股权投资以换出资产的公允价值和应支付的相关税费确定其初始投资 成本，除非有确凿证据表明换入资产的公允价值更加可靠；不满足上述前提的非货币性资产交换，以换出 资产的账面价值和应支付的相关税费作为换入长期股权投资的初始投资成本。通过债务重组取得的长期股 权投资，其初始投资成本按照公允价值为基础确定。与取得长期股权投资直接相关的费用、税金及其他必 </w:t>
      </w:r>
      <w:r>
        <w:rPr>
          <w:color w:val="000000"/>
          <w:spacing w:val="0"/>
          <w:w w:val="100"/>
          <w:position w:val="0"/>
        </w:rPr>
        <w:t>要支出也计入投资成本。</w:t>
      </w:r>
    </w:p>
    <w:p>
      <w:pPr>
        <w:pStyle w:val="Style70"/>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对于因追加投资能够对被投资单位实施重大影响或实施共同控制但不构成控制的，长期股权投资成本 为按照《企业会计准则第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号一金融工具确认和计量》确定的原持有股权投资的公允价值加上新增投资 成本之和，作为改按权益法核算的初始投资成本。原持有的股权投资分类为可供出售金融资产的，其公允 价值与账面价值之间的差额，以及原计入其他综合收益的累计公允价值变动应当转入改按权益法核算的当 期损益。</w:t>
      </w:r>
    </w:p>
    <w:p>
      <w:pPr>
        <w:pStyle w:val="Style70"/>
        <w:keepNext w:val="0"/>
        <w:keepLines w:val="0"/>
        <w:widowControl w:val="0"/>
        <w:numPr>
          <w:ilvl w:val="0"/>
          <w:numId w:val="13"/>
        </w:numPr>
        <w:shd w:val="clear" w:color="auto" w:fill="auto"/>
        <w:tabs>
          <w:tab w:pos="718" w:val="left"/>
        </w:tabs>
        <w:bidi w:val="0"/>
        <w:spacing w:before="0" w:after="0" w:line="326" w:lineRule="auto"/>
        <w:ind w:left="0" w:right="0" w:firstLine="420"/>
        <w:jc w:val="left"/>
      </w:pPr>
      <w:bookmarkStart w:id="790" w:name="bookmark790"/>
      <w:bookmarkEnd w:id="790"/>
      <w:r>
        <w:rPr>
          <w:color w:val="000000"/>
          <w:spacing w:val="0"/>
          <w:w w:val="100"/>
          <w:position w:val="0"/>
        </w:rPr>
        <w:t>长期股权投资的后续计量及损益确认方法</w:t>
      </w:r>
    </w:p>
    <w:p>
      <w:pPr>
        <w:pStyle w:val="Style70"/>
        <w:keepNext w:val="0"/>
        <w:keepLines w:val="0"/>
        <w:widowControl w:val="0"/>
        <w:numPr>
          <w:ilvl w:val="0"/>
          <w:numId w:val="25"/>
        </w:numPr>
        <w:shd w:val="clear" w:color="auto" w:fill="auto"/>
        <w:tabs>
          <w:tab w:pos="806" w:val="left"/>
        </w:tabs>
        <w:bidi w:val="0"/>
        <w:spacing w:before="0" w:after="0" w:line="326" w:lineRule="auto"/>
        <w:ind w:left="0" w:right="0" w:firstLine="440"/>
        <w:jc w:val="both"/>
      </w:pPr>
      <w:bookmarkStart w:id="791" w:name="bookmark791"/>
      <w:bookmarkEnd w:id="791"/>
      <w:r>
        <w:rPr>
          <w:color w:val="000000"/>
          <w:spacing w:val="0"/>
          <w:w w:val="100"/>
          <w:position w:val="0"/>
        </w:rPr>
        <w:t>成本法核算的长期股权投资</w:t>
      </w:r>
    </w:p>
    <w:p>
      <w:pPr>
        <w:pStyle w:val="Style70"/>
        <w:keepNext w:val="0"/>
        <w:keepLines w:val="0"/>
        <w:widowControl w:val="0"/>
        <w:shd w:val="clear" w:color="auto" w:fill="auto"/>
        <w:bidi w:val="0"/>
        <w:spacing w:before="0" w:after="0" w:line="247" w:lineRule="exact"/>
        <w:ind w:left="0" w:right="0" w:firstLine="440"/>
        <w:jc w:val="both"/>
        <w:rPr>
          <w:sz w:val="17"/>
          <w:szCs w:val="17"/>
        </w:rPr>
      </w:pPr>
      <w:r>
        <w:rPr>
          <w:color w:val="000000"/>
          <w:spacing w:val="0"/>
          <w:w w:val="100"/>
          <w:position w:val="0"/>
          <w:sz w:val="20"/>
          <w:szCs w:val="20"/>
        </w:rPr>
        <w:t xml:space="preserve">公司对子公司的长期股权投资，采用成本法核算。除取得投资时实际支付的价款或对价中包含的已宣 告但尚未发放的现金股利或利润外，公司按照享有被投资单位宣告发放的现金股利或利润确认当期投资收 </w:t>
      </w:r>
      <w:r>
        <w:rPr>
          <w:color w:val="000000"/>
          <w:spacing w:val="0"/>
          <w:w w:val="100"/>
          <w:position w:val="0"/>
          <w:sz w:val="20"/>
          <w:szCs w:val="20"/>
          <w:u w:val="single"/>
        </w:rPr>
        <w:t>、</w:t>
      </w:r>
      <w:r>
        <w:rPr>
          <w:i/>
          <w:iCs/>
          <w:color w:val="000000"/>
          <w:spacing w:val="0"/>
          <w:w w:val="100"/>
          <w:position w:val="0"/>
          <w:sz w:val="17"/>
          <w:szCs w:val="17"/>
          <w:u w:val="single"/>
        </w:rPr>
        <w:t>八</w:t>
      </w:r>
    </w:p>
    <w:p>
      <w:pPr>
        <w:pStyle w:val="Style70"/>
        <w:keepNext w:val="0"/>
        <w:keepLines w:val="0"/>
        <w:widowControl w:val="0"/>
        <w:shd w:val="clear" w:color="auto" w:fill="auto"/>
        <w:bidi w:val="0"/>
        <w:spacing w:before="0" w:after="80" w:line="312" w:lineRule="exact"/>
        <w:ind w:left="0" w:right="0" w:firstLine="0"/>
        <w:jc w:val="left"/>
      </w:pPr>
      <w:r>
        <w:rPr>
          <w:color w:val="000000"/>
          <w:spacing w:val="0"/>
          <w:w w:val="100"/>
          <w:position w:val="0"/>
        </w:rPr>
        <w:t>益。</w:t>
      </w:r>
    </w:p>
    <w:p>
      <w:pPr>
        <w:pStyle w:val="Style70"/>
        <w:keepNext w:val="0"/>
        <w:keepLines w:val="0"/>
        <w:widowControl w:val="0"/>
        <w:numPr>
          <w:ilvl w:val="0"/>
          <w:numId w:val="25"/>
        </w:numPr>
        <w:shd w:val="clear" w:color="auto" w:fill="auto"/>
        <w:tabs>
          <w:tab w:pos="786" w:val="left"/>
        </w:tabs>
        <w:bidi w:val="0"/>
        <w:spacing w:before="0" w:after="0" w:line="326" w:lineRule="auto"/>
        <w:ind w:left="0" w:right="0" w:firstLine="420"/>
        <w:jc w:val="both"/>
      </w:pPr>
      <w:bookmarkStart w:id="792" w:name="bookmark792"/>
      <w:bookmarkEnd w:id="792"/>
      <w:r>
        <w:rPr>
          <w:color w:val="000000"/>
          <w:spacing w:val="0"/>
          <w:w w:val="100"/>
          <w:position w:val="0"/>
        </w:rPr>
        <w:t>权益法核算的长期股权投资</w:t>
      </w:r>
    </w:p>
    <w:p>
      <w:pPr>
        <w:pStyle w:val="Style70"/>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对联营企业和合营企业的长期股权投资，采用权益法核算。</w:t>
      </w:r>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采用权益法核算的长期股权投资的初始投资成本大于投资时应享有被投资单位可辨认净资产公允价 值份额的，不调整长期股权投资的初始投资成本；长期股权投资的初始投资成本小于投资时应享有被投资 单位可辨认净资产公允价值份额的，其差额应当计入当期损益，同时调整长期股权投资的成本。取得长期 股权投资后，被投资单位采用的会计政策及会计期间与公司不一致的，按照公司的会计政策及会计期间对 被投资单位的财务报表进行调整，并据以确认投资损益和其他综合收益等。按照应享有或应分担的被投资 单位实现的净损益和其他综合收益的份额，分别确认投资收益和其他综合收益，同时调整长期股权投资的 账面价值；在确认应享有被投资单位净损益的份额时，以取得投资时被投资单位各项可辨认资产等的公允 价值为基础，对被投资单位的净利润进行调整后确认。按照被投资单位宣告分派的利润或现金股利计算应 享有的部分，相应减少长期股权投资的账面价值；对于被投资单位除净损益、其他综合收益和利润分配以 外所有者权益的其他变动，调整长期股权投资的账面价值并计入所有者权益。公司与联营企业、合营企业 之间发生的未实现内部交易损益按照享有的比例计算归属于公司的部分，予以抵销，在此基础上确认投资 收益。与被投资单位发生的未实现内部交易损失，属于资产减值损失的，全额确认。</w:t>
      </w:r>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在公司确认应分担被投资单位发生亏损时，按照以下顺序进行处理：首先，冲减长期股权投资的账面 价值。其次，长期股权投资的账面价值不足以冲减的，以其他实质上构成对被投资单位净投资的长期权益 账面价值为限继续确认投资损失、冲减长期应收项目的账面价值。经过上述处理，按照投资合同或协议约 定企业仍承担额外义务的，按预计承担的义务确认预计负债，计入当期投资损失。被投资单位以后期间实 现净利润的，本公司在收益弥补未确认的亏损分担额后，恢复确认收益分享额。</w:t>
      </w:r>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在持有投资期间，被投资单位编制合并财务报表的，以合并财务报表中的净利润、其他综合收益和其 他所有者权益变动中归属于被投资单位的金额为基础进行核算。</w:t>
      </w:r>
    </w:p>
    <w:p>
      <w:pPr>
        <w:pStyle w:val="Style70"/>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对于本公司向合营企业与联营企业投出的资产构成业务的，投资方因此取得长期股权投资但未取得控 制权的，以投出业务的公允价值作为新增长期股权投资的初始投资成本，初始投资成本与投出业务的账面 价值之差，全额计入当期损益。本公司向合营企业或者联营企业出售的资产构成业务的，取得的对价与业 务的账面价值之差，全额计入当期损益。本公司自联营及合营企业购入的资产构成业务的，按《企业会计 准则第</w:t>
      </w:r>
      <w:r>
        <w:rPr>
          <w:rFonts w:ascii="Times New Roman" w:eastAsia="Times New Roman" w:hAnsi="Times New Roman" w:cs="Times New Roman"/>
          <w:color w:val="000000"/>
          <w:spacing w:val="0"/>
          <w:w w:val="100"/>
          <w:position w:val="0"/>
        </w:rPr>
        <w:t>20</w:t>
      </w:r>
      <w:r>
        <w:rPr>
          <w:color w:val="000000"/>
          <w:spacing w:val="0"/>
          <w:w w:val="100"/>
          <w:position w:val="0"/>
        </w:rPr>
        <w:t>号——企业合并》的规定进行会计处理，全额确认与交易相关的利得或损失。</w:t>
      </w:r>
    </w:p>
    <w:p>
      <w:pPr>
        <w:pStyle w:val="Style70"/>
        <w:keepNext w:val="0"/>
        <w:keepLines w:val="0"/>
        <w:widowControl w:val="0"/>
        <w:numPr>
          <w:ilvl w:val="0"/>
          <w:numId w:val="13"/>
        </w:numPr>
        <w:shd w:val="clear" w:color="auto" w:fill="auto"/>
        <w:tabs>
          <w:tab w:pos="738" w:val="left"/>
        </w:tabs>
        <w:bidi w:val="0"/>
        <w:spacing w:before="0" w:after="0" w:line="326" w:lineRule="auto"/>
        <w:ind w:left="0" w:right="0" w:firstLine="440"/>
        <w:jc w:val="both"/>
      </w:pPr>
      <w:bookmarkStart w:id="793" w:name="bookmark793"/>
      <w:bookmarkEnd w:id="793"/>
      <w:r>
        <w:rPr>
          <w:color w:val="000000"/>
          <w:spacing w:val="0"/>
          <w:w w:val="100"/>
          <w:position w:val="0"/>
        </w:rPr>
        <w:t>长期股权投资的处置</w:t>
      </w:r>
    </w:p>
    <w:p>
      <w:pPr>
        <w:pStyle w:val="Style70"/>
        <w:keepNext w:val="0"/>
        <w:keepLines w:val="0"/>
        <w:widowControl w:val="0"/>
        <w:shd w:val="clear" w:color="auto" w:fill="auto"/>
        <w:bidi w:val="0"/>
        <w:spacing w:before="0" w:after="80" w:line="312" w:lineRule="exact"/>
        <w:ind w:left="0" w:right="0" w:firstLine="420"/>
        <w:jc w:val="left"/>
      </w:pPr>
      <w:r>
        <w:rPr>
          <w:color w:val="000000"/>
          <w:spacing w:val="0"/>
          <w:w w:val="100"/>
          <w:position w:val="0"/>
        </w:rPr>
        <w:t>处置长期股权投资，其账面价值与实际取得价款的差额，计入当期损益。</w:t>
      </w:r>
    </w:p>
    <w:p>
      <w:pPr>
        <w:pStyle w:val="Style70"/>
        <w:keepNext w:val="0"/>
        <w:keepLines w:val="0"/>
        <w:widowControl w:val="0"/>
        <w:numPr>
          <w:ilvl w:val="0"/>
          <w:numId w:val="27"/>
        </w:numPr>
        <w:shd w:val="clear" w:color="auto" w:fill="auto"/>
        <w:bidi w:val="0"/>
        <w:spacing w:before="0" w:after="0" w:line="326" w:lineRule="auto"/>
        <w:ind w:left="0" w:right="0" w:firstLine="440"/>
        <w:jc w:val="both"/>
      </w:pPr>
      <w:bookmarkStart w:id="794" w:name="bookmark794"/>
      <w:bookmarkEnd w:id="794"/>
      <w:r>
        <w:rPr>
          <w:color w:val="000000"/>
          <w:spacing w:val="0"/>
          <w:w w:val="100"/>
          <w:position w:val="0"/>
        </w:rPr>
        <w:t>权益法核算下的长期股权投资的处置</w:t>
      </w:r>
    </w:p>
    <w:p>
      <w:pPr>
        <w:pStyle w:val="Style70"/>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采用权益法核算的长期股权投资，处置后的剩余股权仍采用权益法核算的，在处置该项投资时，采用 与被投资单位直接处置相关资产或者负债相同的基础，按相应比例对原计入其他综合收益的部分进行会计 处理。因被投资单位除净损益、其他综合收益和利润分配以外的其他所有者权益变动而确认的所有者权益, 按比例结转入当期损益。</w:t>
      </w:r>
    </w:p>
    <w:p>
      <w:pPr>
        <w:pStyle w:val="Style70"/>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因处置部分股权投资等原因丧失了对投资单位的共同控制或者重大影响的，处置后的剩余股权改按金 融工具确认和计量准则核算，其在丧失共同控制或重大影响之日的公允价值与账面价值之间的差额计入当 期损益。原股权投资因采用权益法核算而确认的其他综合收益，在终止确认权益法核算时采用与被投资单 位直接处置相关资产或负债相同的基础进行会计处理。因被投资方除净损益、其他综合收益和利润分配以 外的其他所有者权益变动而确认的所有者权益，在终止采用权益法核算时全部转入当期损益。</w:t>
      </w:r>
    </w:p>
    <w:p>
      <w:pPr>
        <w:pStyle w:val="Style70"/>
        <w:keepNext w:val="0"/>
        <w:keepLines w:val="0"/>
        <w:widowControl w:val="0"/>
        <w:shd w:val="clear" w:color="auto" w:fill="auto"/>
        <w:bidi w:val="0"/>
        <w:spacing w:before="0" w:after="0" w:line="329" w:lineRule="auto"/>
        <w:ind w:left="0" w:right="0" w:firstLine="440"/>
        <w:jc w:val="both"/>
      </w:pPr>
      <w:bookmarkStart w:id="795" w:name="bookmark795"/>
      <w:r>
        <w:rPr>
          <w:rFonts w:ascii="Times New Roman" w:eastAsia="Times New Roman" w:hAnsi="Times New Roman" w:cs="Times New Roman"/>
          <w:color w:val="000000"/>
          <w:spacing w:val="0"/>
          <w:w w:val="100"/>
          <w:position w:val="0"/>
        </w:rPr>
        <w:t>（</w:t>
      </w:r>
      <w:bookmarkEnd w:id="795"/>
      <w:r>
        <w:rPr>
          <w:rFonts w:ascii="Times New Roman" w:eastAsia="Times New Roman" w:hAnsi="Times New Roman" w:cs="Times New Roman"/>
          <w:color w:val="000000"/>
          <w:spacing w:val="0"/>
          <w:w w:val="100"/>
          <w:position w:val="0"/>
        </w:rPr>
        <w:t>2）</w:t>
      </w:r>
      <w:r>
        <w:rPr>
          <w:color w:val="000000"/>
          <w:spacing w:val="0"/>
          <w:w w:val="100"/>
          <w:position w:val="0"/>
        </w:rPr>
        <w:t>成本法核算下的长期股权投资的处置</w:t>
      </w:r>
    </w:p>
    <w:p>
      <w:pPr>
        <w:pStyle w:val="Style7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采用成本法核算的长期股权投资，处置后剩余股权仍采用成本法核算的，其在取得对被投资单位的控 制之前因采用权益法核算或者金融工具确认和计量准则核算而确认的其他综合收益，采用与被投资单位直 接处置相关资产或者负债相同的基础进行处理，并按比例结转当期损益；因采用权益法核算而确认的被投 资单位净资产中除净损益、其他综合收益和净利润分配以外的其他所有者权益变动按比例结转当期损益。</w:t>
      </w:r>
    </w:p>
    <w:p>
      <w:pPr>
        <w:pStyle w:val="Style7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因其他投资方增资而导致本公司持股比例下降、从而丧失控制权但能对被投资单位实施共同控制或施 加重大影响的，按照新的持股比例确认本公司应享有的被投资单位因增资扩股而增加净资产的份额，与应 结转持股比例下降部分所对应的长期股权投资原账面价值之间的差额计入当期损益；然后，按照新的持股 比例视同自取得投资时即采用权益法核算进行调整。</w:t>
      </w:r>
    </w:p>
    <w:p>
      <w:pPr>
        <w:pStyle w:val="Style7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公司因处置部分股权投资或其他原因丧失了对原有子公司控制权的，处置后的剩余股权能够对被投资 单位实施共同控制或施加重大影响的，改按权益法核算，并对该剩余股权视同自取得时即采用权益法核算 进行调整，购买日之前持有的股权投资因采用权益法核算而确认的其他综合收益和其他所有者权益按比例 结转；处置后的剩余股权不能对被投资单位实施共同控制或施加重大影响的，改按《企业会计准则第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 —金融工具确认和计量》的有关规定进行会计处理，其在丧失控制之日的公允价值与账面价值间的差额 计入当期损益，其他综合收益和其他所有者权益全部结转为当期损益。</w:t>
      </w:r>
    </w:p>
    <w:p>
      <w:pPr>
        <w:pStyle w:val="Style70"/>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本公司通过多次交易分步处置对子公司股权投资直至丧失控制权，如果上述交易属于一揽子交易的， 将各项交易作为一项处置子公司股权投资并丧失控制权的交易进行会计处理，在丧失控制权之前每一次处 置价款与所处置的股权对应的长期股权投资账面价值之间的差额，先确认为其他综合收益，到丧失控制权 时再一并转入丧失控制权的当期损益。</w:t>
      </w:r>
    </w:p>
    <w:p>
      <w:pPr>
        <w:pStyle w:val="Style33"/>
        <w:keepNext/>
        <w:keepLines/>
        <w:widowControl w:val="0"/>
        <w:shd w:val="clear" w:color="auto" w:fill="auto"/>
        <w:tabs>
          <w:tab w:pos="425" w:val="left"/>
        </w:tabs>
        <w:bidi w:val="0"/>
        <w:spacing w:before="0" w:after="200" w:line="329" w:lineRule="auto"/>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w:t>
      </w:r>
      <w:bookmarkEnd w:id="798"/>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796"/>
      <w:bookmarkEnd w:id="797"/>
      <w:bookmarkEnd w:id="799"/>
    </w:p>
    <w:p>
      <w:pPr>
        <w:pStyle w:val="Style29"/>
        <w:keepNext w:val="0"/>
        <w:keepLines w:val="0"/>
        <w:widowControl w:val="0"/>
        <w:shd w:val="clear" w:color="auto" w:fill="auto"/>
        <w:bidi w:val="0"/>
        <w:spacing w:before="0" w:after="40" w:line="314" w:lineRule="exact"/>
        <w:ind w:left="0" w:right="0" w:firstLine="0"/>
        <w:jc w:val="left"/>
      </w:pPr>
      <w:r>
        <w:rPr>
          <w:color w:val="000000"/>
          <w:spacing w:val="0"/>
          <w:w w:val="100"/>
          <w:position w:val="0"/>
        </w:rPr>
        <w:t>投资性房地产计量模式</w:t>
      </w:r>
    </w:p>
    <w:p>
      <w:pPr>
        <w:pStyle w:val="Style2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33"/>
        <w:keepNext/>
        <w:keepLines/>
        <w:widowControl w:val="0"/>
        <w:shd w:val="clear" w:color="auto" w:fill="auto"/>
        <w:tabs>
          <w:tab w:pos="425" w:val="left"/>
        </w:tabs>
        <w:bidi w:val="0"/>
        <w:spacing w:before="0" w:after="200" w:line="329"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bookmarkEnd w:id="802"/>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800"/>
      <w:bookmarkEnd w:id="801"/>
      <w:bookmarkEnd w:id="803"/>
    </w:p>
    <w:p>
      <w:pPr>
        <w:pStyle w:val="Style55"/>
        <w:keepNext/>
        <w:keepLines/>
        <w:widowControl w:val="0"/>
        <w:shd w:val="clear" w:color="auto" w:fill="auto"/>
        <w:bidi w:val="0"/>
        <w:spacing w:before="0" w:after="260" w:line="314" w:lineRule="exact"/>
        <w:ind w:left="0" w:right="0" w:firstLine="0"/>
        <w:jc w:val="left"/>
      </w:pPr>
      <w:bookmarkStart w:id="804" w:name="bookmark804"/>
      <w:bookmarkStart w:id="805" w:name="bookmark805"/>
      <w:bookmarkStart w:id="806" w:name="bookmark806"/>
      <w:bookmarkStart w:id="807" w:name="bookmark807"/>
      <w:r>
        <w:rPr>
          <w:color w:val="000000"/>
          <w:spacing w:val="0"/>
          <w:w w:val="100"/>
          <w:position w:val="0"/>
        </w:rPr>
        <w:t>（</w:t>
      </w:r>
      <w:bookmarkEnd w:id="806"/>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04"/>
      <w:bookmarkEnd w:id="805"/>
      <w:bookmarkEnd w:id="807"/>
    </w:p>
    <w:p>
      <w:pPr>
        <w:pStyle w:val="Style29"/>
        <w:keepNext w:val="0"/>
        <w:keepLines w:val="0"/>
        <w:widowControl w:val="0"/>
        <w:shd w:val="clear" w:color="auto" w:fill="auto"/>
        <w:bidi w:val="0"/>
        <w:spacing w:before="0" w:after="380" w:line="314" w:lineRule="exact"/>
        <w:ind w:left="0" w:right="0" w:firstLine="0"/>
        <w:jc w:val="left"/>
      </w:pPr>
      <w:bookmarkStart w:id="808" w:name="bookmark808"/>
      <w:r>
        <w:rPr>
          <w:color w:val="000000"/>
          <w:spacing w:val="0"/>
          <w:w w:val="100"/>
          <w:position w:val="0"/>
        </w:rPr>
        <w:t>固</w:t>
      </w:r>
      <w:bookmarkEnd w:id="808"/>
      <w:r>
        <w:rPr>
          <w:color w:val="000000"/>
          <w:spacing w:val="0"/>
          <w:w w:val="100"/>
          <w:position w:val="0"/>
        </w:rPr>
        <w:t>定资产是指同时具有下列特征的有形资产：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为生产商品、提供劳务、出租（不包括出租的房屋及建筑物）或经营管理 持有的；</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使用寿命超过一个会计年度。固定资产同时满足下列条件的予以确认：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 流入企业；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该固定资产的成本能够可靠地计量。与固定资产有关的后续支出，符合上述确认条件的，计入固定资产成本； 不符合上述确认条件的，发生时计入当期损益。</w:t>
      </w:r>
    </w:p>
    <w:p>
      <w:pPr>
        <w:pStyle w:val="Style51"/>
        <w:keepNext w:val="0"/>
        <w:keepLines w:val="0"/>
        <w:widowControl w:val="0"/>
        <w:shd w:val="clear" w:color="auto" w:fill="auto"/>
        <w:bidi w:val="0"/>
        <w:spacing w:before="0" w:after="0" w:line="240" w:lineRule="auto"/>
        <w:ind w:left="96" w:right="0" w:firstLine="0"/>
        <w:jc w:val="left"/>
        <w:rPr>
          <w:sz w:val="20"/>
          <w:szCs w:val="20"/>
        </w:rPr>
      </w:pPr>
      <w:bookmarkStart w:id="809" w:name="bookmark80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809"/>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8"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30-50 </w:t>
            </w:r>
            <w:r>
              <w:rPr>
                <w:color w:val="000000"/>
                <w:spacing w:val="0"/>
                <w:w w:val="100"/>
                <w:position w:val="0"/>
              </w:rPr>
              <w:t>年</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w:t>
            </w:r>
          </w:p>
        </w:tc>
      </w:tr>
    </w:tbl>
    <w:p>
      <w:pPr>
        <w:widowControl w:val="0"/>
        <w:spacing w:line="1" w:lineRule="exact"/>
      </w:pP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19.2%-32%</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w:t>
            </w:r>
          </w:p>
        </w:tc>
      </w:tr>
      <w:tr>
        <w:trPr>
          <w:trHeight w:val="413"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w:t>
            </w:r>
          </w:p>
        </w:tc>
      </w:tr>
    </w:tbl>
    <w:p>
      <w:pPr>
        <w:widowControl w:val="0"/>
        <w:spacing w:after="299" w:line="1" w:lineRule="exact"/>
      </w:pPr>
    </w:p>
    <w:p>
      <w:pPr>
        <w:pStyle w:val="Style55"/>
        <w:keepNext/>
        <w:keepLines/>
        <w:widowControl w:val="0"/>
        <w:shd w:val="clear" w:color="auto" w:fill="auto"/>
        <w:bidi w:val="0"/>
        <w:spacing w:before="0" w:after="300" w:line="314" w:lineRule="exact"/>
        <w:ind w:left="0" w:right="0" w:firstLine="0"/>
        <w:jc w:val="left"/>
      </w:pPr>
      <w:bookmarkStart w:id="810" w:name="bookmark810"/>
      <w:bookmarkStart w:id="811" w:name="bookmark811"/>
      <w:bookmarkStart w:id="812" w:name="bookmark812"/>
      <w:bookmarkStart w:id="813" w:name="bookmark813"/>
      <w:r>
        <w:rPr>
          <w:color w:val="000000"/>
          <w:spacing w:val="0"/>
          <w:w w:val="100"/>
          <w:position w:val="0"/>
        </w:rPr>
        <w:t>（</w:t>
      </w:r>
      <w:bookmarkEnd w:id="812"/>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10"/>
      <w:bookmarkEnd w:id="811"/>
      <w:bookmarkEnd w:id="813"/>
    </w:p>
    <w:p>
      <w:pPr>
        <w:pStyle w:val="Style33"/>
        <w:keepNext/>
        <w:keepLines/>
        <w:widowControl w:val="0"/>
        <w:shd w:val="clear" w:color="auto" w:fill="auto"/>
        <w:tabs>
          <w:tab w:pos="474" w:val="left"/>
        </w:tabs>
        <w:bidi w:val="0"/>
        <w:spacing w:before="0" w:after="380" w:line="314" w:lineRule="exact"/>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14"/>
      <w:bookmarkEnd w:id="815"/>
      <w:bookmarkEnd w:id="81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w:t>
      </w: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互联网营销业</w:t>
      </w:r>
    </w:p>
    <w:p>
      <w:pPr>
        <w:pStyle w:val="Style33"/>
        <w:keepNext/>
        <w:keepLines/>
        <w:widowControl w:val="0"/>
        <w:shd w:val="clear" w:color="auto" w:fill="auto"/>
        <w:tabs>
          <w:tab w:pos="474" w:val="left"/>
        </w:tabs>
        <w:bidi w:val="0"/>
        <w:spacing w:before="0" w:after="300" w:line="314" w:lineRule="exact"/>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18"/>
      <w:bookmarkEnd w:id="819"/>
      <w:bookmarkEnd w:id="821"/>
    </w:p>
    <w:p>
      <w:pPr>
        <w:pStyle w:val="Style33"/>
        <w:keepNext/>
        <w:keepLines/>
        <w:widowControl w:val="0"/>
        <w:shd w:val="clear" w:color="auto" w:fill="auto"/>
        <w:tabs>
          <w:tab w:pos="474" w:val="left"/>
        </w:tabs>
        <w:bidi w:val="0"/>
        <w:spacing w:before="0" w:after="300" w:line="314" w:lineRule="exact"/>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1</w:t>
      </w:r>
      <w:bookmarkEnd w:id="824"/>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22"/>
      <w:bookmarkEnd w:id="823"/>
      <w:bookmarkEnd w:id="825"/>
    </w:p>
    <w:p>
      <w:pPr>
        <w:pStyle w:val="Style33"/>
        <w:keepNext/>
        <w:keepLines/>
        <w:widowControl w:val="0"/>
        <w:shd w:val="clear" w:color="auto" w:fill="auto"/>
        <w:tabs>
          <w:tab w:pos="483" w:val="left"/>
        </w:tabs>
        <w:bidi w:val="0"/>
        <w:spacing w:before="0" w:after="300" w:line="314" w:lineRule="exact"/>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2</w:t>
      </w:r>
      <w:bookmarkEnd w:id="828"/>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26"/>
      <w:bookmarkEnd w:id="827"/>
      <w:bookmarkEnd w:id="829"/>
    </w:p>
    <w:p>
      <w:pPr>
        <w:pStyle w:val="Style33"/>
        <w:keepNext/>
        <w:keepLines/>
        <w:widowControl w:val="0"/>
        <w:shd w:val="clear" w:color="auto" w:fill="auto"/>
        <w:tabs>
          <w:tab w:pos="483" w:val="left"/>
        </w:tabs>
        <w:bidi w:val="0"/>
        <w:spacing w:before="0" w:after="300" w:line="314" w:lineRule="exact"/>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2</w:t>
      </w:r>
      <w:bookmarkEnd w:id="832"/>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30"/>
      <w:bookmarkEnd w:id="831"/>
      <w:bookmarkEnd w:id="833"/>
    </w:p>
    <w:p>
      <w:pPr>
        <w:pStyle w:val="Style55"/>
        <w:keepNext/>
        <w:keepLines/>
        <w:widowControl w:val="0"/>
        <w:shd w:val="clear" w:color="auto" w:fill="auto"/>
        <w:bidi w:val="0"/>
        <w:spacing w:before="0" w:line="314" w:lineRule="exact"/>
        <w:ind w:left="0" w:right="0" w:firstLine="0"/>
        <w:jc w:val="left"/>
      </w:pPr>
      <w:bookmarkStart w:id="834" w:name="bookmark834"/>
      <w:bookmarkStart w:id="835" w:name="bookmark835"/>
      <w:bookmarkStart w:id="836" w:name="bookmark836"/>
      <w:bookmarkStart w:id="837" w:name="bookmark837"/>
      <w:r>
        <w:rPr>
          <w:color w:val="000000"/>
          <w:spacing w:val="0"/>
          <w:w w:val="100"/>
          <w:position w:val="0"/>
        </w:rPr>
        <w:t>（</w:t>
      </w:r>
      <w:bookmarkEnd w:id="836"/>
      <w:r>
        <w:rPr>
          <w:rFonts w:ascii="Times New Roman" w:eastAsia="Times New Roman" w:hAnsi="Times New Roman" w:cs="Times New Roman"/>
          <w:color w:val="000000"/>
          <w:spacing w:val="0"/>
          <w:w w:val="100"/>
          <w:position w:val="0"/>
        </w:rPr>
        <w:t>1</w:t>
      </w:r>
      <w:r>
        <w:rPr>
          <w:color w:val="000000"/>
          <w:spacing w:val="0"/>
          <w:w w:val="100"/>
          <w:position w:val="0"/>
        </w:rPr>
        <w:t>） 计价方法、使用寿命、减值测试</w:t>
      </w:r>
      <w:bookmarkEnd w:id="834"/>
      <w:bookmarkEnd w:id="835"/>
      <w:bookmarkEnd w:id="83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互联网营销业</w:t>
      </w:r>
    </w:p>
    <w:p>
      <w:pPr>
        <w:pStyle w:val="Style70"/>
        <w:keepNext w:val="0"/>
        <w:keepLines w:val="0"/>
        <w:widowControl w:val="0"/>
        <w:numPr>
          <w:ilvl w:val="0"/>
          <w:numId w:val="29"/>
        </w:numPr>
        <w:shd w:val="clear" w:color="auto" w:fill="auto"/>
        <w:bidi w:val="0"/>
        <w:spacing w:before="0" w:after="0" w:line="314" w:lineRule="exact"/>
        <w:ind w:left="0" w:right="0" w:firstLine="440"/>
        <w:jc w:val="both"/>
      </w:pPr>
      <w:bookmarkStart w:id="838" w:name="bookmark838"/>
      <w:bookmarkEnd w:id="838"/>
      <w:r>
        <w:rPr>
          <w:color w:val="000000"/>
          <w:spacing w:val="0"/>
          <w:w w:val="100"/>
          <w:position w:val="0"/>
        </w:rPr>
        <w:t>无形资产的初始计量</w:t>
      </w:r>
    </w:p>
    <w:p>
      <w:pPr>
        <w:pStyle w:val="Style7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本公司无形资产包括软件著作权及外购软件等，按取得时的实际成本计量，其中，自行研究开发的无 形资产，按实际成本计量；购入的无形资产，按实际支付的价款和相关的其他支出作为实际成本；投资者 投入的无形资产，按投资合同或协议约定的价值确定实际成本，但合同或协议约定价值不公允的，按公允 价值确定实际成本；对非同一控制下合并中取得被购买方拥有的但在其财务报表中未确认的无形资产，在 对被购买方资产进行初始确认时，按公允价值确认为无形资产。</w:t>
      </w:r>
    </w:p>
    <w:p>
      <w:pPr>
        <w:pStyle w:val="Style70"/>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.无形资产使用寿命及摊销</w:t>
      </w:r>
    </w:p>
    <w:p>
      <w:pPr>
        <w:pStyle w:val="Style7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软件著作权及外购软件按预计使用年限、合同规定的受益年限和法律规定的有效年限三者中最短者分 期平均摊销，摊销年限为</w:t>
      </w: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年。摊销金额按其受益对象计入相关资产成本和当期损益。对使用寿命有限 的无形资产的预计使用寿命及摊销方法于每年年度终了进行复核，如发生改变，则作为会计估计变更处理。</w:t>
      </w:r>
    </w:p>
    <w:p>
      <w:pPr>
        <w:pStyle w:val="Style70"/>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在每个会计期间，本公司对使用寿命不确定的无形资产的预计使用寿命进行复核，如有证据表明无形 资产的使用寿命是有限的，则估计其使用寿命并在预计使用寿命内摊销。</w:t>
      </w:r>
    </w:p>
    <w:p>
      <w:pPr>
        <w:pStyle w:val="Style55"/>
        <w:keepNext/>
        <w:keepLines/>
        <w:widowControl w:val="0"/>
        <w:shd w:val="clear" w:color="auto" w:fill="auto"/>
        <w:tabs>
          <w:tab w:pos="493" w:val="left"/>
        </w:tabs>
        <w:bidi w:val="0"/>
        <w:spacing w:before="0" w:after="300" w:line="314" w:lineRule="exact"/>
        <w:ind w:left="0" w:right="0" w:firstLine="0"/>
        <w:jc w:val="left"/>
      </w:pPr>
      <w:bookmarkStart w:id="839" w:name="bookmark839"/>
      <w:bookmarkStart w:id="840" w:name="bookmark840"/>
      <w:bookmarkStart w:id="841" w:name="bookmark841"/>
      <w:bookmarkStart w:id="842" w:name="bookmark842"/>
      <w:r>
        <w:rPr>
          <w:color w:val="000000"/>
          <w:spacing w:val="0"/>
          <w:w w:val="100"/>
          <w:position w:val="0"/>
        </w:rPr>
        <w:t>（</w:t>
      </w:r>
      <w:bookmarkEnd w:id="841"/>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839"/>
      <w:bookmarkEnd w:id="840"/>
      <w:bookmarkEnd w:id="842"/>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内部研究开发项目的支出，区分为研究阶段支出和开发阶段支出。划分研究阶段和开发阶段的标准： 为获取新的技术和知识等进行的有计划的调查阶段，应确定为研究阶段，该阶段具有计划性和探索性等特 点；在进行商业性生产或使用前，将研究成果或其他知识应用于某项计划或设计，以生产出新的或具有实 </w:t>
      </w:r>
      <w:r>
        <w:rPr>
          <w:color w:val="000000"/>
          <w:spacing w:val="0"/>
          <w:w w:val="100"/>
          <w:position w:val="0"/>
        </w:rPr>
        <w:t>质性改进的材料、装置、产品等阶段，应确定为开发阶段，该阶段具有针对性和形成成果的可能性较大等 特点。</w:t>
      </w:r>
    </w:p>
    <w:p>
      <w:pPr>
        <w:pStyle w:val="Style70"/>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内部研究开发项目研究阶段的支出，于发生时计入当期损益。内部研究开发项目开发阶段的支出，同 时满足下列条件的，确认为无形资产：</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完成该无形资产以使其能够使用或出售在技术上具有可行性；</w:t>
      </w:r>
      <w:r>
        <w:rPr>
          <w:color w:val="000000"/>
          <w:spacing w:val="0"/>
          <w:w w:val="100"/>
          <w:position w:val="0"/>
        </w:rPr>
        <w:t>(</w:t>
      </w:r>
      <w:r>
        <w:rPr>
          <w:rFonts w:ascii="Times New Roman" w:eastAsia="Times New Roman" w:hAnsi="Times New Roman" w:cs="Times New Roman"/>
          <w:color w:val="000000"/>
          <w:spacing w:val="0"/>
          <w:w w:val="100"/>
          <w:position w:val="0"/>
        </w:rPr>
        <w:t xml:space="preserve">2) </w:t>
      </w:r>
      <w:r>
        <w:rPr>
          <w:color w:val="000000"/>
          <w:spacing w:val="0"/>
          <w:w w:val="100"/>
          <w:position w:val="0"/>
        </w:rPr>
        <w:t>具有完成该无形资产并使用或出售的意图；</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无形资产产生经济利益的方式，包括能够证明运用该无形资 产生产的产品存在市场或无形资产自身存在市场，无形资产将在内部使用的，可证明其有用性；</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有足够 的技术、财务资源和其他资源支持，以完成该无形资产的开发，并有能力使用或出售该无形资产；</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归属 于该无形资产开发阶段的支出能够可靠地计量。如不满足上述条件的，于发生时计入当期损益；无法区分 研究阶段支出和开发阶段支出的，将发生的研发支出全部计入当期损益。</w:t>
      </w:r>
    </w:p>
    <w:p>
      <w:pPr>
        <w:pStyle w:val="Style33"/>
        <w:keepNext/>
        <w:keepLines/>
        <w:widowControl w:val="0"/>
        <w:shd w:val="clear" w:color="auto" w:fill="auto"/>
        <w:tabs>
          <w:tab w:pos="454" w:val="left"/>
        </w:tabs>
        <w:bidi w:val="0"/>
        <w:spacing w:before="0" w:after="200" w:line="329" w:lineRule="auto"/>
        <w:ind w:left="0" w:right="0" w:firstLine="0"/>
        <w:jc w:val="both"/>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2</w:t>
      </w:r>
      <w:bookmarkEnd w:id="845"/>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843"/>
      <w:bookmarkEnd w:id="844"/>
      <w:bookmarkEnd w:id="846"/>
    </w:p>
    <w:p>
      <w:pPr>
        <w:pStyle w:val="Style70"/>
        <w:keepNext w:val="0"/>
        <w:keepLines w:val="0"/>
        <w:widowControl w:val="0"/>
        <w:shd w:val="clear" w:color="auto" w:fill="auto"/>
        <w:bidi w:val="0"/>
        <w:spacing w:before="0" w:after="80" w:line="315" w:lineRule="exact"/>
        <w:ind w:left="0" w:right="0" w:firstLine="440"/>
        <w:jc w:val="both"/>
      </w:pPr>
      <w:r>
        <w:rPr>
          <w:color w:val="000000"/>
          <w:spacing w:val="0"/>
          <w:w w:val="100"/>
          <w:position w:val="0"/>
        </w:rPr>
        <w:t>长期股权投资、采用成本模式计量的投资性房地产、固定资产、在建工程、使用寿命有限的无形资产 等长期资产，存在下列迹象的，表明资产可能发生了减值：</w:t>
      </w:r>
    </w:p>
    <w:p>
      <w:pPr>
        <w:pStyle w:val="Style70"/>
        <w:keepNext w:val="0"/>
        <w:keepLines w:val="0"/>
        <w:widowControl w:val="0"/>
        <w:numPr>
          <w:ilvl w:val="0"/>
          <w:numId w:val="31"/>
        </w:numPr>
        <w:shd w:val="clear" w:color="auto" w:fill="auto"/>
        <w:tabs>
          <w:tab w:pos="836" w:val="left"/>
        </w:tabs>
        <w:bidi w:val="0"/>
        <w:spacing w:before="0" w:after="0" w:line="329" w:lineRule="auto"/>
        <w:ind w:left="0" w:right="0" w:firstLine="440"/>
        <w:jc w:val="both"/>
      </w:pPr>
      <w:bookmarkStart w:id="847" w:name="bookmark847"/>
      <w:bookmarkEnd w:id="847"/>
      <w:r>
        <w:rPr>
          <w:color w:val="000000"/>
          <w:spacing w:val="0"/>
          <w:w w:val="100"/>
          <w:position w:val="0"/>
        </w:rPr>
        <w:t>资产的市价当期大幅度下跌，其跌幅明显高于因时间的推移或者正常使用而预计的下跌；</w:t>
      </w:r>
    </w:p>
    <w:p>
      <w:pPr>
        <w:pStyle w:val="Style70"/>
        <w:keepNext w:val="0"/>
        <w:keepLines w:val="0"/>
        <w:widowControl w:val="0"/>
        <w:numPr>
          <w:ilvl w:val="0"/>
          <w:numId w:val="31"/>
        </w:numPr>
        <w:shd w:val="clear" w:color="auto" w:fill="auto"/>
        <w:tabs>
          <w:tab w:pos="819" w:val="left"/>
        </w:tabs>
        <w:bidi w:val="0"/>
        <w:spacing w:before="0" w:after="0" w:line="315" w:lineRule="exact"/>
        <w:ind w:left="0" w:right="0" w:firstLine="440"/>
        <w:jc w:val="both"/>
      </w:pPr>
      <w:bookmarkStart w:id="848" w:name="bookmark848"/>
      <w:bookmarkEnd w:id="848"/>
      <w:r>
        <w:rPr>
          <w:color w:val="000000"/>
          <w:spacing w:val="0"/>
          <w:w w:val="100"/>
          <w:position w:val="0"/>
        </w:rPr>
        <w:t>企业经营所处的经济、技术或者法律等环境以及资产所处的市场在当期或者将在近期发生重大变 化，从而对企业产生不利影响；</w:t>
      </w:r>
    </w:p>
    <w:p>
      <w:pPr>
        <w:pStyle w:val="Style70"/>
        <w:keepNext w:val="0"/>
        <w:keepLines w:val="0"/>
        <w:widowControl w:val="0"/>
        <w:numPr>
          <w:ilvl w:val="0"/>
          <w:numId w:val="31"/>
        </w:numPr>
        <w:shd w:val="clear" w:color="auto" w:fill="auto"/>
        <w:tabs>
          <w:tab w:pos="804" w:val="left"/>
        </w:tabs>
        <w:bidi w:val="0"/>
        <w:spacing w:before="0" w:after="80" w:line="315" w:lineRule="exact"/>
        <w:ind w:left="0" w:right="0" w:firstLine="440"/>
        <w:jc w:val="both"/>
      </w:pPr>
      <w:bookmarkStart w:id="849" w:name="bookmark849"/>
      <w:bookmarkEnd w:id="849"/>
      <w:r>
        <w:rPr>
          <w:color w:val="000000"/>
          <w:spacing w:val="0"/>
          <w:w w:val="100"/>
          <w:position w:val="0"/>
        </w:rPr>
        <w:t>市场利率或者其他市场投资报酬率在当期已经提高，从而影响企业计算资产预计未来现金流量现值 的折现率，导致资产可收回金额大幅度降低；</w:t>
      </w:r>
    </w:p>
    <w:p>
      <w:pPr>
        <w:pStyle w:val="Style70"/>
        <w:keepNext w:val="0"/>
        <w:keepLines w:val="0"/>
        <w:widowControl w:val="0"/>
        <w:numPr>
          <w:ilvl w:val="0"/>
          <w:numId w:val="31"/>
        </w:numPr>
        <w:shd w:val="clear" w:color="auto" w:fill="auto"/>
        <w:tabs>
          <w:tab w:pos="836" w:val="left"/>
        </w:tabs>
        <w:bidi w:val="0"/>
        <w:spacing w:before="0" w:after="0" w:line="329" w:lineRule="auto"/>
        <w:ind w:left="0" w:right="0" w:firstLine="440"/>
        <w:jc w:val="both"/>
      </w:pPr>
      <w:bookmarkStart w:id="850" w:name="bookmark850"/>
      <w:bookmarkEnd w:id="850"/>
      <w:r>
        <w:rPr>
          <w:color w:val="000000"/>
          <w:spacing w:val="0"/>
          <w:w w:val="100"/>
          <w:position w:val="0"/>
        </w:rPr>
        <w:t>有证据表明资产已经陈旧过时或者其实体已经损坏；</w:t>
      </w:r>
    </w:p>
    <w:p>
      <w:pPr>
        <w:pStyle w:val="Style70"/>
        <w:keepNext w:val="0"/>
        <w:keepLines w:val="0"/>
        <w:widowControl w:val="0"/>
        <w:numPr>
          <w:ilvl w:val="0"/>
          <w:numId w:val="31"/>
        </w:numPr>
        <w:shd w:val="clear" w:color="auto" w:fill="auto"/>
        <w:tabs>
          <w:tab w:pos="836" w:val="left"/>
        </w:tabs>
        <w:bidi w:val="0"/>
        <w:spacing w:before="0" w:after="0" w:line="329" w:lineRule="auto"/>
        <w:ind w:left="0" w:right="0" w:firstLine="440"/>
        <w:jc w:val="both"/>
      </w:pPr>
      <w:bookmarkStart w:id="851" w:name="bookmark851"/>
      <w:bookmarkEnd w:id="851"/>
      <w:r>
        <w:rPr>
          <w:color w:val="000000"/>
          <w:spacing w:val="0"/>
          <w:w w:val="100"/>
          <w:position w:val="0"/>
        </w:rPr>
        <w:t>资产已经或者将被闲置、终止使用或者计划提前处置；</w:t>
      </w:r>
    </w:p>
    <w:p>
      <w:pPr>
        <w:pStyle w:val="Style70"/>
        <w:keepNext w:val="0"/>
        <w:keepLines w:val="0"/>
        <w:widowControl w:val="0"/>
        <w:numPr>
          <w:ilvl w:val="0"/>
          <w:numId w:val="31"/>
        </w:numPr>
        <w:shd w:val="clear" w:color="auto" w:fill="auto"/>
        <w:tabs>
          <w:tab w:pos="814" w:val="left"/>
        </w:tabs>
        <w:bidi w:val="0"/>
        <w:spacing w:before="0" w:after="80" w:line="315" w:lineRule="exact"/>
        <w:ind w:left="0" w:right="0" w:firstLine="440"/>
        <w:jc w:val="both"/>
      </w:pPr>
      <w:bookmarkStart w:id="852" w:name="bookmark852"/>
      <w:bookmarkEnd w:id="852"/>
      <w:r>
        <w:rPr>
          <w:color w:val="000000"/>
          <w:spacing w:val="0"/>
          <w:w w:val="100"/>
          <w:position w:val="0"/>
        </w:rPr>
        <w:t>企业内部报告的证据表明资产的经济绩效已经低于或者将低于预期，如资产所创造的净现金流量或 者实现的营业利润</w:t>
      </w:r>
      <w:r>
        <w:rPr>
          <w:rFonts w:ascii="Times New Roman" w:eastAsia="Times New Roman" w:hAnsi="Times New Roman" w:cs="Times New Roman"/>
          <w:color w:val="000000"/>
          <w:spacing w:val="0"/>
          <w:w w:val="100"/>
          <w:position w:val="0"/>
        </w:rPr>
        <w:t>(</w:t>
      </w:r>
      <w:r>
        <w:rPr>
          <w:color w:val="000000"/>
          <w:spacing w:val="0"/>
          <w:w w:val="100"/>
          <w:position w:val="0"/>
        </w:rPr>
        <w:t>或者亏损</w:t>
      </w:r>
      <w:r>
        <w:rPr>
          <w:rFonts w:ascii="Times New Roman" w:eastAsia="Times New Roman" w:hAnsi="Times New Roman" w:cs="Times New Roman"/>
          <w:color w:val="000000"/>
          <w:spacing w:val="0"/>
          <w:w w:val="100"/>
          <w:position w:val="0"/>
        </w:rPr>
        <w:t>)</w:t>
      </w:r>
      <w:r>
        <w:rPr>
          <w:color w:val="000000"/>
          <w:spacing w:val="0"/>
          <w:w w:val="100"/>
          <w:position w:val="0"/>
        </w:rPr>
        <w:t>远远低于</w:t>
      </w:r>
      <w:r>
        <w:rPr>
          <w:rFonts w:ascii="Times New Roman" w:eastAsia="Times New Roman" w:hAnsi="Times New Roman" w:cs="Times New Roman"/>
          <w:color w:val="000000"/>
          <w:spacing w:val="0"/>
          <w:w w:val="100"/>
          <w:position w:val="0"/>
        </w:rPr>
        <w:t>(</w:t>
      </w:r>
      <w:r>
        <w:rPr>
          <w:color w:val="000000"/>
          <w:spacing w:val="0"/>
          <w:w w:val="100"/>
          <w:position w:val="0"/>
        </w:rPr>
        <w:t>或者高于</w:t>
      </w:r>
      <w:r>
        <w:rPr>
          <w:rFonts w:ascii="Times New Roman" w:eastAsia="Times New Roman" w:hAnsi="Times New Roman" w:cs="Times New Roman"/>
          <w:color w:val="000000"/>
          <w:spacing w:val="0"/>
          <w:w w:val="100"/>
          <w:position w:val="0"/>
        </w:rPr>
        <w:t>)</w:t>
      </w:r>
      <w:r>
        <w:rPr>
          <w:color w:val="000000"/>
          <w:spacing w:val="0"/>
          <w:w w:val="100"/>
          <w:position w:val="0"/>
        </w:rPr>
        <w:t>预计金额等；</w:t>
      </w:r>
    </w:p>
    <w:p>
      <w:pPr>
        <w:pStyle w:val="Style70"/>
        <w:keepNext w:val="0"/>
        <w:keepLines w:val="0"/>
        <w:widowControl w:val="0"/>
        <w:numPr>
          <w:ilvl w:val="0"/>
          <w:numId w:val="31"/>
        </w:numPr>
        <w:shd w:val="clear" w:color="auto" w:fill="auto"/>
        <w:tabs>
          <w:tab w:pos="836" w:val="left"/>
        </w:tabs>
        <w:bidi w:val="0"/>
        <w:spacing w:before="0" w:after="0" w:line="329" w:lineRule="auto"/>
        <w:ind w:left="0" w:right="0" w:firstLine="440"/>
        <w:jc w:val="both"/>
      </w:pPr>
      <w:bookmarkStart w:id="853" w:name="bookmark853"/>
      <w:bookmarkEnd w:id="853"/>
      <w:r>
        <w:rPr>
          <w:color w:val="000000"/>
          <w:spacing w:val="0"/>
          <w:w w:val="100"/>
          <w:position w:val="0"/>
        </w:rPr>
        <w:t>其他表明资产可能已经发生减值的迹象。</w:t>
      </w:r>
    </w:p>
    <w:p>
      <w:pPr>
        <w:pStyle w:val="Style70"/>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上述长期资产于资产负债日存在减值迹象的，应当进行减值测试。减值测试结果表明资产的可收回金 额低于其账面价值的，按其差额计提减值准备并计入减值损失。可收回金额为资产的公允价值减去处置费 用后的净额与资产预计未来现金流量的现值两者之间的较高者。处置费用包括与资产处置有关的法律费 用、相关税费、搬运费以及为使资产达到可销售状态所发生的直接费用；资产预计未来现金流量的现值， 按照资产在持续使用过程中和最终处置时所产生的预计未来现金流量，选择恰当的折现率对其进行折现后 的金额加以确定。</w:t>
      </w:r>
    </w:p>
    <w:p>
      <w:pPr>
        <w:pStyle w:val="Style70"/>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资产减值准备按单项资产为基础计算并确认，如果难以对单项资产的可收回金额进行估计的，以资产 组所属的资产组确定资产组的可收回金额。资产组是能够独立产生现金流入的最小资产组合。</w:t>
      </w:r>
    </w:p>
    <w:p>
      <w:pPr>
        <w:pStyle w:val="Style70"/>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在财务报表中单独列示的商誉，在进行减值测试时，将商誉的账面价值分摊至预期从企业合并的协同 效应收益中收益的资产组或资产组组合。测试结果表明包含分摊的商誉的资产组或者资产组组合的可收回 金额低于其账面价值的，确认相应的减值损失。减值损失金额先抵减分摊至该资产组或者资产组组合的商 誉的账面价值，再根据资产组或者资产组组合中除商誉以外的其他各项资产的账面价值所占比重，按比例 抵减其他各项资产的账面价值。</w:t>
      </w:r>
    </w:p>
    <w:p>
      <w:pPr>
        <w:pStyle w:val="Style70"/>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商誉和使用寿命不确定的无形资产至少在每年年终终了进行减值测试。</w:t>
      </w:r>
    </w:p>
    <w:p>
      <w:pPr>
        <w:pStyle w:val="Style70"/>
        <w:keepNext w:val="0"/>
        <w:keepLines w:val="0"/>
        <w:widowControl w:val="0"/>
        <w:shd w:val="clear" w:color="auto" w:fill="auto"/>
        <w:bidi w:val="0"/>
        <w:spacing w:before="0" w:after="380" w:line="315" w:lineRule="exact"/>
        <w:ind w:left="0" w:right="0" w:firstLine="440"/>
        <w:jc w:val="both"/>
      </w:pPr>
      <w:r>
        <w:rPr>
          <w:color w:val="000000"/>
          <w:spacing w:val="0"/>
          <w:w w:val="100"/>
          <w:position w:val="0"/>
        </w:rPr>
        <w:t>上述资产减值损失一经确认，在以后期间不予转回。</w:t>
      </w:r>
    </w:p>
    <w:p>
      <w:pPr>
        <w:pStyle w:val="Style33"/>
        <w:keepNext/>
        <w:keepLines/>
        <w:widowControl w:val="0"/>
        <w:shd w:val="clear" w:color="auto" w:fill="auto"/>
        <w:tabs>
          <w:tab w:pos="454" w:val="left"/>
        </w:tabs>
        <w:bidi w:val="0"/>
        <w:spacing w:before="0" w:after="200" w:line="329" w:lineRule="auto"/>
        <w:ind w:left="0" w:right="0" w:firstLine="0"/>
        <w:jc w:val="both"/>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2</w:t>
      </w:r>
      <w:bookmarkEnd w:id="856"/>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54"/>
      <w:bookmarkEnd w:id="855"/>
      <w:bookmarkEnd w:id="857"/>
    </w:p>
    <w:p>
      <w:pPr>
        <w:pStyle w:val="Style70"/>
        <w:keepNext w:val="0"/>
        <w:keepLines w:val="0"/>
        <w:widowControl w:val="0"/>
        <w:shd w:val="clear" w:color="auto" w:fill="auto"/>
        <w:bidi w:val="0"/>
        <w:spacing w:before="0" w:after="200" w:line="307" w:lineRule="exact"/>
        <w:ind w:left="0" w:right="0" w:firstLine="440"/>
        <w:jc w:val="both"/>
      </w:pPr>
      <w:r>
        <w:rPr>
          <w:color w:val="000000"/>
          <w:spacing w:val="0"/>
          <w:w w:val="100"/>
          <w:position w:val="0"/>
        </w:rPr>
        <w:t>长期待摊费用按实际支出入账，在受益期或规定的期限内平均摊销。如果长期待摊的费用项目不能使 以后会计期间受益，则将尚未摊销的该项目的摊余价值全部转入当期损益。摊销年限为</w:t>
      </w:r>
      <w:r>
        <w:rPr>
          <w:rFonts w:ascii="Times New Roman" w:eastAsia="Times New Roman" w:hAnsi="Times New Roman" w:cs="Times New Roman"/>
          <w:color w:val="000000"/>
          <w:spacing w:val="0"/>
          <w:w w:val="100"/>
          <w:position w:val="0"/>
        </w:rPr>
        <w:t>3-5</w:t>
      </w:r>
      <w:r>
        <w:rPr>
          <w:color w:val="000000"/>
          <w:spacing w:val="0"/>
          <w:w w:val="100"/>
          <w:position w:val="0"/>
        </w:rPr>
        <w:t>年。</w:t>
      </w:r>
    </w:p>
    <w:p>
      <w:pPr>
        <w:pStyle w:val="Style33"/>
        <w:keepNext/>
        <w:keepLines/>
        <w:widowControl w:val="0"/>
        <w:shd w:val="clear" w:color="auto" w:fill="auto"/>
        <w:bidi w:val="0"/>
        <w:spacing w:before="0" w:after="280" w:line="314" w:lineRule="exact"/>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2</w:t>
      </w:r>
      <w:bookmarkEnd w:id="860"/>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858"/>
      <w:bookmarkEnd w:id="859"/>
      <w:bookmarkEnd w:id="861"/>
    </w:p>
    <w:p>
      <w:pPr>
        <w:pStyle w:val="Style55"/>
        <w:keepNext/>
        <w:keepLines/>
        <w:widowControl w:val="0"/>
        <w:shd w:val="clear" w:color="auto" w:fill="auto"/>
        <w:tabs>
          <w:tab w:pos="493" w:val="left"/>
        </w:tabs>
        <w:bidi w:val="0"/>
        <w:spacing w:before="0" w:after="280" w:line="314" w:lineRule="exact"/>
        <w:ind w:left="0" w:right="0" w:firstLine="0"/>
        <w:jc w:val="left"/>
      </w:pPr>
      <w:bookmarkStart w:id="862" w:name="bookmark862"/>
      <w:bookmarkStart w:id="863" w:name="bookmark863"/>
      <w:bookmarkStart w:id="864" w:name="bookmark864"/>
      <w:bookmarkStart w:id="865" w:name="bookmark865"/>
      <w:r>
        <w:rPr>
          <w:color w:val="000000"/>
          <w:spacing w:val="0"/>
          <w:w w:val="100"/>
          <w:position w:val="0"/>
        </w:rPr>
        <w:t>（</w:t>
      </w:r>
      <w:bookmarkEnd w:id="864"/>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62"/>
      <w:bookmarkEnd w:id="863"/>
      <w:bookmarkEnd w:id="865"/>
    </w:p>
    <w:p>
      <w:pPr>
        <w:pStyle w:val="Style70"/>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本公司在职工提供服务的会计期间，将实际发生的职工工资、奖金、按规定的基准和比例为职工缴纳 的医疗保险费、工伤保险费和生育保险费等社会保险费和住房公积金，确认为负债，并计入当期损益或相 关资产成本。职工福利费为非货币性福利的，如能够可靠计量的，按照公允价值计量。如果该负债预期在 职工提供相关服务的年度报告期结束后十二个月内不能完全支付，且财务影响重大的，则该负债将以折现 后的金额计量。</w:t>
      </w:r>
    </w:p>
    <w:p>
      <w:pPr>
        <w:pStyle w:val="Style55"/>
        <w:keepNext/>
        <w:keepLines/>
        <w:widowControl w:val="0"/>
        <w:shd w:val="clear" w:color="auto" w:fill="auto"/>
        <w:tabs>
          <w:tab w:pos="493" w:val="left"/>
        </w:tabs>
        <w:bidi w:val="0"/>
        <w:spacing w:before="0" w:after="280" w:line="314" w:lineRule="exact"/>
        <w:ind w:left="0" w:right="0" w:firstLine="0"/>
        <w:jc w:val="left"/>
      </w:pPr>
      <w:bookmarkStart w:id="866" w:name="bookmark866"/>
      <w:bookmarkStart w:id="867" w:name="bookmark867"/>
      <w:bookmarkStart w:id="868" w:name="bookmark868"/>
      <w:bookmarkStart w:id="869" w:name="bookmark869"/>
      <w:r>
        <w:rPr>
          <w:color w:val="000000"/>
          <w:spacing w:val="0"/>
          <w:w w:val="100"/>
          <w:position w:val="0"/>
        </w:rPr>
        <w:t>（</w:t>
      </w:r>
      <w:bookmarkEnd w:id="868"/>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66"/>
      <w:bookmarkEnd w:id="867"/>
      <w:bookmarkEnd w:id="869"/>
    </w:p>
    <w:p>
      <w:pPr>
        <w:pStyle w:val="Style70"/>
        <w:keepNext w:val="0"/>
        <w:keepLines w:val="0"/>
        <w:widowControl w:val="0"/>
        <w:shd w:val="clear" w:color="auto" w:fill="auto"/>
        <w:bidi w:val="0"/>
        <w:spacing w:before="0" w:after="0" w:line="319" w:lineRule="exact"/>
        <w:ind w:left="0" w:right="0" w:firstLine="440"/>
        <w:jc w:val="both"/>
      </w:pPr>
      <w:r>
        <w:rPr>
          <w:color w:val="000000"/>
          <w:spacing w:val="0"/>
          <w:w w:val="100"/>
          <w:position w:val="0"/>
        </w:rPr>
        <w:t>离职后福利计划包括设定提存计划。设定提存计划，是指向独立的基金缴存固定费用后，企业不再承 担进一步支付义务的离职后福利计划。</w:t>
      </w:r>
    </w:p>
    <w:p>
      <w:pPr>
        <w:pStyle w:val="Style70"/>
        <w:keepNext w:val="0"/>
        <w:keepLines w:val="0"/>
        <w:widowControl w:val="0"/>
        <w:shd w:val="clear" w:color="auto" w:fill="auto"/>
        <w:bidi w:val="0"/>
        <w:spacing w:before="0" w:after="280" w:line="319" w:lineRule="exact"/>
        <w:ind w:left="0" w:right="0" w:firstLine="440"/>
        <w:jc w:val="both"/>
      </w:pPr>
      <w:r>
        <w:rPr>
          <w:color w:val="000000"/>
          <w:spacing w:val="0"/>
          <w:w w:val="100"/>
          <w:position w:val="0"/>
        </w:rPr>
        <w:t>本公司按当期政府的相关规定为职工缴纳基本养老保险和失业保险，在职工为本公司提供服务的会计 期间，根据设定提存计划计算的应缴存金额确认为负债，并计入当期损益或相关资产成本。</w:t>
      </w:r>
    </w:p>
    <w:p>
      <w:pPr>
        <w:pStyle w:val="Style55"/>
        <w:keepNext/>
        <w:keepLines/>
        <w:widowControl w:val="0"/>
        <w:shd w:val="clear" w:color="auto" w:fill="auto"/>
        <w:tabs>
          <w:tab w:pos="493" w:val="left"/>
        </w:tabs>
        <w:bidi w:val="0"/>
        <w:spacing w:before="0" w:after="280" w:line="314" w:lineRule="exact"/>
        <w:ind w:left="0" w:right="0" w:firstLine="0"/>
        <w:jc w:val="left"/>
      </w:pPr>
      <w:bookmarkStart w:id="870" w:name="bookmark870"/>
      <w:bookmarkStart w:id="871" w:name="bookmark871"/>
      <w:bookmarkStart w:id="872" w:name="bookmark872"/>
      <w:bookmarkStart w:id="873" w:name="bookmark873"/>
      <w:r>
        <w:rPr>
          <w:color w:val="000000"/>
          <w:spacing w:val="0"/>
          <w:w w:val="100"/>
          <w:position w:val="0"/>
        </w:rPr>
        <w:t>（</w:t>
      </w:r>
      <w:bookmarkEnd w:id="872"/>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70"/>
      <w:bookmarkEnd w:id="871"/>
      <w:bookmarkEnd w:id="873"/>
    </w:p>
    <w:p>
      <w:pPr>
        <w:pStyle w:val="Style70"/>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辞退福利，是指本公司在职工劳动合同到期之前解除与职工的劳动关系，或者为鼓励职工自愿接受裁 减而给予职工的补偿。本公司向职工提供辞退福利的，在下列两者孰早日确认辞退福利产生的负债，并计 入当期损益：</w:t>
      </w:r>
      <w:r>
        <w:rPr>
          <w:rFonts w:ascii="Times New Roman" w:eastAsia="Times New Roman" w:hAnsi="Times New Roman" w:cs="Times New Roman"/>
          <w:color w:val="000000"/>
          <w:spacing w:val="0"/>
          <w:w w:val="100"/>
          <w:position w:val="0"/>
        </w:rPr>
        <w:t>1</w:t>
      </w:r>
      <w:r>
        <w:rPr>
          <w:color w:val="000000"/>
          <w:spacing w:val="0"/>
          <w:w w:val="100"/>
          <w:position w:val="0"/>
        </w:rPr>
        <w:t>）本公司不能单方面撤回因解除劳动关系计划或裁减建议所提供的辞退福利时。</w:t>
      </w:r>
      <w:r>
        <w:rPr>
          <w:rFonts w:ascii="Times New Roman" w:eastAsia="Times New Roman" w:hAnsi="Times New Roman" w:cs="Times New Roman"/>
          <w:color w:val="000000"/>
          <w:spacing w:val="0"/>
          <w:w w:val="100"/>
          <w:position w:val="0"/>
        </w:rPr>
        <w:t>2</w:t>
      </w:r>
      <w:r>
        <w:rPr>
          <w:color w:val="000000"/>
          <w:spacing w:val="0"/>
          <w:w w:val="100"/>
          <w:position w:val="0"/>
        </w:rPr>
        <w:t>）本公司 确认与涉及支付辞退福利的重组相关的成本或费用时。</w:t>
      </w:r>
    </w:p>
    <w:p>
      <w:pPr>
        <w:pStyle w:val="Style55"/>
        <w:keepNext/>
        <w:keepLines/>
        <w:widowControl w:val="0"/>
        <w:shd w:val="clear" w:color="auto" w:fill="auto"/>
        <w:tabs>
          <w:tab w:pos="493" w:val="left"/>
        </w:tabs>
        <w:bidi w:val="0"/>
        <w:spacing w:before="0" w:after="280" w:line="314" w:lineRule="exact"/>
        <w:ind w:left="0" w:right="0" w:firstLine="0"/>
        <w:jc w:val="left"/>
      </w:pPr>
      <w:bookmarkStart w:id="874" w:name="bookmark874"/>
      <w:bookmarkStart w:id="875" w:name="bookmark875"/>
      <w:bookmarkStart w:id="876" w:name="bookmark876"/>
      <w:bookmarkStart w:id="877" w:name="bookmark877"/>
      <w:r>
        <w:rPr>
          <w:color w:val="000000"/>
          <w:spacing w:val="0"/>
          <w:w w:val="100"/>
          <w:position w:val="0"/>
        </w:rPr>
        <w:t>（</w:t>
      </w:r>
      <w:bookmarkEnd w:id="876"/>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74"/>
      <w:bookmarkEnd w:id="875"/>
      <w:bookmarkEnd w:id="877"/>
    </w:p>
    <w:p>
      <w:pPr>
        <w:pStyle w:val="Style70"/>
        <w:keepNext w:val="0"/>
        <w:keepLines w:val="0"/>
        <w:widowControl w:val="0"/>
        <w:shd w:val="clear" w:color="auto" w:fill="auto"/>
        <w:bidi w:val="0"/>
        <w:spacing w:before="0" w:after="600" w:line="314" w:lineRule="exact"/>
        <w:ind w:left="0" w:right="0" w:firstLine="440"/>
        <w:jc w:val="both"/>
      </w:pPr>
      <w:r>
        <w:rPr>
          <w:color w:val="000000"/>
          <w:spacing w:val="0"/>
          <w:w w:val="100"/>
          <w:position w:val="0"/>
        </w:rPr>
        <w:t>其他长期职工福利，是指除短期薪酬、离职后福利、辞退福利之外所有的职工薪酬。</w:t>
      </w:r>
    </w:p>
    <w:p>
      <w:pPr>
        <w:pStyle w:val="Style33"/>
        <w:keepNext/>
        <w:keepLines/>
        <w:widowControl w:val="0"/>
        <w:shd w:val="clear" w:color="auto" w:fill="auto"/>
        <w:tabs>
          <w:tab w:pos="483" w:val="left"/>
        </w:tabs>
        <w:bidi w:val="0"/>
        <w:spacing w:before="0" w:after="280" w:line="319" w:lineRule="exact"/>
        <w:ind w:left="0" w:right="0" w:firstLine="0"/>
        <w:jc w:val="both"/>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2</w:t>
      </w:r>
      <w:bookmarkEnd w:id="880"/>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878"/>
      <w:bookmarkEnd w:id="879"/>
      <w:bookmarkEnd w:id="881"/>
    </w:p>
    <w:p>
      <w:pPr>
        <w:pStyle w:val="Style33"/>
        <w:keepNext/>
        <w:keepLines/>
        <w:widowControl w:val="0"/>
        <w:shd w:val="clear" w:color="auto" w:fill="auto"/>
        <w:tabs>
          <w:tab w:pos="483" w:val="left"/>
        </w:tabs>
        <w:bidi w:val="0"/>
        <w:spacing w:before="0" w:after="280" w:line="319" w:lineRule="exact"/>
        <w:ind w:left="0" w:right="0" w:firstLine="0"/>
        <w:jc w:val="both"/>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2</w:t>
      </w:r>
      <w:bookmarkEnd w:id="884"/>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882"/>
      <w:bookmarkEnd w:id="883"/>
      <w:bookmarkEnd w:id="885"/>
    </w:p>
    <w:p>
      <w:pPr>
        <w:pStyle w:val="Style70"/>
        <w:keepNext w:val="0"/>
        <w:keepLines w:val="0"/>
        <w:widowControl w:val="0"/>
        <w:shd w:val="clear" w:color="auto" w:fill="auto"/>
        <w:bidi w:val="0"/>
        <w:spacing w:before="0" w:after="0" w:line="319" w:lineRule="exact"/>
        <w:ind w:left="0" w:right="0" w:firstLine="44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.股份支付的种类</w:t>
      </w:r>
    </w:p>
    <w:p>
      <w:pPr>
        <w:pStyle w:val="Style70"/>
        <w:keepNext w:val="0"/>
        <w:keepLines w:val="0"/>
        <w:widowControl w:val="0"/>
        <w:shd w:val="clear" w:color="auto" w:fill="auto"/>
        <w:bidi w:val="0"/>
        <w:spacing w:before="0" w:after="0" w:line="319" w:lineRule="exact"/>
        <w:ind w:left="0" w:right="0" w:firstLine="440"/>
        <w:jc w:val="both"/>
      </w:pPr>
      <w:r>
        <w:rPr>
          <w:color w:val="000000"/>
          <w:spacing w:val="0"/>
          <w:w w:val="100"/>
          <w:position w:val="0"/>
        </w:rPr>
        <w:t>本公司的股份支付是为了获取职工</w:t>
      </w:r>
      <w:r>
        <w:rPr>
          <w:rFonts w:ascii="Times New Roman" w:eastAsia="Times New Roman" w:hAnsi="Times New Roman" w:cs="Times New Roman"/>
          <w:color w:val="000000"/>
          <w:spacing w:val="0"/>
          <w:w w:val="100"/>
          <w:position w:val="0"/>
        </w:rPr>
        <w:t>（</w:t>
      </w:r>
      <w:r>
        <w:rPr>
          <w:color w:val="000000"/>
          <w:spacing w:val="0"/>
          <w:w w:val="100"/>
          <w:position w:val="0"/>
        </w:rPr>
        <w:t>或其他方</w:t>
      </w:r>
      <w:r>
        <w:rPr>
          <w:rFonts w:ascii="Times New Roman" w:eastAsia="Times New Roman" w:hAnsi="Times New Roman" w:cs="Times New Roman"/>
          <w:color w:val="000000"/>
          <w:spacing w:val="0"/>
          <w:w w:val="100"/>
          <w:position w:val="0"/>
        </w:rPr>
        <w:t>）</w:t>
      </w:r>
      <w:r>
        <w:rPr>
          <w:color w:val="000000"/>
          <w:spacing w:val="0"/>
          <w:w w:val="100"/>
          <w:position w:val="0"/>
        </w:rPr>
        <w:t>提供服务而授予权益工具或者承担以权益工具为基础确 定的负债的交易。包括以权益结算的股份支付和以现金结算的股份支付。</w:t>
      </w:r>
    </w:p>
    <w:p>
      <w:pPr>
        <w:pStyle w:val="Style70"/>
        <w:keepNext w:val="0"/>
        <w:keepLines w:val="0"/>
        <w:widowControl w:val="0"/>
        <w:numPr>
          <w:ilvl w:val="0"/>
          <w:numId w:val="29"/>
        </w:numPr>
        <w:shd w:val="clear" w:color="auto" w:fill="auto"/>
        <w:tabs>
          <w:tab w:pos="798" w:val="left"/>
        </w:tabs>
        <w:bidi w:val="0"/>
        <w:spacing w:before="0" w:after="0" w:line="319" w:lineRule="exact"/>
        <w:ind w:left="0" w:right="0" w:firstLine="440"/>
        <w:jc w:val="both"/>
      </w:pPr>
      <w:bookmarkStart w:id="886" w:name="bookmark886"/>
      <w:bookmarkEnd w:id="886"/>
      <w:r>
        <w:rPr>
          <w:color w:val="000000"/>
          <w:spacing w:val="0"/>
          <w:w w:val="100"/>
          <w:position w:val="0"/>
        </w:rPr>
        <w:t>权益工具公允价值的确定方法</w:t>
      </w:r>
    </w:p>
    <w:p>
      <w:pPr>
        <w:pStyle w:val="Style70"/>
        <w:keepNext w:val="0"/>
        <w:keepLines w:val="0"/>
        <w:widowControl w:val="0"/>
        <w:shd w:val="clear" w:color="auto" w:fill="auto"/>
        <w:bidi w:val="0"/>
        <w:spacing w:before="0" w:after="0" w:line="319" w:lineRule="exact"/>
        <w:ind w:left="0" w:right="0" w:firstLine="440"/>
        <w:jc w:val="both"/>
      </w:pPr>
      <w:bookmarkStart w:id="887" w:name="bookmark887"/>
      <w:r>
        <w:rPr>
          <w:rFonts w:ascii="Times New Roman" w:eastAsia="Times New Roman" w:hAnsi="Times New Roman" w:cs="Times New Roman"/>
          <w:color w:val="000000"/>
          <w:spacing w:val="0"/>
          <w:w w:val="100"/>
          <w:position w:val="0"/>
        </w:rPr>
        <w:t>（</w:t>
      </w:r>
      <w:bookmarkEnd w:id="887"/>
      <w:r>
        <w:rPr>
          <w:rFonts w:ascii="Times New Roman" w:eastAsia="Times New Roman" w:hAnsi="Times New Roman" w:cs="Times New Roman"/>
          <w:color w:val="000000"/>
          <w:spacing w:val="0"/>
          <w:w w:val="100"/>
          <w:position w:val="0"/>
        </w:rPr>
        <w:t>1）</w:t>
      </w:r>
      <w:r>
        <w:rPr>
          <w:color w:val="000000"/>
          <w:spacing w:val="0"/>
          <w:w w:val="100"/>
          <w:position w:val="0"/>
        </w:rPr>
        <w:t>存在活跃市场的，按照活跃市场中的报价确定；</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不存在活跃市场的，采用布莱克</w:t>
      </w:r>
      <w:r>
        <w:rPr>
          <w:rFonts w:ascii="Times New Roman" w:eastAsia="Times New Roman" w:hAnsi="Times New Roman" w:cs="Times New Roman"/>
          <w:color w:val="000000"/>
          <w:spacing w:val="0"/>
          <w:w w:val="100"/>
          <w:position w:val="0"/>
        </w:rPr>
        <w:t>-</w:t>
      </w:r>
      <w:r>
        <w:rPr>
          <w:color w:val="000000"/>
          <w:spacing w:val="0"/>
          <w:w w:val="100"/>
          <w:position w:val="0"/>
        </w:rPr>
        <w:t>斯科尔斯期权 定价模型。</w:t>
      </w:r>
    </w:p>
    <w:p>
      <w:pPr>
        <w:pStyle w:val="Style70"/>
        <w:keepNext w:val="0"/>
        <w:keepLines w:val="0"/>
        <w:widowControl w:val="0"/>
        <w:numPr>
          <w:ilvl w:val="0"/>
          <w:numId w:val="29"/>
        </w:numPr>
        <w:shd w:val="clear" w:color="auto" w:fill="auto"/>
        <w:tabs>
          <w:tab w:pos="798" w:val="left"/>
        </w:tabs>
        <w:bidi w:val="0"/>
        <w:spacing w:before="0" w:after="0" w:line="319" w:lineRule="exact"/>
        <w:ind w:left="0" w:right="0" w:firstLine="440"/>
        <w:jc w:val="both"/>
      </w:pPr>
      <w:bookmarkStart w:id="888" w:name="bookmark888"/>
      <w:bookmarkEnd w:id="888"/>
      <w:r>
        <w:rPr>
          <w:color w:val="000000"/>
          <w:spacing w:val="0"/>
          <w:w w:val="100"/>
          <w:position w:val="0"/>
        </w:rPr>
        <w:t>确认可行权权益工具最佳估计的依据</w:t>
      </w:r>
    </w:p>
    <w:p>
      <w:pPr>
        <w:pStyle w:val="Style70"/>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等待期内每个资产负债表日，本公司根据最新取得的可行权职工人数变动等后续信息做出最佳估计， 修正预计可行权的权益工具数量。在可行权日，最终预计可行权权益工具的数量应当与实际可行权数量一 致。</w:t>
      </w:r>
    </w:p>
    <w:p>
      <w:pPr>
        <w:pStyle w:val="Style70"/>
        <w:keepNext w:val="0"/>
        <w:keepLines w:val="0"/>
        <w:widowControl w:val="0"/>
        <w:numPr>
          <w:ilvl w:val="0"/>
          <w:numId w:val="9"/>
        </w:numPr>
        <w:shd w:val="clear" w:color="auto" w:fill="auto"/>
        <w:tabs>
          <w:tab w:pos="731" w:val="left"/>
        </w:tabs>
        <w:bidi w:val="0"/>
        <w:spacing w:before="0" w:after="0" w:line="310" w:lineRule="exact"/>
        <w:ind w:left="0" w:right="0" w:firstLine="440"/>
        <w:jc w:val="both"/>
      </w:pPr>
      <w:bookmarkStart w:id="889" w:name="bookmark889"/>
      <w:bookmarkEnd w:id="889"/>
      <w:r>
        <w:rPr>
          <w:color w:val="000000"/>
          <w:spacing w:val="0"/>
          <w:w w:val="100"/>
          <w:position w:val="0"/>
        </w:rPr>
        <w:t>.股份支付的会计处理</w:t>
      </w:r>
    </w:p>
    <w:p>
      <w:pPr>
        <w:pStyle w:val="Style70"/>
        <w:keepNext w:val="0"/>
        <w:keepLines w:val="0"/>
        <w:widowControl w:val="0"/>
        <w:shd w:val="clear" w:color="auto" w:fill="auto"/>
        <w:bidi w:val="0"/>
        <w:spacing w:before="0" w:after="280" w:line="310" w:lineRule="exact"/>
        <w:ind w:left="0" w:right="0" w:firstLine="440"/>
        <w:jc w:val="both"/>
      </w:pPr>
      <w:bookmarkStart w:id="890" w:name="bookmark890"/>
      <w:r>
        <w:rPr>
          <w:rFonts w:ascii="Times New Roman" w:eastAsia="Times New Roman" w:hAnsi="Times New Roman" w:cs="Times New Roman"/>
          <w:color w:val="000000"/>
          <w:spacing w:val="0"/>
          <w:w w:val="100"/>
          <w:position w:val="0"/>
        </w:rPr>
        <w:t>（</w:t>
      </w:r>
      <w:bookmarkEnd w:id="890"/>
      <w:r>
        <w:rPr>
          <w:rFonts w:ascii="Times New Roman" w:eastAsia="Times New Roman" w:hAnsi="Times New Roman" w:cs="Times New Roman"/>
          <w:color w:val="000000"/>
          <w:spacing w:val="0"/>
          <w:w w:val="100"/>
          <w:position w:val="0"/>
        </w:rPr>
        <w:t>1）</w:t>
      </w:r>
      <w:r>
        <w:rPr>
          <w:color w:val="000000"/>
          <w:spacing w:val="0"/>
          <w:w w:val="100"/>
          <w:position w:val="0"/>
        </w:rPr>
        <w:t>以权益结算的股份支付</w:t>
      </w:r>
    </w:p>
    <w:p>
      <w:pPr>
        <w:pStyle w:val="Style7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以权益结算的股份支付换取职工提供服务的，授予后立即可行权的，在授予日按照权益工具的公允价 值计入相关成本或费用，相应调整资本公积；完成等待期内的服务或达到规定业绩条件才可行权的，在等 待期内的每个资产负债表日，以对可行权权益工具数量的最佳估计为基础，按权益工具授予日的公允价值, 将当期取得的服务计入相关成本或费用，相应调整资本公积，在可行权日之后不再对已确认的相关成本或 费用和所有者权益总额进行调整。</w:t>
      </w:r>
    </w:p>
    <w:p>
      <w:pPr>
        <w:pStyle w:val="Style70"/>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以权益结算的股份支付换取其他方服务的，若其他方服务的公允价值能够可靠计量的，按照其他方服 务在取得日的公允价值计量；其他方服务的公允价值不能可靠计量但权益工具公允价值能够可靠计量的， 按照权益工具在服务取得日的公允价值计量，计入相关成本或费用，相应增加所有者权益。</w:t>
      </w:r>
    </w:p>
    <w:p>
      <w:pPr>
        <w:pStyle w:val="Style70"/>
        <w:keepNext w:val="0"/>
        <w:keepLines w:val="0"/>
        <w:widowControl w:val="0"/>
        <w:numPr>
          <w:ilvl w:val="0"/>
          <w:numId w:val="27"/>
        </w:numPr>
        <w:shd w:val="clear" w:color="auto" w:fill="auto"/>
        <w:tabs>
          <w:tab w:pos="806" w:val="left"/>
        </w:tabs>
        <w:bidi w:val="0"/>
        <w:spacing w:before="0" w:after="0" w:line="326" w:lineRule="auto"/>
        <w:ind w:left="0" w:right="0" w:firstLine="440"/>
        <w:jc w:val="both"/>
      </w:pPr>
      <w:bookmarkStart w:id="891" w:name="bookmark891"/>
      <w:bookmarkEnd w:id="891"/>
      <w:r>
        <w:rPr>
          <w:color w:val="000000"/>
          <w:spacing w:val="0"/>
          <w:w w:val="100"/>
          <w:position w:val="0"/>
        </w:rPr>
        <w:t>以现金结算的股份支付</w:t>
      </w:r>
    </w:p>
    <w:p>
      <w:pPr>
        <w:pStyle w:val="Style70"/>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以现金结算的股份支付换取职工服务的，授予后立即可行权的，在授予日按公司承担负债的公允价值 计入相关成本或费用，相应增加负债；完成等待期内的服务或达到规定业绩条件才可行权的换取职工服务 的以现金结算的股份支付，在等待期内的每个资产负债表日，以对可行权情况的最佳估计为基础，按公司 承担负债的公允价值，将当期取得的服务计入相关成本或费用和相应的负债。在相关负债结算前的每个资 产负债表日以及结算日，对负债的公允价值重新计量，其变动计入当期损益。</w:t>
      </w:r>
    </w:p>
    <w:p>
      <w:pPr>
        <w:pStyle w:val="Style70"/>
        <w:keepNext w:val="0"/>
        <w:keepLines w:val="0"/>
        <w:widowControl w:val="0"/>
        <w:numPr>
          <w:ilvl w:val="0"/>
          <w:numId w:val="27"/>
        </w:numPr>
        <w:shd w:val="clear" w:color="auto" w:fill="auto"/>
        <w:tabs>
          <w:tab w:pos="806" w:val="left"/>
        </w:tabs>
        <w:bidi w:val="0"/>
        <w:spacing w:before="0" w:after="0" w:line="326" w:lineRule="auto"/>
        <w:ind w:left="0" w:right="0" w:firstLine="440"/>
        <w:jc w:val="both"/>
      </w:pPr>
      <w:bookmarkStart w:id="892" w:name="bookmark892"/>
      <w:bookmarkEnd w:id="892"/>
      <w:r>
        <w:rPr>
          <w:color w:val="000000"/>
          <w:spacing w:val="0"/>
          <w:w w:val="100"/>
          <w:position w:val="0"/>
        </w:rPr>
        <w:t>修改、终止股份支付计划</w:t>
      </w:r>
    </w:p>
    <w:p>
      <w:pPr>
        <w:pStyle w:val="Style7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如果修改增加了所授予的权益工具的公允价值，公司按照权益工具公允价值的增加相应地确认取得服 务的增加；如果修改增加了所授予的权益工具的数量，公司将增加的权益工具的公允价值相应地确认为取 得服务的增加；如果公司按照有利于职工的方式修改可行权条件，公司在处理可行权条件时，考虑修改后 的可行权条件。</w:t>
      </w:r>
    </w:p>
    <w:p>
      <w:pPr>
        <w:pStyle w:val="Style7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如果修改减少了授予的权益工具的公允价值，公司继续以权益工具在授予日的公允价值为基础，确认 取得服务的金额，而不考虑权益工具公允价值的减少；如果修改减少了授予的权益工具的数量，公司将减 少部分作为已授予的权益工具的取消来进行处理；如果以不利于职工的方式修改了可行权条件，在处理可 行权条件时，不考虑修改后的可行权条件。</w:t>
      </w:r>
    </w:p>
    <w:p>
      <w:pPr>
        <w:pStyle w:val="Style70"/>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如果取消了以权益结算的股份支付，则于取消日作为加速行权处理，立即确认尚未确认的金额</w:t>
      </w:r>
      <w:r>
        <w:rPr>
          <w:rFonts w:ascii="Times New Roman" w:eastAsia="Times New Roman" w:hAnsi="Times New Roman" w:cs="Times New Roman"/>
          <w:color w:val="000000"/>
          <w:spacing w:val="0"/>
          <w:w w:val="100"/>
          <w:position w:val="0"/>
        </w:rPr>
        <w:t>(</w:t>
      </w:r>
      <w:r>
        <w:rPr>
          <w:color w:val="000000"/>
          <w:spacing w:val="0"/>
          <w:w w:val="100"/>
          <w:position w:val="0"/>
        </w:rPr>
        <w:t>将剩余 等待期内应确认的金额立即计入当期损益，同时确认资本公积</w:t>
      </w:r>
      <w:r>
        <w:rPr>
          <w:rFonts w:ascii="Times New Roman" w:eastAsia="Times New Roman" w:hAnsi="Times New Roman" w:cs="Times New Roman"/>
          <w:color w:val="000000"/>
          <w:spacing w:val="0"/>
          <w:w w:val="100"/>
          <w:position w:val="0"/>
        </w:rPr>
        <w:t>)</w:t>
      </w:r>
      <w:r>
        <w:rPr>
          <w:color w:val="000000"/>
          <w:spacing w:val="0"/>
          <w:w w:val="100"/>
          <w:position w:val="0"/>
        </w:rPr>
        <w:t>。职工或者其他方能够选择满足非可行权条 件但在等待期内未满足的，作为取消以权益结算的股份支付处理。但是，如果授予新的权益工具，并在新 权益工具授予日认定所授予权益工具用于替代被取消的权益工具的，则以与处理原权益工具条款和条件修 改相同的方式，对被授予的替代权益工具进行处理。</w:t>
      </w:r>
    </w:p>
    <w:p>
      <w:pPr>
        <w:pStyle w:val="Style70"/>
        <w:keepNext w:val="0"/>
        <w:keepLines w:val="0"/>
        <w:widowControl w:val="0"/>
        <w:numPr>
          <w:ilvl w:val="0"/>
          <w:numId w:val="13"/>
        </w:numPr>
        <w:shd w:val="clear" w:color="auto" w:fill="auto"/>
        <w:bidi w:val="0"/>
        <w:spacing w:before="0" w:after="0" w:line="326" w:lineRule="auto"/>
        <w:ind w:left="0" w:right="0" w:firstLine="440"/>
        <w:jc w:val="both"/>
      </w:pPr>
      <w:bookmarkStart w:id="893" w:name="bookmark893"/>
      <w:bookmarkEnd w:id="893"/>
      <w:r>
        <w:rPr>
          <w:color w:val="000000"/>
          <w:spacing w:val="0"/>
          <w:w w:val="100"/>
          <w:position w:val="0"/>
        </w:rPr>
        <w:t>涉及本公司与本公司股东或实际控制人的股份支付交易的会计处理</w:t>
      </w:r>
    </w:p>
    <w:p>
      <w:pPr>
        <w:pStyle w:val="Style70"/>
        <w:keepNext w:val="0"/>
        <w:keepLines w:val="0"/>
        <w:widowControl w:val="0"/>
        <w:shd w:val="clear" w:color="auto" w:fill="auto"/>
        <w:bidi w:val="0"/>
        <w:spacing w:before="0" w:after="0" w:line="278" w:lineRule="exact"/>
        <w:ind w:left="0" w:right="0" w:firstLine="440"/>
        <w:jc w:val="both"/>
      </w:pPr>
      <w:r>
        <w:rPr>
          <w:color w:val="000000"/>
          <w:spacing w:val="0"/>
          <w:w w:val="100"/>
          <w:position w:val="0"/>
        </w:rPr>
        <w:t>涉及本公司与本公司股东或实际控制人的股份支付交易，结算企业与接受服务企业中其一在本公司 内，另一在本公司外的，在本公司合并财务报表中按照以下规定进行会计处理：</w:t>
      </w:r>
    </w:p>
    <w:p>
      <w:pPr>
        <w:pStyle w:val="Style70"/>
        <w:keepNext w:val="0"/>
        <w:keepLines w:val="0"/>
        <w:widowControl w:val="0"/>
        <w:numPr>
          <w:ilvl w:val="0"/>
          <w:numId w:val="33"/>
        </w:numPr>
        <w:shd w:val="clear" w:color="auto" w:fill="auto"/>
        <w:tabs>
          <w:tab w:pos="788" w:val="left"/>
        </w:tabs>
        <w:bidi w:val="0"/>
        <w:spacing w:before="0" w:after="0" w:line="313" w:lineRule="exact"/>
        <w:ind w:left="0" w:right="0" w:firstLine="440"/>
        <w:jc w:val="both"/>
      </w:pPr>
      <w:bookmarkStart w:id="894" w:name="bookmark894"/>
      <w:bookmarkEnd w:id="894"/>
      <w:r>
        <w:rPr>
          <w:color w:val="000000"/>
          <w:spacing w:val="0"/>
          <w:w w:val="100"/>
          <w:position w:val="0"/>
        </w:rPr>
        <w:t>结算企业以其本身权益工具结算的，将该股份支付交易作为权益结算的股份支付处理；除此之外， 作为现金结算的股份支付处理。</w:t>
      </w:r>
    </w:p>
    <w:p>
      <w:pPr>
        <w:pStyle w:val="Style7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结算企业是接受服务企业的投资者的，按照授予日权益工具的公允价值或应承担负债的公允价值确认 为对接受服务企业的长期股权投资，同时确认资本公积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r>
        <w:rPr>
          <w:rFonts w:ascii="Times New Roman" w:eastAsia="Times New Roman" w:hAnsi="Times New Roman" w:cs="Times New Roman"/>
          <w:color w:val="000000"/>
          <w:spacing w:val="0"/>
          <w:w w:val="100"/>
          <w:position w:val="0"/>
        </w:rPr>
        <w:t>)</w:t>
      </w:r>
      <w:r>
        <w:rPr>
          <w:color w:val="000000"/>
          <w:spacing w:val="0"/>
          <w:w w:val="100"/>
          <w:position w:val="0"/>
        </w:rPr>
        <w:t>或负债。</w:t>
      </w:r>
    </w:p>
    <w:p>
      <w:pPr>
        <w:pStyle w:val="Style70"/>
        <w:keepNext w:val="0"/>
        <w:keepLines w:val="0"/>
        <w:widowControl w:val="0"/>
        <w:numPr>
          <w:ilvl w:val="0"/>
          <w:numId w:val="33"/>
        </w:numPr>
        <w:shd w:val="clear" w:color="auto" w:fill="auto"/>
        <w:tabs>
          <w:tab w:pos="783" w:val="left"/>
        </w:tabs>
        <w:bidi w:val="0"/>
        <w:spacing w:before="0" w:after="0" w:line="313" w:lineRule="exact"/>
        <w:ind w:left="0" w:right="0" w:firstLine="440"/>
        <w:jc w:val="both"/>
      </w:pPr>
      <w:bookmarkStart w:id="895" w:name="bookmark895"/>
      <w:bookmarkEnd w:id="895"/>
      <w:r>
        <w:rPr>
          <w:color w:val="000000"/>
          <w:spacing w:val="0"/>
          <w:w w:val="100"/>
          <w:position w:val="0"/>
        </w:rPr>
        <w:t>接受服务企业没有结算义务或授予本企业职工的是其本身权益工具的，将该股份支付交易作为权益 结算的股份支付处理；接受服务企业具有结算义务且授予本企业职工的并非其本身权益工具的，将该股份 支付交易作为现金结算的股份支付处理。本公司内各企业之间发生的股份支付交易，接受服务企业和结算 企业不是同一企业的，在接受服务企业和结算企业各自的个别财务报表中对该股份支付交易的确认和计 量，比照上述原则处理。</w:t>
      </w:r>
    </w:p>
    <w:p>
      <w:pPr>
        <w:pStyle w:val="Style70"/>
        <w:keepNext w:val="0"/>
        <w:keepLines w:val="0"/>
        <w:widowControl w:val="0"/>
        <w:shd w:val="clear" w:color="auto" w:fill="auto"/>
        <w:bidi w:val="0"/>
        <w:spacing w:before="0" w:after="0" w:line="313" w:lineRule="exact"/>
        <w:ind w:left="0" w:right="0" w:firstLine="440"/>
        <w:jc w:val="both"/>
      </w:pPr>
      <w:r>
        <w:rPr>
          <w:b/>
          <w:bCs/>
          <w:color w:val="000000"/>
          <w:spacing w:val="0"/>
          <w:w w:val="100"/>
          <w:position w:val="0"/>
        </w:rPr>
        <w:t>股份回购</w:t>
      </w:r>
    </w:p>
    <w:p>
      <w:pPr>
        <w:pStyle w:val="Style70"/>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 xml:space="preserve">因减少注册资本或奖励职工等原因收购本公司股份的，按实际支付的金额作为库存股处理，同时进行 备查登记。如果将回购的股份注销，则将按注销股票面值和注销股数计算的股票面值总额与实际回购所支 付的金额之间的差额冲减资本公积，资本公积不足冲减的，冲减留存收益；如果将回购的股份奖励给本公 </w:t>
      </w:r>
      <w:r>
        <w:rPr>
          <w:color w:val="000000"/>
          <w:spacing w:val="0"/>
          <w:w w:val="100"/>
          <w:position w:val="0"/>
        </w:rPr>
        <w:t>司职工属于以权益结算的股份支付，于职工行权购买本公司股份收到价款时，转销交付职工的库存股成本 和等待期内资本公积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r>
        <w:rPr>
          <w:rFonts w:ascii="Times New Roman" w:eastAsia="Times New Roman" w:hAnsi="Times New Roman" w:cs="Times New Roman"/>
          <w:color w:val="000000"/>
          <w:spacing w:val="0"/>
          <w:w w:val="100"/>
          <w:position w:val="0"/>
        </w:rPr>
        <w:t>）</w:t>
      </w:r>
      <w:r>
        <w:rPr>
          <w:color w:val="000000"/>
          <w:spacing w:val="0"/>
          <w:w w:val="100"/>
          <w:position w:val="0"/>
        </w:rPr>
        <w:t>累计金额，同时，按照其差额调整资本公积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keepLines/>
        <w:widowControl w:val="0"/>
        <w:shd w:val="clear" w:color="auto" w:fill="auto"/>
        <w:tabs>
          <w:tab w:pos="480" w:val="left"/>
        </w:tabs>
        <w:bidi w:val="0"/>
        <w:spacing w:before="0" w:after="280" w:line="329" w:lineRule="auto"/>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2</w:t>
      </w:r>
      <w:bookmarkEnd w:id="898"/>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896"/>
      <w:bookmarkEnd w:id="897"/>
      <w:bookmarkEnd w:id="899"/>
    </w:p>
    <w:p>
      <w:pPr>
        <w:pStyle w:val="Style33"/>
        <w:keepNext/>
        <w:keepLines/>
        <w:widowControl w:val="0"/>
        <w:shd w:val="clear" w:color="auto" w:fill="auto"/>
        <w:tabs>
          <w:tab w:pos="480" w:val="left"/>
        </w:tabs>
        <w:bidi w:val="0"/>
        <w:spacing w:before="0" w:after="280" w:line="329"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2</w:t>
      </w:r>
      <w:bookmarkEnd w:id="902"/>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00"/>
      <w:bookmarkEnd w:id="901"/>
      <w:bookmarkEnd w:id="90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互联网营销业</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号——上市公司从事互联网营销业务》的披露要求</w:t>
      </w:r>
    </w:p>
    <w:p>
      <w:pPr>
        <w:pStyle w:val="Style33"/>
        <w:keepNext/>
        <w:keepLines/>
        <w:widowControl w:val="0"/>
        <w:shd w:val="clear" w:color="auto" w:fill="auto"/>
        <w:tabs>
          <w:tab w:pos="480" w:val="left"/>
        </w:tabs>
        <w:bidi w:val="0"/>
        <w:spacing w:before="0" w:after="200" w:line="329"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2</w:t>
      </w:r>
      <w:bookmarkEnd w:id="906"/>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904"/>
      <w:bookmarkEnd w:id="905"/>
      <w:bookmarkEnd w:id="907"/>
    </w:p>
    <w:p>
      <w:pPr>
        <w:pStyle w:val="Style55"/>
        <w:keepNext/>
        <w:keepLines/>
        <w:widowControl w:val="0"/>
        <w:shd w:val="clear" w:color="auto" w:fill="auto"/>
        <w:tabs>
          <w:tab w:pos="489" w:val="left"/>
        </w:tabs>
        <w:bidi w:val="0"/>
        <w:spacing w:before="0" w:after="280" w:line="314" w:lineRule="exact"/>
        <w:ind w:left="0" w:right="0" w:firstLine="0"/>
        <w:jc w:val="left"/>
      </w:pPr>
      <w:bookmarkStart w:id="908" w:name="bookmark908"/>
      <w:bookmarkStart w:id="909" w:name="bookmark909"/>
      <w:bookmarkStart w:id="910" w:name="bookmark910"/>
      <w:bookmarkStart w:id="911" w:name="bookmark911"/>
      <w:r>
        <w:rPr>
          <w:color w:val="000000"/>
          <w:spacing w:val="0"/>
          <w:w w:val="100"/>
          <w:position w:val="0"/>
        </w:rPr>
        <w:t>（</w:t>
      </w:r>
      <w:bookmarkEnd w:id="910"/>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08"/>
      <w:bookmarkEnd w:id="909"/>
      <w:bookmarkEnd w:id="911"/>
    </w:p>
    <w:p>
      <w:pPr>
        <w:pStyle w:val="Style70"/>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与资产相关的政府补助，是指企业取得的、用于购建或以其他方式形成长期资产的政府补助，包括购 买固定资产或无形资产的财政拨款、固定资产专门借款的财政贴息等。</w:t>
      </w:r>
    </w:p>
    <w:p>
      <w:pPr>
        <w:pStyle w:val="Style55"/>
        <w:keepNext/>
        <w:keepLines/>
        <w:widowControl w:val="0"/>
        <w:shd w:val="clear" w:color="auto" w:fill="auto"/>
        <w:tabs>
          <w:tab w:pos="489" w:val="left"/>
        </w:tabs>
        <w:bidi w:val="0"/>
        <w:spacing w:before="0" w:after="280" w:line="314" w:lineRule="exact"/>
        <w:ind w:left="0" w:right="0" w:firstLine="0"/>
        <w:jc w:val="left"/>
      </w:pPr>
      <w:bookmarkStart w:id="912" w:name="bookmark912"/>
      <w:bookmarkStart w:id="913" w:name="bookmark913"/>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12"/>
      <w:bookmarkEnd w:id="913"/>
      <w:bookmarkEnd w:id="915"/>
    </w:p>
    <w:p>
      <w:pPr>
        <w:pStyle w:val="Style70"/>
        <w:keepNext w:val="0"/>
        <w:keepLines w:val="0"/>
        <w:widowControl w:val="0"/>
        <w:shd w:val="clear" w:color="auto" w:fill="auto"/>
        <w:bidi w:val="0"/>
        <w:spacing w:before="0" w:after="0" w:line="314" w:lineRule="exact"/>
        <w:ind w:left="0" w:right="0" w:firstLine="440"/>
        <w:jc w:val="left"/>
      </w:pPr>
      <w:r>
        <w:rPr>
          <w:color w:val="000000"/>
          <w:spacing w:val="0"/>
          <w:w w:val="100"/>
          <w:position w:val="0"/>
        </w:rPr>
        <w:t>与收益相关的政府补助，是指除与资产相关的政府补助之外的政府补助。</w:t>
      </w:r>
    </w:p>
    <w:p>
      <w:pPr>
        <w:pStyle w:val="Style7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本公司将政府补助划分为与收益相关的具体标准为：政府补助文件未明确约定补助款项用于购建资产 的，将其确认为与收益相关的政府补助。若政府文件未明确规定补助对象，则采用以下方式将补助款划分 为与收益相关的政府补助和与资产相关的政府补助：</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政府文件明确了补助所针对的特定项目的，根据该 特定项目的预算中将形成资产的支出金额和计入费用的支出金额的相对比例进行划分，对该划分比例需在 每个资产负债表日进行复核，必要时进行变更；</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政府文件中对用途仅作一般性表述，没有指明特定项目 的，作为与收益相关的政府补助。</w:t>
      </w:r>
    </w:p>
    <w:p>
      <w:pPr>
        <w:pStyle w:val="Style7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本公司对于政府补助通常在实际收到时，按照实收金额予以确认和计量。但对于期末有确凿证据表明 能够符合财政扶持政策规定的相关条件预计能够收到财政扶持资金，按照应收的金额计量。按照应收金额 计量的政府补助应同时符合以下条件：</w:t>
      </w:r>
    </w:p>
    <w:p>
      <w:pPr>
        <w:pStyle w:val="Style70"/>
        <w:keepNext w:val="0"/>
        <w:keepLines w:val="0"/>
        <w:widowControl w:val="0"/>
        <w:shd w:val="clear" w:color="auto" w:fill="auto"/>
        <w:tabs>
          <w:tab w:pos="849" w:val="left"/>
        </w:tabs>
        <w:bidi w:val="0"/>
        <w:spacing w:before="0" w:after="0" w:line="314" w:lineRule="exact"/>
        <w:ind w:left="0" w:right="0" w:firstLine="440"/>
        <w:jc w:val="both"/>
      </w:pPr>
      <w:bookmarkStart w:id="916" w:name="bookmark916"/>
      <w:r>
        <w:rPr>
          <w:rFonts w:ascii="Times New Roman" w:eastAsia="Times New Roman" w:hAnsi="Times New Roman" w:cs="Times New Roman"/>
          <w:color w:val="000000"/>
          <w:spacing w:val="0"/>
          <w:w w:val="100"/>
          <w:position w:val="0"/>
        </w:rPr>
        <w:t>（</w:t>
      </w:r>
      <w:bookmarkEnd w:id="916"/>
      <w:r>
        <w:rPr>
          <w:rFonts w:ascii="Times New Roman" w:eastAsia="Times New Roman" w:hAnsi="Times New Roman" w:cs="Times New Roman"/>
          <w:color w:val="000000"/>
          <w:spacing w:val="0"/>
          <w:w w:val="100"/>
          <w:position w:val="0"/>
        </w:rPr>
        <w:t>1）</w:t>
        <w:tab/>
      </w:r>
      <w:r>
        <w:rPr>
          <w:color w:val="000000"/>
          <w:spacing w:val="0"/>
          <w:w w:val="100"/>
          <w:position w:val="0"/>
        </w:rPr>
        <w:t>应收补助款的金额已经过有权政府部门发文确认，或者可根据正式发布的财政资金管理办法的有关 规定自行合理测算，且预计其金额不存在重大不确定性；</w:t>
      </w:r>
    </w:p>
    <w:p>
      <w:pPr>
        <w:pStyle w:val="Style70"/>
        <w:keepNext w:val="0"/>
        <w:keepLines w:val="0"/>
        <w:widowControl w:val="0"/>
        <w:shd w:val="clear" w:color="auto" w:fill="auto"/>
        <w:tabs>
          <w:tab w:pos="825" w:val="left"/>
        </w:tabs>
        <w:bidi w:val="0"/>
        <w:spacing w:before="0" w:after="0" w:line="314" w:lineRule="exact"/>
        <w:ind w:left="0" w:right="0" w:firstLine="440"/>
        <w:jc w:val="both"/>
      </w:pPr>
      <w:bookmarkStart w:id="917" w:name="bookmark917"/>
      <w:r>
        <w:rPr>
          <w:rFonts w:ascii="Times New Roman" w:eastAsia="Times New Roman" w:hAnsi="Times New Roman" w:cs="Times New Roman"/>
          <w:color w:val="000000"/>
          <w:spacing w:val="0"/>
          <w:w w:val="100"/>
          <w:position w:val="0"/>
        </w:rPr>
        <w:t>（</w:t>
      </w:r>
      <w:bookmarkEnd w:id="917"/>
      <w:r>
        <w:rPr>
          <w:rFonts w:ascii="Times New Roman" w:eastAsia="Times New Roman" w:hAnsi="Times New Roman" w:cs="Times New Roman"/>
          <w:color w:val="000000"/>
          <w:spacing w:val="0"/>
          <w:w w:val="100"/>
          <w:position w:val="0"/>
        </w:rPr>
        <w:t>2）</w:t>
        <w:tab/>
      </w:r>
      <w:r>
        <w:rPr>
          <w:color w:val="000000"/>
          <w:spacing w:val="0"/>
          <w:w w:val="100"/>
          <w:position w:val="0"/>
        </w:rPr>
        <w:t>所依据的是当地财政部门正式发布并按照《政府信息公开条例》的规定予以主动公开的财政扶持项 目及其财政资金管理办法，且该管理办法应当是普惠性的</w:t>
      </w:r>
      <w:r>
        <w:rPr>
          <w:rFonts w:ascii="Times New Roman" w:eastAsia="Times New Roman" w:hAnsi="Times New Roman" w:cs="Times New Roman"/>
          <w:color w:val="000000"/>
          <w:spacing w:val="0"/>
          <w:w w:val="100"/>
          <w:position w:val="0"/>
        </w:rPr>
        <w:t>（</w:t>
      </w:r>
      <w:r>
        <w:rPr>
          <w:color w:val="000000"/>
          <w:spacing w:val="0"/>
          <w:w w:val="100"/>
          <w:position w:val="0"/>
        </w:rPr>
        <w:t>任何符合规定条件的企业均可申请</w:t>
      </w:r>
      <w:r>
        <w:rPr>
          <w:rFonts w:ascii="Times New Roman" w:eastAsia="Times New Roman" w:hAnsi="Times New Roman" w:cs="Times New Roman"/>
          <w:color w:val="000000"/>
          <w:spacing w:val="0"/>
          <w:w w:val="100"/>
          <w:position w:val="0"/>
        </w:rPr>
        <w:t>）</w:t>
      </w:r>
      <w:r>
        <w:rPr>
          <w:color w:val="000000"/>
          <w:spacing w:val="0"/>
          <w:w w:val="100"/>
          <w:position w:val="0"/>
        </w:rPr>
        <w:t>，而不是专 门针对特定企业制定的；</w:t>
      </w:r>
    </w:p>
    <w:p>
      <w:pPr>
        <w:pStyle w:val="Style70"/>
        <w:keepNext w:val="0"/>
        <w:keepLines w:val="0"/>
        <w:widowControl w:val="0"/>
        <w:shd w:val="clear" w:color="auto" w:fill="auto"/>
        <w:tabs>
          <w:tab w:pos="845" w:val="left"/>
        </w:tabs>
        <w:bidi w:val="0"/>
        <w:spacing w:before="0" w:after="0" w:line="314" w:lineRule="exact"/>
        <w:ind w:left="0" w:right="0" w:firstLine="440"/>
        <w:jc w:val="both"/>
      </w:pPr>
      <w:bookmarkStart w:id="918" w:name="bookmark918"/>
      <w:r>
        <w:rPr>
          <w:rFonts w:ascii="Times New Roman" w:eastAsia="Times New Roman" w:hAnsi="Times New Roman" w:cs="Times New Roman"/>
          <w:color w:val="000000"/>
          <w:spacing w:val="0"/>
          <w:w w:val="100"/>
          <w:position w:val="0"/>
        </w:rPr>
        <w:t>（</w:t>
      </w:r>
      <w:bookmarkEnd w:id="918"/>
      <w:r>
        <w:rPr>
          <w:rFonts w:ascii="Times New Roman" w:eastAsia="Times New Roman" w:hAnsi="Times New Roman" w:cs="Times New Roman"/>
          <w:color w:val="000000"/>
          <w:spacing w:val="0"/>
          <w:w w:val="100"/>
          <w:position w:val="0"/>
        </w:rPr>
        <w:t>3）</w:t>
        <w:tab/>
      </w:r>
      <w:r>
        <w:rPr>
          <w:color w:val="000000"/>
          <w:spacing w:val="0"/>
          <w:w w:val="100"/>
          <w:position w:val="0"/>
        </w:rPr>
        <w:t>相关的补助款批文中已明确承诺了拨付期限，且该款项的拨付是有相应财政预算作为保障的，因而 可以合理保证其可在规定期限内收到；</w:t>
      </w:r>
    </w:p>
    <w:p>
      <w:pPr>
        <w:pStyle w:val="Style7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公司取得与资产相关的政府补助，确认为递延收益，并在相关资产使用寿命内平均分配，计入当期损 益。公司取得与收益相关的政府补助，分别下列情况进行处理：</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用于补偿公司以后期间的相关费用或损 失的，确认为递延收益，并在确认相关费用的期间计入当期损益；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用于补偿企业已发生的相关费用或损 失的，直接计入当期损益。</w:t>
      </w:r>
    </w:p>
    <w:p>
      <w:pPr>
        <w:pStyle w:val="Style70"/>
        <w:keepNext w:val="0"/>
        <w:keepLines w:val="0"/>
        <w:widowControl w:val="0"/>
        <w:shd w:val="clear" w:color="auto" w:fill="auto"/>
        <w:bidi w:val="0"/>
        <w:spacing w:before="0" w:after="280" w:line="314" w:lineRule="exact"/>
        <w:ind w:left="0" w:right="0" w:firstLine="0"/>
        <w:jc w:val="left"/>
      </w:pPr>
      <w:r>
        <w:rPr>
          <w:color w:val="000000"/>
          <w:spacing w:val="0"/>
          <w:w w:val="100"/>
          <w:position w:val="0"/>
        </w:rPr>
        <w:t>已确认的政府补助需要返还时，存在相关递延收益余额的，冲减相关递延收益账面余额，超出部分计入当 期损益；不存在相关递延收益的，直接计入当期损益。</w:t>
      </w:r>
    </w:p>
    <w:p>
      <w:pPr>
        <w:pStyle w:val="Style33"/>
        <w:keepNext/>
        <w:keepLines/>
        <w:widowControl w:val="0"/>
        <w:shd w:val="clear" w:color="auto" w:fill="auto"/>
        <w:tabs>
          <w:tab w:pos="461" w:val="left"/>
        </w:tabs>
        <w:bidi w:val="0"/>
        <w:spacing w:before="0" w:after="300" w:line="314" w:lineRule="exact"/>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3</w:t>
      </w:r>
      <w:bookmarkEnd w:id="921"/>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19"/>
      <w:bookmarkEnd w:id="920"/>
      <w:bookmarkEnd w:id="922"/>
    </w:p>
    <w:p>
      <w:pPr>
        <w:pStyle w:val="Style70"/>
        <w:keepNext w:val="0"/>
        <w:keepLines w:val="0"/>
        <w:widowControl w:val="0"/>
        <w:numPr>
          <w:ilvl w:val="0"/>
          <w:numId w:val="35"/>
        </w:numPr>
        <w:shd w:val="clear" w:color="auto" w:fill="auto"/>
        <w:tabs>
          <w:tab w:pos="757" w:val="left"/>
        </w:tabs>
        <w:bidi w:val="0"/>
        <w:spacing w:before="0" w:after="0" w:line="314" w:lineRule="exact"/>
        <w:ind w:left="0" w:right="0" w:firstLine="440"/>
        <w:jc w:val="both"/>
      </w:pPr>
      <w:bookmarkStart w:id="923" w:name="bookmark923"/>
      <w:bookmarkEnd w:id="923"/>
      <w:r>
        <w:rPr>
          <w:color w:val="000000"/>
          <w:spacing w:val="0"/>
          <w:w w:val="100"/>
          <w:position w:val="0"/>
        </w:rPr>
        <w:t>递延所得税资产和递延所得税负债的确认和计量</w:t>
      </w:r>
    </w:p>
    <w:p>
      <w:pPr>
        <w:pStyle w:val="Style7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本公司根据资产、负债与资产负债日的账面价值与计税基础之间的暂时性差异，采用资产负债表债务 法确认递延所得税。公司当期所得税和递延所得税作为所得税费用或收益计入当期损益，但不包括下列情 况产生的所得税：</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企业合并；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直接在所有者权益中确认的交易或者事项。</w:t>
      </w:r>
    </w:p>
    <w:p>
      <w:pPr>
        <w:pStyle w:val="Style7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对于可抵扣暂时性差异、能够结转以后年度的可抵扣亏损和税款抵减，公司以很可能取得用来抵扣可 抵扣暂时性差异、可抵扣亏损和税款抵减的未来应纳税所得额为限，确认由此产生的递延所得税资产，除 非该可抵扣暂时性差异是在以下交易中产生的：</w:t>
      </w:r>
    </w:p>
    <w:p>
      <w:pPr>
        <w:pStyle w:val="Style70"/>
        <w:keepNext w:val="0"/>
        <w:keepLines w:val="0"/>
        <w:widowControl w:val="0"/>
        <w:numPr>
          <w:ilvl w:val="0"/>
          <w:numId w:val="37"/>
        </w:numPr>
        <w:shd w:val="clear" w:color="auto" w:fill="auto"/>
        <w:tabs>
          <w:tab w:pos="843" w:val="left"/>
        </w:tabs>
        <w:bidi w:val="0"/>
        <w:spacing w:before="0" w:after="0" w:line="314" w:lineRule="exact"/>
        <w:ind w:left="0" w:right="0" w:firstLine="440"/>
        <w:jc w:val="left"/>
      </w:pPr>
      <w:bookmarkStart w:id="924" w:name="bookmark924"/>
      <w:bookmarkEnd w:id="924"/>
      <w:r>
        <w:rPr>
          <w:color w:val="000000"/>
          <w:spacing w:val="0"/>
          <w:w w:val="100"/>
          <w:position w:val="0"/>
        </w:rPr>
        <w:t>该交易不是企业合并，并且交易发生时既不影响会计利润也不影响应纳税所得额；</w:t>
      </w:r>
    </w:p>
    <w:p>
      <w:pPr>
        <w:pStyle w:val="Style70"/>
        <w:keepNext w:val="0"/>
        <w:keepLines w:val="0"/>
        <w:widowControl w:val="0"/>
        <w:numPr>
          <w:ilvl w:val="0"/>
          <w:numId w:val="37"/>
        </w:numPr>
        <w:shd w:val="clear" w:color="auto" w:fill="auto"/>
        <w:tabs>
          <w:tab w:pos="825" w:val="left"/>
        </w:tabs>
        <w:bidi w:val="0"/>
        <w:spacing w:before="0" w:after="0" w:line="314" w:lineRule="exact"/>
        <w:ind w:left="0" w:right="0" w:firstLine="440"/>
        <w:jc w:val="both"/>
      </w:pPr>
      <w:bookmarkStart w:id="925" w:name="bookmark925"/>
      <w:bookmarkEnd w:id="925"/>
      <w:r>
        <w:rPr>
          <w:color w:val="000000"/>
          <w:spacing w:val="0"/>
          <w:w w:val="100"/>
          <w:position w:val="0"/>
        </w:rPr>
        <w:t>对于与子公司、合营企业及联营企业投资相关的可抵扣暂时性差异，同时满足下列条件的，确认相 应的递延所得税资产：暂时性差异在可预见的未来很可能转回，且未来很可能获得用来抵扣可抵扣暂时性 差异的应纳税所得额。</w:t>
      </w:r>
    </w:p>
    <w:p>
      <w:pPr>
        <w:pStyle w:val="Style7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各项应纳税暂时性差异均确认相关的递延所得税负债，除非该应纳税暂时性差异是在以下交易中产生 的：</w:t>
      </w:r>
    </w:p>
    <w:p>
      <w:pPr>
        <w:pStyle w:val="Style70"/>
        <w:keepNext w:val="0"/>
        <w:keepLines w:val="0"/>
        <w:widowControl w:val="0"/>
        <w:numPr>
          <w:ilvl w:val="0"/>
          <w:numId w:val="39"/>
        </w:numPr>
        <w:shd w:val="clear" w:color="auto" w:fill="auto"/>
        <w:tabs>
          <w:tab w:pos="816" w:val="left"/>
        </w:tabs>
        <w:bidi w:val="0"/>
        <w:spacing w:before="0" w:after="0" w:line="314" w:lineRule="exact"/>
        <w:ind w:left="0" w:right="0" w:firstLine="440"/>
        <w:jc w:val="both"/>
      </w:pPr>
      <w:bookmarkStart w:id="926" w:name="bookmark926"/>
      <w:bookmarkEnd w:id="926"/>
      <w:r>
        <w:rPr>
          <w:color w:val="000000"/>
          <w:spacing w:val="0"/>
          <w:w w:val="100"/>
          <w:position w:val="0"/>
        </w:rPr>
        <w:t>商誉的初始确认，或者具有以下特征的交易中产生的资产或负债的初始确认：该交易不是企业合并, 并且交易发生时既不影响会计利润也不影响应纳税所得额；</w:t>
      </w:r>
    </w:p>
    <w:p>
      <w:pPr>
        <w:pStyle w:val="Style70"/>
        <w:keepNext w:val="0"/>
        <w:keepLines w:val="0"/>
        <w:widowControl w:val="0"/>
        <w:numPr>
          <w:ilvl w:val="0"/>
          <w:numId w:val="39"/>
        </w:numPr>
        <w:shd w:val="clear" w:color="auto" w:fill="auto"/>
        <w:tabs>
          <w:tab w:pos="825" w:val="left"/>
        </w:tabs>
        <w:bidi w:val="0"/>
        <w:spacing w:before="0" w:after="0" w:line="314" w:lineRule="exact"/>
        <w:ind w:left="0" w:right="0" w:firstLine="440"/>
        <w:jc w:val="both"/>
      </w:pPr>
      <w:bookmarkStart w:id="927" w:name="bookmark927"/>
      <w:bookmarkEnd w:id="927"/>
      <w:r>
        <w:rPr>
          <w:color w:val="000000"/>
          <w:spacing w:val="0"/>
          <w:w w:val="100"/>
          <w:position w:val="0"/>
        </w:rPr>
        <w:t>对于与子公司、合营企业及联营企业投资相关的应纳税暂时性差异，该暂时性差异转回的时间能够 控制并且该暂时性差异在可预见的未来很可能不会转回。</w:t>
      </w:r>
    </w:p>
    <w:p>
      <w:pPr>
        <w:pStyle w:val="Style7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根据资产、负债的账面价值与其计税基础之间的差额</w:t>
      </w:r>
      <w:r>
        <w:rPr>
          <w:rFonts w:ascii="Times New Roman" w:eastAsia="Times New Roman" w:hAnsi="Times New Roman" w:cs="Times New Roman"/>
          <w:color w:val="000000"/>
          <w:spacing w:val="0"/>
          <w:w w:val="100"/>
          <w:position w:val="0"/>
        </w:rPr>
        <w:t>(</w:t>
      </w:r>
      <w:r>
        <w:rPr>
          <w:color w:val="000000"/>
          <w:spacing w:val="0"/>
          <w:w w:val="100"/>
          <w:position w:val="0"/>
        </w:rPr>
        <w:t>未作为资产和负债确认的项目按照税法规定可以 确定其计税基础的，该计税基础与其账面数之间的差额</w:t>
      </w:r>
      <w:r>
        <w:rPr>
          <w:rFonts w:ascii="Times New Roman" w:eastAsia="Times New Roman" w:hAnsi="Times New Roman" w:cs="Times New Roman"/>
          <w:color w:val="000000"/>
          <w:spacing w:val="0"/>
          <w:w w:val="100"/>
          <w:position w:val="0"/>
        </w:rPr>
        <w:t>)</w:t>
      </w:r>
      <w:r>
        <w:rPr>
          <w:color w:val="000000"/>
          <w:spacing w:val="0"/>
          <w:w w:val="100"/>
          <w:position w:val="0"/>
        </w:rPr>
        <w:t>，按照预期收回该资产或清偿该负债期间的适用税 率计算确认递延所得税资产或递延所得税负债。</w:t>
      </w:r>
    </w:p>
    <w:p>
      <w:pPr>
        <w:pStyle w:val="Style7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确认递延所得税资产以很可能取得用来抵扣可抵扣暂时性差异的应纳税所得额为限。资产负债表日， 有确凿证据表明未来期间很可能获得足够的应纳税所得额用来抵扣可抵扣暂时性差异的，确认以前会计期 间未确认的递延所得税资产。对递延所得税资产的账面价值进行复核，如果未来期间很可能无法获得足够 的应纳税所得额用以抵扣递延所得税资产的利益，则减记递延所得税资产的账面价值。在很可能获得足够 的应纳税所得额时，转回减记的金额。</w:t>
      </w:r>
    </w:p>
    <w:p>
      <w:pPr>
        <w:pStyle w:val="Style70"/>
        <w:keepNext w:val="0"/>
        <w:keepLines w:val="0"/>
        <w:widowControl w:val="0"/>
        <w:numPr>
          <w:ilvl w:val="0"/>
          <w:numId w:val="35"/>
        </w:numPr>
        <w:shd w:val="clear" w:color="auto" w:fill="auto"/>
        <w:tabs>
          <w:tab w:pos="749" w:val="left"/>
        </w:tabs>
        <w:bidi w:val="0"/>
        <w:spacing w:before="0" w:after="0" w:line="314" w:lineRule="exact"/>
        <w:ind w:left="0" w:right="0" w:firstLine="440"/>
        <w:jc w:val="both"/>
      </w:pPr>
      <w:bookmarkStart w:id="928" w:name="bookmark928"/>
      <w:bookmarkEnd w:id="928"/>
      <w:r>
        <w:rPr>
          <w:color w:val="000000"/>
          <w:spacing w:val="0"/>
          <w:w w:val="100"/>
          <w:position w:val="0"/>
        </w:rPr>
        <w:t>当拥有以净额结算的法定权利，且意图以净额结算或取得资产、清偿负债同时进行时，本公司当 期所得税资产及当期所得税负债以抵销后的净额列报。</w:t>
      </w:r>
    </w:p>
    <w:p>
      <w:pPr>
        <w:pStyle w:val="Style70"/>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债或是同时取得资产、清偿负债时，本公司递延所得税资产及递延所得税负债以抵销后的净额列报。</w:t>
      </w:r>
    </w:p>
    <w:p>
      <w:pPr>
        <w:pStyle w:val="Style33"/>
        <w:keepNext/>
        <w:keepLines/>
        <w:widowControl w:val="0"/>
        <w:shd w:val="clear" w:color="auto" w:fill="auto"/>
        <w:tabs>
          <w:tab w:pos="461" w:val="left"/>
        </w:tabs>
        <w:bidi w:val="0"/>
        <w:spacing w:before="0" w:after="300" w:line="314" w:lineRule="exact"/>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3</w:t>
      </w:r>
      <w:bookmarkEnd w:id="931"/>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929"/>
      <w:bookmarkEnd w:id="930"/>
      <w:bookmarkEnd w:id="932"/>
    </w:p>
    <w:p>
      <w:pPr>
        <w:pStyle w:val="Style55"/>
        <w:keepNext/>
        <w:keepLines/>
        <w:widowControl w:val="0"/>
        <w:numPr>
          <w:ilvl w:val="0"/>
          <w:numId w:val="41"/>
        </w:numPr>
        <w:shd w:val="clear" w:color="auto" w:fill="auto"/>
        <w:tabs>
          <w:tab w:pos="470" w:val="left"/>
        </w:tabs>
        <w:bidi w:val="0"/>
        <w:spacing w:before="0" w:after="300" w:line="314" w:lineRule="exact"/>
        <w:ind w:left="0" w:right="0" w:firstLine="0"/>
        <w:jc w:val="left"/>
      </w:pPr>
      <w:bookmarkStart w:id="933" w:name="bookmark933"/>
      <w:bookmarkStart w:id="934" w:name="bookmark934"/>
      <w:bookmarkStart w:id="935" w:name="bookmark935"/>
      <w:bookmarkStart w:id="936" w:name="bookmark936"/>
      <w:bookmarkEnd w:id="935"/>
      <w:r>
        <w:rPr>
          <w:color w:val="000000"/>
          <w:spacing w:val="0"/>
          <w:w w:val="100"/>
          <w:position w:val="0"/>
        </w:rPr>
        <w:t>经营租赁的会计处理方法</w:t>
      </w:r>
      <w:bookmarkEnd w:id="933"/>
      <w:bookmarkEnd w:id="934"/>
      <w:bookmarkEnd w:id="936"/>
    </w:p>
    <w:p>
      <w:pPr>
        <w:pStyle w:val="Style55"/>
        <w:keepNext/>
        <w:keepLines/>
        <w:widowControl w:val="0"/>
        <w:numPr>
          <w:ilvl w:val="0"/>
          <w:numId w:val="41"/>
        </w:numPr>
        <w:shd w:val="clear" w:color="auto" w:fill="auto"/>
        <w:tabs>
          <w:tab w:pos="470" w:val="left"/>
        </w:tabs>
        <w:bidi w:val="0"/>
        <w:spacing w:before="0" w:after="300" w:line="314" w:lineRule="exact"/>
        <w:ind w:left="0" w:right="0" w:firstLine="0"/>
        <w:jc w:val="left"/>
      </w:pPr>
      <w:bookmarkStart w:id="937" w:name="bookmark937"/>
      <w:bookmarkStart w:id="938" w:name="bookmark938"/>
      <w:bookmarkStart w:id="939" w:name="bookmark939"/>
      <w:bookmarkStart w:id="940" w:name="bookmark940"/>
      <w:bookmarkEnd w:id="939"/>
      <w:r>
        <w:rPr>
          <w:color w:val="000000"/>
          <w:spacing w:val="0"/>
          <w:w w:val="100"/>
          <w:position w:val="0"/>
        </w:rPr>
        <w:t>融资租赁的会计处理方法</w:t>
      </w:r>
      <w:bookmarkEnd w:id="937"/>
      <w:bookmarkEnd w:id="938"/>
      <w:bookmarkEnd w:id="940"/>
    </w:p>
    <w:p>
      <w:pPr>
        <w:pStyle w:val="Style33"/>
        <w:keepNext/>
        <w:keepLines/>
        <w:widowControl w:val="0"/>
        <w:shd w:val="clear" w:color="auto" w:fill="auto"/>
        <w:tabs>
          <w:tab w:pos="461" w:val="left"/>
        </w:tabs>
        <w:bidi w:val="0"/>
        <w:spacing w:before="0" w:after="300" w:line="314" w:lineRule="exact"/>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3</w:t>
      </w:r>
      <w:bookmarkEnd w:id="943"/>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941"/>
      <w:bookmarkEnd w:id="942"/>
      <w:bookmarkEnd w:id="944"/>
    </w:p>
    <w:p>
      <w:pPr>
        <w:pStyle w:val="Style70"/>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 xml:space="preserve">本公司在运用会计政策过程中，由于经营活动内在的不确定性，本公司需要对无法准确计量的报表项 目的账面价值进行判断、估计和假设。这些判断、估计和假设是基于本公司管理层过去的历史经验，并在 考虑其他相关因素的基础上做出的。这些判断、估计和假设会影响收入、费用、资产和负债的报告金额以 </w:t>
      </w:r>
      <w:r>
        <w:rPr>
          <w:color w:val="000000"/>
          <w:spacing w:val="0"/>
          <w:w w:val="100"/>
          <w:position w:val="0"/>
        </w:rPr>
        <w:t>及资产负债表日或有负债的披露。然而，这些估计的不确定性所导致的实际结果可能与本公司管理层当前 的估计存在差异，进而造成对未来受影响的资产或负债的账面金额进行重大调整。本公司对前述判断、估 计和假设在持续经营的基础上进行定期复核，会计估计的变更仅影响变更当期的，其影响数在变更当期予 以确认；既影响变更当期又影响未来期间的，其影响数在变更当期和未来期间予以确认。于资产负债表日， 本公司需对财务报表项目金额进行判断、估计和假设的重要领域如下：</w:t>
      </w:r>
    </w:p>
    <w:p>
      <w:pPr>
        <w:pStyle w:val="Style70"/>
        <w:keepNext w:val="0"/>
        <w:keepLines w:val="0"/>
        <w:widowControl w:val="0"/>
        <w:numPr>
          <w:ilvl w:val="0"/>
          <w:numId w:val="43"/>
        </w:numPr>
        <w:shd w:val="clear" w:color="auto" w:fill="auto"/>
        <w:tabs>
          <w:tab w:pos="819" w:val="left"/>
        </w:tabs>
        <w:bidi w:val="0"/>
        <w:spacing w:before="0" w:after="0" w:line="326" w:lineRule="auto"/>
        <w:ind w:left="0" w:right="0" w:firstLine="440"/>
        <w:jc w:val="both"/>
      </w:pPr>
      <w:bookmarkStart w:id="945" w:name="bookmark945"/>
      <w:bookmarkEnd w:id="945"/>
      <w:r>
        <w:rPr>
          <w:color w:val="000000"/>
          <w:spacing w:val="0"/>
          <w:w w:val="100"/>
          <w:position w:val="0"/>
        </w:rPr>
        <w:t>坏账准备计提</w:t>
      </w:r>
    </w:p>
    <w:p>
      <w:pPr>
        <w:pStyle w:val="Style70"/>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本公司根据应收款项的会计政策，采用备抵法核算坏账损失。应收款项减值基于对应收款项可收回性 的评估，涉及管理层的判断和估计。实际的应收款项减值结果与原先估计的差异将在估计被改变的期间影 响应收款项的账面价值及应收款项坏账准备的计提或转回。</w:t>
      </w:r>
    </w:p>
    <w:p>
      <w:pPr>
        <w:pStyle w:val="Style70"/>
        <w:keepNext w:val="0"/>
        <w:keepLines w:val="0"/>
        <w:widowControl w:val="0"/>
        <w:numPr>
          <w:ilvl w:val="0"/>
          <w:numId w:val="43"/>
        </w:numPr>
        <w:shd w:val="clear" w:color="auto" w:fill="auto"/>
        <w:tabs>
          <w:tab w:pos="819" w:val="left"/>
        </w:tabs>
        <w:bidi w:val="0"/>
        <w:spacing w:before="0" w:after="0" w:line="326" w:lineRule="auto"/>
        <w:ind w:left="0" w:right="0" w:firstLine="440"/>
        <w:jc w:val="both"/>
      </w:pPr>
      <w:bookmarkStart w:id="946" w:name="bookmark946"/>
      <w:bookmarkEnd w:id="946"/>
      <w:r>
        <w:rPr>
          <w:color w:val="000000"/>
          <w:spacing w:val="0"/>
          <w:w w:val="100"/>
          <w:position w:val="0"/>
        </w:rPr>
        <w:t>存货跌价准备</w:t>
      </w:r>
    </w:p>
    <w:p>
      <w:pPr>
        <w:pStyle w:val="Style70"/>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本公司根据存货会计政策，按照成本与可变现净值孰低计量，对成本高于可变现净值及陈旧和滞销的 存货，计提存货跌价准备。存货减值至可变现净值是基于评估存货的可售性及其可变现净值。鉴定存货减 值要求管理层在取得确凿证据，并且考虑持有存货的目的、资产负债表日后事项的影响等因素的基础上作 出判断和估计。实际的结果与原先估计的差异将在估计被改变的期间影响存货的账面价值及存货跌价准备 的计提或转回。</w:t>
      </w:r>
    </w:p>
    <w:p>
      <w:pPr>
        <w:pStyle w:val="Style70"/>
        <w:keepNext w:val="0"/>
        <w:keepLines w:val="0"/>
        <w:widowControl w:val="0"/>
        <w:numPr>
          <w:ilvl w:val="0"/>
          <w:numId w:val="43"/>
        </w:numPr>
        <w:shd w:val="clear" w:color="auto" w:fill="auto"/>
        <w:tabs>
          <w:tab w:pos="819" w:val="left"/>
        </w:tabs>
        <w:bidi w:val="0"/>
        <w:spacing w:before="0" w:after="0" w:line="326" w:lineRule="auto"/>
        <w:ind w:left="0" w:right="0" w:firstLine="440"/>
        <w:jc w:val="both"/>
      </w:pPr>
      <w:bookmarkStart w:id="947" w:name="bookmark947"/>
      <w:bookmarkEnd w:id="947"/>
      <w:r>
        <w:rPr>
          <w:color w:val="000000"/>
          <w:spacing w:val="0"/>
          <w:w w:val="100"/>
          <w:position w:val="0"/>
        </w:rPr>
        <w:t>可供出售金融资产减值</w:t>
      </w:r>
    </w:p>
    <w:p>
      <w:pPr>
        <w:pStyle w:val="Style70"/>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本公司确定可供出售金融资产是否减值在很大程度上依赖于管理层的判断和假设，以确定是否需要在 利润表中确认其减值损失。在进行判断和作出假设的过程中，本公司需评估该项投资的公允价值低于成本 的程度和持续期间，以及被投资对象的财务状况和短期业务展望，包括行业状况、技术变革、信用评级、 违约率和对手方的风险。</w:t>
      </w:r>
    </w:p>
    <w:p>
      <w:pPr>
        <w:pStyle w:val="Style70"/>
        <w:keepNext w:val="0"/>
        <w:keepLines w:val="0"/>
        <w:widowControl w:val="0"/>
        <w:numPr>
          <w:ilvl w:val="0"/>
          <w:numId w:val="43"/>
        </w:numPr>
        <w:shd w:val="clear" w:color="auto" w:fill="auto"/>
        <w:tabs>
          <w:tab w:pos="819" w:val="left"/>
        </w:tabs>
        <w:bidi w:val="0"/>
        <w:spacing w:before="0" w:after="0" w:line="326" w:lineRule="auto"/>
        <w:ind w:left="0" w:right="0" w:firstLine="440"/>
        <w:jc w:val="both"/>
      </w:pPr>
      <w:bookmarkStart w:id="948" w:name="bookmark948"/>
      <w:bookmarkEnd w:id="948"/>
      <w:r>
        <w:rPr>
          <w:color w:val="000000"/>
          <w:spacing w:val="0"/>
          <w:w w:val="100"/>
          <w:position w:val="0"/>
        </w:rPr>
        <w:t>非金融非流动资产减值</w:t>
      </w:r>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本公司于资产负债表日对除金融资产之外的非流动资产判断是否存在可能发生减值的迹象。对使用寿 命不确定的无形资产，除每年进行的减值测试外，当其存在减值迹象时，也进行减值测试。其他除金融资 产之外的非流动资产，当存在迹象表明其账面金额不可收回时，进行减值测试。</w:t>
      </w:r>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当资产或资产组的账面价值高于可收回金额，即公允价值减去处置费用后的净额和预计未来现金流量 的现值中的较高者，表明发生了减值。</w:t>
      </w:r>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公允价值减去处置费用后的净额，参考公平交易中类似资产的销售协议价格或可观察到的市场价格， 减去可直接归属于该资产处置的增量成本确定。在预计未来现金流量现值时，需要对该资产</w:t>
      </w:r>
      <w:r>
        <w:rPr>
          <w:rFonts w:ascii="Times New Roman" w:eastAsia="Times New Roman" w:hAnsi="Times New Roman" w:cs="Times New Roman"/>
          <w:color w:val="000000"/>
          <w:spacing w:val="0"/>
          <w:w w:val="100"/>
          <w:position w:val="0"/>
        </w:rPr>
        <w:t>(</w:t>
      </w:r>
      <w:r>
        <w:rPr>
          <w:color w:val="000000"/>
          <w:spacing w:val="0"/>
          <w:w w:val="100"/>
          <w:position w:val="0"/>
        </w:rPr>
        <w:t>或资产组</w:t>
      </w:r>
      <w:r>
        <w:rPr>
          <w:rFonts w:ascii="Times New Roman" w:eastAsia="Times New Roman" w:hAnsi="Times New Roman" w:cs="Times New Roman"/>
          <w:color w:val="000000"/>
          <w:spacing w:val="0"/>
          <w:w w:val="100"/>
          <w:position w:val="0"/>
        </w:rPr>
        <w:t>)</w:t>
      </w:r>
      <w:r>
        <w:rPr>
          <w:color w:val="000000"/>
          <w:spacing w:val="0"/>
          <w:w w:val="100"/>
          <w:position w:val="0"/>
        </w:rPr>
        <w:t>的 产量、售价、相关经营成本以及计算现值时使用的折现率等作出重大判断。本公司在估计可收回金额时会 采用所有能够获得的相关资料，包括根据合理和可支持的假设所作出有关产量、售价和相关经营成本的预 测。</w:t>
      </w:r>
    </w:p>
    <w:p>
      <w:pPr>
        <w:pStyle w:val="Style70"/>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本公司至少每年评估商誉是否发生减值，要求对分配了商誉的资产组的使用价值进行估计。估计使用 价值时，本公司需要估计未来来自资产组的现金流量，同时选择恰当的折现率计算未来现金流量的现值。</w:t>
      </w:r>
    </w:p>
    <w:p>
      <w:pPr>
        <w:pStyle w:val="Style70"/>
        <w:keepNext w:val="0"/>
        <w:keepLines w:val="0"/>
        <w:widowControl w:val="0"/>
        <w:numPr>
          <w:ilvl w:val="0"/>
          <w:numId w:val="43"/>
        </w:numPr>
        <w:shd w:val="clear" w:color="auto" w:fill="auto"/>
        <w:tabs>
          <w:tab w:pos="819" w:val="left"/>
        </w:tabs>
        <w:bidi w:val="0"/>
        <w:spacing w:before="0" w:after="0" w:line="326" w:lineRule="auto"/>
        <w:ind w:left="0" w:right="0" w:firstLine="440"/>
        <w:jc w:val="both"/>
      </w:pPr>
      <w:bookmarkStart w:id="949" w:name="bookmark949"/>
      <w:bookmarkEnd w:id="949"/>
      <w:r>
        <w:rPr>
          <w:color w:val="000000"/>
          <w:spacing w:val="0"/>
          <w:w w:val="100"/>
          <w:position w:val="0"/>
        </w:rPr>
        <w:t>折旧和摊销</w:t>
      </w:r>
    </w:p>
    <w:p>
      <w:pPr>
        <w:pStyle w:val="Style70"/>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本公司对固定资产和无形资产在考虑其残值后，在使用寿命内按直线法计提折旧和摊销。本公司定期 复核使用寿命，以决定将计入每个报告期的折旧和摊销费用数额。使用寿命是本公司根据对同类资产的以 往经验并结合预期的技术更新而确定的。如果以前的估计发生重大变化，则会在未来期间对折旧和摊销费 用进行调整。</w:t>
      </w:r>
    </w:p>
    <w:p>
      <w:pPr>
        <w:pStyle w:val="Style70"/>
        <w:keepNext w:val="0"/>
        <w:keepLines w:val="0"/>
        <w:widowControl w:val="0"/>
        <w:numPr>
          <w:ilvl w:val="0"/>
          <w:numId w:val="43"/>
        </w:numPr>
        <w:shd w:val="clear" w:color="auto" w:fill="auto"/>
        <w:tabs>
          <w:tab w:pos="819" w:val="left"/>
        </w:tabs>
        <w:bidi w:val="0"/>
        <w:spacing w:before="0" w:after="0" w:line="326" w:lineRule="auto"/>
        <w:ind w:left="0" w:right="0" w:firstLine="440"/>
        <w:jc w:val="both"/>
      </w:pPr>
      <w:bookmarkStart w:id="950" w:name="bookmark950"/>
      <w:bookmarkEnd w:id="950"/>
      <w:r>
        <w:rPr>
          <w:color w:val="000000"/>
          <w:spacing w:val="0"/>
          <w:w w:val="100"/>
          <w:position w:val="0"/>
        </w:rPr>
        <w:t>递延所得税资产</w:t>
      </w:r>
    </w:p>
    <w:p>
      <w:pPr>
        <w:pStyle w:val="Style70"/>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在很有可能有足够的应纳税利润来抵扣亏损的限度内，本公司就所有未利用的税务亏损确认递延所得 税资产。这需要本公司管理层运用大量的判断来估计未来应纳税利润发生的时间和金额，结合纳税筹划策 略，以决定应确认的递延所得税资产的金额。</w:t>
      </w:r>
    </w:p>
    <w:p>
      <w:pPr>
        <w:pStyle w:val="Style70"/>
        <w:keepNext w:val="0"/>
        <w:keepLines w:val="0"/>
        <w:widowControl w:val="0"/>
        <w:numPr>
          <w:ilvl w:val="0"/>
          <w:numId w:val="43"/>
        </w:numPr>
        <w:shd w:val="clear" w:color="auto" w:fill="auto"/>
        <w:tabs>
          <w:tab w:pos="819" w:val="left"/>
        </w:tabs>
        <w:bidi w:val="0"/>
        <w:spacing w:before="0" w:after="0" w:line="326" w:lineRule="auto"/>
        <w:ind w:left="0" w:right="0" w:firstLine="440"/>
        <w:jc w:val="both"/>
      </w:pPr>
      <w:bookmarkStart w:id="951" w:name="bookmark951"/>
      <w:bookmarkEnd w:id="951"/>
      <w:r>
        <w:rPr>
          <w:color w:val="000000"/>
          <w:spacing w:val="0"/>
          <w:w w:val="100"/>
          <w:position w:val="0"/>
        </w:rPr>
        <w:t>所得税</w:t>
      </w:r>
    </w:p>
    <w:p>
      <w:pPr>
        <w:pStyle w:val="Style70"/>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 xml:space="preserve">本公司在正常的经营活动中，有部分交易其最终的税务处理和计算存在一定的不确定性。部分项目是 </w:t>
      </w:r>
      <w:r>
        <w:rPr>
          <w:color w:val="000000"/>
          <w:spacing w:val="0"/>
          <w:w w:val="100"/>
          <w:position w:val="0"/>
        </w:rPr>
        <w:t>否能够在税前列支需要税收主管机关的审批。如果这些税务事项的最终认定结果同最初估计的金额存在差 异，则该差异将对其最终认定期间的当期所得税和递延所得税产生影响。</w:t>
      </w:r>
    </w:p>
    <w:p>
      <w:pPr>
        <w:pStyle w:val="Style33"/>
        <w:keepNext/>
        <w:keepLines/>
        <w:widowControl w:val="0"/>
        <w:shd w:val="clear" w:color="auto" w:fill="auto"/>
        <w:tabs>
          <w:tab w:pos="483" w:val="left"/>
        </w:tabs>
        <w:bidi w:val="0"/>
        <w:spacing w:before="0" w:after="240" w:line="326" w:lineRule="auto"/>
        <w:ind w:left="0" w:right="0" w:firstLine="0"/>
        <w:jc w:val="both"/>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3</w:t>
      </w:r>
      <w:bookmarkEnd w:id="954"/>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952"/>
      <w:bookmarkEnd w:id="953"/>
      <w:bookmarkEnd w:id="955"/>
    </w:p>
    <w:p>
      <w:pPr>
        <w:pStyle w:val="Style55"/>
        <w:keepNext/>
        <w:keepLines/>
        <w:widowControl w:val="0"/>
        <w:shd w:val="clear" w:color="auto" w:fill="auto"/>
        <w:tabs>
          <w:tab w:pos="493" w:val="left"/>
        </w:tabs>
        <w:bidi w:val="0"/>
        <w:spacing w:before="0" w:line="312" w:lineRule="exact"/>
        <w:ind w:left="0" w:right="0" w:firstLine="0"/>
        <w:jc w:val="both"/>
      </w:pPr>
      <w:bookmarkStart w:id="956" w:name="bookmark956"/>
      <w:bookmarkStart w:id="957" w:name="bookmark957"/>
      <w:bookmarkStart w:id="958" w:name="bookmark958"/>
      <w:bookmarkStart w:id="959" w:name="bookmark959"/>
      <w:r>
        <w:rPr>
          <w:color w:val="000000"/>
          <w:spacing w:val="0"/>
          <w:w w:val="100"/>
          <w:position w:val="0"/>
        </w:rPr>
        <w:t>（</w:t>
      </w:r>
      <w:bookmarkEnd w:id="958"/>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956"/>
      <w:bookmarkEnd w:id="957"/>
      <w:bookmarkEnd w:id="959"/>
    </w:p>
    <w:p>
      <w:pPr>
        <w:pStyle w:val="Style29"/>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tabs>
          <w:tab w:pos="493" w:val="left"/>
        </w:tabs>
        <w:bidi w:val="0"/>
        <w:spacing w:before="0" w:line="312" w:lineRule="exact"/>
        <w:ind w:left="0" w:right="0" w:firstLine="0"/>
        <w:jc w:val="both"/>
      </w:pPr>
      <w:bookmarkStart w:id="960" w:name="bookmark960"/>
      <w:bookmarkStart w:id="961" w:name="bookmark961"/>
      <w:bookmarkStart w:id="962" w:name="bookmark962"/>
      <w:bookmarkStart w:id="963" w:name="bookmark963"/>
      <w:r>
        <w:rPr>
          <w:color w:val="000000"/>
          <w:spacing w:val="0"/>
          <w:w w:val="100"/>
          <w:position w:val="0"/>
        </w:rPr>
        <w:t>（</w:t>
      </w:r>
      <w:bookmarkEnd w:id="962"/>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60"/>
      <w:bookmarkEnd w:id="961"/>
      <w:bookmarkEnd w:id="963"/>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280" w:line="326" w:lineRule="auto"/>
        <w:ind w:left="0" w:right="0" w:firstLine="0"/>
        <w:jc w:val="both"/>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3</w:t>
      </w:r>
      <w:bookmarkEnd w:id="966"/>
      <w:r>
        <w:rPr>
          <w:rFonts w:ascii="Times New Roman" w:eastAsia="Times New Roman" w:hAnsi="Times New Roman" w:cs="Times New Roman"/>
          <w:color w:val="000000"/>
          <w:spacing w:val="0"/>
          <w:w w:val="100"/>
          <w:position w:val="0"/>
        </w:rPr>
        <w:t>4</w:t>
      </w:r>
      <w:r>
        <w:rPr>
          <w:color w:val="000000"/>
          <w:spacing w:val="0"/>
          <w:w w:val="100"/>
          <w:position w:val="0"/>
        </w:rPr>
        <w:t>、</w:t>
        <w:tab/>
        <w:t>其他</w:t>
      </w:r>
      <w:bookmarkEnd w:id="964"/>
      <w:bookmarkEnd w:id="965"/>
      <w:bookmarkEnd w:id="967"/>
    </w:p>
    <w:p>
      <w:pPr>
        <w:pStyle w:val="Style27"/>
        <w:keepNext/>
        <w:keepLines/>
        <w:widowControl w:val="0"/>
        <w:shd w:val="clear" w:color="auto" w:fill="auto"/>
        <w:bidi w:val="0"/>
        <w:spacing w:before="0" w:after="380" w:line="240" w:lineRule="auto"/>
        <w:ind w:left="0" w:right="0" w:firstLine="0"/>
        <w:jc w:val="both"/>
      </w:pPr>
      <w:bookmarkStart w:id="968" w:name="bookmark968"/>
      <w:bookmarkStart w:id="969" w:name="bookmark969"/>
      <w:bookmarkStart w:id="970" w:name="bookmark970"/>
      <w:bookmarkStart w:id="971" w:name="bookmark971"/>
      <w:r>
        <w:rPr>
          <w:color w:val="000000"/>
          <w:spacing w:val="0"/>
          <w:w w:val="100"/>
          <w:position w:val="0"/>
          <w:sz w:val="24"/>
          <w:szCs w:val="24"/>
        </w:rPr>
        <w:t>六</w:t>
      </w:r>
      <w:bookmarkEnd w:id="970"/>
      <w:r>
        <w:rPr>
          <w:color w:val="000000"/>
          <w:spacing w:val="0"/>
          <w:w w:val="100"/>
          <w:position w:val="0"/>
          <w:sz w:val="24"/>
          <w:szCs w:val="24"/>
        </w:rPr>
        <w:t>、税项</w:t>
      </w:r>
      <w:bookmarkEnd w:id="968"/>
      <w:bookmarkEnd w:id="969"/>
      <w:bookmarkEnd w:id="971"/>
    </w:p>
    <w:p>
      <w:pPr>
        <w:pStyle w:val="Style33"/>
        <w:keepNext/>
        <w:keepLines/>
        <w:widowControl w:val="0"/>
        <w:shd w:val="clear" w:color="auto" w:fill="auto"/>
        <w:bidi w:val="0"/>
        <w:spacing w:before="0" w:after="240" w:line="326" w:lineRule="auto"/>
        <w:ind w:left="0" w:right="0" w:firstLine="0"/>
        <w:jc w:val="both"/>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1</w:t>
      </w:r>
      <w:bookmarkEnd w:id="974"/>
      <w:r>
        <w:rPr>
          <w:color w:val="000000"/>
          <w:spacing w:val="0"/>
          <w:w w:val="100"/>
          <w:position w:val="0"/>
        </w:rPr>
        <w:t>、主要税种及税率</w:t>
      </w:r>
      <w:bookmarkEnd w:id="972"/>
      <w:bookmarkEnd w:id="973"/>
      <w:bookmarkEnd w:id="975"/>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销售货物或提供应税劳务过程中产生的 增值额</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、免税</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widowControl w:val="0"/>
        <w:spacing w:line="1" w:lineRule="exact"/>
      </w:pP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bl>
    <w:p>
      <w:pPr>
        <w:widowControl w:val="0"/>
        <w:spacing w:after="239" w:line="1" w:lineRule="exact"/>
      </w:pPr>
    </w:p>
    <w:p>
      <w:pPr>
        <w:pStyle w:val="Style33"/>
        <w:keepNext/>
        <w:keepLines/>
        <w:widowControl w:val="0"/>
        <w:shd w:val="clear" w:color="auto" w:fill="auto"/>
        <w:bidi w:val="0"/>
        <w:spacing w:before="0" w:after="280" w:line="311" w:lineRule="exact"/>
        <w:ind w:left="0" w:right="0" w:firstLine="0"/>
        <w:jc w:val="both"/>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2</w:t>
      </w:r>
      <w:bookmarkEnd w:id="978"/>
      <w:r>
        <w:rPr>
          <w:color w:val="000000"/>
          <w:spacing w:val="0"/>
          <w:w w:val="100"/>
          <w:position w:val="0"/>
        </w:rPr>
        <w:t>、税收优惠</w:t>
      </w:r>
      <w:bookmarkEnd w:id="976"/>
      <w:bookmarkEnd w:id="977"/>
      <w:bookmarkEnd w:id="979"/>
    </w:p>
    <w:p>
      <w:pPr>
        <w:pStyle w:val="Style70"/>
        <w:keepNext w:val="0"/>
        <w:keepLines w:val="0"/>
        <w:widowControl w:val="0"/>
        <w:numPr>
          <w:ilvl w:val="0"/>
          <w:numId w:val="45"/>
        </w:numPr>
        <w:shd w:val="clear" w:color="auto" w:fill="auto"/>
        <w:bidi w:val="0"/>
        <w:spacing w:before="0" w:after="0" w:line="311" w:lineRule="exact"/>
        <w:ind w:left="0" w:right="0" w:firstLine="440"/>
        <w:jc w:val="both"/>
      </w:pPr>
      <w:bookmarkStart w:id="980" w:name="bookmark980"/>
      <w:bookmarkEnd w:id="980"/>
      <w:r>
        <w:rPr>
          <w:color w:val="000000"/>
          <w:spacing w:val="0"/>
          <w:w w:val="100"/>
          <w:position w:val="0"/>
        </w:rPr>
        <w:t>企业所得税</w:t>
      </w:r>
    </w:p>
    <w:p>
      <w:pPr>
        <w:pStyle w:val="Style7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根据《高新技术企业认定管理办法》（国科发火</w:t>
      </w:r>
      <w:r>
        <w:rPr>
          <w:rFonts w:ascii="Times New Roman" w:eastAsia="Times New Roman" w:hAnsi="Times New Roman" w:cs="Times New Roman"/>
          <w:color w:val="000000"/>
          <w:spacing w:val="0"/>
          <w:w w:val="100"/>
          <w:position w:val="0"/>
        </w:rPr>
        <w:t>[2008]172</w:t>
      </w:r>
      <w:r>
        <w:rPr>
          <w:color w:val="000000"/>
          <w:spacing w:val="0"/>
          <w:w w:val="100"/>
          <w:position w:val="0"/>
        </w:rPr>
        <w:t>号）的规定，本公司于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日通 过了高新技术企业资格复审，取得了</w:t>
      </w:r>
      <w:r>
        <w:rPr>
          <w:rFonts w:ascii="Times New Roman" w:eastAsia="Times New Roman" w:hAnsi="Times New Roman" w:cs="Times New Roman"/>
          <w:color w:val="000000"/>
          <w:spacing w:val="0"/>
          <w:w w:val="100"/>
          <w:position w:val="0"/>
        </w:rPr>
        <w:t>GR201411001902</w:t>
      </w:r>
      <w:r>
        <w:rPr>
          <w:color w:val="000000"/>
          <w:spacing w:val="0"/>
          <w:w w:val="100"/>
          <w:position w:val="0"/>
        </w:rPr>
        <w:t>号《高新技术企业证书》，有效期三年，</w:t>
      </w:r>
      <w:r>
        <w:rPr>
          <w:rFonts w:ascii="Times New Roman" w:eastAsia="Times New Roman" w:hAnsi="Times New Roman" w:cs="Times New Roman"/>
          <w:color w:val="000000"/>
          <w:spacing w:val="0"/>
          <w:w w:val="100"/>
          <w:position w:val="0"/>
        </w:rPr>
        <w:t>2014</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年企业所得税的适用税率为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7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本公司全资子公司上海高伟达计算机系统工程有限公司于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日通过了高新技术企业资格 复审，取得了</w:t>
      </w:r>
      <w:r>
        <w:rPr>
          <w:rFonts w:ascii="Times New Roman" w:eastAsia="Times New Roman" w:hAnsi="Times New Roman" w:cs="Times New Roman"/>
          <w:color w:val="000000"/>
          <w:spacing w:val="0"/>
          <w:w w:val="100"/>
          <w:position w:val="0"/>
        </w:rPr>
        <w:t>GR201531000765</w:t>
      </w:r>
      <w:r>
        <w:rPr>
          <w:color w:val="000000"/>
          <w:spacing w:val="0"/>
          <w:w w:val="100"/>
          <w:position w:val="0"/>
        </w:rPr>
        <w:t>号《高新技术企业证书》，有效期三年，</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2017</w:t>
      </w:r>
      <w:r>
        <w:rPr>
          <w:color w:val="000000"/>
          <w:spacing w:val="0"/>
          <w:w w:val="100"/>
          <w:position w:val="0"/>
        </w:rPr>
        <w:t>年企业所得税的适用 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7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本公司全资子公司江苏高伟达信息技术有限公司于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日取得了江苏省科学技术厅、江苏省 </w:t>
      </w:r>
      <w:r>
        <w:rPr>
          <w:color w:val="000000"/>
          <w:spacing w:val="0"/>
          <w:w w:val="100"/>
          <w:position w:val="0"/>
        </w:rPr>
        <w:t>财政厅、江苏省国家税务局、江苏省地方税务局联合颁发的</w:t>
      </w:r>
      <w:r>
        <w:rPr>
          <w:rFonts w:ascii="Times New Roman" w:eastAsia="Times New Roman" w:hAnsi="Times New Roman" w:cs="Times New Roman"/>
          <w:color w:val="000000"/>
          <w:spacing w:val="0"/>
          <w:w w:val="100"/>
          <w:position w:val="0"/>
        </w:rPr>
        <w:t>GR201432000316</w:t>
      </w:r>
      <w:r>
        <w:rPr>
          <w:color w:val="000000"/>
          <w:spacing w:val="0"/>
          <w:w w:val="100"/>
          <w:position w:val="0"/>
        </w:rPr>
        <w:t>号《高新技术企业证书》，有 效期三年，</w:t>
      </w:r>
      <w:r>
        <w:rPr>
          <w:rFonts w:ascii="Times New Roman" w:eastAsia="Times New Roman" w:hAnsi="Times New Roman" w:cs="Times New Roman"/>
          <w:color w:val="000000"/>
          <w:spacing w:val="0"/>
          <w:w w:val="100"/>
          <w:position w:val="0"/>
        </w:rPr>
        <w:t>2014</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年企业所得税的适用税率为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7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本公司全资子公司海南坚果创娱信息技术有限公司于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日获得由海南省软件行业协会颁发 的并经双软评估标准互认协议机构认定的软件企业证书和软件产品证书并于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日，获得税务局 批复，</w:t>
      </w:r>
      <w:r>
        <w:rPr>
          <w:rFonts w:ascii="Times New Roman" w:eastAsia="Times New Roman" w:hAnsi="Times New Roman" w:cs="Times New Roman"/>
          <w:color w:val="000000"/>
          <w:spacing w:val="0"/>
          <w:w w:val="100"/>
          <w:position w:val="0"/>
        </w:rPr>
        <w:t>2016</w:t>
      </w:r>
      <w:r>
        <w:rPr>
          <w:color w:val="000000"/>
          <w:spacing w:val="0"/>
          <w:w w:val="100"/>
          <w:position w:val="0"/>
        </w:rPr>
        <w:t>年度、</w:t>
      </w:r>
      <w:r>
        <w:rPr>
          <w:rFonts w:ascii="Times New Roman" w:eastAsia="Times New Roman" w:hAnsi="Times New Roman" w:cs="Times New Roman"/>
          <w:color w:val="000000"/>
          <w:spacing w:val="0"/>
          <w:w w:val="100"/>
          <w:position w:val="0"/>
        </w:rPr>
        <w:t>2017</w:t>
      </w:r>
      <w:r>
        <w:rPr>
          <w:color w:val="000000"/>
          <w:spacing w:val="0"/>
          <w:w w:val="100"/>
          <w:position w:val="0"/>
        </w:rPr>
        <w:t>年度免征企业所得税，</w:t>
      </w:r>
      <w:r>
        <w:rPr>
          <w:rFonts w:ascii="Times New Roman" w:eastAsia="Times New Roman" w:hAnsi="Times New Roman" w:cs="Times New Roman"/>
          <w:color w:val="000000"/>
          <w:spacing w:val="0"/>
          <w:w w:val="100"/>
          <w:position w:val="0"/>
        </w:rPr>
        <w:t>2018-202</w:t>
      </w:r>
      <w:r>
        <w:rPr>
          <w:rFonts w:ascii="Times New Roman" w:eastAsia="Times New Roman" w:hAnsi="Times New Roman" w:cs="Times New Roman"/>
          <w:color w:val="000000"/>
          <w:spacing w:val="0"/>
          <w:w w:val="100"/>
          <w:position w:val="0"/>
        </w:rPr>
        <w:t>0</w:t>
      </w:r>
      <w:r>
        <w:rPr>
          <w:color w:val="000000"/>
          <w:spacing w:val="0"/>
          <w:w w:val="100"/>
          <w:position w:val="0"/>
        </w:rPr>
        <w:t>年度减半征收企业所得税，税率</w:t>
      </w:r>
      <w:r>
        <w:rPr>
          <w:rFonts w:ascii="Times New Roman" w:eastAsia="Times New Roman" w:hAnsi="Times New Roman" w:cs="Times New Roman"/>
          <w:color w:val="000000"/>
          <w:spacing w:val="0"/>
          <w:w w:val="100"/>
          <w:position w:val="0"/>
        </w:rPr>
        <w:t>12.5%</w:t>
      </w:r>
      <w:r>
        <w:rPr>
          <w:color w:val="000000"/>
          <w:spacing w:val="0"/>
          <w:w w:val="100"/>
          <w:position w:val="0"/>
        </w:rPr>
        <w:t>。</w:t>
      </w:r>
    </w:p>
    <w:p>
      <w:pPr>
        <w:pStyle w:val="Style7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依据塞舌尔共和国</w:t>
      </w:r>
      <w:r>
        <w:rPr>
          <w:rFonts w:ascii="Times New Roman" w:eastAsia="Times New Roman" w:hAnsi="Times New Roman" w:cs="Times New Roman"/>
          <w:color w:val="000000"/>
          <w:spacing w:val="0"/>
          <w:w w:val="100"/>
          <w:position w:val="0"/>
        </w:rPr>
        <w:t>1994</w:t>
      </w:r>
      <w:r>
        <w:rPr>
          <w:color w:val="000000"/>
          <w:spacing w:val="0"/>
          <w:w w:val="100"/>
          <w:position w:val="0"/>
        </w:rPr>
        <w:t>年和</w:t>
      </w:r>
      <w:r>
        <w:rPr>
          <w:rFonts w:ascii="Times New Roman" w:eastAsia="Times New Roman" w:hAnsi="Times New Roman" w:cs="Times New Roman"/>
          <w:color w:val="000000"/>
          <w:spacing w:val="0"/>
          <w:w w:val="100"/>
          <w:position w:val="0"/>
        </w:rPr>
        <w:t>2009</w:t>
      </w:r>
      <w:r>
        <w:rPr>
          <w:color w:val="000000"/>
          <w:spacing w:val="0"/>
          <w:w w:val="100"/>
          <w:position w:val="0"/>
        </w:rPr>
        <w:t>年国际商业法</w:t>
      </w:r>
      <w:r>
        <w:rPr>
          <w:rFonts w:ascii="Times New Roman" w:eastAsia="Times New Roman" w:hAnsi="Times New Roman" w:cs="Times New Roman"/>
          <w:color w:val="000000"/>
          <w:spacing w:val="0"/>
          <w:w w:val="100"/>
          <w:position w:val="0"/>
        </w:rPr>
        <w:t>109</w:t>
      </w:r>
      <w:r>
        <w:rPr>
          <w:color w:val="000000"/>
          <w:spacing w:val="0"/>
          <w:w w:val="100"/>
          <w:position w:val="0"/>
        </w:rPr>
        <w:t>条规定，在塞舌尔共和国境内设立的国际商业公司 免征企业所得税。本公司之孙公司</w:t>
      </w:r>
      <w:r>
        <w:rPr>
          <w:rFonts w:ascii="Times New Roman" w:eastAsia="Times New Roman" w:hAnsi="Times New Roman" w:cs="Times New Roman"/>
          <w:color w:val="000000"/>
          <w:spacing w:val="0"/>
          <w:w w:val="100"/>
          <w:position w:val="0"/>
        </w:rPr>
        <w:t>Nuts Information Technology Limited</w:t>
      </w: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日取得国际商业公司 营业执照，享受企业所得税免税政策。</w:t>
      </w:r>
    </w:p>
    <w:p>
      <w:pPr>
        <w:pStyle w:val="Style7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本公司全资子公司上海睿民互联网科技有限公司于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日取得证书编号为沪</w:t>
      </w:r>
      <w:r>
        <w:rPr>
          <w:rFonts w:ascii="Times New Roman" w:eastAsia="Times New Roman" w:hAnsi="Times New Roman" w:cs="Times New Roman"/>
          <w:color w:val="000000"/>
          <w:spacing w:val="0"/>
          <w:w w:val="100"/>
          <w:position w:val="0"/>
        </w:rPr>
        <w:t xml:space="preserve">RQ-2016-0325 </w:t>
      </w:r>
      <w:r>
        <w:rPr>
          <w:color w:val="000000"/>
          <w:spacing w:val="0"/>
          <w:w w:val="100"/>
          <w:position w:val="0"/>
        </w:rPr>
        <w:t>号、有效期一年的《软件企业证书》，并于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日在主管税务机关办理软件企业</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rFonts w:ascii="Times New Roman" w:eastAsia="Times New Roman" w:hAnsi="Times New Roman" w:cs="Times New Roman"/>
          <w:color w:val="000000"/>
          <w:spacing w:val="0"/>
          <w:w w:val="100"/>
          <w:position w:val="0"/>
        </w:rPr>
        <w:t>''</w:t>
      </w:r>
      <w:r>
        <w:rPr>
          <w:color w:val="000000"/>
          <w:spacing w:val="0"/>
          <w:w w:val="100"/>
          <w:position w:val="0"/>
        </w:rPr>
        <w:t>所得 税优惠备案。</w:t>
      </w:r>
      <w:r>
        <w:rPr>
          <w:rFonts w:ascii="Times New Roman" w:eastAsia="Times New Roman" w:hAnsi="Times New Roman" w:cs="Times New Roman"/>
          <w:color w:val="000000"/>
          <w:spacing w:val="0"/>
          <w:w w:val="100"/>
          <w:position w:val="0"/>
        </w:rPr>
        <w:t>2016</w:t>
      </w:r>
      <w:r>
        <w:rPr>
          <w:color w:val="000000"/>
          <w:spacing w:val="0"/>
          <w:w w:val="100"/>
          <w:position w:val="0"/>
        </w:rPr>
        <w:t>年度、</w:t>
      </w:r>
      <w:r>
        <w:rPr>
          <w:rFonts w:ascii="Times New Roman" w:eastAsia="Times New Roman" w:hAnsi="Times New Roman" w:cs="Times New Roman"/>
          <w:color w:val="000000"/>
          <w:spacing w:val="0"/>
          <w:w w:val="100"/>
          <w:position w:val="0"/>
        </w:rPr>
        <w:t>2017</w:t>
      </w:r>
      <w:r>
        <w:rPr>
          <w:color w:val="000000"/>
          <w:spacing w:val="0"/>
          <w:w w:val="100"/>
          <w:position w:val="0"/>
        </w:rPr>
        <w:t>年度免征企业所得税，</w:t>
      </w:r>
      <w:r>
        <w:rPr>
          <w:rFonts w:ascii="Times New Roman" w:eastAsia="Times New Roman" w:hAnsi="Times New Roman" w:cs="Times New Roman"/>
          <w:color w:val="000000"/>
          <w:spacing w:val="0"/>
          <w:w w:val="100"/>
          <w:position w:val="0"/>
        </w:rPr>
        <w:t>2018-2010</w:t>
      </w:r>
      <w:r>
        <w:rPr>
          <w:color w:val="000000"/>
          <w:spacing w:val="0"/>
          <w:w w:val="100"/>
          <w:position w:val="0"/>
        </w:rPr>
        <w:t>年度减半征收企业所得税，税率</w:t>
      </w:r>
      <w:r>
        <w:rPr>
          <w:rFonts w:ascii="Times New Roman" w:eastAsia="Times New Roman" w:hAnsi="Times New Roman" w:cs="Times New Roman"/>
          <w:color w:val="000000"/>
          <w:spacing w:val="0"/>
          <w:w w:val="100"/>
          <w:position w:val="0"/>
        </w:rPr>
        <w:t>12.5%</w:t>
      </w:r>
      <w:r>
        <w:rPr>
          <w:color w:val="000000"/>
          <w:spacing w:val="0"/>
          <w:w w:val="100"/>
          <w:position w:val="0"/>
        </w:rPr>
        <w:t>。</w:t>
      </w:r>
    </w:p>
    <w:p>
      <w:pPr>
        <w:pStyle w:val="Style7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根据《财政部国家税务总局关于广东横琴新区福建平潭综合实验区深圳前海深港现代服务业合作区企 业所得税优惠政策及优惠目录的通知》（</w:t>
      </w:r>
      <w:r>
        <w:rPr>
          <w:rFonts w:ascii="Times New Roman" w:eastAsia="Times New Roman" w:hAnsi="Times New Roman" w:cs="Times New Roman"/>
          <w:color w:val="000000"/>
          <w:spacing w:val="0"/>
          <w:w w:val="100"/>
          <w:position w:val="0"/>
        </w:rPr>
        <w:t>[2014]26</w:t>
      </w:r>
      <w:r>
        <w:rPr>
          <w:color w:val="000000"/>
          <w:spacing w:val="0"/>
          <w:w w:val="100"/>
          <w:position w:val="0"/>
        </w:rPr>
        <w:t>号）（以下简称《目录》），</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l</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Arial Unicode MS" w:eastAsia="Arial Unicode MS" w:hAnsi="Arial Unicode MS" w:cs="Arial Unicode MS"/>
          <w:color w:val="000000"/>
          <w:spacing w:val="0"/>
          <w:w w:val="100"/>
          <w:position w:val="0"/>
          <w:sz w:val="22"/>
          <w:szCs w:val="22"/>
        </w:rPr>
        <w:t>0，</w:t>
      </w:r>
      <w:r>
        <w:rPr>
          <w:color w:val="000000"/>
          <w:spacing w:val="0"/>
          <w:w w:val="100"/>
          <w:position w:val="0"/>
        </w:rPr>
        <w:t>对设在横琴新区、平潭综合实验区和前海深港现代服务业合作区的鼓励类产业企业减按</w:t>
      </w:r>
      <w:r>
        <w:rPr>
          <w:rFonts w:ascii="Times New Roman" w:eastAsia="Times New Roman" w:hAnsi="Times New Roman" w:cs="Times New Roman"/>
          <w:color w:val="000000"/>
          <w:spacing w:val="0"/>
          <w:w w:val="100"/>
          <w:position w:val="0"/>
        </w:rPr>
        <w:t>15%</w:t>
      </w:r>
      <w:r>
        <w:rPr>
          <w:color w:val="000000"/>
          <w:spacing w:val="0"/>
          <w:w w:val="100"/>
          <w:position w:val="0"/>
        </w:rPr>
        <w:t>的 税率征收企业所得税，本公司之孙公司深圳瑞云互联科技有限公司符合《目录》规定，自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l</w:t>
      </w:r>
      <w:r>
        <w:rPr>
          <w:color w:val="000000"/>
          <w:spacing w:val="0"/>
          <w:w w:val="100"/>
          <w:position w:val="0"/>
        </w:rPr>
        <w:t>日起 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日适用</w:t>
      </w:r>
      <w:r>
        <w:rPr>
          <w:rFonts w:ascii="Times New Roman" w:eastAsia="Times New Roman" w:hAnsi="Times New Roman" w:cs="Times New Roman"/>
          <w:color w:val="000000"/>
          <w:spacing w:val="0"/>
          <w:w w:val="100"/>
          <w:position w:val="0"/>
        </w:rPr>
        <w:t>15%</w:t>
      </w:r>
      <w:r>
        <w:rPr>
          <w:color w:val="000000"/>
          <w:spacing w:val="0"/>
          <w:w w:val="100"/>
          <w:position w:val="0"/>
        </w:rPr>
        <w:t>的企业所得税税率。</w:t>
      </w:r>
    </w:p>
    <w:p>
      <w:pPr>
        <w:pStyle w:val="Style70"/>
        <w:keepNext w:val="0"/>
        <w:keepLines w:val="0"/>
        <w:widowControl w:val="0"/>
        <w:shd w:val="clear" w:color="auto" w:fill="auto"/>
        <w:bidi w:val="0"/>
        <w:spacing w:before="0" w:after="80" w:line="311" w:lineRule="exact"/>
        <w:ind w:left="0" w:right="0" w:firstLine="440"/>
        <w:jc w:val="both"/>
      </w:pPr>
      <w:r>
        <w:rPr>
          <w:color w:val="000000"/>
          <w:spacing w:val="0"/>
          <w:w w:val="100"/>
          <w:position w:val="0"/>
        </w:rPr>
        <w:t>根据《财政部国家税务总局关于新疆喀什霍尔果斯两个特殊经济开发区企业所得税优惠政策的通知》 （财税</w:t>
      </w:r>
      <w:r>
        <w:rPr>
          <w:rFonts w:ascii="Times New Roman" w:eastAsia="Times New Roman" w:hAnsi="Times New Roman" w:cs="Times New Roman"/>
          <w:color w:val="000000"/>
          <w:spacing w:val="0"/>
          <w:w w:val="100"/>
          <w:position w:val="0"/>
        </w:rPr>
        <w:t>[2011]112</w:t>
      </w:r>
      <w:r>
        <w:rPr>
          <w:color w:val="000000"/>
          <w:spacing w:val="0"/>
          <w:w w:val="100"/>
          <w:position w:val="0"/>
        </w:rPr>
        <w:t>号），</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日，对在新疆喀什、霍尔果斯两个特殊经济开发区内 新办的属于《新疆困难地区重点鼓励发展产业企业所得税优惠目录》（以下简称《目录》）范围内的企业, 自取得第一笔生产经营收入所属纳税年度起，五年内免征企业所得税。本公司全资子公司喀什尚河信息科 技有限公司主营业务符合《目录》规定，自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日免征企业所得税。</w:t>
      </w:r>
    </w:p>
    <w:p>
      <w:pPr>
        <w:pStyle w:val="Style70"/>
        <w:keepNext w:val="0"/>
        <w:keepLines w:val="0"/>
        <w:widowControl w:val="0"/>
        <w:shd w:val="clear" w:color="auto" w:fill="auto"/>
        <w:bidi w:val="0"/>
        <w:spacing w:before="0" w:after="0" w:line="324"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增值税</w:t>
      </w:r>
    </w:p>
    <w:p>
      <w:pPr>
        <w:pStyle w:val="Style7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根据财政部、国家税务总局《关于软件产品增值税政策的通知》（财税字</w:t>
      </w:r>
      <w:r>
        <w:rPr>
          <w:rFonts w:ascii="Times New Roman" w:eastAsia="Times New Roman" w:hAnsi="Times New Roman" w:cs="Times New Roman"/>
          <w:color w:val="000000"/>
          <w:spacing w:val="0"/>
          <w:w w:val="100"/>
          <w:position w:val="0"/>
        </w:rPr>
        <w:t>[2011]100</w:t>
      </w:r>
      <w:r>
        <w:rPr>
          <w:color w:val="000000"/>
          <w:spacing w:val="0"/>
          <w:w w:val="100"/>
          <w:position w:val="0"/>
        </w:rPr>
        <w:t>号）文件规定，本 公司自行开发生产的软件产品收入享受增值税</w:t>
      </w:r>
      <w:r>
        <w:rPr>
          <w:rFonts w:ascii="Times New Roman" w:eastAsia="Times New Roman" w:hAnsi="Times New Roman" w:cs="Times New Roman"/>
          <w:color w:val="000000"/>
          <w:spacing w:val="0"/>
          <w:w w:val="100"/>
          <w:position w:val="0"/>
        </w:rPr>
        <w:t>“</w:t>
      </w:r>
      <w:r>
        <w:rPr>
          <w:color w:val="000000"/>
          <w:spacing w:val="0"/>
          <w:w w:val="100"/>
          <w:position w:val="0"/>
        </w:rPr>
        <w:t>即征即退</w:t>
      </w:r>
      <w:r>
        <w:rPr>
          <w:rFonts w:ascii="Times New Roman" w:eastAsia="Times New Roman" w:hAnsi="Times New Roman" w:cs="Times New Roman"/>
          <w:color w:val="000000"/>
          <w:spacing w:val="0"/>
          <w:w w:val="100"/>
          <w:position w:val="0"/>
        </w:rPr>
        <w:t>''</w:t>
      </w:r>
      <w:r>
        <w:rPr>
          <w:color w:val="000000"/>
          <w:spacing w:val="0"/>
          <w:w w:val="100"/>
          <w:position w:val="0"/>
        </w:rPr>
        <w:t>优惠，按</w:t>
      </w:r>
      <w:r>
        <w:rPr>
          <w:rFonts w:ascii="Times New Roman" w:eastAsia="Times New Roman" w:hAnsi="Times New Roman" w:cs="Times New Roman"/>
          <w:color w:val="000000"/>
          <w:spacing w:val="0"/>
          <w:w w:val="100"/>
          <w:position w:val="0"/>
        </w:rPr>
        <w:t>17%</w:t>
      </w:r>
      <w:r>
        <w:rPr>
          <w:color w:val="000000"/>
          <w:spacing w:val="0"/>
          <w:w w:val="100"/>
          <w:position w:val="0"/>
        </w:rPr>
        <w:t>的法定税率征收增值税后，对实际 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w:t>
      </w:r>
    </w:p>
    <w:p>
      <w:pPr>
        <w:pStyle w:val="Style70"/>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根据财税</w:t>
      </w:r>
      <w:r>
        <w:rPr>
          <w:rFonts w:ascii="Times New Roman" w:eastAsia="Times New Roman" w:hAnsi="Times New Roman" w:cs="Times New Roman"/>
          <w:color w:val="000000"/>
          <w:spacing w:val="0"/>
          <w:w w:val="100"/>
          <w:position w:val="0"/>
        </w:rPr>
        <w:t>[2013]106</w:t>
      </w:r>
      <w:r>
        <w:rPr>
          <w:color w:val="000000"/>
          <w:spacing w:val="0"/>
          <w:w w:val="100"/>
          <w:position w:val="0"/>
        </w:rPr>
        <w:t>号规定，本公司及本公司全资子公司江苏高伟达信息技术有限公司、上海高伟达计 算机系统工程有限公司，提供技术转让、技术开发和与之相关的技术咨询、技术服务取得的收入，免征增 值税。</w:t>
      </w:r>
    </w:p>
    <w:p>
      <w:pPr>
        <w:pStyle w:val="Style33"/>
        <w:keepNext/>
        <w:keepLines/>
        <w:widowControl w:val="0"/>
        <w:shd w:val="clear" w:color="auto" w:fill="auto"/>
        <w:bidi w:val="0"/>
        <w:spacing w:before="0" w:after="280" w:line="324"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3</w:t>
      </w:r>
      <w:bookmarkEnd w:id="983"/>
      <w:r>
        <w:rPr>
          <w:color w:val="000000"/>
          <w:spacing w:val="0"/>
          <w:w w:val="100"/>
          <w:position w:val="0"/>
        </w:rPr>
        <w:t>、其他</w:t>
      </w:r>
      <w:bookmarkEnd w:id="981"/>
      <w:bookmarkEnd w:id="982"/>
      <w:bookmarkEnd w:id="984"/>
    </w:p>
    <w:p>
      <w:pPr>
        <w:pStyle w:val="Style27"/>
        <w:keepNext/>
        <w:keepLines/>
        <w:widowControl w:val="0"/>
        <w:shd w:val="clear" w:color="auto" w:fill="auto"/>
        <w:bidi w:val="0"/>
        <w:spacing w:before="0" w:after="380" w:line="240" w:lineRule="auto"/>
        <w:ind w:left="0" w:right="0" w:firstLine="0"/>
        <w:jc w:val="left"/>
      </w:pPr>
      <w:bookmarkStart w:id="985" w:name="bookmark985"/>
      <w:bookmarkStart w:id="986" w:name="bookmark986"/>
      <w:bookmarkStart w:id="987" w:name="bookmark987"/>
      <w:bookmarkStart w:id="988" w:name="bookmark988"/>
      <w:r>
        <w:rPr>
          <w:color w:val="000000"/>
          <w:spacing w:val="0"/>
          <w:w w:val="100"/>
          <w:position w:val="0"/>
          <w:sz w:val="24"/>
          <w:szCs w:val="24"/>
        </w:rPr>
        <w:t>七</w:t>
      </w:r>
      <w:bookmarkEnd w:id="987"/>
      <w:r>
        <w:rPr>
          <w:color w:val="000000"/>
          <w:spacing w:val="0"/>
          <w:w w:val="100"/>
          <w:position w:val="0"/>
          <w:sz w:val="24"/>
          <w:szCs w:val="24"/>
        </w:rPr>
        <w:t>、合并财务报表项目注释</w:t>
      </w:r>
      <w:bookmarkEnd w:id="985"/>
      <w:bookmarkEnd w:id="986"/>
      <w:bookmarkEnd w:id="988"/>
    </w:p>
    <w:p>
      <w:pPr>
        <w:pStyle w:val="Style33"/>
        <w:keepNext/>
        <w:keepLines/>
        <w:widowControl w:val="0"/>
        <w:shd w:val="clear" w:color="auto" w:fill="auto"/>
        <w:bidi w:val="0"/>
        <w:spacing w:before="0" w:after="280" w:line="324"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1</w:t>
      </w:r>
      <w:bookmarkEnd w:id="991"/>
      <w:r>
        <w:rPr>
          <w:color w:val="000000"/>
          <w:spacing w:val="0"/>
          <w:w w:val="100"/>
          <w:position w:val="0"/>
        </w:rPr>
        <w:t>、货币资金</w:t>
      </w:r>
      <w:bookmarkEnd w:id="989"/>
      <w:bookmarkEnd w:id="990"/>
      <w:bookmarkEnd w:id="992"/>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265,374.14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335,639.77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250,294,924.36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404,621,671.65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9,661,963.08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6,372,461.06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260,222,261.58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411,329,772.48</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9,017,508.76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70"/>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期末其他货币资金主要系存放在银行用于开具银行保函之保证金</w:t>
      </w:r>
      <w:r>
        <w:rPr>
          <w:color w:val="000000"/>
          <w:spacing w:val="0"/>
          <w:w w:val="100"/>
          <w:position w:val="0"/>
        </w:rPr>
        <w:t>，</w:t>
      </w:r>
      <w:r>
        <w:rPr>
          <w:color w:val="000000"/>
          <w:spacing w:val="0"/>
          <w:w w:val="100"/>
          <w:position w:val="0"/>
        </w:rPr>
        <w:t>其中使用受限金额</w:t>
      </w:r>
      <w:r>
        <w:rPr>
          <w:rFonts w:ascii="Times New Roman" w:eastAsia="Times New Roman" w:hAnsi="Times New Roman" w:cs="Times New Roman"/>
          <w:color w:val="000000"/>
          <w:spacing w:val="0"/>
          <w:w w:val="100"/>
          <w:position w:val="0"/>
        </w:rPr>
        <w:t>8,811,963.08</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2</w:t>
      </w:r>
      <w:bookmarkEnd w:id="995"/>
      <w:r>
        <w:rPr>
          <w:color w:val="000000"/>
          <w:spacing w:val="0"/>
          <w:w w:val="100"/>
          <w:position w:val="0"/>
        </w:rPr>
        <w:t>、应收票据</w:t>
      </w:r>
      <w:bookmarkEnd w:id="993"/>
      <w:bookmarkEnd w:id="994"/>
      <w:bookmarkEnd w:id="996"/>
    </w:p>
    <w:p>
      <w:pPr>
        <w:pStyle w:val="Style55"/>
        <w:keepNext/>
        <w:keepLines/>
        <w:widowControl w:val="0"/>
        <w:numPr>
          <w:ilvl w:val="0"/>
          <w:numId w:val="47"/>
        </w:numPr>
        <w:shd w:val="clear" w:color="auto" w:fill="auto"/>
        <w:bidi w:val="0"/>
        <w:spacing w:before="0" w:line="240" w:lineRule="auto"/>
        <w:ind w:left="0" w:right="0" w:firstLine="0"/>
        <w:jc w:val="left"/>
      </w:pPr>
      <w:bookmarkStart w:id="1000" w:name="bookmark1000"/>
      <w:bookmarkStart w:id="997" w:name="bookmark997"/>
      <w:bookmarkStart w:id="998" w:name="bookmark998"/>
      <w:bookmarkStart w:id="999" w:name="bookmark999"/>
      <w:bookmarkEnd w:id="999"/>
      <w:r>
        <w:rPr>
          <w:color w:val="000000"/>
          <w:spacing w:val="0"/>
          <w:w w:val="100"/>
          <w:position w:val="0"/>
        </w:rPr>
        <w:t>应收票据分类列示</w:t>
      </w:r>
      <w:bookmarkEnd w:id="1000"/>
      <w:bookmarkEnd w:id="997"/>
      <w:bookmarkEnd w:id="998"/>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5,246,973.74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5,246,973.74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5"/>
        <w:keepNext/>
        <w:keepLines/>
        <w:widowControl w:val="0"/>
        <w:numPr>
          <w:ilvl w:val="0"/>
          <w:numId w:val="47"/>
        </w:numPr>
        <w:shd w:val="clear" w:color="auto" w:fill="auto"/>
        <w:bidi w:val="0"/>
        <w:spacing w:before="0" w:line="240" w:lineRule="auto"/>
        <w:ind w:left="0" w:right="0" w:firstLine="140"/>
        <w:jc w:val="left"/>
      </w:pPr>
      <w:bookmarkStart w:id="1001" w:name="bookmark1001"/>
      <w:bookmarkStart w:id="1002" w:name="bookmark1002"/>
      <w:bookmarkStart w:id="1003" w:name="bookmark1003"/>
      <w:bookmarkStart w:id="1004" w:name="bookmark1004"/>
      <w:bookmarkEnd w:id="1003"/>
      <w:r>
        <w:rPr>
          <w:color w:val="000000"/>
          <w:spacing w:val="0"/>
          <w:w w:val="100"/>
          <w:position w:val="0"/>
        </w:rPr>
        <w:t>期末公司已质押的应收票据</w:t>
      </w:r>
      <w:bookmarkEnd w:id="1001"/>
      <w:bookmarkEnd w:id="1002"/>
      <w:bookmarkEnd w:id="1004"/>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39" w:line="1" w:lineRule="exact"/>
      </w:pPr>
    </w:p>
    <w:p>
      <w:pPr>
        <w:pStyle w:val="Style55"/>
        <w:keepNext/>
        <w:keepLines/>
        <w:widowControl w:val="0"/>
        <w:numPr>
          <w:ilvl w:val="0"/>
          <w:numId w:val="47"/>
        </w:numPr>
        <w:shd w:val="clear" w:color="auto" w:fill="auto"/>
        <w:bidi w:val="0"/>
        <w:spacing w:before="0" w:line="240" w:lineRule="auto"/>
        <w:ind w:left="0" w:right="0" w:firstLine="140"/>
        <w:jc w:val="left"/>
      </w:pPr>
      <w:bookmarkStart w:id="1005" w:name="bookmark1005"/>
      <w:bookmarkStart w:id="1006" w:name="bookmark1006"/>
      <w:bookmarkStart w:id="1007" w:name="bookmark1007"/>
      <w:bookmarkStart w:id="1008" w:name="bookmark1008"/>
      <w:bookmarkEnd w:id="1007"/>
      <w:r>
        <w:rPr>
          <w:color w:val="000000"/>
          <w:spacing w:val="0"/>
          <w:w w:val="100"/>
          <w:position w:val="0"/>
        </w:rPr>
        <w:t>期末公司已背书或贴现且在资产负债表日尚未到期的应收票据</w:t>
      </w:r>
      <w:bookmarkEnd w:id="1005"/>
      <w:bookmarkEnd w:id="1006"/>
      <w:bookmarkEnd w:id="1008"/>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39" w:line="1" w:lineRule="exact"/>
      </w:pPr>
    </w:p>
    <w:p>
      <w:pPr>
        <w:pStyle w:val="Style55"/>
        <w:keepNext/>
        <w:keepLines/>
        <w:widowControl w:val="0"/>
        <w:numPr>
          <w:ilvl w:val="0"/>
          <w:numId w:val="47"/>
        </w:numPr>
        <w:shd w:val="clear" w:color="auto" w:fill="auto"/>
        <w:bidi w:val="0"/>
        <w:spacing w:before="0" w:line="240" w:lineRule="auto"/>
        <w:ind w:left="0" w:right="0" w:firstLine="140"/>
        <w:jc w:val="left"/>
      </w:pPr>
      <w:bookmarkStart w:id="1009" w:name="bookmark1009"/>
      <w:bookmarkStart w:id="1010" w:name="bookmark1010"/>
      <w:bookmarkStart w:id="1011" w:name="bookmark1011"/>
      <w:bookmarkStart w:id="1012" w:name="bookmark1012"/>
      <w:bookmarkEnd w:id="1011"/>
      <w:r>
        <w:rPr>
          <w:color w:val="000000"/>
          <w:spacing w:val="0"/>
          <w:w w:val="100"/>
          <w:position w:val="0"/>
        </w:rPr>
        <w:t>期末公司因出票人未履约而将其转应收账款的票据</w:t>
      </w:r>
      <w:bookmarkEnd w:id="1009"/>
      <w:bookmarkEnd w:id="1010"/>
      <w:bookmarkEnd w:id="1012"/>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3</w:t>
      </w:r>
      <w:bookmarkEnd w:id="1015"/>
      <w:r>
        <w:rPr>
          <w:color w:val="000000"/>
          <w:spacing w:val="0"/>
          <w:w w:val="100"/>
          <w:position w:val="0"/>
        </w:rPr>
        <w:t>、应收账款</w:t>
      </w:r>
      <w:bookmarkEnd w:id="1013"/>
      <w:bookmarkEnd w:id="1014"/>
      <w:bookmarkEnd w:id="1016"/>
    </w:p>
    <w:p>
      <w:pPr>
        <w:pStyle w:val="Style55"/>
        <w:keepNext/>
        <w:keepLines/>
        <w:widowControl w:val="0"/>
        <w:numPr>
          <w:ilvl w:val="0"/>
          <w:numId w:val="49"/>
        </w:numPr>
        <w:shd w:val="clear" w:color="auto" w:fill="auto"/>
        <w:bidi w:val="0"/>
        <w:spacing w:before="0" w:line="240" w:lineRule="auto"/>
        <w:ind w:left="0" w:right="0" w:firstLine="0"/>
        <w:jc w:val="left"/>
      </w:pPr>
      <w:bookmarkStart w:id="1017" w:name="bookmark1017"/>
      <w:bookmarkStart w:id="1018" w:name="bookmark1018"/>
      <w:bookmarkStart w:id="1019" w:name="bookmark1019"/>
      <w:bookmarkStart w:id="1020" w:name="bookmark1020"/>
      <w:bookmarkEnd w:id="1019"/>
      <w:r>
        <w:rPr>
          <w:color w:val="000000"/>
          <w:spacing w:val="0"/>
          <w:w w:val="100"/>
          <w:position w:val="0"/>
        </w:rPr>
        <w:t>应收账款分类披露</w:t>
      </w:r>
      <w:bookmarkEnd w:id="1017"/>
      <w:bookmarkEnd w:id="1018"/>
      <w:bookmarkEnd w:id="1020"/>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420,227,</w:t>
            </w:r>
          </w:p>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945.45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28,524,4</w:t>
            </w:r>
          </w:p>
          <w:p>
            <w:pPr>
              <w:pStyle w:val="Style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44.72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391,703,5</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297,873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22,440,10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275,433,20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420,227,</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945.45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28,524,4</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391,703,5</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297,873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22,440,10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275,433,20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342,789,638.60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10,283,689.16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59,074,644.59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5,907,464.45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8,614,815.93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2,584,444.78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9,748,846.33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9,748,846.33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420,227,945.45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28,524,444.72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55"/>
        <w:keepNext/>
        <w:keepLines/>
        <w:widowControl w:val="0"/>
        <w:numPr>
          <w:ilvl w:val="0"/>
          <w:numId w:val="49"/>
        </w:numPr>
        <w:shd w:val="clear" w:color="auto" w:fill="auto"/>
        <w:bidi w:val="0"/>
        <w:spacing w:before="0" w:line="240" w:lineRule="auto"/>
        <w:ind w:left="0" w:right="0" w:firstLine="0"/>
        <w:jc w:val="left"/>
      </w:pPr>
      <w:bookmarkStart w:id="1021" w:name="bookmark1021"/>
      <w:bookmarkStart w:id="1022" w:name="bookmark1022"/>
      <w:bookmarkStart w:id="1023" w:name="bookmark1023"/>
      <w:bookmarkStart w:id="1024" w:name="bookmark1024"/>
      <w:bookmarkEnd w:id="1023"/>
      <w:r>
        <w:rPr>
          <w:color w:val="000000"/>
          <w:spacing w:val="0"/>
          <w:w w:val="100"/>
          <w:position w:val="0"/>
        </w:rPr>
        <w:t>本期计提、收回或转回的坏账准备情况</w:t>
      </w:r>
      <w:bookmarkEnd w:id="1021"/>
      <w:bookmarkEnd w:id="1022"/>
      <w:bookmarkEnd w:id="102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6,084,337.03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55"/>
        <w:keepNext/>
        <w:keepLines/>
        <w:widowControl w:val="0"/>
        <w:numPr>
          <w:ilvl w:val="0"/>
          <w:numId w:val="49"/>
        </w:numPr>
        <w:shd w:val="clear" w:color="auto" w:fill="auto"/>
        <w:bidi w:val="0"/>
        <w:spacing w:before="0" w:line="240" w:lineRule="auto"/>
        <w:ind w:left="0" w:right="0" w:firstLine="0"/>
        <w:jc w:val="left"/>
      </w:pPr>
      <w:bookmarkStart w:id="1025" w:name="bookmark1025"/>
      <w:bookmarkStart w:id="1026" w:name="bookmark1026"/>
      <w:bookmarkStart w:id="1027" w:name="bookmark1027"/>
      <w:bookmarkStart w:id="1028" w:name="bookmark1028"/>
      <w:bookmarkEnd w:id="1027"/>
      <w:r>
        <w:rPr>
          <w:color w:val="000000"/>
          <w:spacing w:val="0"/>
          <w:w w:val="100"/>
          <w:position w:val="0"/>
        </w:rPr>
        <w:t>本期实际核销的应收账款情况</w:t>
      </w:r>
      <w:bookmarkEnd w:id="1025"/>
      <w:bookmarkEnd w:id="1026"/>
      <w:bookmarkEnd w:id="1028"/>
    </w:p>
    <w:p>
      <w:pPr>
        <w:pStyle w:val="Style5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61"/>
      </w:tblGrid>
      <w:tr>
        <w:trPr>
          <w:trHeight w:val="403" w:hRule="exact"/>
        </w:trPr>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r>
        <w:br w:type="page"/>
      </w:r>
    </w:p>
    <w:p>
      <w:pPr>
        <w:pStyle w:val="Style55"/>
        <w:keepNext/>
        <w:keepLines/>
        <w:widowControl w:val="0"/>
        <w:shd w:val="clear" w:color="auto" w:fill="auto"/>
        <w:bidi w:val="0"/>
        <w:spacing w:before="0" w:after="360" w:line="240" w:lineRule="auto"/>
        <w:ind w:left="0" w:right="0" w:firstLine="0"/>
        <w:jc w:val="both"/>
      </w:pPr>
      <w:bookmarkStart w:id="1029" w:name="bookmark1029"/>
      <w:bookmarkStart w:id="1030" w:name="bookmark1030"/>
      <w:bookmarkStart w:id="1031" w:name="bookmark1031"/>
      <w:bookmarkStart w:id="1032" w:name="bookmark1032"/>
      <w:r>
        <w:rPr>
          <w:color w:val="000000"/>
          <w:spacing w:val="0"/>
          <w:w w:val="100"/>
          <w:position w:val="0"/>
        </w:rPr>
        <w:t>（</w:t>
      </w:r>
      <w:bookmarkEnd w:id="103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29"/>
      <w:bookmarkEnd w:id="1030"/>
      <w:bookmarkEnd w:id="1032"/>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是</w:t>
      </w:r>
    </w:p>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互联网营销业</w:t>
      </w:r>
    </w:p>
    <w:tbl>
      <w:tblPr>
        <w:tblOverlap w:val="never"/>
        <w:jc w:val="left"/>
        <w:tblLayout w:type="fixed"/>
      </w:tblPr>
      <w:tblGrid>
        <w:gridCol w:w="2707"/>
        <w:gridCol w:w="1656"/>
        <w:gridCol w:w="2174"/>
        <w:gridCol w:w="2184"/>
      </w:tblGrid>
      <w:tr>
        <w:trPr>
          <w:trHeight w:val="36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346" w:hRule="exact"/>
        </w:trPr>
        <w:tc>
          <w:tcPr>
            <w:vMerge w:val="restart"/>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44,668,350.65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10.63</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9,060,961.78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2.16</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0.05</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164,503.20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0.04</w:t>
            </w:r>
          </w:p>
        </w:tc>
      </w:tr>
      <w:tr>
        <w:trPr>
          <w:trHeight w:val="346" w:hRule="exact"/>
        </w:trPr>
        <w:tc>
          <w:tcPr>
            <w:vMerge w:val="restart"/>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25,929,458.15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6.17</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24,634,178.84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5.86</w:t>
            </w:r>
          </w:p>
        </w:tc>
      </w:tr>
      <w:tr>
        <w:trPr>
          <w:trHeight w:val="350" w:hRule="exact"/>
        </w:trPr>
        <w:tc>
          <w:tcPr>
            <w:vMerge w:val="restart"/>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27,897,028.13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6.64</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6,762,324.60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1.61</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3,309,536.95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0.79</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2,246,400.00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0.53</w:t>
            </w:r>
          </w:p>
        </w:tc>
      </w:tr>
      <w:tr>
        <w:trPr>
          <w:trHeight w:val="346" w:hRule="exact"/>
        </w:trPr>
        <w:tc>
          <w:tcPr>
            <w:vMerge w:val="restart"/>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32,976,583.15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7.85</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3,515,202.75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0.84</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8,233.30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0.002</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11,239,147.13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2.67</w:t>
            </w:r>
          </w:p>
        </w:tc>
      </w:tr>
      <w:tr>
        <w:trPr>
          <w:trHeight w:val="35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192,608,708.63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45.84</w:t>
            </w:r>
          </w:p>
        </w:tc>
      </w:tr>
    </w:tbl>
    <w:p>
      <w:pPr>
        <w:widowControl w:val="0"/>
        <w:spacing w:after="359" w:line="1" w:lineRule="exact"/>
      </w:pPr>
    </w:p>
    <w:p>
      <w:pPr>
        <w:pStyle w:val="Style55"/>
        <w:keepNext/>
        <w:keepLines/>
        <w:widowControl w:val="0"/>
        <w:shd w:val="clear" w:color="auto" w:fill="auto"/>
        <w:tabs>
          <w:tab w:pos="493" w:val="left"/>
        </w:tabs>
        <w:bidi w:val="0"/>
        <w:spacing w:before="0" w:after="360" w:line="240" w:lineRule="auto"/>
        <w:ind w:left="0" w:right="0" w:firstLine="0"/>
        <w:jc w:val="both"/>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33"/>
      <w:bookmarkEnd w:id="1034"/>
      <w:bookmarkEnd w:id="1036"/>
    </w:p>
    <w:p>
      <w:pPr>
        <w:pStyle w:val="Style55"/>
        <w:keepNext/>
        <w:keepLines/>
        <w:widowControl w:val="0"/>
        <w:shd w:val="clear" w:color="auto" w:fill="auto"/>
        <w:tabs>
          <w:tab w:pos="493" w:val="left"/>
        </w:tabs>
        <w:bidi w:val="0"/>
        <w:spacing w:before="0" w:after="360" w:line="240" w:lineRule="auto"/>
        <w:ind w:left="0" w:right="0" w:firstLine="0"/>
        <w:jc w:val="both"/>
      </w:pPr>
      <w:bookmarkStart w:id="1037" w:name="bookmark1037"/>
      <w:bookmarkStart w:id="1038" w:name="bookmark1038"/>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37"/>
      <w:bookmarkEnd w:id="1038"/>
      <w:bookmarkEnd w:id="1040"/>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4</w:t>
      </w:r>
      <w:bookmarkEnd w:id="1043"/>
      <w:r>
        <w:rPr>
          <w:color w:val="000000"/>
          <w:spacing w:val="0"/>
          <w:w w:val="100"/>
          <w:position w:val="0"/>
        </w:rPr>
        <w:t>、预付款项</w:t>
      </w:r>
      <w:bookmarkEnd w:id="1041"/>
      <w:bookmarkEnd w:id="1042"/>
      <w:bookmarkEnd w:id="1044"/>
    </w:p>
    <w:p>
      <w:pPr>
        <w:pStyle w:val="Style55"/>
        <w:keepNext/>
        <w:keepLines/>
        <w:widowControl w:val="0"/>
        <w:shd w:val="clear" w:color="auto" w:fill="auto"/>
        <w:bidi w:val="0"/>
        <w:spacing w:before="0" w:after="360" w:line="240" w:lineRule="auto"/>
        <w:ind w:left="0" w:right="0" w:firstLine="0"/>
        <w:jc w:val="both"/>
      </w:pPr>
      <w:bookmarkStart w:id="1045" w:name="bookmark1045"/>
      <w:bookmarkStart w:id="1046" w:name="bookmark1046"/>
      <w:bookmarkStart w:id="1047" w:name="bookmark1047"/>
      <w:bookmarkStart w:id="1048" w:name="bookmark1048"/>
      <w:r>
        <w:rPr>
          <w:color w:val="000000"/>
          <w:spacing w:val="0"/>
          <w:w w:val="100"/>
          <w:position w:val="0"/>
        </w:rPr>
        <w:t>（</w:t>
      </w:r>
      <w:bookmarkEnd w:id="104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45"/>
      <w:bookmarkEnd w:id="1046"/>
      <w:bookmarkEnd w:id="1048"/>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4,230,226.24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4,099,361.09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115,465.95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49,560.80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4,279,787.04</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4,214,827.04</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r>
        <w:br w:type="page"/>
      </w:r>
    </w:p>
    <w:p>
      <w:pPr>
        <w:pStyle w:val="Style55"/>
        <w:keepNext/>
        <w:keepLines/>
        <w:widowControl w:val="0"/>
        <w:shd w:val="clear" w:color="auto" w:fill="auto"/>
        <w:bidi w:val="0"/>
        <w:spacing w:before="0" w:after="320" w:line="240" w:lineRule="auto"/>
        <w:ind w:left="0" w:right="0" w:firstLine="14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w:t>
      </w:r>
      <w:bookmarkEnd w:id="105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49"/>
      <w:bookmarkEnd w:id="1050"/>
      <w:bookmarkEnd w:id="1052"/>
    </w:p>
    <w:tbl>
      <w:tblPr>
        <w:tblOverlap w:val="never"/>
        <w:jc w:val="left"/>
        <w:tblLayout w:type="fixed"/>
      </w:tblPr>
      <w:tblGrid>
        <w:gridCol w:w="3360"/>
        <w:gridCol w:w="1080"/>
        <w:gridCol w:w="2122"/>
        <w:gridCol w:w="2131"/>
      </w:tblGrid>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账龄</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774,443.02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220,431.16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179,018.35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160,649.60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151,334.08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1,485,876.21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5</w:t>
      </w:r>
      <w:bookmarkEnd w:id="1055"/>
      <w:r>
        <w:rPr>
          <w:color w:val="000000"/>
          <w:spacing w:val="0"/>
          <w:w w:val="100"/>
          <w:position w:val="0"/>
        </w:rPr>
        <w:t>、应收利息</w:t>
      </w:r>
      <w:bookmarkEnd w:id="1053"/>
      <w:bookmarkEnd w:id="1054"/>
      <w:bookmarkEnd w:id="1056"/>
    </w:p>
    <w:p>
      <w:pPr>
        <w:pStyle w:val="Style55"/>
        <w:keepNext/>
        <w:keepLines/>
        <w:widowControl w:val="0"/>
        <w:shd w:val="clear" w:color="auto" w:fill="auto"/>
        <w:bidi w:val="0"/>
        <w:spacing w:before="0" w:line="240" w:lineRule="auto"/>
        <w:ind w:left="0" w:right="0" w:firstLine="0"/>
        <w:jc w:val="both"/>
      </w:pPr>
      <w:bookmarkStart w:id="1057" w:name="bookmark1057"/>
      <w:bookmarkStart w:id="1058" w:name="bookmark1058"/>
      <w:bookmarkStart w:id="1059" w:name="bookmark1059"/>
      <w:bookmarkStart w:id="1060" w:name="bookmark1060"/>
      <w:r>
        <w:rPr>
          <w:color w:val="000000"/>
          <w:spacing w:val="0"/>
          <w:w w:val="100"/>
          <w:position w:val="0"/>
        </w:rPr>
        <w:t>（</w:t>
      </w:r>
      <w:bookmarkEnd w:id="1059"/>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57"/>
      <w:bookmarkEnd w:id="1058"/>
      <w:bookmarkEnd w:id="1060"/>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55"/>
        <w:keepNext/>
        <w:keepLines/>
        <w:widowControl w:val="0"/>
        <w:shd w:val="clear" w:color="auto" w:fill="auto"/>
        <w:bidi w:val="0"/>
        <w:spacing w:before="0" w:after="320" w:line="240" w:lineRule="auto"/>
        <w:ind w:left="0" w:right="0" w:firstLine="14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w:t>
      </w:r>
      <w:bookmarkEnd w:id="1063"/>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061"/>
      <w:bookmarkEnd w:id="1062"/>
      <w:bookmarkEnd w:id="1064"/>
    </w:p>
    <w:tbl>
      <w:tblPr>
        <w:tblOverlap w:val="never"/>
        <w:jc w:val="center"/>
        <w:tblLayout w:type="fixed"/>
      </w:tblPr>
      <w:tblGrid>
        <w:gridCol w:w="1920"/>
        <w:gridCol w:w="1910"/>
        <w:gridCol w:w="1915"/>
        <w:gridCol w:w="1915"/>
        <w:gridCol w:w="1978"/>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依据</w:t>
            </w:r>
          </w:p>
        </w:tc>
      </w:tr>
      <w:tr>
        <w:trPr>
          <w:trHeight w:val="499" w:hRule="exact"/>
        </w:trPr>
        <w:tc>
          <w:tcPr>
            <w:tcBorders>
              <w:top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19" w:hRule="exact"/>
        </w:trPr>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0"/>
                <w:szCs w:val="20"/>
              </w:rPr>
            </w:pPr>
            <w:bookmarkStart w:id="1065" w:name="bookmark1065"/>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、应收股利</w:t>
            </w:r>
            <w:bookmarkEnd w:id="1065"/>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33" w:hRule="exact"/>
        </w:trPr>
        <w:tc>
          <w:tcPr>
            <w:tcBorders>
              <w:bottom w:val="single" w:sz="4"/>
            </w:tcBorders>
            <w:shd w:val="clear" w:color="auto" w:fill="FFFFFF"/>
            <w:vAlign w:val="top"/>
          </w:tcPr>
          <w:p>
            <w:pPr>
              <w:pStyle w:val="Style5"/>
              <w:keepNext w:val="0"/>
              <w:keepLines w:val="0"/>
              <w:widowControl w:val="0"/>
              <w:shd w:val="clear" w:color="auto" w:fill="auto"/>
              <w:bidi w:val="0"/>
              <w:spacing w:before="200" w:after="0" w:line="240" w:lineRule="auto"/>
              <w:ind w:left="0" w:right="0" w:firstLine="0"/>
              <w:jc w:val="left"/>
              <w:rPr>
                <w:sz w:val="20"/>
                <w:szCs w:val="20"/>
              </w:rPr>
            </w:pPr>
            <w:bookmarkStart w:id="1066" w:name="bookmark1066"/>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）应收股利</w:t>
            </w:r>
            <w:bookmarkEnd w:id="1066"/>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pStyle w:val="Style51"/>
        <w:keepNext w:val="0"/>
        <w:keepLines w:val="0"/>
        <w:widowControl w:val="0"/>
        <w:shd w:val="clear" w:color="auto" w:fill="auto"/>
        <w:tabs>
          <w:tab w:pos="4406" w:val="left"/>
          <w:tab w:pos="7598" w:val="left"/>
        </w:tabs>
        <w:bidi w:val="0"/>
        <w:spacing w:before="0" w:after="0" w:line="240" w:lineRule="auto"/>
        <w:ind w:left="802"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或被投资单位</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期末余额</w:t>
        <w:tab/>
        <w:t>期初余额</w:t>
      </w:r>
    </w:p>
    <w:p>
      <w:pPr>
        <w:widowControl w:val="0"/>
        <w:spacing w:after="379" w:line="1" w:lineRule="exact"/>
      </w:pPr>
    </w:p>
    <w:p>
      <w:pPr>
        <w:pStyle w:val="Style55"/>
        <w:keepNext/>
        <w:keepLines/>
        <w:widowControl w:val="0"/>
        <w:shd w:val="clear" w:color="auto" w:fill="auto"/>
        <w:bidi w:val="0"/>
        <w:spacing w:before="0" w:line="240" w:lineRule="auto"/>
        <w:ind w:left="0" w:right="0" w:firstLine="14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w:t>
      </w:r>
      <w:bookmarkEnd w:id="1069"/>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67"/>
      <w:bookmarkEnd w:id="1068"/>
      <w:bookmarkEnd w:id="1070"/>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pStyle w:val="Style51"/>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7</w:t>
      </w:r>
      <w:r>
        <w:rPr>
          <w:color w:val="000000"/>
          <w:spacing w:val="0"/>
          <w:w w:val="100"/>
          <w:position w:val="0"/>
        </w:rPr>
        <w:t>、其他应收款</w:t>
      </w:r>
      <w:bookmarkEnd w:id="1071"/>
      <w:bookmarkEnd w:id="1072"/>
      <w:bookmarkEnd w:id="1073"/>
    </w:p>
    <w:p>
      <w:pPr>
        <w:pStyle w:val="Style55"/>
        <w:keepNext/>
        <w:keepLines/>
        <w:widowControl w:val="0"/>
        <w:numPr>
          <w:ilvl w:val="0"/>
          <w:numId w:val="51"/>
        </w:numPr>
        <w:shd w:val="clear" w:color="auto" w:fill="auto"/>
        <w:bidi w:val="0"/>
        <w:spacing w:before="0" w:line="240" w:lineRule="auto"/>
        <w:ind w:left="0" w:right="0" w:firstLine="0"/>
        <w:jc w:val="left"/>
      </w:pPr>
      <w:bookmarkStart w:id="1074" w:name="bookmark1074"/>
      <w:bookmarkStart w:id="1075" w:name="bookmark1075"/>
      <w:bookmarkStart w:id="1076" w:name="bookmark1076"/>
      <w:bookmarkStart w:id="1077" w:name="bookmark1077"/>
      <w:bookmarkEnd w:id="1076"/>
      <w:r>
        <w:rPr>
          <w:color w:val="000000"/>
          <w:spacing w:val="0"/>
          <w:w w:val="100"/>
          <w:position w:val="0"/>
        </w:rPr>
        <w:t>其他应收款分类披露</w:t>
      </w:r>
      <w:bookmarkEnd w:id="1074"/>
      <w:bookmarkEnd w:id="1075"/>
      <w:bookmarkEnd w:id="1077"/>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按信用风险特征组</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合计提坏账准备的</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8,248,62</w:t>
            </w:r>
          </w:p>
          <w:p>
            <w:pPr>
              <w:pStyle w:val="Style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1,638,08</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6,610,539</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7,060,3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1,792,441</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25.39%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5,267,862.4</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8,248,62</w:t>
            </w:r>
          </w:p>
          <w:p>
            <w:pPr>
              <w:pStyle w:val="Style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1,638,08</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19.86%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6,610,539</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7,060,3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1,792,441</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25.39%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5,267,862.4</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5,093,601.58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152,808.06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1,671,350.51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167,135.05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236,472.00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70,941.60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1,247,202.19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1,247,202.19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8,248,626.28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1,638,086.90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numPr>
          <w:ilvl w:val="0"/>
          <w:numId w:val="51"/>
        </w:numPr>
        <w:shd w:val="clear" w:color="auto" w:fill="auto"/>
        <w:bidi w:val="0"/>
        <w:spacing w:before="0" w:line="240" w:lineRule="auto"/>
        <w:ind w:left="0" w:right="0" w:firstLine="0"/>
        <w:jc w:val="left"/>
      </w:pPr>
      <w:bookmarkStart w:id="1078" w:name="bookmark1078"/>
      <w:bookmarkStart w:id="1079" w:name="bookmark1079"/>
      <w:bookmarkStart w:id="1080" w:name="bookmark1080"/>
      <w:bookmarkStart w:id="1081" w:name="bookmark1081"/>
      <w:bookmarkEnd w:id="1080"/>
      <w:r>
        <w:rPr>
          <w:color w:val="000000"/>
          <w:spacing w:val="0"/>
          <w:w w:val="100"/>
          <w:position w:val="0"/>
        </w:rPr>
        <w:t>本期计提、收回或转回的坏账准备情况</w:t>
      </w:r>
      <w:bookmarkEnd w:id="1078"/>
      <w:bookmarkEnd w:id="1079"/>
      <w:bookmarkEnd w:id="108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-154,354.75</w:t>
      </w:r>
      <w:r>
        <w:rPr>
          <w:color w:val="000000"/>
          <w:spacing w:val="0"/>
          <w:w w:val="100"/>
          <w:position w:val="0"/>
        </w:rPr>
        <w:t>元；本期收回或转回坏账准备金额元。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55"/>
        <w:keepNext/>
        <w:keepLines/>
        <w:widowControl w:val="0"/>
        <w:shd w:val="clear" w:color="auto" w:fill="auto"/>
        <w:bidi w:val="0"/>
        <w:spacing w:before="0" w:line="240" w:lineRule="auto"/>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082"/>
      <w:bookmarkEnd w:id="1083"/>
      <w:bookmarkEnd w:id="1085"/>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61"/>
      </w:tblGrid>
      <w:tr>
        <w:trPr>
          <w:trHeight w:val="408" w:hRule="exact"/>
        </w:trPr>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55"/>
        <w:keepNext/>
        <w:keepLines/>
        <w:widowControl w:val="0"/>
        <w:shd w:val="clear" w:color="auto" w:fill="auto"/>
        <w:bidi w:val="0"/>
        <w:spacing w:before="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086"/>
      <w:bookmarkEnd w:id="1087"/>
      <w:bookmarkEnd w:id="1089"/>
    </w:p>
    <w:p>
      <w:pPr>
        <w:pStyle w:val="Style5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8,248,626.28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7,060,304.14</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8,248,626.28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7,060,304.14</w:t>
            </w:r>
          </w:p>
        </w:tc>
      </w:tr>
    </w:tbl>
    <w:p>
      <w:pPr>
        <w:widowControl w:val="0"/>
        <w:spacing w:after="319" w:line="1" w:lineRule="exact"/>
      </w:pPr>
    </w:p>
    <w:p>
      <w:pPr>
        <w:pStyle w:val="Style55"/>
        <w:keepNext/>
        <w:keepLines/>
        <w:widowControl w:val="0"/>
        <w:shd w:val="clear" w:color="auto" w:fill="auto"/>
        <w:bidi w:val="0"/>
        <w:spacing w:before="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w:t>
      </w:r>
      <w:bookmarkEnd w:id="1092"/>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090"/>
      <w:bookmarkEnd w:id="1091"/>
      <w:bookmarkEnd w:id="1093"/>
    </w:p>
    <w:p>
      <w:pPr>
        <w:pStyle w:val="Style5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70"/>
        <w:gridCol w:w="1421"/>
        <w:gridCol w:w="1416"/>
        <w:gridCol w:w="1272"/>
        <w:gridCol w:w="1598"/>
        <w:gridCol w:w="1603"/>
      </w:tblGrid>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中国建设银行股份有限公司 湖北省分行</w:t>
            </w:r>
          </w:p>
        </w:tc>
        <w:tc>
          <w:tcPr>
            <w:tcBorders>
              <w:top w:val="single" w:sz="4"/>
              <w:left w:val="single" w:sz="4"/>
            </w:tcBorders>
            <w:shd w:val="clear" w:color="auto" w:fill="C8EDCC"/>
            <w:vAlign w:val="top"/>
          </w:tcPr>
          <w:p>
            <w:pPr>
              <w:pStyle w:val="Style5"/>
              <w:keepNext w:val="0"/>
              <w:keepLines w:val="0"/>
              <w:widowControl w:val="0"/>
              <w:shd w:val="clear" w:color="auto" w:fill="auto"/>
              <w:bidi w:val="0"/>
              <w:spacing w:before="10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888,000.00</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26,640.00</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上海漕河泾开发区高科技园 发展有限公司</w:t>
            </w:r>
          </w:p>
        </w:tc>
        <w:tc>
          <w:tcPr>
            <w:tcBorders>
              <w:top w:val="single" w:sz="4"/>
              <w:left w:val="single" w:sz="4"/>
            </w:tcBorders>
            <w:shd w:val="clear" w:color="auto" w:fill="C8EDCC"/>
            <w:vAlign w:val="top"/>
          </w:tcPr>
          <w:p>
            <w:pPr>
              <w:pStyle w:val="Style5"/>
              <w:keepNext w:val="0"/>
              <w:keepLines w:val="0"/>
              <w:widowControl w:val="0"/>
              <w:shd w:val="clear" w:color="auto" w:fill="auto"/>
              <w:bidi w:val="0"/>
              <w:spacing w:before="10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408,028.39</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40,802.84</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乐山市商业银行</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乐山市商业银行</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福建省农村信用社联合社</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398,000.00</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39,800.00</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平安科技（深圳）有限公司</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2,394,028.39</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142,242.84</w:t>
            </w:r>
          </w:p>
        </w:tc>
      </w:tr>
    </w:tbl>
    <w:p>
      <w:pPr>
        <w:widowControl w:val="0"/>
        <w:spacing w:after="319" w:line="1" w:lineRule="exact"/>
      </w:pPr>
    </w:p>
    <w:p>
      <w:pPr>
        <w:pStyle w:val="Style55"/>
        <w:keepNext/>
        <w:keepLines/>
        <w:widowControl w:val="0"/>
        <w:shd w:val="clear" w:color="auto" w:fill="auto"/>
        <w:bidi w:val="0"/>
        <w:spacing w:before="0" w:line="240" w:lineRule="auto"/>
        <w:ind w:left="0" w:right="0" w:firstLine="0"/>
        <w:jc w:val="left"/>
      </w:pPr>
      <w:bookmarkStart w:id="1094" w:name="bookmark1094"/>
      <w:bookmarkStart w:id="1095" w:name="bookmark1095"/>
      <w:bookmarkStart w:id="1096" w:name="bookmark1096"/>
      <w:bookmarkStart w:id="1097" w:name="bookmark1097"/>
      <w:r>
        <w:rPr>
          <w:color w:val="000000"/>
          <w:spacing w:val="0"/>
          <w:w w:val="100"/>
          <w:position w:val="0"/>
        </w:rPr>
        <w:t>（</w:t>
      </w:r>
      <w:bookmarkEnd w:id="1096"/>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094"/>
      <w:bookmarkEnd w:id="1095"/>
      <w:bookmarkEnd w:id="1097"/>
    </w:p>
    <w:p>
      <w:pPr>
        <w:pStyle w:val="Style5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line="240" w:lineRule="auto"/>
              <w:ind w:left="0" w:right="0" w:firstLine="0"/>
              <w:jc w:val="center"/>
            </w:pPr>
            <w:r>
              <w:rPr>
                <w:color w:val="000000"/>
                <w:spacing w:val="0"/>
                <w:w w:val="100"/>
                <w:position w:val="0"/>
              </w:rPr>
              <w:t>预计收取的时间、金额</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pStyle w:val="Style55"/>
        <w:keepNext/>
        <w:keepLines/>
        <w:widowControl w:val="0"/>
        <w:numPr>
          <w:ilvl w:val="0"/>
          <w:numId w:val="53"/>
        </w:numPr>
        <w:shd w:val="clear" w:color="auto" w:fill="auto"/>
        <w:tabs>
          <w:tab w:pos="493" w:val="left"/>
        </w:tabs>
        <w:bidi w:val="0"/>
        <w:spacing w:before="0" w:line="240" w:lineRule="auto"/>
        <w:ind w:left="0" w:right="0" w:firstLine="0"/>
        <w:jc w:val="left"/>
      </w:pPr>
      <w:bookmarkStart w:id="1098" w:name="bookmark1098"/>
      <w:bookmarkStart w:id="1099" w:name="bookmark1099"/>
      <w:bookmarkStart w:id="1100" w:name="bookmark1100"/>
      <w:bookmarkStart w:id="1101" w:name="bookmark1101"/>
      <w:bookmarkEnd w:id="1100"/>
      <w:r>
        <w:rPr>
          <w:color w:val="000000"/>
          <w:spacing w:val="0"/>
          <w:w w:val="100"/>
          <w:position w:val="0"/>
        </w:rPr>
        <w:t>因金融资产转移而终止确认的其他应收款</w:t>
      </w:r>
      <w:bookmarkEnd w:id="1098"/>
      <w:bookmarkEnd w:id="1099"/>
      <w:bookmarkEnd w:id="1101"/>
    </w:p>
    <w:p>
      <w:pPr>
        <w:pStyle w:val="Style55"/>
        <w:keepNext/>
        <w:keepLines/>
        <w:widowControl w:val="0"/>
        <w:numPr>
          <w:ilvl w:val="0"/>
          <w:numId w:val="53"/>
        </w:numPr>
        <w:shd w:val="clear" w:color="auto" w:fill="auto"/>
        <w:tabs>
          <w:tab w:pos="493" w:val="left"/>
        </w:tabs>
        <w:bidi w:val="0"/>
        <w:spacing w:before="0" w:line="240" w:lineRule="auto"/>
        <w:ind w:left="0" w:right="0" w:firstLine="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转移其他应收款且继续涉入形成的资产、负债金额</w:t>
      </w:r>
      <w:bookmarkEnd w:id="1102"/>
      <w:bookmarkEnd w:id="1103"/>
      <w:bookmarkEnd w:id="110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8</w:t>
      </w:r>
      <w:r>
        <w:rPr>
          <w:color w:val="000000"/>
          <w:spacing w:val="0"/>
          <w:w w:val="100"/>
          <w:position w:val="0"/>
        </w:rPr>
        <w:t>、存货</w:t>
      </w:r>
      <w:bookmarkEnd w:id="1106"/>
      <w:bookmarkEnd w:id="1107"/>
      <w:bookmarkEnd w:id="1108"/>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55"/>
        <w:keepNext/>
        <w:keepLines/>
        <w:widowControl w:val="0"/>
        <w:numPr>
          <w:ilvl w:val="0"/>
          <w:numId w:val="55"/>
        </w:numPr>
        <w:shd w:val="clear" w:color="auto" w:fill="auto"/>
        <w:bidi w:val="0"/>
        <w:spacing w:before="0" w:line="240" w:lineRule="auto"/>
        <w:ind w:left="0" w:right="0" w:firstLine="0"/>
        <w:jc w:val="left"/>
      </w:pPr>
      <w:bookmarkStart w:id="1109" w:name="bookmark1109"/>
      <w:bookmarkStart w:id="1110" w:name="bookmark1110"/>
      <w:bookmarkStart w:id="1111" w:name="bookmark1111"/>
      <w:bookmarkStart w:id="1112" w:name="bookmark1112"/>
      <w:bookmarkEnd w:id="1111"/>
      <w:r>
        <w:rPr>
          <w:color w:val="000000"/>
          <w:spacing w:val="0"/>
          <w:w w:val="100"/>
          <w:position w:val="0"/>
        </w:rPr>
        <w:t>存货分类</w:t>
      </w:r>
      <w:bookmarkEnd w:id="1109"/>
      <w:bookmarkEnd w:id="1110"/>
      <w:bookmarkEnd w:id="1112"/>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21,105,419.36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21,105,419.36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7,145,764.89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7,145,764.89</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系统集成商品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29,451,703.33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29,451,703.33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12,472,683.72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12,472,683.72</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50,557,122.69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50,557,122.69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19,618,448.61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19,618,448.61</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55"/>
        <w:keepNext/>
        <w:keepLines/>
        <w:widowControl w:val="0"/>
        <w:numPr>
          <w:ilvl w:val="0"/>
          <w:numId w:val="55"/>
        </w:numPr>
        <w:shd w:val="clear" w:color="auto" w:fill="auto"/>
        <w:bidi w:val="0"/>
        <w:spacing w:before="0" w:line="240" w:lineRule="auto"/>
        <w:ind w:left="0" w:right="0" w:firstLine="0"/>
        <w:jc w:val="left"/>
      </w:pPr>
      <w:bookmarkStart w:id="1113" w:name="bookmark1113"/>
      <w:bookmarkStart w:id="1114" w:name="bookmark1114"/>
      <w:bookmarkStart w:id="1115" w:name="bookmark1115"/>
      <w:bookmarkStart w:id="1116" w:name="bookmark1116"/>
      <w:bookmarkEnd w:id="1115"/>
      <w:r>
        <w:rPr>
          <w:color w:val="000000"/>
          <w:spacing w:val="0"/>
          <w:w w:val="100"/>
          <w:position w:val="0"/>
        </w:rPr>
        <w:t>存货跌价准备</w:t>
      </w:r>
      <w:bookmarkEnd w:id="1113"/>
      <w:bookmarkEnd w:id="1114"/>
      <w:bookmarkEnd w:id="1116"/>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379" w:line="1" w:lineRule="exact"/>
      </w:pPr>
    </w:p>
    <w:p>
      <w:pPr>
        <w:pStyle w:val="Style55"/>
        <w:keepNext/>
        <w:keepLines/>
        <w:widowControl w:val="0"/>
        <w:numPr>
          <w:ilvl w:val="0"/>
          <w:numId w:val="55"/>
        </w:numPr>
        <w:shd w:val="clear" w:color="auto" w:fill="auto"/>
        <w:bidi w:val="0"/>
        <w:spacing w:before="0" w:line="240" w:lineRule="auto"/>
        <w:ind w:left="0" w:right="0" w:firstLine="140"/>
        <w:jc w:val="left"/>
      </w:pPr>
      <w:bookmarkStart w:id="1117" w:name="bookmark1117"/>
      <w:bookmarkStart w:id="1118" w:name="bookmark1118"/>
      <w:bookmarkStart w:id="1119" w:name="bookmark1119"/>
      <w:bookmarkStart w:id="1120" w:name="bookmark1120"/>
      <w:bookmarkEnd w:id="1119"/>
      <w:r>
        <w:rPr>
          <w:color w:val="000000"/>
          <w:spacing w:val="0"/>
          <w:w w:val="100"/>
          <w:position w:val="0"/>
        </w:rPr>
        <w:t>存货期末余额含有借款费用资本化金额的说明</w:t>
      </w:r>
      <w:bookmarkEnd w:id="1117"/>
      <w:bookmarkEnd w:id="1118"/>
      <w:bookmarkEnd w:id="1120"/>
    </w:p>
    <w:p>
      <w:pPr>
        <w:pStyle w:val="Style55"/>
        <w:keepNext/>
        <w:keepLines/>
        <w:widowControl w:val="0"/>
        <w:numPr>
          <w:ilvl w:val="0"/>
          <w:numId w:val="55"/>
        </w:numPr>
        <w:shd w:val="clear" w:color="auto" w:fill="auto"/>
        <w:bidi w:val="0"/>
        <w:spacing w:before="0" w:line="240" w:lineRule="auto"/>
        <w:ind w:left="0" w:right="0" w:firstLine="140"/>
        <w:jc w:val="left"/>
      </w:pPr>
      <w:bookmarkStart w:id="1121" w:name="bookmark1121"/>
      <w:bookmarkStart w:id="1122" w:name="bookmark1122"/>
      <w:bookmarkStart w:id="1123" w:name="bookmark1123"/>
      <w:bookmarkStart w:id="1124" w:name="bookmark1124"/>
      <w:bookmarkEnd w:id="1123"/>
      <w:r>
        <w:rPr>
          <w:color w:val="000000"/>
          <w:spacing w:val="0"/>
          <w:w w:val="100"/>
          <w:position w:val="0"/>
        </w:rPr>
        <w:t>期末建造合同形成的已完工未结算资产情况</w:t>
      </w:r>
      <w:bookmarkEnd w:id="1121"/>
      <w:bookmarkEnd w:id="1122"/>
      <w:bookmarkEnd w:id="1124"/>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9</w:t>
      </w:r>
      <w:bookmarkEnd w:id="1127"/>
      <w:r>
        <w:rPr>
          <w:color w:val="000000"/>
          <w:spacing w:val="0"/>
          <w:w w:val="100"/>
          <w:position w:val="0"/>
        </w:rPr>
        <w:t>、其他流动资产</w:t>
      </w:r>
      <w:bookmarkEnd w:id="1125"/>
      <w:bookmarkEnd w:id="1126"/>
      <w:bookmarkEnd w:id="1128"/>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3,501,253.79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待认证抵扣进项税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1,129,921.11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125,908.04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130,757,082.94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0"/>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日，将人民币总额</w:t>
      </w:r>
      <w:r>
        <w:rPr>
          <w:rFonts w:ascii="Times New Roman" w:eastAsia="Times New Roman" w:hAnsi="Times New Roman" w:cs="Times New Roman"/>
          <w:color w:val="000000"/>
          <w:spacing w:val="0"/>
          <w:w w:val="100"/>
          <w:position w:val="0"/>
        </w:rPr>
        <w:t>6,900</w:t>
      </w:r>
      <w:r>
        <w:rPr>
          <w:color w:val="000000"/>
          <w:spacing w:val="0"/>
          <w:w w:val="100"/>
          <w:position w:val="0"/>
        </w:rPr>
        <w:t>万元存放于民生银行专用账户用于合作资金管理事宜。该资金 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日转回公司账户。</w:t>
      </w:r>
    </w:p>
    <w:p>
      <w:pPr>
        <w:pStyle w:val="Style33"/>
        <w:keepNext/>
        <w:keepLines/>
        <w:widowControl w:val="0"/>
        <w:shd w:val="clear" w:color="auto" w:fill="auto"/>
        <w:bidi w:val="0"/>
        <w:spacing w:before="0" w:after="300" w:line="312" w:lineRule="exact"/>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1</w:t>
      </w:r>
      <w:bookmarkEnd w:id="1131"/>
      <w:r>
        <w:rPr>
          <w:rFonts w:ascii="Times New Roman" w:eastAsia="Times New Roman" w:hAnsi="Times New Roman" w:cs="Times New Roman"/>
          <w:color w:val="000000"/>
          <w:spacing w:val="0"/>
          <w:w w:val="100"/>
          <w:position w:val="0"/>
        </w:rPr>
        <w:t>0</w:t>
      </w:r>
      <w:r>
        <w:rPr>
          <w:color w:val="000000"/>
          <w:spacing w:val="0"/>
          <w:w w:val="100"/>
          <w:position w:val="0"/>
        </w:rPr>
        <w:t>、可供出售金融资产</w:t>
      </w:r>
      <w:bookmarkEnd w:id="1129"/>
      <w:bookmarkEnd w:id="1130"/>
      <w:bookmarkEnd w:id="1132"/>
    </w:p>
    <w:p>
      <w:pPr>
        <w:pStyle w:val="Style55"/>
        <w:keepNext/>
        <w:keepLines/>
        <w:widowControl w:val="0"/>
        <w:shd w:val="clear" w:color="auto" w:fill="auto"/>
        <w:bidi w:val="0"/>
        <w:spacing w:before="0" w:after="360" w:line="312" w:lineRule="exact"/>
        <w:ind w:left="0" w:right="0" w:firstLine="0"/>
        <w:jc w:val="left"/>
      </w:pPr>
      <w:bookmarkStart w:id="1133" w:name="bookmark1133"/>
      <w:bookmarkStart w:id="1134" w:name="bookmark1134"/>
      <w:bookmarkStart w:id="1135" w:name="bookmark1135"/>
      <w:bookmarkStart w:id="1136" w:name="bookmark1136"/>
      <w:r>
        <w:rPr>
          <w:color w:val="000000"/>
          <w:spacing w:val="0"/>
          <w:w w:val="100"/>
          <w:position w:val="0"/>
        </w:rPr>
        <w:t>（</w:t>
      </w:r>
      <w:bookmarkEnd w:id="1135"/>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133"/>
      <w:bookmarkEnd w:id="1134"/>
      <w:bookmarkEnd w:id="1136"/>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bl>
    <w:p>
      <w:pPr>
        <w:widowControl w:val="0"/>
        <w:spacing w:after="299" w:line="1" w:lineRule="exact"/>
      </w:pPr>
    </w:p>
    <w:p>
      <w:pPr>
        <w:pStyle w:val="Style55"/>
        <w:keepNext/>
        <w:keepLines/>
        <w:widowControl w:val="0"/>
        <w:shd w:val="clear" w:color="auto" w:fill="auto"/>
        <w:bidi w:val="0"/>
        <w:spacing w:before="0" w:after="360" w:line="240"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w:t>
      </w:r>
      <w:bookmarkEnd w:id="1139"/>
      <w:r>
        <w:rPr>
          <w:rFonts w:ascii="Times New Roman" w:eastAsia="Times New Roman" w:hAnsi="Times New Roman" w:cs="Times New Roman"/>
          <w:color w:val="000000"/>
          <w:spacing w:val="0"/>
          <w:w w:val="100"/>
          <w:position w:val="0"/>
        </w:rPr>
        <w:t>2</w:t>
      </w:r>
      <w:r>
        <w:rPr>
          <w:color w:val="000000"/>
          <w:spacing w:val="0"/>
          <w:w w:val="100"/>
          <w:position w:val="0"/>
        </w:rPr>
        <w:t>）期末按公允价值计量的可供出售金融资产</w:t>
      </w:r>
      <w:bookmarkEnd w:id="1137"/>
      <w:bookmarkEnd w:id="1138"/>
      <w:bookmarkEnd w:id="1140"/>
    </w:p>
    <w:p>
      <w:pPr>
        <w:pStyle w:val="Style5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299" w:line="1" w:lineRule="exact"/>
      </w:pPr>
    </w:p>
    <w:p>
      <w:pPr>
        <w:pStyle w:val="Style55"/>
        <w:keepNext/>
        <w:keepLines/>
        <w:widowControl w:val="0"/>
        <w:shd w:val="clear" w:color="auto" w:fill="auto"/>
        <w:bidi w:val="0"/>
        <w:spacing w:before="0" w:after="360" w:line="240" w:lineRule="auto"/>
        <w:ind w:left="0" w:right="0" w:firstLine="0"/>
        <w:jc w:val="left"/>
      </w:pPr>
      <w:bookmarkStart w:id="1141" w:name="bookmark1141"/>
      <w:bookmarkStart w:id="1142" w:name="bookmark1142"/>
      <w:bookmarkStart w:id="1143" w:name="bookmark1143"/>
      <w:bookmarkStart w:id="1144" w:name="bookmark1144"/>
      <w:r>
        <w:rPr>
          <w:color w:val="000000"/>
          <w:spacing w:val="0"/>
          <w:w w:val="100"/>
          <w:position w:val="0"/>
        </w:rPr>
        <w:t>（</w:t>
      </w:r>
      <w:bookmarkEnd w:id="1143"/>
      <w:r>
        <w:rPr>
          <w:rFonts w:ascii="Times New Roman" w:eastAsia="Times New Roman" w:hAnsi="Times New Roman" w:cs="Times New Roman"/>
          <w:color w:val="000000"/>
          <w:spacing w:val="0"/>
          <w:w w:val="100"/>
          <w:position w:val="0"/>
        </w:rPr>
        <w:t>3</w:t>
      </w:r>
      <w:r>
        <w:rPr>
          <w:color w:val="000000"/>
          <w:spacing w:val="0"/>
          <w:w w:val="100"/>
          <w:position w:val="0"/>
        </w:rPr>
        <w:t>）期末按成本计量的可供出售金融资产</w:t>
      </w:r>
      <w:bookmarkEnd w:id="1141"/>
      <w:bookmarkEnd w:id="1142"/>
      <w:bookmarkEnd w:id="1144"/>
    </w:p>
    <w:p>
      <w:pPr>
        <w:pStyle w:val="Style5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94"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兴业数字 金融服务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677"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份有限公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盈行金融 信息技术</w:t>
            </w:r>
          </w:p>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19,500,000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19,500,000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69,500,000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5"/>
        <w:keepNext/>
        <w:keepLines/>
        <w:widowControl w:val="0"/>
        <w:shd w:val="clear" w:color="auto" w:fill="auto"/>
        <w:bidi w:val="0"/>
        <w:spacing w:before="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w:t>
      </w:r>
      <w:bookmarkEnd w:id="1147"/>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145"/>
      <w:bookmarkEnd w:id="1146"/>
      <w:bookmarkEnd w:id="1148"/>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55"/>
        <w:keepNext/>
        <w:keepLines/>
        <w:widowControl w:val="0"/>
        <w:shd w:val="clear" w:color="auto" w:fill="auto"/>
        <w:bidi w:val="0"/>
        <w:spacing w:before="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w:t>
      </w:r>
      <w:bookmarkEnd w:id="1151"/>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）可供出售权益工具期末公允价值严重下跌或非暂时性下跌但未计提减值准备的相关说明</w:t>
      </w:r>
      <w:bookmarkEnd w:id="1149"/>
      <w:bookmarkEnd w:id="1150"/>
      <w:bookmarkEnd w:id="1152"/>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公允价值相对于 成本的下跌幅度</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持续下跌时间</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未计提减值原因</w:t>
            </w:r>
          </w:p>
        </w:tc>
      </w:tr>
    </w:tbl>
    <w:p>
      <w:pPr>
        <w:pStyle w:val="Style29"/>
        <w:keepNext w:val="0"/>
        <w:keepLines w:val="0"/>
        <w:widowControl w:val="0"/>
        <w:shd w:val="clear" w:color="auto" w:fill="auto"/>
        <w:bidi w:val="0"/>
        <w:spacing w:before="0" w:after="80" w:line="317" w:lineRule="exact"/>
        <w:ind w:left="0" w:right="0" w:firstLine="0"/>
        <w:jc w:val="left"/>
      </w:pPr>
      <w:r>
        <w:rPr>
          <w:color w:val="000000"/>
          <w:spacing w:val="0"/>
          <w:w w:val="100"/>
          <w:position w:val="0"/>
        </w:rPr>
        <w:t>其他说明</w:t>
      </w:r>
    </w:p>
    <w:p>
      <w:pPr>
        <w:pStyle w:val="Style70"/>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上述被投资单位为非上市公司，目前不存在活跃的权益交易市场，同时相关财务信息和市场信息的获 取不具备持续性和及时性，公允价值无法可靠计量，此类金融资产按成本法计量。</w:t>
      </w:r>
    </w:p>
    <w:p>
      <w:pPr>
        <w:pStyle w:val="Style29"/>
        <w:keepNext w:val="0"/>
        <w:keepLines w:val="0"/>
        <w:widowControl w:val="0"/>
        <w:shd w:val="clear" w:color="auto" w:fill="auto"/>
        <w:bidi w:val="0"/>
        <w:spacing w:before="0" w:after="320" w:line="317" w:lineRule="exact"/>
        <w:ind w:left="0" w:right="0" w:firstLine="440"/>
        <w:jc w:val="left"/>
      </w:pPr>
      <w:r>
        <w:rPr>
          <w:color w:val="000000"/>
          <w:spacing w:val="0"/>
          <w:w w:val="100"/>
          <w:position w:val="0"/>
        </w:rPr>
        <w:t>可供出售金融资产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盈行金融信息技术（上海）有限公司本期增加数系由长期股权投资重分类而来。</w:t>
      </w:r>
    </w:p>
    <w:p>
      <w:pPr>
        <w:pStyle w:val="Style33"/>
        <w:keepNext/>
        <w:keepLines/>
        <w:widowControl w:val="0"/>
        <w:shd w:val="clear" w:color="auto" w:fill="auto"/>
        <w:bidi w:val="0"/>
        <w:spacing w:before="0" w:after="320" w:line="317" w:lineRule="exact"/>
        <w:ind w:left="0" w:right="0" w:firstLine="0"/>
        <w:jc w:val="both"/>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1</w:t>
      </w:r>
      <w:bookmarkEnd w:id="1155"/>
      <w:r>
        <w:rPr>
          <w:rFonts w:ascii="Times New Roman" w:eastAsia="Times New Roman" w:hAnsi="Times New Roman" w:cs="Times New Roman"/>
          <w:color w:val="000000"/>
          <w:spacing w:val="0"/>
          <w:w w:val="100"/>
          <w:position w:val="0"/>
        </w:rPr>
        <w:t>1</w:t>
      </w:r>
      <w:r>
        <w:rPr>
          <w:color w:val="000000"/>
          <w:spacing w:val="0"/>
          <w:w w:val="100"/>
          <w:position w:val="0"/>
        </w:rPr>
        <w:t>、持有至到期投资</w:t>
      </w:r>
      <w:bookmarkEnd w:id="1153"/>
      <w:bookmarkEnd w:id="1154"/>
      <w:bookmarkEnd w:id="1156"/>
    </w:p>
    <w:p>
      <w:pPr>
        <w:pStyle w:val="Style55"/>
        <w:keepNext/>
        <w:keepLines/>
        <w:widowControl w:val="0"/>
        <w:shd w:val="clear" w:color="auto" w:fill="auto"/>
        <w:bidi w:val="0"/>
        <w:spacing w:before="0" w:line="317" w:lineRule="exact"/>
        <w:ind w:left="0" w:right="0" w:firstLine="0"/>
        <w:jc w:val="both"/>
      </w:pPr>
      <w:bookmarkStart w:id="1157" w:name="bookmark1157"/>
      <w:bookmarkStart w:id="1158" w:name="bookmark1158"/>
      <w:bookmarkStart w:id="1159" w:name="bookmark1159"/>
      <w:bookmarkStart w:id="1160" w:name="bookmark1160"/>
      <w:r>
        <w:rPr>
          <w:color w:val="000000"/>
          <w:spacing w:val="0"/>
          <w:w w:val="100"/>
          <w:position w:val="0"/>
        </w:rPr>
        <w:t>（</w:t>
      </w:r>
      <w:bookmarkEnd w:id="1159"/>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157"/>
      <w:bookmarkEnd w:id="1158"/>
      <w:bookmarkEnd w:id="1160"/>
    </w:p>
    <w:p>
      <w:pPr>
        <w:pStyle w:val="Style5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55"/>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w:t>
      </w:r>
      <w:bookmarkEnd w:id="1163"/>
      <w:r>
        <w:rPr>
          <w:rFonts w:ascii="Times New Roman" w:eastAsia="Times New Roman" w:hAnsi="Times New Roman" w:cs="Times New Roman"/>
          <w:color w:val="000000"/>
          <w:spacing w:val="0"/>
          <w:w w:val="100"/>
          <w:position w:val="0"/>
        </w:rPr>
        <w:t>2</w:t>
      </w:r>
      <w:r>
        <w:rPr>
          <w:color w:val="000000"/>
          <w:spacing w:val="0"/>
          <w:w w:val="100"/>
          <w:position w:val="0"/>
        </w:rPr>
        <w:t>）期末重要的持有至到期投资</w:t>
      </w:r>
      <w:bookmarkEnd w:id="1161"/>
      <w:bookmarkEnd w:id="1162"/>
      <w:bookmarkEnd w:id="1164"/>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19" w:line="1" w:lineRule="exact"/>
      </w:pPr>
    </w:p>
    <w:p>
      <w:pPr>
        <w:pStyle w:val="Style55"/>
        <w:keepNext/>
        <w:keepLines/>
        <w:widowControl w:val="0"/>
        <w:shd w:val="clear" w:color="auto" w:fill="auto"/>
        <w:bidi w:val="0"/>
        <w:spacing w:before="0" w:line="240" w:lineRule="auto"/>
        <w:ind w:left="0" w:right="0" w:firstLine="0"/>
        <w:jc w:val="left"/>
      </w:pPr>
      <w:bookmarkStart w:id="1165" w:name="bookmark1165"/>
      <w:bookmarkStart w:id="1166" w:name="bookmark1166"/>
      <w:bookmarkStart w:id="1167" w:name="bookmark1167"/>
      <w:bookmarkStart w:id="1168" w:name="bookmark1168"/>
      <w:r>
        <w:rPr>
          <w:color w:val="000000"/>
          <w:spacing w:val="0"/>
          <w:w w:val="100"/>
          <w:position w:val="0"/>
        </w:rPr>
        <w:t>（</w:t>
      </w:r>
      <w:bookmarkEnd w:id="1167"/>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165"/>
      <w:bookmarkEnd w:id="1166"/>
      <w:bookmarkEnd w:id="1168"/>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1</w:t>
      </w:r>
      <w:bookmarkEnd w:id="1171"/>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169"/>
      <w:bookmarkEnd w:id="1170"/>
      <w:bookmarkEnd w:id="1172"/>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盈行金融 信息技术</w:t>
            </w:r>
          </w:p>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19,500,00</w:t>
            </w:r>
          </w:p>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19,500,00</w:t>
            </w:r>
          </w:p>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19,500,00</w:t>
            </w:r>
          </w:p>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19,500,00</w:t>
            </w:r>
          </w:p>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19,500,00</w:t>
            </w:r>
          </w:p>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19,500,00</w:t>
            </w:r>
          </w:p>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0"/>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日，公司召开第二届董事会第十五次会议审议通过了《关于使用自有资金收购盈行金融 信息服务（上海）有限公司</w:t>
      </w:r>
      <w:r>
        <w:rPr>
          <w:rFonts w:ascii="Times New Roman" w:eastAsia="Times New Roman" w:hAnsi="Times New Roman" w:cs="Times New Roman"/>
          <w:color w:val="000000"/>
          <w:spacing w:val="0"/>
          <w:w w:val="100"/>
          <w:position w:val="0"/>
        </w:rPr>
        <w:t>30%</w:t>
      </w:r>
      <w:r>
        <w:rPr>
          <w:color w:val="000000"/>
          <w:spacing w:val="0"/>
          <w:w w:val="100"/>
          <w:position w:val="0"/>
        </w:rPr>
        <w:t>股权的议案》，同意公司使用自有资金收购盈行金融信息服务（上海）有 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盈行金融</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股权。其中首次收购以现金方式，使用自有资金</w:t>
      </w:r>
      <w:r>
        <w:rPr>
          <w:rFonts w:ascii="Times New Roman" w:eastAsia="Times New Roman" w:hAnsi="Times New Roman" w:cs="Times New Roman"/>
          <w:color w:val="000000"/>
          <w:spacing w:val="0"/>
          <w:w w:val="100"/>
          <w:position w:val="0"/>
        </w:rPr>
        <w:t>1,950</w:t>
      </w:r>
      <w:r>
        <w:rPr>
          <w:color w:val="000000"/>
          <w:spacing w:val="0"/>
          <w:w w:val="100"/>
          <w:position w:val="0"/>
        </w:rPr>
        <w:t>万元收购盈行金 融</w:t>
      </w:r>
      <w:r>
        <w:rPr>
          <w:rFonts w:ascii="Times New Roman" w:eastAsia="Times New Roman" w:hAnsi="Times New Roman" w:cs="Times New Roman"/>
          <w:color w:val="000000"/>
          <w:spacing w:val="0"/>
          <w:w w:val="100"/>
          <w:position w:val="0"/>
        </w:rPr>
        <w:t>15%</w:t>
      </w:r>
      <w:r>
        <w:rPr>
          <w:color w:val="000000"/>
          <w:spacing w:val="0"/>
          <w:w w:val="100"/>
          <w:position w:val="0"/>
        </w:rPr>
        <w:t>的股权。第二期收购根据盈行金融</w:t>
      </w:r>
      <w:r>
        <w:rPr>
          <w:rFonts w:ascii="Times New Roman" w:eastAsia="Times New Roman" w:hAnsi="Times New Roman" w:cs="Times New Roman"/>
          <w:color w:val="000000"/>
          <w:spacing w:val="0"/>
          <w:w w:val="100"/>
          <w:position w:val="0"/>
        </w:rPr>
        <w:t>2016</w:t>
      </w:r>
      <w:r>
        <w:rPr>
          <w:color w:val="000000"/>
          <w:spacing w:val="0"/>
          <w:w w:val="100"/>
          <w:position w:val="0"/>
        </w:rPr>
        <w:t>年相关业绩承诺完成情况，以现金方式收购盈行金融另外</w:t>
      </w:r>
      <w:r>
        <w:rPr>
          <w:rFonts w:ascii="Times New Roman" w:eastAsia="Times New Roman" w:hAnsi="Times New Roman" w:cs="Times New Roman"/>
          <w:color w:val="000000"/>
          <w:spacing w:val="0"/>
          <w:w w:val="100"/>
          <w:position w:val="0"/>
        </w:rPr>
        <w:t xml:space="preserve">15% </w:t>
      </w:r>
      <w:r>
        <w:rPr>
          <w:color w:val="000000"/>
          <w:spacing w:val="0"/>
          <w:w w:val="100"/>
          <w:position w:val="0"/>
        </w:rPr>
        <w:t>的股权。公司与盈行金融及其股东上海易能投资管理合伙企业（有限合伙）签署《上海易能投资管理合伙 企业（有限合伙）与高伟达软件股份有限公司签订的盈行金融信息服务（上海）有限公司股权转让协议》 （以下简称</w:t>
      </w:r>
      <w:r>
        <w:rPr>
          <w:rFonts w:ascii="Times New Roman" w:eastAsia="Times New Roman" w:hAnsi="Times New Roman" w:cs="Times New Roman"/>
          <w:color w:val="000000"/>
          <w:spacing w:val="0"/>
          <w:w w:val="100"/>
          <w:position w:val="0"/>
        </w:rPr>
        <w:t>“</w:t>
      </w:r>
      <w:r>
        <w:rPr>
          <w:color w:val="000000"/>
          <w:spacing w:val="0"/>
          <w:w w:val="100"/>
          <w:position w:val="0"/>
        </w:rPr>
        <w:t>《股权转让协议》</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70"/>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日，本公司将投资款共计</w:t>
      </w:r>
      <w:r>
        <w:rPr>
          <w:rFonts w:ascii="Times New Roman" w:eastAsia="Times New Roman" w:hAnsi="Times New Roman" w:cs="Times New Roman"/>
          <w:color w:val="000000"/>
          <w:spacing w:val="0"/>
          <w:w w:val="100"/>
          <w:position w:val="0"/>
        </w:rPr>
        <w:t>1,950</w:t>
      </w:r>
      <w:r>
        <w:rPr>
          <w:color w:val="000000"/>
          <w:spacing w:val="0"/>
          <w:w w:val="100"/>
          <w:position w:val="0"/>
        </w:rPr>
        <w:t>万元汇入盈行金融指定的入资账户，完成首期收购事项。</w:t>
      </w:r>
    </w:p>
    <w:p>
      <w:pPr>
        <w:pStyle w:val="Style70"/>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日，公司召开第二届董事会第二十五次会议，审议通过了《关于终止投资盈行金融信息 服务（上海）有限公司的议案》，决定终止投资盈行金融。为支持投盈行金融的发展，推动盈行金融融资 上市，应盈行金融其他股东和管理层的请求，公司与盈行金融及其股东签署《上海易能投资管理合伙企业 （有限合伙）与高伟达软件股份有限公司签订的盈行金融信息服务（上海）有限公司股权转让协议之终止 协议》（以下简称</w:t>
      </w:r>
      <w:r>
        <w:rPr>
          <w:rFonts w:ascii="Times New Roman" w:eastAsia="Times New Roman" w:hAnsi="Times New Roman" w:cs="Times New Roman"/>
          <w:color w:val="000000"/>
          <w:spacing w:val="0"/>
          <w:w w:val="100"/>
          <w:position w:val="0"/>
        </w:rPr>
        <w:t>“</w:t>
      </w:r>
      <w:r>
        <w:rPr>
          <w:color w:val="000000"/>
          <w:spacing w:val="0"/>
          <w:w w:val="100"/>
          <w:position w:val="0"/>
        </w:rPr>
        <w:t>《股权转让协议之终止协议》</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。双方约定协议中已经执行的部分继续执行，未执行 的条款不再继续执行。</w:t>
      </w:r>
    </w:p>
    <w:p>
      <w:pPr>
        <w:pStyle w:val="Style70"/>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由于投资意图发生变化，公司对盈行金融的投资不具有控制、共同控制或重大影响，本期公司将其重 分类至可供出售金融资产核算。</w:t>
      </w:r>
    </w:p>
    <w:p>
      <w:pPr>
        <w:pStyle w:val="Style33"/>
        <w:keepNext/>
        <w:keepLines/>
        <w:widowControl w:val="0"/>
        <w:shd w:val="clear" w:color="auto" w:fill="auto"/>
        <w:bidi w:val="0"/>
        <w:spacing w:before="0" w:after="300" w:line="314" w:lineRule="exact"/>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1</w:t>
      </w:r>
      <w:bookmarkEnd w:id="1175"/>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173"/>
      <w:bookmarkEnd w:id="1174"/>
      <w:bookmarkEnd w:id="1176"/>
    </w:p>
    <w:p>
      <w:pPr>
        <w:pStyle w:val="Style55"/>
        <w:keepNext/>
        <w:keepLines/>
        <w:widowControl w:val="0"/>
        <w:shd w:val="clear" w:color="auto" w:fill="auto"/>
        <w:bidi w:val="0"/>
        <w:spacing w:before="0" w:line="314" w:lineRule="exact"/>
        <w:ind w:left="0" w:right="0" w:firstLine="0"/>
        <w:jc w:val="left"/>
      </w:pPr>
      <w:bookmarkStart w:id="1177" w:name="bookmark1177"/>
      <w:bookmarkStart w:id="1178" w:name="bookmark1178"/>
      <w:bookmarkStart w:id="1179" w:name="bookmark1179"/>
      <w:bookmarkStart w:id="1180" w:name="bookmark1180"/>
      <w:r>
        <w:rPr>
          <w:color w:val="000000"/>
          <w:spacing w:val="0"/>
          <w:w w:val="100"/>
          <w:position w:val="0"/>
        </w:rPr>
        <w:t>（</w:t>
      </w:r>
      <w:bookmarkEnd w:id="1179"/>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77"/>
      <w:bookmarkEnd w:id="1178"/>
      <w:bookmarkEnd w:id="1180"/>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E1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bottom w:val="single" w:sz="4"/>
            </w:tcBorders>
            <w:shd w:val="clear" w:color="auto" w:fill="E1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bottom w:val="single" w:sz="4"/>
            </w:tcBorders>
            <w:shd w:val="clear" w:color="auto" w:fill="E1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bottom w:val="single" w:sz="4"/>
            </w:tcBorders>
            <w:shd w:val="clear" w:color="auto" w:fill="E1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52,820,769.66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16,625,236.38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7,422,700.08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769,851.15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77,638,557.27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61,990,268.66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6,210,850.54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602,164.49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168,936.29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68,972,219.98</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31"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308,254.29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1,029,831.59</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1,153,189.92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412,358.00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20,408.20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1,585,956.12</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114,811,038.32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22,404,474.30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7,612,506.57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1,226,633.53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146,054,652.72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6,998,751.59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10,720,420.81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3,847,949.66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264,925.88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21,832,047.94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1,979,005.38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3,883,406.87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1,113,704.14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173,990.92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7,150,107.31</w:t>
            </w:r>
          </w:p>
        </w:tc>
      </w:tr>
      <w:tr>
        <w:trPr>
          <w:trHeight w:val="403" w:hRule="exact"/>
        </w:trPr>
        <w:tc>
          <w:tcPr>
            <w:tcBorders>
              <w:top w:val="single" w:sz="4"/>
              <w:left w:val="single" w:sz="4"/>
            </w:tcBorders>
            <w:shd w:val="clear" w:color="auto" w:fill="E1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210,586.81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83,634.26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294,221.07</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1,107,061.59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371,122.20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18,547.38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1,496,731.17</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8,977,756.97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13,707,352.90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4,590,531.60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504,003.68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27,779,645.15</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105,833,281.35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8,697,121.40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3,021,974.97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722,629.85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118,275,007.57</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45,822,018.07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5,904,815.57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3,574,750.42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504,925.27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55,806,509.33</w:t>
            </w:r>
          </w:p>
        </w:tc>
      </w:tr>
    </w:tbl>
    <w:p>
      <w:pPr>
        <w:widowControl w:val="0"/>
        <w:spacing w:after="319" w:line="1" w:lineRule="exact"/>
      </w:pPr>
    </w:p>
    <w:p>
      <w:pPr>
        <w:pStyle w:val="Style55"/>
        <w:keepNext/>
        <w:keepLines/>
        <w:widowControl w:val="0"/>
        <w:shd w:val="clear" w:color="auto" w:fill="auto"/>
        <w:bidi w:val="0"/>
        <w:spacing w:before="0" w:line="240" w:lineRule="auto"/>
        <w:ind w:left="0" w:right="0" w:firstLine="0"/>
        <w:jc w:val="both"/>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w:t>
      </w:r>
      <w:bookmarkEnd w:id="1183"/>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181"/>
      <w:bookmarkEnd w:id="1182"/>
      <w:bookmarkEnd w:id="1184"/>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55"/>
        <w:keepNext/>
        <w:keepLines/>
        <w:widowControl w:val="0"/>
        <w:shd w:val="clear" w:color="auto" w:fill="auto"/>
        <w:bidi w:val="0"/>
        <w:spacing w:before="0" w:line="240" w:lineRule="auto"/>
        <w:ind w:left="0" w:right="0" w:firstLine="0"/>
        <w:jc w:val="both"/>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w:t>
      </w:r>
      <w:bookmarkEnd w:id="1187"/>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185"/>
      <w:bookmarkEnd w:id="1186"/>
      <w:bookmarkEnd w:id="1188"/>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55"/>
        <w:keepNext/>
        <w:keepLines/>
        <w:widowControl w:val="0"/>
        <w:shd w:val="clear" w:color="auto" w:fill="auto"/>
        <w:bidi w:val="0"/>
        <w:spacing w:before="0" w:line="240" w:lineRule="auto"/>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w:t>
      </w:r>
      <w:bookmarkEnd w:id="1191"/>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189"/>
      <w:bookmarkEnd w:id="1190"/>
      <w:bookmarkEnd w:id="1192"/>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55"/>
        <w:keepNext/>
        <w:keepLines/>
        <w:widowControl w:val="0"/>
        <w:shd w:val="clear" w:color="auto" w:fill="auto"/>
        <w:bidi w:val="0"/>
        <w:spacing w:before="0" w:line="240" w:lineRule="auto"/>
        <w:ind w:left="0" w:right="0" w:firstLine="0"/>
        <w:jc w:val="both"/>
      </w:pPr>
      <w:bookmarkStart w:id="1193" w:name="bookmark1193"/>
      <w:bookmarkStart w:id="1194" w:name="bookmark1194"/>
      <w:bookmarkStart w:id="1195" w:name="bookmark1195"/>
      <w:bookmarkStart w:id="1196" w:name="bookmark1196"/>
      <w:r>
        <w:rPr>
          <w:color w:val="000000"/>
          <w:spacing w:val="0"/>
          <w:w w:val="100"/>
          <w:position w:val="0"/>
        </w:rPr>
        <w:t>（</w:t>
      </w:r>
      <w:bookmarkEnd w:id="1195"/>
      <w:r>
        <w:rPr>
          <w:rFonts w:ascii="Times New Roman" w:eastAsia="Times New Roman" w:hAnsi="Times New Roman" w:cs="Times New Roman"/>
          <w:color w:val="000000"/>
          <w:spacing w:val="0"/>
          <w:w w:val="100"/>
          <w:position w:val="0"/>
        </w:rPr>
        <w:t>5</w:t>
      </w:r>
      <w:r>
        <w:rPr>
          <w:color w:val="000000"/>
          <w:spacing w:val="0"/>
          <w:w w:val="100"/>
          <w:position w:val="0"/>
        </w:rPr>
        <w:t>）未办妥产权证书的固定资产情况</w:t>
      </w:r>
      <w:bookmarkEnd w:id="1193"/>
      <w:bookmarkEnd w:id="1194"/>
      <w:bookmarkEnd w:id="1196"/>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本期折旧额</w:t>
      </w:r>
      <w:r>
        <w:rPr>
          <w:rFonts w:ascii="Times New Roman" w:eastAsia="Times New Roman" w:hAnsi="Times New Roman" w:cs="Times New Roman"/>
          <w:color w:val="000000"/>
          <w:spacing w:val="0"/>
          <w:w w:val="100"/>
          <w:position w:val="0"/>
        </w:rPr>
        <w:t>7,150,107.3</w:t>
      </w:r>
      <w:r>
        <w:rPr>
          <w:rFonts w:ascii="Times New Roman" w:eastAsia="Times New Roman" w:hAnsi="Times New Roman" w:cs="Times New Roman"/>
          <w:color w:val="000000"/>
          <w:spacing w:val="0"/>
          <w:w w:val="100"/>
          <w:position w:val="0"/>
        </w:rPr>
        <w:t>1</w:t>
      </w:r>
      <w:r>
        <w:rPr>
          <w:color w:val="000000"/>
          <w:spacing w:val="0"/>
          <w:w w:val="100"/>
          <w:position w:val="0"/>
        </w:rPr>
        <w:t>元。期末已提足折旧仍继续使用的固定资产原值</w:t>
      </w:r>
      <w:r>
        <w:rPr>
          <w:rFonts w:ascii="Times New Roman" w:eastAsia="Times New Roman" w:hAnsi="Times New Roman" w:cs="Times New Roman"/>
          <w:color w:val="000000"/>
          <w:spacing w:val="0"/>
          <w:w w:val="100"/>
          <w:position w:val="0"/>
        </w:rPr>
        <w:t>10,973,410.14</w:t>
      </w:r>
      <w:r>
        <w:rPr>
          <w:color w:val="000000"/>
          <w:spacing w:val="0"/>
          <w:w w:val="100"/>
          <w:position w:val="0"/>
        </w:rPr>
        <w:t>元。</w:t>
      </w:r>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期末未发现固定资产存在明显减值迹象，故未计提减值准备。</w:t>
      </w:r>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期末无融资租赁租入的固定资产。</w:t>
      </w:r>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期末无经营租赁租出的固定资产。</w:t>
      </w:r>
    </w:p>
    <w:p>
      <w:pPr>
        <w:pStyle w:val="Style7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期末用于借款抵押的固定资产说明</w:t>
      </w:r>
    </w:p>
    <w:p>
      <w:pPr>
        <w:pStyle w:val="Style70"/>
        <w:keepNext w:val="0"/>
        <w:keepLines w:val="0"/>
        <w:widowControl w:val="0"/>
        <w:shd w:val="clear" w:color="auto" w:fill="auto"/>
        <w:bidi w:val="0"/>
        <w:spacing w:before="0" w:after="80" w:line="312" w:lineRule="exact"/>
        <w:ind w:left="0" w:right="0" w:firstLine="440"/>
        <w:jc w:val="both"/>
      </w:pPr>
      <w:bookmarkStart w:id="1197" w:name="bookmark1197"/>
      <w:r>
        <w:rPr>
          <w:color w:val="000000"/>
          <w:spacing w:val="0"/>
          <w:w w:val="100"/>
          <w:position w:val="0"/>
        </w:rPr>
        <w:t>（</w:t>
      </w:r>
      <w:bookmarkEnd w:id="1197"/>
      <w:r>
        <w:rPr>
          <w:rFonts w:ascii="Times New Roman" w:eastAsia="Times New Roman" w:hAnsi="Times New Roman" w:cs="Times New Roman"/>
          <w:color w:val="000000"/>
          <w:spacing w:val="0"/>
          <w:w w:val="100"/>
          <w:position w:val="0"/>
        </w:rPr>
        <w:t>1</w:t>
      </w:r>
      <w:r>
        <w:rPr>
          <w:color w:val="000000"/>
          <w:spacing w:val="0"/>
          <w:w w:val="100"/>
          <w:position w:val="0"/>
        </w:rPr>
        <w:t>）期末固定资产中，原值为</w:t>
      </w:r>
      <w:r>
        <w:rPr>
          <w:rFonts w:ascii="Times New Roman" w:eastAsia="Times New Roman" w:hAnsi="Times New Roman" w:cs="Times New Roman"/>
          <w:color w:val="000000"/>
          <w:spacing w:val="0"/>
          <w:w w:val="100"/>
          <w:position w:val="0"/>
        </w:rPr>
        <w:t>14,573,404.00</w:t>
      </w:r>
      <w:r>
        <w:rPr>
          <w:color w:val="000000"/>
          <w:spacing w:val="0"/>
          <w:w w:val="100"/>
          <w:position w:val="0"/>
        </w:rPr>
        <w:t>元的办公用房、车库抵押予中国民生银行股份有限公司北 京分行，用于最高额授信担保，担保金额为</w:t>
      </w:r>
      <w:r>
        <w:rPr>
          <w:rFonts w:ascii="Times New Roman" w:eastAsia="Times New Roman" w:hAnsi="Times New Roman" w:cs="Times New Roman"/>
          <w:color w:val="000000"/>
          <w:spacing w:val="0"/>
          <w:w w:val="100"/>
          <w:position w:val="0"/>
        </w:rPr>
        <w:t>80,000,000.00</w:t>
      </w:r>
      <w:r>
        <w:rPr>
          <w:color w:val="000000"/>
          <w:spacing w:val="0"/>
          <w:w w:val="100"/>
          <w:position w:val="0"/>
        </w:rPr>
        <w:t>元，该担保项下的授信合同已于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 到期。截至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日，因该授信合同项下部分保函未到期，该固定资产抵押尚未解除，尚未到期的</w:t>
      </w:r>
    </w:p>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保函明细如下:</w:t>
      </w:r>
    </w:p>
    <w:tbl>
      <w:tblPr>
        <w:tblOverlap w:val="never"/>
        <w:jc w:val="center"/>
        <w:tblLayout w:type="fixed"/>
      </w:tblPr>
      <w:tblGrid>
        <w:gridCol w:w="2285"/>
        <w:gridCol w:w="984"/>
        <w:gridCol w:w="2549"/>
        <w:gridCol w:w="1550"/>
        <w:gridCol w:w="1555"/>
      </w:tblGrid>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受益人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保函种类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保函金额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保证金余额</w:t>
            </w:r>
          </w:p>
        </w:tc>
      </w:tr>
      <w:tr>
        <w:trPr>
          <w:trHeight w:val="3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中国人寿保险股份有限公司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履约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2012.01.19-2017.04.19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3,991,797.00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1,197,539.10</w:t>
            </w:r>
          </w:p>
        </w:tc>
      </w:tr>
      <w:tr>
        <w:trPr>
          <w:trHeight w:val="3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履约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2012.08.30-2017.08.30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169,102.50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84,551.25</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中国人寿保险股份有限公司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履约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2012.09.07-2017.12.10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212,500.00</w:t>
            </w:r>
          </w:p>
        </w:tc>
      </w:tr>
      <w:tr>
        <w:trPr>
          <w:trHeight w:val="35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4,585,899.50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1,494,590.35</w:t>
            </w:r>
          </w:p>
        </w:tc>
      </w:tr>
    </w:tbl>
    <w:p>
      <w:pPr>
        <w:pStyle w:val="Style51"/>
        <w:keepNext w:val="0"/>
        <w:keepLines w:val="0"/>
        <w:widowControl w:val="0"/>
        <w:shd w:val="clear" w:color="auto" w:fill="auto"/>
        <w:bidi w:val="0"/>
        <w:spacing w:before="0" w:after="0" w:line="314" w:lineRule="exact"/>
        <w:ind w:left="0" w:right="0" w:firstLine="0"/>
        <w:jc w:val="distribute"/>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）年末固定资产中，原值为</w:t>
      </w:r>
      <w:r>
        <w:rPr>
          <w:rFonts w:ascii="Times New Roman" w:eastAsia="Times New Roman" w:hAnsi="Times New Roman" w:cs="Times New Roman"/>
          <w:color w:val="000000"/>
          <w:spacing w:val="0"/>
          <w:w w:val="100"/>
          <w:position w:val="0"/>
          <w:sz w:val="20"/>
          <w:szCs w:val="20"/>
        </w:rPr>
        <w:t>100,237,634.3</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元的办公用房、公寓、车库抵押予招商银行股份有限公 司北京分行，用于合同编号为</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年朝借字第</w:t>
      </w:r>
      <w:r>
        <w:rPr>
          <w:rFonts w:ascii="Times New Roman" w:eastAsia="Times New Roman" w:hAnsi="Times New Roman" w:cs="Times New Roman"/>
          <w:color w:val="000000"/>
          <w:spacing w:val="0"/>
          <w:w w:val="100"/>
          <w:position w:val="0"/>
          <w:sz w:val="20"/>
          <w:szCs w:val="20"/>
        </w:rPr>
        <w:t>003</w:t>
      </w:r>
      <w:r>
        <w:rPr>
          <w:color w:val="000000"/>
          <w:spacing w:val="0"/>
          <w:w w:val="100"/>
          <w:position w:val="0"/>
          <w:sz w:val="20"/>
          <w:szCs w:val="20"/>
        </w:rPr>
        <w:t>号的《借款合同》（并购贷额度为人民币</w:t>
      </w:r>
      <w:r>
        <w:rPr>
          <w:rFonts w:ascii="Times New Roman" w:eastAsia="Times New Roman" w:hAnsi="Times New Roman" w:cs="Times New Roman"/>
          <w:color w:val="000000"/>
          <w:spacing w:val="0"/>
          <w:w w:val="100"/>
          <w:position w:val="0"/>
          <w:sz w:val="20"/>
          <w:szCs w:val="20"/>
        </w:rPr>
        <w:t xml:space="preserve">76,311,000.00 </w:t>
      </w:r>
      <w:r>
        <w:rPr>
          <w:color w:val="000000"/>
          <w:spacing w:val="0"/>
          <w:w w:val="100"/>
          <w:position w:val="0"/>
          <w:sz w:val="20"/>
          <w:szCs w:val="20"/>
        </w:rPr>
        <w:t>元）的抵押，并购贷款协议授信期间为</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日，该借款合同项下的房屋抵押期 限为</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p>
      <w:pPr>
        <w:widowControl w:val="0"/>
        <w:spacing w:line="1" w:lineRule="exact"/>
      </w:pPr>
      <w:r>
        <w:br w:type="page"/>
      </w:r>
    </w:p>
    <w:tbl>
      <w:tblPr>
        <w:tblOverlap w:val="never"/>
        <w:jc w:val="left"/>
        <w:tblLayout w:type="fixed"/>
      </w:tblPr>
      <w:tblGrid>
        <w:gridCol w:w="1387"/>
        <w:gridCol w:w="1560"/>
        <w:gridCol w:w="3259"/>
        <w:gridCol w:w="912"/>
        <w:gridCol w:w="1805"/>
      </w:tblGrid>
      <w:tr>
        <w:trPr>
          <w:trHeight w:val="288" w:hRule="exact"/>
        </w:trPr>
        <w:tc>
          <w:tcPr>
            <w:gridSpan w:val="5"/>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）固定资产抵押明细如下：</w:t>
            </w:r>
          </w:p>
        </w:tc>
      </w:tr>
      <w:tr>
        <w:trPr>
          <w:trHeight w:val="3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固定资产类型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固定资产原值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固定资产权属证号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抵押期限</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60" w:right="0" w:firstLine="0"/>
              <w:jc w:val="left"/>
            </w:pPr>
            <w:r>
              <w:rPr>
                <w:color w:val="000000"/>
                <w:spacing w:val="0"/>
                <w:w w:val="100"/>
                <w:position w:val="0"/>
              </w:rPr>
              <w:t>抵押权人</w:t>
            </w:r>
          </w:p>
        </w:tc>
      </w:tr>
      <w:tr>
        <w:trPr>
          <w:trHeight w:val="65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办公用房、车库</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4,192,881.15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X</w:t>
            </w:r>
            <w:r>
              <w:rPr>
                <w:color w:val="000000"/>
                <w:spacing w:val="0"/>
                <w:w w:val="100"/>
                <w:position w:val="0"/>
              </w:rPr>
              <w:t>京房权证朝字第</w:t>
            </w:r>
            <w:r>
              <w:rPr>
                <w:rFonts w:ascii="Times New Roman" w:eastAsia="Times New Roman" w:hAnsi="Times New Roman" w:cs="Times New Roman"/>
                <w:color w:val="000000"/>
                <w:spacing w:val="0"/>
                <w:w w:val="100"/>
                <w:position w:val="0"/>
                <w:sz w:val="18"/>
                <w:szCs w:val="18"/>
              </w:rPr>
              <w:t>1087238</w:t>
            </w:r>
            <w:r>
              <w:rPr>
                <w:color w:val="000000"/>
                <w:spacing w:val="0"/>
                <w:w w:val="100"/>
                <w:position w:val="0"/>
              </w:rPr>
              <w:t>号</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京朝其国用（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出）第</w:t>
            </w:r>
            <w:r>
              <w:rPr>
                <w:rFonts w:ascii="Times New Roman" w:eastAsia="Times New Roman" w:hAnsi="Times New Roman" w:cs="Times New Roman"/>
                <w:color w:val="000000"/>
                <w:spacing w:val="0"/>
                <w:w w:val="100"/>
                <w:position w:val="0"/>
                <w:sz w:val="18"/>
                <w:szCs w:val="18"/>
              </w:rPr>
              <w:t>0600360</w:t>
            </w:r>
            <w:r>
              <w:rPr>
                <w:color w:val="000000"/>
                <w:spacing w:val="0"/>
                <w:w w:val="100"/>
                <w:position w:val="0"/>
              </w:rPr>
              <w:t>号</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一年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中国民生银行股份有 限公司北京分行</w:t>
            </w:r>
          </w:p>
        </w:tc>
      </w:tr>
      <w:tr>
        <w:trPr>
          <w:trHeight w:val="65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办公用房、车库</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5,014,478.37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X</w:t>
            </w:r>
            <w:r>
              <w:rPr>
                <w:color w:val="000000"/>
                <w:spacing w:val="0"/>
                <w:w w:val="100"/>
                <w:position w:val="0"/>
              </w:rPr>
              <w:t>京房权证朝字第</w:t>
            </w:r>
            <w:r>
              <w:rPr>
                <w:rFonts w:ascii="Times New Roman" w:eastAsia="Times New Roman" w:hAnsi="Times New Roman" w:cs="Times New Roman"/>
                <w:color w:val="000000"/>
                <w:spacing w:val="0"/>
                <w:w w:val="100"/>
                <w:position w:val="0"/>
                <w:sz w:val="18"/>
                <w:szCs w:val="18"/>
              </w:rPr>
              <w:t>1087234</w:t>
            </w:r>
            <w:r>
              <w:rPr>
                <w:color w:val="000000"/>
                <w:spacing w:val="0"/>
                <w:w w:val="100"/>
                <w:position w:val="0"/>
              </w:rPr>
              <w:t>号</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京朝其国用（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出）第</w:t>
            </w:r>
            <w:r>
              <w:rPr>
                <w:rFonts w:ascii="Times New Roman" w:eastAsia="Times New Roman" w:hAnsi="Times New Roman" w:cs="Times New Roman"/>
                <w:color w:val="000000"/>
                <w:spacing w:val="0"/>
                <w:w w:val="100"/>
                <w:position w:val="0"/>
                <w:sz w:val="18"/>
                <w:szCs w:val="18"/>
              </w:rPr>
              <w:t>0600361</w:t>
            </w:r>
            <w:r>
              <w:rPr>
                <w:color w:val="000000"/>
                <w:spacing w:val="0"/>
                <w:w w:val="100"/>
                <w:position w:val="0"/>
              </w:rPr>
              <w:t>号</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一年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中国民生银行股份有 限公司北京分行</w:t>
            </w:r>
          </w:p>
        </w:tc>
      </w:tr>
      <w:tr>
        <w:trPr>
          <w:trHeight w:val="65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办公用房、车库</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5,366,044.48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X</w:t>
            </w:r>
            <w:r>
              <w:rPr>
                <w:color w:val="000000"/>
                <w:spacing w:val="0"/>
                <w:w w:val="100"/>
                <w:position w:val="0"/>
              </w:rPr>
              <w:t>京房权证朝字第</w:t>
            </w:r>
            <w:r>
              <w:rPr>
                <w:rFonts w:ascii="Times New Roman" w:eastAsia="Times New Roman" w:hAnsi="Times New Roman" w:cs="Times New Roman"/>
                <w:color w:val="000000"/>
                <w:spacing w:val="0"/>
                <w:w w:val="100"/>
                <w:position w:val="0"/>
                <w:sz w:val="18"/>
                <w:szCs w:val="18"/>
              </w:rPr>
              <w:t>1087236</w:t>
            </w:r>
            <w:r>
              <w:rPr>
                <w:color w:val="000000"/>
                <w:spacing w:val="0"/>
                <w:w w:val="100"/>
                <w:position w:val="0"/>
              </w:rPr>
              <w:t>号</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京朝其国用（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出）第</w:t>
            </w:r>
            <w:r>
              <w:rPr>
                <w:rFonts w:ascii="Times New Roman" w:eastAsia="Times New Roman" w:hAnsi="Times New Roman" w:cs="Times New Roman"/>
                <w:color w:val="000000"/>
                <w:spacing w:val="0"/>
                <w:w w:val="100"/>
                <w:position w:val="0"/>
                <w:sz w:val="18"/>
                <w:szCs w:val="18"/>
              </w:rPr>
              <w:t>0600359</w:t>
            </w:r>
            <w:r>
              <w:rPr>
                <w:color w:val="000000"/>
                <w:spacing w:val="0"/>
                <w:w w:val="100"/>
                <w:position w:val="0"/>
              </w:rPr>
              <w:t>号</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一年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中国民生银行股份有 限公司北京分行</w:t>
            </w:r>
          </w:p>
        </w:tc>
      </w:tr>
      <w:tr>
        <w:trPr>
          <w:trHeight w:val="65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办公用房、车库</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5,137,498.27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X</w:t>
            </w:r>
            <w:r>
              <w:rPr>
                <w:color w:val="000000"/>
                <w:spacing w:val="0"/>
                <w:w w:val="100"/>
                <w:position w:val="0"/>
              </w:rPr>
              <w:t>京房权证朝字第</w:t>
            </w:r>
            <w:r>
              <w:rPr>
                <w:rFonts w:ascii="Times New Roman" w:eastAsia="Times New Roman" w:hAnsi="Times New Roman" w:cs="Times New Roman"/>
                <w:color w:val="000000"/>
                <w:spacing w:val="0"/>
                <w:w w:val="100"/>
                <w:position w:val="0"/>
                <w:sz w:val="18"/>
                <w:szCs w:val="18"/>
              </w:rPr>
              <w:t>1087243</w:t>
            </w:r>
            <w:r>
              <w:rPr>
                <w:color w:val="000000"/>
                <w:spacing w:val="0"/>
                <w:w w:val="100"/>
                <w:position w:val="0"/>
              </w:rPr>
              <w:t>号</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京朝私国用（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出）第</w:t>
            </w:r>
            <w:r>
              <w:rPr>
                <w:rFonts w:ascii="Times New Roman" w:eastAsia="Times New Roman" w:hAnsi="Times New Roman" w:cs="Times New Roman"/>
                <w:color w:val="000000"/>
                <w:spacing w:val="0"/>
                <w:w w:val="100"/>
                <w:position w:val="0"/>
                <w:sz w:val="18"/>
                <w:szCs w:val="18"/>
              </w:rPr>
              <w:t>0600367</w:t>
            </w:r>
            <w:r>
              <w:rPr>
                <w:color w:val="000000"/>
                <w:spacing w:val="0"/>
                <w:w w:val="100"/>
                <w:position w:val="0"/>
              </w:rPr>
              <w:t>号</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招商银行股份有限公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司北京分行</w:t>
            </w:r>
          </w:p>
        </w:tc>
      </w:tr>
      <w:tr>
        <w:trPr>
          <w:trHeight w:val="65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办公用房、车库</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5,488,780.93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X</w:t>
            </w:r>
            <w:r>
              <w:rPr>
                <w:color w:val="000000"/>
                <w:spacing w:val="0"/>
                <w:w w:val="100"/>
                <w:position w:val="0"/>
              </w:rPr>
              <w:t>京房权证朝字第</w:t>
            </w:r>
            <w:r>
              <w:rPr>
                <w:rFonts w:ascii="Times New Roman" w:eastAsia="Times New Roman" w:hAnsi="Times New Roman" w:cs="Times New Roman"/>
                <w:color w:val="000000"/>
                <w:spacing w:val="0"/>
                <w:w w:val="100"/>
                <w:position w:val="0"/>
                <w:sz w:val="18"/>
                <w:szCs w:val="18"/>
              </w:rPr>
              <w:t>1087240</w:t>
            </w:r>
            <w:r>
              <w:rPr>
                <w:color w:val="000000"/>
                <w:spacing w:val="0"/>
                <w:w w:val="100"/>
                <w:position w:val="0"/>
              </w:rPr>
              <w:t>号</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京朝其国用（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出）第</w:t>
            </w:r>
            <w:r>
              <w:rPr>
                <w:rFonts w:ascii="Times New Roman" w:eastAsia="Times New Roman" w:hAnsi="Times New Roman" w:cs="Times New Roman"/>
                <w:color w:val="000000"/>
                <w:spacing w:val="0"/>
                <w:w w:val="100"/>
                <w:position w:val="0"/>
                <w:sz w:val="18"/>
                <w:szCs w:val="18"/>
              </w:rPr>
              <w:t>0600366</w:t>
            </w:r>
            <w:r>
              <w:rPr>
                <w:color w:val="000000"/>
                <w:spacing w:val="0"/>
                <w:w w:val="100"/>
                <w:position w:val="0"/>
              </w:rPr>
              <w:t>号</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招商银行股份有限公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司北京分行</w:t>
            </w:r>
          </w:p>
        </w:tc>
      </w:tr>
      <w:tr>
        <w:trPr>
          <w:trHeight w:val="65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办公用房</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3,626,252.61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X</w:t>
            </w:r>
            <w:r>
              <w:rPr>
                <w:color w:val="000000"/>
                <w:spacing w:val="0"/>
                <w:w w:val="100"/>
                <w:position w:val="0"/>
              </w:rPr>
              <w:t>京房权证朝字第</w:t>
            </w:r>
            <w:r>
              <w:rPr>
                <w:rFonts w:ascii="Times New Roman" w:eastAsia="Times New Roman" w:hAnsi="Times New Roman" w:cs="Times New Roman"/>
                <w:color w:val="000000"/>
                <w:spacing w:val="0"/>
                <w:w w:val="100"/>
                <w:position w:val="0"/>
                <w:sz w:val="18"/>
                <w:szCs w:val="18"/>
              </w:rPr>
              <w:t>1087239</w:t>
            </w:r>
            <w:r>
              <w:rPr>
                <w:color w:val="000000"/>
                <w:spacing w:val="0"/>
                <w:w w:val="100"/>
                <w:position w:val="0"/>
              </w:rPr>
              <w:t>号 京朝其国用（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出）第</w:t>
            </w:r>
            <w:r>
              <w:rPr>
                <w:rFonts w:ascii="Times New Roman" w:eastAsia="Times New Roman" w:hAnsi="Times New Roman" w:cs="Times New Roman"/>
                <w:color w:val="000000"/>
                <w:spacing w:val="0"/>
                <w:w w:val="100"/>
                <w:position w:val="0"/>
                <w:sz w:val="18"/>
                <w:szCs w:val="18"/>
              </w:rPr>
              <w:t>0600363</w:t>
            </w:r>
            <w:r>
              <w:rPr>
                <w:color w:val="000000"/>
                <w:spacing w:val="0"/>
                <w:w w:val="100"/>
                <w:position w:val="0"/>
              </w:rPr>
              <w:t>号</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招商银行股份有限公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司北京分行</w:t>
            </w:r>
          </w:p>
        </w:tc>
      </w:tr>
      <w:tr>
        <w:trPr>
          <w:trHeight w:val="65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办公用房、车库</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4,329,506.94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X</w:t>
            </w:r>
            <w:r>
              <w:rPr>
                <w:color w:val="000000"/>
                <w:spacing w:val="0"/>
                <w:w w:val="100"/>
                <w:position w:val="0"/>
              </w:rPr>
              <w:t>京房权证朝字第</w:t>
            </w:r>
            <w:r>
              <w:rPr>
                <w:rFonts w:ascii="Times New Roman" w:eastAsia="Times New Roman" w:hAnsi="Times New Roman" w:cs="Times New Roman"/>
                <w:color w:val="000000"/>
                <w:spacing w:val="0"/>
                <w:w w:val="100"/>
                <w:position w:val="0"/>
                <w:sz w:val="18"/>
                <w:szCs w:val="18"/>
              </w:rPr>
              <w:t>1087245</w:t>
            </w:r>
            <w:r>
              <w:rPr>
                <w:color w:val="000000"/>
                <w:spacing w:val="0"/>
                <w:w w:val="100"/>
                <w:position w:val="0"/>
              </w:rPr>
              <w:t>号</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京朝其国用（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出）第</w:t>
            </w:r>
            <w:r>
              <w:rPr>
                <w:rFonts w:ascii="Times New Roman" w:eastAsia="Times New Roman" w:hAnsi="Times New Roman" w:cs="Times New Roman"/>
                <w:color w:val="000000"/>
                <w:spacing w:val="0"/>
                <w:w w:val="100"/>
                <w:position w:val="0"/>
                <w:sz w:val="18"/>
                <w:szCs w:val="18"/>
              </w:rPr>
              <w:t>0600365</w:t>
            </w:r>
            <w:r>
              <w:rPr>
                <w:color w:val="000000"/>
                <w:spacing w:val="0"/>
                <w:w w:val="100"/>
                <w:position w:val="0"/>
              </w:rPr>
              <w:t>号</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招商银行股份有限公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司北京分行</w:t>
            </w:r>
          </w:p>
        </w:tc>
      </w:tr>
      <w:tr>
        <w:trPr>
          <w:trHeight w:val="65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办公用房</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3,503,090.98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X</w:t>
            </w:r>
            <w:r>
              <w:rPr>
                <w:color w:val="000000"/>
                <w:spacing w:val="0"/>
                <w:w w:val="100"/>
                <w:position w:val="0"/>
              </w:rPr>
              <w:t>京房权证朝字第</w:t>
            </w:r>
            <w:r>
              <w:rPr>
                <w:rFonts w:ascii="Times New Roman" w:eastAsia="Times New Roman" w:hAnsi="Times New Roman" w:cs="Times New Roman"/>
                <w:color w:val="000000"/>
                <w:spacing w:val="0"/>
                <w:w w:val="100"/>
                <w:position w:val="0"/>
                <w:sz w:val="18"/>
                <w:szCs w:val="18"/>
              </w:rPr>
              <w:t>1087242</w:t>
            </w:r>
            <w:r>
              <w:rPr>
                <w:color w:val="000000"/>
                <w:spacing w:val="0"/>
                <w:w w:val="100"/>
                <w:position w:val="0"/>
              </w:rPr>
              <w:t>号</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京朝其国用（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出）第</w:t>
            </w:r>
            <w:r>
              <w:rPr>
                <w:rFonts w:ascii="Times New Roman" w:eastAsia="Times New Roman" w:hAnsi="Times New Roman" w:cs="Times New Roman"/>
                <w:color w:val="000000"/>
                <w:spacing w:val="0"/>
                <w:w w:val="100"/>
                <w:position w:val="0"/>
                <w:sz w:val="18"/>
                <w:szCs w:val="18"/>
              </w:rPr>
              <w:t>0600364</w:t>
            </w:r>
            <w:r>
              <w:rPr>
                <w:color w:val="000000"/>
                <w:spacing w:val="0"/>
                <w:w w:val="100"/>
                <w:position w:val="0"/>
              </w:rPr>
              <w:t>号</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招商银行股份有限公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司北京分行</w:t>
            </w:r>
          </w:p>
        </w:tc>
      </w:tr>
      <w:tr>
        <w:trPr>
          <w:trHeight w:val="65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办公用房、车库</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3,938,904.58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X</w:t>
            </w:r>
            <w:r>
              <w:rPr>
                <w:color w:val="000000"/>
                <w:spacing w:val="0"/>
                <w:w w:val="100"/>
                <w:position w:val="0"/>
              </w:rPr>
              <w:t>京房权证朝字第</w:t>
            </w:r>
            <w:r>
              <w:rPr>
                <w:rFonts w:ascii="Times New Roman" w:eastAsia="Times New Roman" w:hAnsi="Times New Roman" w:cs="Times New Roman"/>
                <w:color w:val="000000"/>
                <w:spacing w:val="0"/>
                <w:w w:val="100"/>
                <w:position w:val="0"/>
                <w:sz w:val="18"/>
                <w:szCs w:val="18"/>
              </w:rPr>
              <w:t>1087232</w:t>
            </w:r>
            <w:r>
              <w:rPr>
                <w:color w:val="000000"/>
                <w:spacing w:val="0"/>
                <w:w w:val="100"/>
                <w:position w:val="0"/>
              </w:rPr>
              <w:t>号</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京朝私国用（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出）第</w:t>
            </w:r>
            <w:r>
              <w:rPr>
                <w:rFonts w:ascii="Times New Roman" w:eastAsia="Times New Roman" w:hAnsi="Times New Roman" w:cs="Times New Roman"/>
                <w:color w:val="000000"/>
                <w:spacing w:val="0"/>
                <w:w w:val="100"/>
                <w:position w:val="0"/>
                <w:sz w:val="18"/>
                <w:szCs w:val="18"/>
              </w:rPr>
              <w:t>0600338</w:t>
            </w:r>
            <w:r>
              <w:rPr>
                <w:color w:val="000000"/>
                <w:spacing w:val="0"/>
                <w:w w:val="100"/>
                <w:position w:val="0"/>
              </w:rPr>
              <w:t>号</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招商银行股份有限公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司北京分行</w:t>
            </w:r>
          </w:p>
        </w:tc>
      </w:tr>
      <w:tr>
        <w:trPr>
          <w:trHeight w:val="65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办公用房、车库</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3,700,943.26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X</w:t>
            </w:r>
            <w:r>
              <w:rPr>
                <w:color w:val="000000"/>
                <w:spacing w:val="0"/>
                <w:w w:val="100"/>
                <w:position w:val="0"/>
              </w:rPr>
              <w:t>京房权证朝字第</w:t>
            </w:r>
            <w:r>
              <w:rPr>
                <w:rFonts w:ascii="Times New Roman" w:eastAsia="Times New Roman" w:hAnsi="Times New Roman" w:cs="Times New Roman"/>
                <w:color w:val="000000"/>
                <w:spacing w:val="0"/>
                <w:w w:val="100"/>
                <w:position w:val="0"/>
                <w:sz w:val="18"/>
                <w:szCs w:val="18"/>
              </w:rPr>
              <w:t>1087229</w:t>
            </w:r>
            <w:r>
              <w:rPr>
                <w:color w:val="000000"/>
                <w:spacing w:val="0"/>
                <w:w w:val="100"/>
                <w:position w:val="0"/>
              </w:rPr>
              <w:t>号 京朝私国用（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出）第</w:t>
            </w:r>
            <w:r>
              <w:rPr>
                <w:rFonts w:ascii="Times New Roman" w:eastAsia="Times New Roman" w:hAnsi="Times New Roman" w:cs="Times New Roman"/>
                <w:color w:val="000000"/>
                <w:spacing w:val="0"/>
                <w:w w:val="100"/>
                <w:position w:val="0"/>
                <w:sz w:val="18"/>
                <w:szCs w:val="18"/>
              </w:rPr>
              <w:t>0600343</w:t>
            </w:r>
            <w:r>
              <w:rPr>
                <w:color w:val="000000"/>
                <w:spacing w:val="0"/>
                <w:w w:val="100"/>
                <w:position w:val="0"/>
              </w:rPr>
              <w:t>号</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招商银行股份有限公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司北京分行</w:t>
            </w:r>
          </w:p>
        </w:tc>
      </w:tr>
      <w:tr>
        <w:trPr>
          <w:trHeight w:val="65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办公用房、车库</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4,329,506.94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X</w:t>
            </w:r>
            <w:r>
              <w:rPr>
                <w:color w:val="000000"/>
                <w:spacing w:val="0"/>
                <w:w w:val="100"/>
                <w:position w:val="0"/>
              </w:rPr>
              <w:t>京房权证朝字第</w:t>
            </w:r>
            <w:r>
              <w:rPr>
                <w:rFonts w:ascii="Times New Roman" w:eastAsia="Times New Roman" w:hAnsi="Times New Roman" w:cs="Times New Roman"/>
                <w:color w:val="000000"/>
                <w:spacing w:val="0"/>
                <w:w w:val="100"/>
                <w:position w:val="0"/>
                <w:sz w:val="18"/>
                <w:szCs w:val="18"/>
              </w:rPr>
              <w:t>1081482</w:t>
            </w:r>
            <w:r>
              <w:rPr>
                <w:color w:val="000000"/>
                <w:spacing w:val="0"/>
                <w:w w:val="100"/>
                <w:position w:val="0"/>
              </w:rPr>
              <w:t>号</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京朝私国用（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出）第</w:t>
            </w:r>
            <w:r>
              <w:rPr>
                <w:rFonts w:ascii="Times New Roman" w:eastAsia="Times New Roman" w:hAnsi="Times New Roman" w:cs="Times New Roman"/>
                <w:color w:val="000000"/>
                <w:spacing w:val="0"/>
                <w:w w:val="100"/>
                <w:position w:val="0"/>
                <w:sz w:val="18"/>
                <w:szCs w:val="18"/>
              </w:rPr>
              <w:t>0600337</w:t>
            </w:r>
            <w:r>
              <w:rPr>
                <w:color w:val="000000"/>
                <w:spacing w:val="0"/>
                <w:w w:val="100"/>
                <w:position w:val="0"/>
              </w:rPr>
              <w:t>号</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招商银行股份有限公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司北京分行</w:t>
            </w:r>
          </w:p>
        </w:tc>
      </w:tr>
      <w:tr>
        <w:trPr>
          <w:trHeight w:val="65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办公用房、车库</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4,192,881.15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X</w:t>
            </w:r>
            <w:r>
              <w:rPr>
                <w:color w:val="000000"/>
                <w:spacing w:val="0"/>
                <w:w w:val="100"/>
                <w:position w:val="0"/>
              </w:rPr>
              <w:t>京房权证朝字第</w:t>
            </w:r>
            <w:r>
              <w:rPr>
                <w:rFonts w:ascii="Times New Roman" w:eastAsia="Times New Roman" w:hAnsi="Times New Roman" w:cs="Times New Roman"/>
                <w:color w:val="000000"/>
                <w:spacing w:val="0"/>
                <w:w w:val="100"/>
                <w:position w:val="0"/>
                <w:sz w:val="18"/>
                <w:szCs w:val="18"/>
              </w:rPr>
              <w:t>1087247</w:t>
            </w:r>
            <w:r>
              <w:rPr>
                <w:color w:val="000000"/>
                <w:spacing w:val="0"/>
                <w:w w:val="100"/>
                <w:position w:val="0"/>
              </w:rPr>
              <w:t>号</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京朝其国用（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出）第</w:t>
            </w:r>
            <w:r>
              <w:rPr>
                <w:rFonts w:ascii="Times New Roman" w:eastAsia="Times New Roman" w:hAnsi="Times New Roman" w:cs="Times New Roman"/>
                <w:color w:val="000000"/>
                <w:spacing w:val="0"/>
                <w:w w:val="100"/>
                <w:position w:val="0"/>
                <w:sz w:val="18"/>
                <w:szCs w:val="18"/>
              </w:rPr>
              <w:t>0600362</w:t>
            </w:r>
            <w:r>
              <w:rPr>
                <w:color w:val="000000"/>
                <w:spacing w:val="0"/>
                <w:w w:val="100"/>
                <w:position w:val="0"/>
              </w:rPr>
              <w:t>号</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招商银行股份有限公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司北京分行</w:t>
            </w:r>
          </w:p>
        </w:tc>
      </w:tr>
      <w:tr>
        <w:trPr>
          <w:trHeight w:val="65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公寓用房</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7,903,805.30</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朝阳区不动产权第</w:t>
            </w:r>
            <w:r>
              <w:rPr>
                <w:rFonts w:ascii="Times New Roman" w:eastAsia="Times New Roman" w:hAnsi="Times New Roman" w:cs="Times New Roman"/>
                <w:color w:val="000000"/>
                <w:spacing w:val="0"/>
                <w:w w:val="100"/>
                <w:position w:val="0"/>
                <w:sz w:val="18"/>
                <w:szCs w:val="18"/>
              </w:rPr>
              <w:t>0097218</w:t>
            </w:r>
            <w:r>
              <w:rPr>
                <w:color w:val="000000"/>
                <w:spacing w:val="0"/>
                <w:w w:val="100"/>
                <w:position w:val="0"/>
              </w:rPr>
              <w:t>号</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招商银行股份有限公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司北京分行</w:t>
            </w:r>
          </w:p>
        </w:tc>
      </w:tr>
      <w:tr>
        <w:trPr>
          <w:trHeight w:val="65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公寓用房</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4,208,541.91</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朝阳区不动产权第</w:t>
            </w:r>
            <w:r>
              <w:rPr>
                <w:rFonts w:ascii="Times New Roman" w:eastAsia="Times New Roman" w:hAnsi="Times New Roman" w:cs="Times New Roman"/>
                <w:color w:val="000000"/>
                <w:spacing w:val="0"/>
                <w:w w:val="100"/>
                <w:position w:val="0"/>
                <w:sz w:val="18"/>
                <w:szCs w:val="18"/>
              </w:rPr>
              <w:t>0097214</w:t>
            </w:r>
            <w:r>
              <w:rPr>
                <w:color w:val="000000"/>
                <w:spacing w:val="0"/>
                <w:w w:val="100"/>
                <w:position w:val="0"/>
              </w:rPr>
              <w:t>号</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招商银行股份有限公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司北京分行</w:t>
            </w:r>
          </w:p>
        </w:tc>
      </w:tr>
      <w:tr>
        <w:trPr>
          <w:trHeight w:val="65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公寓用房</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4,208,541.91</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朝阳区不动产权第</w:t>
            </w:r>
            <w:r>
              <w:rPr>
                <w:rFonts w:ascii="Times New Roman" w:eastAsia="Times New Roman" w:hAnsi="Times New Roman" w:cs="Times New Roman"/>
                <w:color w:val="000000"/>
                <w:spacing w:val="0"/>
                <w:w w:val="100"/>
                <w:position w:val="0"/>
                <w:sz w:val="18"/>
                <w:szCs w:val="18"/>
              </w:rPr>
              <w:t>0097211</w:t>
            </w:r>
            <w:r>
              <w:rPr>
                <w:color w:val="000000"/>
                <w:spacing w:val="0"/>
                <w:w w:val="100"/>
                <w:position w:val="0"/>
              </w:rPr>
              <w:t>号</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招商银行股份有限公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司北京分行</w:t>
            </w:r>
          </w:p>
        </w:tc>
      </w:tr>
      <w:tr>
        <w:trPr>
          <w:trHeight w:val="65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公寓用房</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10,194,080.87</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朝阳区不动产权第</w:t>
            </w:r>
            <w:r>
              <w:rPr>
                <w:rFonts w:ascii="Times New Roman" w:eastAsia="Times New Roman" w:hAnsi="Times New Roman" w:cs="Times New Roman"/>
                <w:color w:val="000000"/>
                <w:spacing w:val="0"/>
                <w:w w:val="100"/>
                <w:position w:val="0"/>
                <w:sz w:val="18"/>
                <w:szCs w:val="18"/>
              </w:rPr>
              <w:t>0097208</w:t>
            </w:r>
            <w:r>
              <w:rPr>
                <w:color w:val="000000"/>
                <w:spacing w:val="0"/>
                <w:w w:val="100"/>
                <w:position w:val="0"/>
              </w:rPr>
              <w:t>号</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招商银行股份有限公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司北京分行</w:t>
            </w:r>
          </w:p>
        </w:tc>
      </w:tr>
      <w:tr>
        <w:trPr>
          <w:trHeight w:val="65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公寓用房</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8,010,399.41</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朝阳区不动产权第</w:t>
            </w:r>
            <w:r>
              <w:rPr>
                <w:rFonts w:ascii="Times New Roman" w:eastAsia="Times New Roman" w:hAnsi="Times New Roman" w:cs="Times New Roman"/>
                <w:color w:val="000000"/>
                <w:spacing w:val="0"/>
                <w:w w:val="100"/>
                <w:position w:val="0"/>
                <w:sz w:val="18"/>
                <w:szCs w:val="18"/>
              </w:rPr>
              <w:t>0097222</w:t>
            </w:r>
            <w:r>
              <w:rPr>
                <w:color w:val="000000"/>
                <w:spacing w:val="0"/>
                <w:w w:val="100"/>
                <w:position w:val="0"/>
              </w:rPr>
              <w:t>号</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招商银行股份有限公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司北京分行</w:t>
            </w:r>
          </w:p>
        </w:tc>
      </w:tr>
      <w:tr>
        <w:trPr>
          <w:trHeight w:val="65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公寓用房</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4,305,718.10</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朝阳区不动产权第</w:t>
            </w:r>
            <w:r>
              <w:rPr>
                <w:rFonts w:ascii="Times New Roman" w:eastAsia="Times New Roman" w:hAnsi="Times New Roman" w:cs="Times New Roman"/>
                <w:color w:val="000000"/>
                <w:spacing w:val="0"/>
                <w:w w:val="100"/>
                <w:position w:val="0"/>
                <w:sz w:val="18"/>
                <w:szCs w:val="18"/>
              </w:rPr>
              <w:t>0097205</w:t>
            </w:r>
            <w:r>
              <w:rPr>
                <w:color w:val="000000"/>
                <w:spacing w:val="0"/>
                <w:w w:val="100"/>
                <w:position w:val="0"/>
              </w:rPr>
              <w:t>号</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招商银行股份有限公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司北京分行</w:t>
            </w:r>
          </w:p>
        </w:tc>
      </w:tr>
      <w:tr>
        <w:trPr>
          <w:trHeight w:val="65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公寓用房</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4,040,302.99</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朝阳区不动产权第</w:t>
            </w:r>
            <w:r>
              <w:rPr>
                <w:rFonts w:ascii="Times New Roman" w:eastAsia="Times New Roman" w:hAnsi="Times New Roman" w:cs="Times New Roman"/>
                <w:color w:val="000000"/>
                <w:spacing w:val="0"/>
                <w:w w:val="100"/>
                <w:position w:val="0"/>
                <w:sz w:val="18"/>
                <w:szCs w:val="18"/>
              </w:rPr>
              <w:t>0097202</w:t>
            </w:r>
            <w:r>
              <w:rPr>
                <w:color w:val="000000"/>
                <w:spacing w:val="0"/>
                <w:w w:val="100"/>
                <w:position w:val="0"/>
              </w:rPr>
              <w:t>号</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招商银行股份有限公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司北京分行</w:t>
            </w:r>
          </w:p>
        </w:tc>
      </w:tr>
      <w:tr>
        <w:trPr>
          <w:trHeight w:val="662"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公寓用房</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8,343,452.60</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朝阳区不动产权第</w:t>
            </w:r>
            <w:r>
              <w:rPr>
                <w:rFonts w:ascii="Times New Roman" w:eastAsia="Times New Roman" w:hAnsi="Times New Roman" w:cs="Times New Roman"/>
                <w:color w:val="000000"/>
                <w:spacing w:val="0"/>
                <w:w w:val="100"/>
                <w:position w:val="0"/>
                <w:sz w:val="18"/>
                <w:szCs w:val="18"/>
              </w:rPr>
              <w:t>0097196</w:t>
            </w:r>
            <w:r>
              <w:rPr>
                <w:color w:val="000000"/>
                <w:spacing w:val="0"/>
                <w:w w:val="100"/>
                <w:position w:val="0"/>
              </w:rPr>
              <w:t>号</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三年</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招商银行股份有限公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司北京分行</w:t>
            </w:r>
          </w:p>
        </w:tc>
      </w:tr>
    </w:tbl>
    <w:p>
      <w:pPr>
        <w:widowControl w:val="0"/>
        <w:spacing w:line="1" w:lineRule="exact"/>
      </w:pPr>
      <w:r>
        <w:br w:type="page"/>
      </w:r>
    </w:p>
    <w:tbl>
      <w:tblPr>
        <w:tblOverlap w:val="never"/>
        <w:jc w:val="left"/>
        <w:tblLayout w:type="fixed"/>
      </w:tblPr>
      <w:tblGrid>
        <w:gridCol w:w="1387"/>
        <w:gridCol w:w="1560"/>
        <w:gridCol w:w="3259"/>
        <w:gridCol w:w="912"/>
        <w:gridCol w:w="1805"/>
      </w:tblGrid>
      <w:tr>
        <w:trPr>
          <w:trHeight w:val="65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公寓用房</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5,924,750.32</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朝阳区不动产权第</w:t>
            </w:r>
            <w:r>
              <w:rPr>
                <w:rFonts w:ascii="Times New Roman" w:eastAsia="Times New Roman" w:hAnsi="Times New Roman" w:cs="Times New Roman"/>
                <w:color w:val="000000"/>
                <w:spacing w:val="0"/>
                <w:w w:val="100"/>
                <w:position w:val="0"/>
                <w:sz w:val="18"/>
                <w:szCs w:val="18"/>
              </w:rPr>
              <w:t>0097157</w:t>
            </w:r>
            <w:r>
              <w:rPr>
                <w:color w:val="000000"/>
                <w:spacing w:val="0"/>
                <w:w w:val="100"/>
                <w:position w:val="0"/>
              </w:rPr>
              <w:t>号</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招商银行股份有限公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司北京分行</w:t>
            </w:r>
          </w:p>
        </w:tc>
      </w:tr>
      <w:tr>
        <w:trPr>
          <w:trHeight w:val="65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公寓用房</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4,850,675.25</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朝阳区不动产权第</w:t>
            </w:r>
            <w:r>
              <w:rPr>
                <w:rFonts w:ascii="Times New Roman" w:eastAsia="Times New Roman" w:hAnsi="Times New Roman" w:cs="Times New Roman"/>
                <w:color w:val="000000"/>
                <w:spacing w:val="0"/>
                <w:w w:val="100"/>
                <w:position w:val="0"/>
                <w:sz w:val="18"/>
                <w:szCs w:val="18"/>
              </w:rPr>
              <w:t>0097140</w:t>
            </w:r>
            <w:r>
              <w:rPr>
                <w:color w:val="000000"/>
                <w:spacing w:val="0"/>
                <w:w w:val="100"/>
                <w:position w:val="0"/>
              </w:rPr>
              <w:t>号</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招商银行股份有限公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司北京分行</w:t>
            </w:r>
          </w:p>
        </w:tc>
      </w:tr>
      <w:tr>
        <w:trPr>
          <w:trHeight w:val="35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114,811,038.32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3"/>
        <w:keepNext/>
        <w:keepLines/>
        <w:widowControl w:val="0"/>
        <w:shd w:val="clear" w:color="auto" w:fill="auto"/>
        <w:bidi w:val="0"/>
        <w:spacing w:before="0" w:after="38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1</w:t>
      </w:r>
      <w:bookmarkEnd w:id="1200"/>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1198"/>
      <w:bookmarkEnd w:id="1199"/>
      <w:bookmarkEnd w:id="1201"/>
    </w:p>
    <w:p>
      <w:pPr>
        <w:pStyle w:val="Style55"/>
        <w:keepNext/>
        <w:keepLines/>
        <w:widowControl w:val="0"/>
        <w:shd w:val="clear" w:color="auto" w:fill="auto"/>
        <w:bidi w:val="0"/>
        <w:spacing w:before="0" w:line="240" w:lineRule="auto"/>
        <w:ind w:left="0" w:right="0" w:firstLine="0"/>
        <w:jc w:val="left"/>
      </w:pPr>
      <w:bookmarkStart w:id="1202" w:name="bookmark1202"/>
      <w:bookmarkStart w:id="1203" w:name="bookmark1203"/>
      <w:bookmarkStart w:id="1204" w:name="bookmark1204"/>
      <w:bookmarkStart w:id="1205" w:name="bookmark1205"/>
      <w:r>
        <w:rPr>
          <w:color w:val="000000"/>
          <w:spacing w:val="0"/>
          <w:w w:val="100"/>
          <w:position w:val="0"/>
        </w:rPr>
        <w:t>（</w:t>
      </w:r>
      <w:bookmarkEnd w:id="1204"/>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02"/>
      <w:bookmarkEnd w:id="1203"/>
      <w:bookmarkEnd w:id="120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5"/>
              <w:keepNext w:val="0"/>
              <w:keepLines w:val="0"/>
              <w:widowControl w:val="0"/>
              <w:shd w:val="clear" w:color="auto" w:fill="auto"/>
              <w:bidi w:val="0"/>
              <w:spacing w:before="0" w:after="0" w:line="240" w:lineRule="auto"/>
              <w:ind w:left="0" w:right="320" w:firstLine="0"/>
              <w:jc w:val="right"/>
            </w:pPr>
            <w:r>
              <w:rPr>
                <w:color w:val="000000"/>
                <w:spacing w:val="0"/>
                <w:w w:val="100"/>
                <w:position w:val="0"/>
              </w:rPr>
              <w:t>专用软件</w:t>
            </w:r>
          </w:p>
        </w:tc>
        <w:tc>
          <w:tcPr>
            <w:tcBorders>
              <w:top w:val="single" w:sz="4"/>
              <w:left w:val="single" w:sz="4"/>
            </w:tcBorders>
            <w:shd w:val="clear" w:color="auto" w:fill="E1FFFF"/>
            <w:vAlign w:val="center"/>
          </w:tcPr>
          <w:p>
            <w:pPr>
              <w:pStyle w:val="Style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软件著作权</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4,779,491.67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3,784,125.70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8,563,617.37</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439,145.32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439,145.32</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36,177,236.49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36,177,236.49</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7,606.84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14,976,500.00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14,984,106.84</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5,226,243.83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54,937,862.19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60,164,106.02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2,046,612.44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105,114.60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2,151,727.04</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874,713.72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3,874,275.26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4,748,988.98</w:t>
            </w:r>
          </w:p>
        </w:tc>
      </w:tr>
      <w:tr>
        <w:trPr>
          <w:trHeight w:val="403" w:hRule="exact"/>
        </w:trPr>
        <w:tc>
          <w:tcPr>
            <w:tcBorders>
              <w:top w:val="single" w:sz="4"/>
              <w:left w:val="single" w:sz="4"/>
            </w:tcBorders>
            <w:shd w:val="clear" w:color="auto" w:fill="E1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633.90</w:t>
            </w:r>
          </w:p>
        </w:tc>
      </w:tr>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2,921,960.06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3,979,389.86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6,901,349.92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2,304,283.77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50,958,472.33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53,262,756.10</w:t>
            </w:r>
          </w:p>
        </w:tc>
      </w:tr>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2,732,879.23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3,679,011.10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6,411,890.33</w:t>
            </w:r>
          </w:p>
        </w:tc>
      </w:tr>
    </w:tbl>
    <w:p>
      <w:pPr>
        <w:widowControl w:val="0"/>
        <w:spacing w:after="43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68.43%</w:t>
      </w:r>
      <w:r>
        <w:rPr>
          <w:color w:val="000000"/>
          <w:spacing w:val="0"/>
          <w:w w:val="100"/>
          <w:position w:val="0"/>
        </w:rPr>
        <w:t>。</w:t>
      </w:r>
    </w:p>
    <w:p>
      <w:pPr>
        <w:pStyle w:val="Style55"/>
        <w:keepNext/>
        <w:keepLines/>
        <w:widowControl w:val="0"/>
        <w:shd w:val="clear" w:color="auto" w:fill="auto"/>
        <w:bidi w:val="0"/>
        <w:spacing w:before="0" w:line="240" w:lineRule="auto"/>
        <w:ind w:left="0" w:right="0" w:firstLine="0"/>
        <w:jc w:val="left"/>
      </w:pPr>
      <w:bookmarkStart w:id="1206" w:name="bookmark1206"/>
      <w:bookmarkStart w:id="1207" w:name="bookmark1207"/>
      <w:bookmarkStart w:id="1208" w:name="bookmark1208"/>
      <w:bookmarkStart w:id="1209" w:name="bookmark1209"/>
      <w:r>
        <w:rPr>
          <w:color w:val="000000"/>
          <w:spacing w:val="0"/>
          <w:w w:val="100"/>
          <w:position w:val="0"/>
        </w:rPr>
        <w:t>（</w:t>
      </w:r>
      <w:bookmarkEnd w:id="1208"/>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06"/>
      <w:bookmarkEnd w:id="1207"/>
      <w:bookmarkEnd w:id="1209"/>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70"/>
        <w:keepNext w:val="0"/>
        <w:keepLines w:val="0"/>
        <w:widowControl w:val="0"/>
        <w:shd w:val="clear" w:color="auto" w:fill="auto"/>
        <w:bidi w:val="0"/>
        <w:spacing w:before="0" w:after="80" w:line="240" w:lineRule="auto"/>
        <w:ind w:left="0" w:right="0" w:firstLine="440"/>
        <w:jc w:val="left"/>
      </w:pPr>
      <w:r>
        <w:rPr>
          <w:color w:val="000000"/>
          <w:spacing w:val="0"/>
          <w:w w:val="100"/>
          <w:position w:val="0"/>
        </w:rPr>
        <w:t>期末未发现无形资产存在明显减值迹象，故未计提减值准备。</w:t>
      </w:r>
    </w:p>
    <w:p>
      <w:pPr>
        <w:pStyle w:val="Style7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对报告期发生的按评估值作为入账依据的单项金额重大的无形资产的评估机构和评估方法的说明</w:t>
      </w:r>
    </w:p>
    <w:tbl>
      <w:tblPr>
        <w:tblOverlap w:val="never"/>
        <w:jc w:val="center"/>
        <w:tblLayout w:type="fixed"/>
      </w:tblPr>
      <w:tblGrid>
        <w:gridCol w:w="1901"/>
        <w:gridCol w:w="1675"/>
        <w:gridCol w:w="1814"/>
        <w:gridCol w:w="1478"/>
        <w:gridCol w:w="830"/>
        <w:gridCol w:w="1392"/>
      </w:tblGrid>
      <w:tr>
        <w:trPr>
          <w:trHeight w:val="466"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无形资产名称</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增加原因</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评估机构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评估金额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方法</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归属单位</w:t>
            </w:r>
          </w:p>
        </w:tc>
      </w:tr>
      <w:tr>
        <w:trPr>
          <w:trHeight w:val="77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洋葱锁屏手机软件等两 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非同一控制下企业合 并</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中联资产评估集团有</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6,486,500.00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收益法</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海南坚果创娱信 息技术有限公司</w:t>
            </w:r>
          </w:p>
        </w:tc>
      </w:tr>
      <w:tr>
        <w:trPr>
          <w:trHeight w:val="7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睿雪贸易金融服务平台</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软件等二十五项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非同一控制下企业合 并</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中和资产评估有限公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8,490,000.00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收益法</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上海睿民互联网 科技有限公司</w:t>
            </w:r>
          </w:p>
        </w:tc>
      </w:tr>
      <w:tr>
        <w:trPr>
          <w:trHeight w:val="470"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14,976,500.00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1</w:t>
      </w:r>
      <w:bookmarkEnd w:id="1212"/>
      <w:r>
        <w:rPr>
          <w:rFonts w:ascii="Times New Roman" w:eastAsia="Times New Roman" w:hAnsi="Times New Roman" w:cs="Times New Roman"/>
          <w:color w:val="000000"/>
          <w:spacing w:val="0"/>
          <w:w w:val="100"/>
          <w:position w:val="0"/>
        </w:rPr>
        <w:t>5</w:t>
      </w:r>
      <w:r>
        <w:rPr>
          <w:color w:val="000000"/>
          <w:spacing w:val="0"/>
          <w:w w:val="100"/>
          <w:position w:val="0"/>
        </w:rPr>
        <w:t>、开发支出</w:t>
      </w:r>
      <w:bookmarkEnd w:id="1210"/>
      <w:bookmarkEnd w:id="1211"/>
      <w:bookmarkEnd w:id="121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205"/>
        <w:gridCol w:w="1474"/>
        <w:gridCol w:w="1262"/>
        <w:gridCol w:w="1656"/>
        <w:gridCol w:w="1387"/>
        <w:gridCol w:w="1570"/>
      </w:tblGrid>
      <w:tr>
        <w:trPr>
          <w:trHeight w:val="403" w:hRule="exact"/>
        </w:trPr>
        <w:tc>
          <w:tcPr>
            <w:vMerge w:val="restart"/>
            <w:tcBorders>
              <w:top w:val="single" w:sz="4"/>
              <w:left w:val="single" w:sz="4"/>
            </w:tcBorders>
            <w:shd w:val="clear" w:color="auto" w:fill="FFFFFF"/>
            <w:vAlign w:val="top"/>
          </w:tcPr>
          <w:p>
            <w:pPr>
              <w:pStyle w:val="Style5"/>
              <w:keepNext w:val="0"/>
              <w:keepLines w:val="0"/>
              <w:widowControl w:val="0"/>
              <w:shd w:val="clear" w:color="auto" w:fill="auto"/>
              <w:bidi w:val="0"/>
              <w:spacing w:before="12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5"/>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内部开发支出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确认为无形资产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转入当期损益</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高伟达保 险业务系 统开发平 台（二期）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4,598,483.47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4,598,483.47</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高伟达资 产交易平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4,464,769.81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4,464,769.81</w:t>
            </w:r>
          </w:p>
        </w:tc>
      </w:tr>
      <w:tr>
        <w:trPr>
          <w:trHeight w:val="13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高伟达新 信贷业务 系统（零售 信贷）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1,966,797.52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1,966,797.52</w:t>
            </w:r>
          </w:p>
        </w:tc>
      </w:tr>
      <w:tr>
        <w:trPr>
          <w:trHeight w:val="165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both"/>
            </w:pPr>
            <w:r>
              <w:rPr>
                <w:color w:val="000000"/>
                <w:spacing w:val="0"/>
                <w:w w:val="100"/>
                <w:position w:val="0"/>
              </w:rPr>
              <w:t>高伟达核 心业务系 统（基于</w:t>
            </w:r>
          </w:p>
          <w:p>
            <w:pPr>
              <w:pStyle w:val="Style5"/>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JAVA</w:t>
            </w:r>
            <w:r>
              <w:rPr>
                <w:color w:val="000000"/>
                <w:spacing w:val="0"/>
                <w:w w:val="100"/>
                <w:position w:val="0"/>
              </w:rPr>
              <w:t>交易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1,775,487.97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1,775,487.97</w:t>
            </w: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高伟达业 务管理集 成系统（二 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640,721.43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640,721.43</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高伟达数 据治理软 件工具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150,562.50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150,562.50</w:t>
            </w:r>
          </w:p>
        </w:tc>
      </w:tr>
      <w:tr>
        <w:trPr>
          <w:trHeight w:val="13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314" w:lineRule="exact"/>
              <w:ind w:left="0" w:right="0" w:firstLine="0"/>
              <w:jc w:val="both"/>
            </w:pPr>
            <w:r>
              <w:rPr>
                <w:color w:val="000000"/>
                <w:spacing w:val="0"/>
                <w:w w:val="100"/>
                <w:position w:val="0"/>
              </w:rPr>
              <w:t>高伟达内 容管理平 台（基于</w:t>
            </w:r>
          </w:p>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HADOOP）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83,540.00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83,540.00</w:t>
            </w: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9" w:lineRule="exact"/>
              <w:ind w:left="0" w:right="0" w:firstLine="0"/>
              <w:jc w:val="both"/>
            </w:pPr>
            <w:r>
              <w:rPr>
                <w:color w:val="000000"/>
                <w:spacing w:val="0"/>
                <w:w w:val="100"/>
                <w:position w:val="0"/>
              </w:rPr>
              <w:t>高伟达保 险业务系 统开发平 台</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7,822,223.10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7,822,223.10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高伟达新 信贷业务 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10,237,138.18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10,237,138.18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高伟达核 心业务系</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4,212,883.45</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2,144,672.06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6,357,555.51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0"/>
        <w:gridCol w:w="1205"/>
        <w:gridCol w:w="1474"/>
        <w:gridCol w:w="1262"/>
        <w:gridCol w:w="1656"/>
        <w:gridCol w:w="1387"/>
        <w:gridCol w:w="1570"/>
      </w:tblGrid>
      <w:tr>
        <w:trPr>
          <w:trHeight w:val="36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高伟达业 务管理集 成系统</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1,000,142.79</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385,619.45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1,385,762.24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高伟达云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6,795,477.76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6,795,477.76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高伟达大 数据分析 平台</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1,243,705.24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1,243,705.24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9" w:lineRule="exact"/>
              <w:ind w:left="0" w:right="0" w:firstLine="0"/>
              <w:jc w:val="both"/>
            </w:pPr>
            <w:r>
              <w:rPr>
                <w:color w:val="000000"/>
                <w:spacing w:val="0"/>
                <w:w w:val="100"/>
                <w:position w:val="0"/>
              </w:rPr>
              <w:t>高伟达企 业级统一 额度管控 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2,500,755.79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2,500,755.79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高伟达互 联网架构 消息中心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1,078,323.91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1,078,323.91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费用化研 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41,810,516.11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41,810,516.11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14,278,954.5</w:t>
            </w:r>
          </w:p>
          <w:p>
            <w:pPr>
              <w:pStyle w:val="Style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36,822,349.85</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41,810,516.11</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36,177,236.49</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43,054,221.35</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13,680,362.70</w:t>
            </w:r>
          </w:p>
        </w:tc>
      </w:tr>
    </w:tbl>
    <w:p>
      <w:pPr>
        <w:widowControl w:val="0"/>
        <w:spacing w:after="99" w:line="1" w:lineRule="exact"/>
      </w:pP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0"/>
        <w:keepNext w:val="0"/>
        <w:keepLines w:val="0"/>
        <w:widowControl w:val="0"/>
        <w:shd w:val="clear" w:color="auto" w:fill="auto"/>
        <w:bidi w:val="0"/>
        <w:spacing w:before="0" w:after="40" w:line="322" w:lineRule="exact"/>
        <w:ind w:left="520" w:right="0" w:firstLine="0"/>
        <w:jc w:val="left"/>
      </w:pPr>
      <w:r>
        <w:rPr>
          <w:color w:val="000000"/>
          <w:spacing w:val="0"/>
          <w:w w:val="100"/>
          <w:position w:val="0"/>
        </w:rPr>
        <w:t>本期开发支出为</w:t>
      </w:r>
      <w:r>
        <w:rPr>
          <w:rFonts w:ascii="Times New Roman" w:eastAsia="Times New Roman" w:hAnsi="Times New Roman" w:cs="Times New Roman"/>
          <w:color w:val="000000"/>
          <w:spacing w:val="0"/>
          <w:w w:val="100"/>
          <w:position w:val="0"/>
        </w:rPr>
        <w:t>36,822,349.85</w:t>
      </w:r>
      <w:r>
        <w:rPr>
          <w:color w:val="000000"/>
          <w:spacing w:val="0"/>
          <w:w w:val="100"/>
          <w:position w:val="0"/>
        </w:rPr>
        <w:t>元，占本期研究开发项目支出总额的</w:t>
      </w:r>
      <w:r>
        <w:rPr>
          <w:rFonts w:ascii="Times New Roman" w:eastAsia="Times New Roman" w:hAnsi="Times New Roman" w:cs="Times New Roman"/>
          <w:color w:val="000000"/>
          <w:spacing w:val="0"/>
          <w:w w:val="100"/>
          <w:position w:val="0"/>
        </w:rPr>
        <w:t>46.83%</w:t>
      </w:r>
      <w:r>
        <w:rPr>
          <w:color w:val="000000"/>
          <w:spacing w:val="0"/>
          <w:w w:val="100"/>
          <w:position w:val="0"/>
        </w:rPr>
        <w:t>。 资本化开始时点、资本化的具体依据、截至期末的研发进度</w:t>
      </w:r>
    </w:p>
    <w:tbl>
      <w:tblPr>
        <w:tblOverlap w:val="never"/>
        <w:jc w:val="center"/>
        <w:tblLayout w:type="fixed"/>
      </w:tblPr>
      <w:tblGrid>
        <w:gridCol w:w="2530"/>
        <w:gridCol w:w="1310"/>
        <w:gridCol w:w="2410"/>
        <w:gridCol w:w="2678"/>
      </w:tblGrid>
      <w:tr>
        <w:trPr>
          <w:trHeight w:val="35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资本化时点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截止年末研发进度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资本化具体依据</w:t>
            </w:r>
          </w:p>
        </w:tc>
      </w:tr>
      <w:tr>
        <w:trPr>
          <w:trHeight w:val="6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高伟达保险业务系统开发平台</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（二期）</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实施中，预计</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月结束</w:t>
            </w:r>
          </w:p>
        </w:tc>
        <w:tc>
          <w:tcPr>
            <w:vMerge w:val="restart"/>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本公司有足够的相关资源进行研 发活动，研究开发支出在开发阶段 具有针对性，形成新产品或者新技 术的基本条件已经具备，且该阶段 的支出能够可靠计量、未来经济利 益流入能够可靠预计。此阶段由项 目组负责申请立项，研发管理委员 会负责组织立项文档及各阶段产 品评审，研发及业务部门负责人及 以上领导负责立项终审。经立项审 批后，项目研究进入开发阶段，有 关支出于发生时予以资本化。</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高伟达资产交易平台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实施中，预计</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月结束</w:t>
            </w:r>
          </w:p>
        </w:tc>
        <w:tc>
          <w:tcPr>
            <w:vMerge/>
            <w:tcBorders>
              <w:left w:val="single" w:sz="4"/>
              <w:right w:val="single" w:sz="4"/>
            </w:tcBorders>
            <w:shd w:val="clear" w:color="auto" w:fill="FFFFFF"/>
            <w:vAlign w:val="top"/>
          </w:tcPr>
          <w:p>
            <w:pPr/>
          </w:p>
        </w:tc>
      </w:tr>
      <w:tr>
        <w:trPr>
          <w:trHeight w:val="65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高伟达新信贷业务系统（零售信 贷）</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实施中，预计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月结束</w:t>
            </w:r>
          </w:p>
        </w:tc>
        <w:tc>
          <w:tcPr>
            <w:vMerge/>
            <w:tcBorders>
              <w:left w:val="single" w:sz="4"/>
              <w:right w:val="single" w:sz="4"/>
            </w:tcBorders>
            <w:shd w:val="clear" w:color="auto" w:fill="FFFFFF"/>
            <w:vAlign w:val="top"/>
          </w:tcPr>
          <w:p>
            <w:pPr/>
          </w:p>
        </w:tc>
      </w:tr>
      <w:tr>
        <w:trPr>
          <w:trHeight w:val="65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高伟达核心业务系统（基于</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JAVA</w:t>
            </w:r>
            <w:r>
              <w:rPr>
                <w:color w:val="000000"/>
                <w:spacing w:val="0"/>
                <w:w w:val="100"/>
                <w:position w:val="0"/>
              </w:rPr>
              <w:t>交易平台）</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实施中，预计</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月结束</w:t>
            </w:r>
          </w:p>
        </w:tc>
        <w:tc>
          <w:tcPr>
            <w:vMerge/>
            <w:tcBorders>
              <w:left w:val="single" w:sz="4"/>
              <w:right w:val="single" w:sz="4"/>
            </w:tcBorders>
            <w:shd w:val="clear" w:color="auto" w:fill="FFFFFF"/>
            <w:vAlign w:val="top"/>
          </w:tcPr>
          <w:p>
            <w:pPr/>
          </w:p>
        </w:tc>
      </w:tr>
      <w:tr>
        <w:trPr>
          <w:trHeight w:val="6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高伟达业务管理集成系统（二 期）</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实施中，预计</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月结束</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高伟达数据治理软件工具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实施中，预计</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月结束</w:t>
            </w:r>
          </w:p>
        </w:tc>
        <w:tc>
          <w:tcPr>
            <w:vMerge/>
            <w:tcBorders>
              <w:left w:val="single" w:sz="4"/>
              <w:right w:val="single" w:sz="4"/>
            </w:tcBorders>
            <w:shd w:val="clear" w:color="auto" w:fill="FFFFFF"/>
            <w:vAlign w:val="top"/>
          </w:tcPr>
          <w:p>
            <w:pPr/>
          </w:p>
        </w:tc>
      </w:tr>
      <w:tr>
        <w:trPr>
          <w:trHeight w:val="66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高伟达内容管理平台（基于</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HADOOP）</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实施中，预计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月结束</w:t>
            </w: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both"/>
      </w:pPr>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16</w:t>
      </w:r>
      <w:r>
        <w:rPr>
          <w:color w:val="000000"/>
          <w:spacing w:val="0"/>
          <w:w w:val="100"/>
          <w:position w:val="0"/>
        </w:rPr>
        <w:t>、商誉</w:t>
      </w:r>
      <w:bookmarkEnd w:id="1214"/>
      <w:bookmarkEnd w:id="1215"/>
      <w:bookmarkEnd w:id="1216"/>
    </w:p>
    <w:p>
      <w:pPr>
        <w:pStyle w:val="Style55"/>
        <w:keepNext/>
        <w:keepLines/>
        <w:widowControl w:val="0"/>
        <w:shd w:val="clear" w:color="auto" w:fill="auto"/>
        <w:bidi w:val="0"/>
        <w:spacing w:before="0" w:line="240" w:lineRule="auto"/>
        <w:ind w:left="0" w:right="0" w:firstLine="0"/>
        <w:jc w:val="both"/>
      </w:pPr>
      <w:bookmarkStart w:id="1217" w:name="bookmark1217"/>
      <w:bookmarkStart w:id="1218" w:name="bookmark1218"/>
      <w:bookmarkStart w:id="1219" w:name="bookmark12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17"/>
      <w:bookmarkEnd w:id="1218"/>
      <w:bookmarkEnd w:id="1219"/>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被投资单位名称</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或形成商誉的事</w:t>
            </w:r>
          </w:p>
          <w:p>
            <w:pPr>
              <w:pStyle w:val="Style5"/>
              <w:keepNext w:val="0"/>
              <w:keepLines w:val="0"/>
              <w:widowControl w:val="0"/>
              <w:shd w:val="clear" w:color="auto" w:fill="auto"/>
              <w:bidi w:val="0"/>
              <w:spacing w:before="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715" w:hRule="exact"/>
        </w:trPr>
        <w:tc>
          <w:tcPr>
            <w:tcBorders>
              <w:top w:val="single" w:sz="4"/>
              <w:left w:val="single" w:sz="4"/>
            </w:tcBorders>
            <w:shd w:val="clear" w:color="auto" w:fill="E1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海南坚果创娱信 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243,380,576.73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243,380,576.73</w:t>
            </w:r>
          </w:p>
        </w:tc>
      </w:tr>
      <w:tr>
        <w:trPr>
          <w:trHeight w:val="715" w:hRule="exact"/>
        </w:trPr>
        <w:tc>
          <w:tcPr>
            <w:tcBorders>
              <w:top w:val="single" w:sz="4"/>
              <w:left w:val="single" w:sz="4"/>
            </w:tcBorders>
            <w:shd w:val="clear" w:color="auto" w:fill="E1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上海睿民互联网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235,429,130.86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235,429,130.86</w:t>
            </w:r>
          </w:p>
        </w:tc>
      </w:tr>
      <w:tr>
        <w:trPr>
          <w:trHeight w:val="710" w:hRule="exact"/>
        </w:trPr>
        <w:tc>
          <w:tcPr>
            <w:tcBorders>
              <w:top w:val="single" w:sz="4"/>
              <w:left w:val="single" w:sz="4"/>
            </w:tcBorders>
            <w:shd w:val="clear" w:color="auto" w:fill="E1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喀什尚河信息科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107,475,857.58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107,475,857.58</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586,285,565.17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586,285,565.17</w:t>
            </w:r>
          </w:p>
        </w:tc>
      </w:tr>
    </w:tbl>
    <w:p>
      <w:pPr>
        <w:widowControl w:val="0"/>
        <w:spacing w:after="299" w:line="1" w:lineRule="exact"/>
      </w:pPr>
    </w:p>
    <w:p>
      <w:pPr>
        <w:pStyle w:val="Style55"/>
        <w:keepNext/>
        <w:keepLines/>
        <w:widowControl w:val="0"/>
        <w:numPr>
          <w:ilvl w:val="0"/>
          <w:numId w:val="57"/>
        </w:numPr>
        <w:shd w:val="clear" w:color="auto" w:fill="auto"/>
        <w:bidi w:val="0"/>
        <w:spacing w:before="0" w:line="240" w:lineRule="auto"/>
        <w:ind w:left="0" w:right="0" w:firstLine="0"/>
        <w:jc w:val="left"/>
      </w:pPr>
      <w:bookmarkStart w:id="1220" w:name="bookmark1220"/>
      <w:bookmarkStart w:id="1221" w:name="bookmark1221"/>
      <w:bookmarkStart w:id="1222" w:name="bookmark1222"/>
      <w:bookmarkStart w:id="1223" w:name="bookmark1223"/>
      <w:bookmarkEnd w:id="1222"/>
      <w:r>
        <w:rPr>
          <w:color w:val="000000"/>
          <w:spacing w:val="0"/>
          <w:w w:val="100"/>
          <w:position w:val="0"/>
        </w:rPr>
        <w:t>商誉减值准备</w:t>
      </w:r>
      <w:bookmarkEnd w:id="1220"/>
      <w:bookmarkEnd w:id="1221"/>
      <w:bookmarkEnd w:id="1223"/>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2736"/>
        <w:gridCol w:w="2736"/>
        <w:gridCol w:w="1373"/>
      </w:tblGrid>
      <w:tr>
        <w:trPr>
          <w:trHeight w:val="104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bl>
    <w:p>
      <w:pPr>
        <w:widowControl w:val="0"/>
        <w:spacing w:after="99" w:line="1" w:lineRule="exact"/>
      </w:pP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说明商誉减值测试过程、参数及商誉减值损失的确认方法：</w:t>
      </w:r>
    </w:p>
    <w:p>
      <w:pPr>
        <w:pStyle w:val="Style70"/>
        <w:keepNext w:val="0"/>
        <w:keepLines w:val="0"/>
        <w:widowControl w:val="0"/>
        <w:shd w:val="clear" w:color="auto" w:fill="auto"/>
        <w:bidi w:val="0"/>
        <w:spacing w:before="0" w:after="460" w:line="311" w:lineRule="exact"/>
        <w:ind w:left="0" w:right="0" w:firstLine="440"/>
        <w:jc w:val="both"/>
      </w:pPr>
      <w:r>
        <w:rPr>
          <w:color w:val="000000"/>
          <w:spacing w:val="0"/>
          <w:w w:val="100"/>
          <w:position w:val="0"/>
        </w:rPr>
        <w:t>本公司采用预计未来现金流现值的方法计算资产组的可收回金额。本公司根据管理层批准的财务预算 预计未来</w:t>
      </w:r>
      <w:r>
        <w:rPr>
          <w:rFonts w:ascii="Times New Roman" w:eastAsia="Times New Roman" w:hAnsi="Times New Roman" w:cs="Times New Roman"/>
          <w:color w:val="000000"/>
          <w:spacing w:val="0"/>
          <w:w w:val="100"/>
          <w:position w:val="0"/>
        </w:rPr>
        <w:t>5</w:t>
      </w:r>
      <w:r>
        <w:rPr>
          <w:color w:val="000000"/>
          <w:spacing w:val="0"/>
          <w:w w:val="100"/>
          <w:position w:val="0"/>
        </w:rPr>
        <w:t>年内现金流量，并假设其后年度保持预测期第</w:t>
      </w:r>
      <w:r>
        <w:rPr>
          <w:rFonts w:ascii="Times New Roman" w:eastAsia="Times New Roman" w:hAnsi="Times New Roman" w:cs="Times New Roman"/>
          <w:color w:val="000000"/>
          <w:spacing w:val="0"/>
          <w:w w:val="100"/>
          <w:position w:val="0"/>
        </w:rPr>
        <w:t>5</w:t>
      </w:r>
      <w:r>
        <w:rPr>
          <w:color w:val="000000"/>
          <w:spacing w:val="0"/>
          <w:w w:val="100"/>
          <w:position w:val="0"/>
        </w:rPr>
        <w:t>年的现金流量水平。管理层根据过往表现及其 对市场发展的预期编制上述财务预算。计算未来现金流现值所采用的税前折现率为评估基准日折现率，考 虑了本公司的债务成本、长期国债利率、市场预期报酬率等因素，已反映了各资产组的风险。根据减值测 试的结果，本期期末商誉未发生减值。</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00" w:line="324" w:lineRule="auto"/>
        <w:ind w:left="0" w:right="0" w:firstLine="0"/>
        <w:jc w:val="both"/>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1</w:t>
      </w:r>
      <w:bookmarkEnd w:id="1226"/>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224"/>
      <w:bookmarkEnd w:id="1225"/>
      <w:bookmarkEnd w:id="1227"/>
    </w:p>
    <w:p>
      <w:pPr>
        <w:pStyle w:val="Style5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1,022,591.07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4,539,345.59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1,179,893.79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4,382,042.87</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邮箱服务费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197,140.34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134,069.32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63,071.02</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1,219,731.41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4,539,345.59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1,313,963.11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4,445,113.89</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1</w:t>
      </w:r>
      <w:bookmarkEnd w:id="1230"/>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28"/>
      <w:bookmarkEnd w:id="1229"/>
      <w:bookmarkEnd w:id="1231"/>
    </w:p>
    <w:p>
      <w:pPr>
        <w:pStyle w:val="Style55"/>
        <w:keepNext/>
        <w:keepLines/>
        <w:widowControl w:val="0"/>
        <w:shd w:val="clear" w:color="auto" w:fill="auto"/>
        <w:bidi w:val="0"/>
        <w:spacing w:before="0" w:line="240" w:lineRule="auto"/>
        <w:ind w:left="0" w:right="0" w:firstLine="0"/>
        <w:jc w:val="left"/>
      </w:pPr>
      <w:bookmarkStart w:id="1232" w:name="bookmark1232"/>
      <w:bookmarkStart w:id="1233" w:name="bookmark1233"/>
      <w:bookmarkStart w:id="1234" w:name="bookmark12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32"/>
      <w:bookmarkEnd w:id="1233"/>
      <w:bookmarkEnd w:id="1234"/>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27,077,695.02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4,061,681.54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24,232,549.34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3,634,882.41</w:t>
            </w:r>
          </w:p>
        </w:tc>
      </w:tr>
      <w:tr>
        <w:trPr>
          <w:trHeight w:val="710"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尚未解锁股权激励摊销</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的所得税影响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3,974,800.00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596,220.00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未确认融资费用摊销的 所得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1,280,725.07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192,108.77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32,333,220.09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4,850,010.31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24,232,549.34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3,634,882.41</w:t>
            </w:r>
          </w:p>
        </w:tc>
      </w:tr>
    </w:tbl>
    <w:p>
      <w:pPr>
        <w:widowControl w:val="0"/>
        <w:spacing w:after="319" w:line="1" w:lineRule="exact"/>
      </w:pPr>
    </w:p>
    <w:p>
      <w:pPr>
        <w:pStyle w:val="Style55"/>
        <w:keepNext/>
        <w:keepLines/>
        <w:widowControl w:val="0"/>
        <w:numPr>
          <w:ilvl w:val="0"/>
          <w:numId w:val="59"/>
        </w:numPr>
        <w:shd w:val="clear" w:color="auto" w:fill="auto"/>
        <w:bidi w:val="0"/>
        <w:spacing w:before="0" w:line="240" w:lineRule="auto"/>
        <w:ind w:left="0" w:right="0" w:firstLine="0"/>
        <w:jc w:val="left"/>
      </w:pPr>
      <w:bookmarkStart w:id="1235" w:name="bookmark1235"/>
      <w:bookmarkStart w:id="1236" w:name="bookmark1236"/>
      <w:bookmarkStart w:id="1237" w:name="bookmark1237"/>
      <w:bookmarkStart w:id="1238" w:name="bookmark1238"/>
      <w:bookmarkEnd w:id="1237"/>
      <w:r>
        <w:rPr>
          <w:color w:val="000000"/>
          <w:spacing w:val="0"/>
          <w:w w:val="100"/>
          <w:position w:val="0"/>
        </w:rPr>
        <w:t>未经抵销的递延所得税负债</w:t>
      </w:r>
      <w:bookmarkEnd w:id="1235"/>
      <w:bookmarkEnd w:id="1236"/>
      <w:bookmarkEnd w:id="1238"/>
    </w:p>
    <w:p>
      <w:pPr>
        <w:pStyle w:val="Style5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评估增值额的所得税影 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14,510,675.00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2,176,601.25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14,510,675.00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2,176,601.25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5"/>
        <w:keepNext/>
        <w:keepLines/>
        <w:widowControl w:val="0"/>
        <w:numPr>
          <w:ilvl w:val="0"/>
          <w:numId w:val="59"/>
        </w:numPr>
        <w:shd w:val="clear" w:color="auto" w:fill="auto"/>
        <w:bidi w:val="0"/>
        <w:spacing w:before="0" w:line="240" w:lineRule="auto"/>
        <w:ind w:left="0" w:right="0" w:firstLine="0"/>
        <w:jc w:val="left"/>
      </w:pPr>
      <w:bookmarkStart w:id="1239" w:name="bookmark1239"/>
      <w:bookmarkStart w:id="1240" w:name="bookmark1240"/>
      <w:bookmarkStart w:id="1241" w:name="bookmark1241"/>
      <w:bookmarkStart w:id="1242" w:name="bookmark1242"/>
      <w:bookmarkEnd w:id="1241"/>
      <w:r>
        <w:rPr>
          <w:color w:val="000000"/>
          <w:spacing w:val="0"/>
          <w:w w:val="100"/>
          <w:position w:val="0"/>
        </w:rPr>
        <w:t>以抵销后净额列示的递延所得税资产或负债</w:t>
      </w:r>
      <w:bookmarkEnd w:id="1239"/>
      <w:bookmarkEnd w:id="1240"/>
      <w:bookmarkEnd w:id="1242"/>
    </w:p>
    <w:p>
      <w:pPr>
        <w:pStyle w:val="Style5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4,850,010.31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3,634,882.41</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2,176,601.25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5"/>
        <w:keepNext/>
        <w:keepLines/>
        <w:widowControl w:val="0"/>
        <w:numPr>
          <w:ilvl w:val="0"/>
          <w:numId w:val="59"/>
        </w:numPr>
        <w:shd w:val="clear" w:color="auto" w:fill="auto"/>
        <w:bidi w:val="0"/>
        <w:spacing w:before="0" w:line="240" w:lineRule="auto"/>
        <w:ind w:left="0" w:right="0" w:firstLine="0"/>
        <w:jc w:val="left"/>
      </w:pPr>
      <w:bookmarkStart w:id="1243" w:name="bookmark1243"/>
      <w:bookmarkStart w:id="1244" w:name="bookmark1244"/>
      <w:bookmarkStart w:id="1245" w:name="bookmark1245"/>
      <w:bookmarkStart w:id="1246" w:name="bookmark1246"/>
      <w:bookmarkEnd w:id="1245"/>
      <w:r>
        <w:rPr>
          <w:color w:val="000000"/>
          <w:spacing w:val="0"/>
          <w:w w:val="100"/>
          <w:position w:val="0"/>
        </w:rPr>
        <w:t>未确认递延所得税资产明细</w:t>
      </w:r>
      <w:bookmarkEnd w:id="1243"/>
      <w:bookmarkEnd w:id="1244"/>
      <w:bookmarkEnd w:id="1246"/>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-63,901.15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790,672.05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726,770.90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5"/>
        <w:keepNext/>
        <w:keepLines/>
        <w:widowControl w:val="0"/>
        <w:numPr>
          <w:ilvl w:val="0"/>
          <w:numId w:val="59"/>
        </w:numPr>
        <w:shd w:val="clear" w:color="auto" w:fill="auto"/>
        <w:bidi w:val="0"/>
        <w:spacing w:before="0" w:after="360" w:line="240" w:lineRule="auto"/>
        <w:ind w:left="0" w:right="0" w:firstLine="140"/>
        <w:jc w:val="left"/>
      </w:pPr>
      <w:bookmarkStart w:id="1247" w:name="bookmark1247"/>
      <w:bookmarkStart w:id="1248" w:name="bookmark1248"/>
      <w:bookmarkStart w:id="1249" w:name="bookmark1249"/>
      <w:bookmarkStart w:id="1250" w:name="bookmark1250"/>
      <w:bookmarkEnd w:id="1249"/>
      <w:r>
        <w:rPr>
          <w:color w:val="000000"/>
          <w:spacing w:val="0"/>
          <w:w w:val="100"/>
          <w:position w:val="0"/>
        </w:rPr>
        <w:t>未确认递延所得税资产的可抵扣亏损将于以下年度到期</w:t>
      </w:r>
      <w:bookmarkEnd w:id="1247"/>
      <w:bookmarkEnd w:id="1248"/>
      <w:bookmarkEnd w:id="1250"/>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5,271,146.95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5,271,146.95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1</w:t>
      </w:r>
      <w:bookmarkEnd w:id="1253"/>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251"/>
      <w:bookmarkEnd w:id="1252"/>
      <w:bookmarkEnd w:id="1254"/>
    </w:p>
    <w:p>
      <w:pPr>
        <w:pStyle w:val="Style55"/>
        <w:keepNext/>
        <w:keepLines/>
        <w:widowControl w:val="0"/>
        <w:shd w:val="clear" w:color="auto" w:fill="auto"/>
        <w:bidi w:val="0"/>
        <w:spacing w:before="0" w:after="360" w:line="240" w:lineRule="auto"/>
        <w:ind w:left="0" w:right="0" w:firstLine="140"/>
        <w:jc w:val="left"/>
      </w:pPr>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55"/>
      <w:bookmarkEnd w:id="1256"/>
      <w:bookmarkEnd w:id="1257"/>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61,400,000.00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73,400,000.00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短期借款分类的说明：</w:t>
      </w:r>
    </w:p>
    <w:p>
      <w:pPr>
        <w:pStyle w:val="Style55"/>
        <w:keepNext/>
        <w:keepLines/>
        <w:widowControl w:val="0"/>
        <w:numPr>
          <w:ilvl w:val="0"/>
          <w:numId w:val="61"/>
        </w:numPr>
        <w:shd w:val="clear" w:color="auto" w:fill="auto"/>
        <w:bidi w:val="0"/>
        <w:spacing w:before="0" w:after="360" w:line="240" w:lineRule="auto"/>
        <w:ind w:left="0" w:right="0" w:firstLine="0"/>
        <w:jc w:val="left"/>
      </w:pPr>
      <w:bookmarkStart w:id="1258" w:name="bookmark1258"/>
      <w:bookmarkStart w:id="1259" w:name="bookmark1259"/>
      <w:bookmarkStart w:id="1260" w:name="bookmark1260"/>
      <w:bookmarkStart w:id="1261" w:name="bookmark1261"/>
      <w:bookmarkEnd w:id="1260"/>
      <w:r>
        <w:rPr>
          <w:color w:val="000000"/>
          <w:spacing w:val="0"/>
          <w:w w:val="100"/>
          <w:position w:val="0"/>
        </w:rPr>
        <w:t>已逾期未偿还的短期借款情况</w:t>
      </w:r>
      <w:bookmarkEnd w:id="1258"/>
      <w:bookmarkEnd w:id="1259"/>
      <w:bookmarkEnd w:id="126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2</w:t>
      </w:r>
      <w:bookmarkEnd w:id="1264"/>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262"/>
      <w:bookmarkEnd w:id="1263"/>
      <w:bookmarkEnd w:id="1265"/>
    </w:p>
    <w:p>
      <w:pPr>
        <w:pStyle w:val="Style55"/>
        <w:keepNext/>
        <w:keepLines/>
        <w:widowControl w:val="0"/>
        <w:shd w:val="clear" w:color="auto" w:fill="auto"/>
        <w:bidi w:val="0"/>
        <w:spacing w:before="0" w:after="360" w:line="240" w:lineRule="auto"/>
        <w:ind w:left="0" w:right="0" w:firstLine="0"/>
        <w:jc w:val="left"/>
      </w:pPr>
      <w:bookmarkStart w:id="1266" w:name="bookmark1266"/>
      <w:bookmarkStart w:id="1267" w:name="bookmark1267"/>
      <w:bookmarkStart w:id="1268" w:name="bookmark12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66"/>
      <w:bookmarkEnd w:id="1267"/>
      <w:bookmarkEnd w:id="1268"/>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100,932,516.68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40,895,634.32</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100,932,516.68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40,895,634.32</w:t>
            </w:r>
          </w:p>
        </w:tc>
      </w:tr>
    </w:tbl>
    <w:p>
      <w:pPr>
        <w:widowControl w:val="0"/>
        <w:spacing w:after="359" w:line="1" w:lineRule="exact"/>
      </w:pPr>
    </w:p>
    <w:p>
      <w:pPr>
        <w:pStyle w:val="Style55"/>
        <w:keepNext/>
        <w:keepLines/>
        <w:widowControl w:val="0"/>
        <w:shd w:val="clear" w:color="auto" w:fill="auto"/>
        <w:bidi w:val="0"/>
        <w:spacing w:before="0" w:after="360" w:line="240" w:lineRule="auto"/>
        <w:ind w:left="0" w:right="0" w:firstLine="140"/>
        <w:jc w:val="left"/>
      </w:pPr>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69"/>
      <w:bookmarkEnd w:id="1270"/>
      <w:bookmarkEnd w:id="1271"/>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2</w:t>
      </w:r>
      <w:bookmarkEnd w:id="1274"/>
      <w:r>
        <w:rPr>
          <w:rFonts w:ascii="Times New Roman" w:eastAsia="Times New Roman" w:hAnsi="Times New Roman" w:cs="Times New Roman"/>
          <w:color w:val="000000"/>
          <w:spacing w:val="0"/>
          <w:w w:val="100"/>
          <w:position w:val="0"/>
        </w:rPr>
        <w:t>1</w:t>
      </w:r>
      <w:r>
        <w:rPr>
          <w:color w:val="000000"/>
          <w:spacing w:val="0"/>
          <w:w w:val="100"/>
          <w:position w:val="0"/>
        </w:rPr>
        <w:t>、预收款项</w:t>
      </w:r>
      <w:bookmarkEnd w:id="1272"/>
      <w:bookmarkEnd w:id="1273"/>
      <w:bookmarkEnd w:id="1275"/>
    </w:p>
    <w:p>
      <w:pPr>
        <w:pStyle w:val="Style55"/>
        <w:keepNext/>
        <w:keepLines/>
        <w:widowControl w:val="0"/>
        <w:shd w:val="clear" w:color="auto" w:fill="auto"/>
        <w:bidi w:val="0"/>
        <w:spacing w:before="0" w:line="240" w:lineRule="auto"/>
        <w:ind w:left="0" w:right="0" w:firstLine="0"/>
        <w:jc w:val="left"/>
      </w:pPr>
      <w:bookmarkStart w:id="1276" w:name="bookmark1276"/>
      <w:bookmarkStart w:id="1277" w:name="bookmark1277"/>
      <w:bookmarkStart w:id="1278" w:name="bookmark12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76"/>
      <w:bookmarkEnd w:id="1277"/>
      <w:bookmarkEnd w:id="1278"/>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29,539,150.09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28,524,600.09</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29,539,150.09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28,524,600.09</w:t>
            </w:r>
          </w:p>
        </w:tc>
      </w:tr>
    </w:tbl>
    <w:p>
      <w:pPr>
        <w:widowControl w:val="0"/>
        <w:spacing w:after="319" w:line="1" w:lineRule="exact"/>
      </w:pPr>
    </w:p>
    <w:p>
      <w:pPr>
        <w:pStyle w:val="Style55"/>
        <w:keepNext/>
        <w:keepLines/>
        <w:widowControl w:val="0"/>
        <w:shd w:val="clear" w:color="auto" w:fill="auto"/>
        <w:bidi w:val="0"/>
        <w:spacing w:before="0" w:line="240" w:lineRule="auto"/>
        <w:ind w:left="0" w:right="0" w:firstLine="140"/>
        <w:jc w:val="left"/>
      </w:pPr>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279"/>
      <w:bookmarkEnd w:id="1280"/>
      <w:bookmarkEnd w:id="1281"/>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55"/>
        <w:keepNext/>
        <w:keepLines/>
        <w:widowControl w:val="0"/>
        <w:numPr>
          <w:ilvl w:val="0"/>
          <w:numId w:val="61"/>
        </w:numPr>
        <w:shd w:val="clear" w:color="auto" w:fill="auto"/>
        <w:bidi w:val="0"/>
        <w:spacing w:before="0" w:line="240" w:lineRule="auto"/>
        <w:ind w:left="0" w:right="0" w:firstLine="140"/>
        <w:jc w:val="left"/>
      </w:pPr>
      <w:bookmarkStart w:id="1282" w:name="bookmark1282"/>
      <w:bookmarkStart w:id="1283" w:name="bookmark1283"/>
      <w:bookmarkStart w:id="1284" w:name="bookmark1284"/>
      <w:bookmarkStart w:id="1285" w:name="bookmark1285"/>
      <w:bookmarkEnd w:id="1284"/>
      <w:r>
        <w:rPr>
          <w:color w:val="000000"/>
          <w:spacing w:val="0"/>
          <w:w w:val="100"/>
          <w:position w:val="0"/>
        </w:rPr>
        <w:t>期末建造合同形成的已结算未完工项目情况</w:t>
      </w:r>
      <w:bookmarkEnd w:id="1282"/>
      <w:bookmarkEnd w:id="1283"/>
      <w:bookmarkEnd w:id="1285"/>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2</w:t>
      </w:r>
      <w:bookmarkEnd w:id="1288"/>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286"/>
      <w:bookmarkEnd w:id="1287"/>
      <w:bookmarkEnd w:id="1289"/>
    </w:p>
    <w:p>
      <w:pPr>
        <w:pStyle w:val="Style55"/>
        <w:keepNext/>
        <w:keepLines/>
        <w:widowControl w:val="0"/>
        <w:shd w:val="clear" w:color="auto" w:fill="auto"/>
        <w:bidi w:val="0"/>
        <w:spacing w:before="0" w:line="240" w:lineRule="auto"/>
        <w:ind w:left="0" w:right="0" w:firstLine="0"/>
        <w:jc w:val="left"/>
      </w:pPr>
      <w:bookmarkStart w:id="1290" w:name="bookmark1290"/>
      <w:bookmarkStart w:id="1291" w:name="bookmark1291"/>
      <w:bookmarkStart w:id="1292" w:name="bookmark12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90"/>
      <w:bookmarkEnd w:id="1291"/>
      <w:bookmarkEnd w:id="1292"/>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5,971,574.21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396,167,645.04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367,053,705.93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35,085,513.32</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1,498,420.86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31,681,795.64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30,349,809.45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2,830,407.05</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193,866.80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193,866.80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7,469,995.07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428,043,307.48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397,597,382.18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37,915,920.37</w:t>
            </w:r>
          </w:p>
        </w:tc>
      </w:tr>
    </w:tbl>
    <w:p>
      <w:pPr>
        <w:widowControl w:val="0"/>
        <w:spacing w:after="319" w:line="1" w:lineRule="exact"/>
      </w:pPr>
    </w:p>
    <w:p>
      <w:pPr>
        <w:pStyle w:val="Style55"/>
        <w:keepNext/>
        <w:keepLines/>
        <w:widowControl w:val="0"/>
        <w:shd w:val="clear" w:color="auto" w:fill="auto"/>
        <w:bidi w:val="0"/>
        <w:spacing w:before="0" w:line="240" w:lineRule="auto"/>
        <w:ind w:left="0" w:right="0" w:firstLine="140"/>
        <w:jc w:val="left"/>
      </w:pPr>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93"/>
      <w:bookmarkEnd w:id="1294"/>
      <w:bookmarkEnd w:id="1295"/>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3,826,742.74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347,254,359.37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320,026,985.51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31,054,116.60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3,115,832.34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3,115,832.34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775,437.27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16,402,714.24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15,676,650.02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1,501,501.49</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697,857.94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14,689,267.50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14,034,632.65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1,352,492.79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23,883.86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522,678.35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502,700.35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43,861.86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53,695.47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1,190,768.39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1,139,317.02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105,146.84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1,219,549.20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26,905,622.12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25,759,387.62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2,365,783.70</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18,756.51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15,446.51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3,310.00</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其他短期薪酬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149,845.00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2,470,360.46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2,459,403.93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160,801.53</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5,971,574.21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396,167,645.04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367,053,705.93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35,085,513.32</w:t>
            </w:r>
          </w:p>
        </w:tc>
      </w:tr>
    </w:tbl>
    <w:p>
      <w:pPr>
        <w:widowControl w:val="0"/>
        <w:spacing w:after="319" w:line="1" w:lineRule="exact"/>
      </w:pPr>
    </w:p>
    <w:p>
      <w:pPr>
        <w:pStyle w:val="Style55"/>
        <w:keepNext/>
        <w:keepLines/>
        <w:widowControl w:val="0"/>
        <w:numPr>
          <w:ilvl w:val="0"/>
          <w:numId w:val="57"/>
        </w:numPr>
        <w:shd w:val="clear" w:color="auto" w:fill="auto"/>
        <w:bidi w:val="0"/>
        <w:spacing w:before="0" w:after="360" w:line="240" w:lineRule="auto"/>
        <w:ind w:left="0" w:right="0" w:firstLine="0"/>
        <w:jc w:val="left"/>
      </w:pPr>
      <w:bookmarkStart w:id="1296" w:name="bookmark1296"/>
      <w:bookmarkStart w:id="1297" w:name="bookmark1297"/>
      <w:bookmarkStart w:id="1298" w:name="bookmark1298"/>
      <w:bookmarkStart w:id="1299" w:name="bookmark1299"/>
      <w:bookmarkEnd w:id="1298"/>
      <w:r>
        <w:rPr>
          <w:color w:val="000000"/>
          <w:spacing w:val="0"/>
          <w:w w:val="100"/>
          <w:position w:val="0"/>
        </w:rPr>
        <w:t>设定提存计划列示</w:t>
      </w:r>
      <w:bookmarkEnd w:id="1296"/>
      <w:bookmarkEnd w:id="1297"/>
      <w:bookmarkEnd w:id="1299"/>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1,422,012.00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30,205,240.59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28,916,569.03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2,710,683.56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76,408.86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1,476,555.05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1,433,240.42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119,723.49</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1,498,420.86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31,681,795.64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30,349,809.45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2,830,407.05</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70"/>
        <w:keepNext w:val="0"/>
        <w:keepLines w:val="0"/>
        <w:widowControl w:val="0"/>
        <w:numPr>
          <w:ilvl w:val="0"/>
          <w:numId w:val="63"/>
        </w:numPr>
        <w:shd w:val="clear" w:color="auto" w:fill="auto"/>
        <w:tabs>
          <w:tab w:pos="866" w:val="left"/>
        </w:tabs>
        <w:bidi w:val="0"/>
        <w:spacing w:before="0" w:after="40" w:line="240" w:lineRule="auto"/>
        <w:ind w:left="0" w:right="0" w:firstLine="440"/>
        <w:jc w:val="left"/>
      </w:pPr>
      <w:bookmarkStart w:id="1300" w:name="bookmark1300"/>
      <w:bookmarkEnd w:id="1300"/>
      <w:r>
        <w:rPr>
          <w:color w:val="000000"/>
          <w:spacing w:val="0"/>
          <w:w w:val="100"/>
          <w:position w:val="0"/>
        </w:rPr>
        <w:t>应付职工薪酬期末数中无属于拖欠性质的工资。</w:t>
      </w:r>
    </w:p>
    <w:p>
      <w:pPr>
        <w:pStyle w:val="Style70"/>
        <w:keepNext w:val="0"/>
        <w:keepLines w:val="0"/>
        <w:widowControl w:val="0"/>
        <w:numPr>
          <w:ilvl w:val="0"/>
          <w:numId w:val="63"/>
        </w:numPr>
        <w:shd w:val="clear" w:color="auto" w:fill="auto"/>
        <w:tabs>
          <w:tab w:pos="866" w:val="left"/>
        </w:tabs>
        <w:bidi w:val="0"/>
        <w:spacing w:before="0" w:line="240" w:lineRule="auto"/>
        <w:ind w:left="0" w:right="0" w:firstLine="440"/>
        <w:jc w:val="left"/>
      </w:pPr>
      <w:bookmarkStart w:id="1301" w:name="bookmark1301"/>
      <w:bookmarkEnd w:id="1301"/>
      <w:r>
        <w:rPr>
          <w:color w:val="000000"/>
          <w:spacing w:val="0"/>
          <w:w w:val="100"/>
          <w:position w:val="0"/>
        </w:rPr>
        <w:t>公司参与的设定提存计划为员工基本养老保险和员工失业保险。</w:t>
      </w:r>
    </w:p>
    <w:p>
      <w:pPr>
        <w:pStyle w:val="Style33"/>
        <w:keepNext/>
        <w:keepLines/>
        <w:widowControl w:val="0"/>
        <w:shd w:val="clear" w:color="auto" w:fill="auto"/>
        <w:bidi w:val="0"/>
        <w:spacing w:before="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2</w:t>
      </w:r>
      <w:bookmarkEnd w:id="1304"/>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302"/>
      <w:bookmarkEnd w:id="1303"/>
      <w:bookmarkEnd w:id="1305"/>
    </w:p>
    <w:p>
      <w:pPr>
        <w:pStyle w:val="Style5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4,345,003.04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13,410,674.89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2,895,026.21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6,164,775.66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3,264,564.17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2,300,458.17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423,790.87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405,200.12</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103,948.12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62,849.80</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170,969.45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173,657.19</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131,738.33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115,771.47</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价格调节基金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352.64</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残保金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11,338,021.49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22,633,739.94</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2</w:t>
      </w:r>
      <w:bookmarkEnd w:id="1308"/>
      <w:r>
        <w:rPr>
          <w:rFonts w:ascii="Times New Roman" w:eastAsia="Times New Roman" w:hAnsi="Times New Roman" w:cs="Times New Roman"/>
          <w:color w:val="000000"/>
          <w:spacing w:val="0"/>
          <w:w w:val="100"/>
          <w:position w:val="0"/>
        </w:rPr>
        <w:t>4</w:t>
      </w:r>
      <w:r>
        <w:rPr>
          <w:color w:val="000000"/>
          <w:spacing w:val="0"/>
          <w:w w:val="100"/>
          <w:position w:val="0"/>
        </w:rPr>
        <w:t>、应付利息</w:t>
      </w:r>
      <w:bookmarkEnd w:id="1306"/>
      <w:bookmarkEnd w:id="1307"/>
      <w:bookmarkEnd w:id="1309"/>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6,978.13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6,978.13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widowControl w:val="0"/>
        <w:spacing w:line="1" w:lineRule="exact"/>
      </w:pP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2</w:t>
      </w:r>
      <w:bookmarkEnd w:id="1312"/>
      <w:r>
        <w:rPr>
          <w:rFonts w:ascii="Times New Roman" w:eastAsia="Times New Roman" w:hAnsi="Times New Roman" w:cs="Times New Roman"/>
          <w:color w:val="000000"/>
          <w:spacing w:val="0"/>
          <w:w w:val="100"/>
          <w:position w:val="0"/>
        </w:rPr>
        <w:t>5</w:t>
      </w:r>
      <w:r>
        <w:rPr>
          <w:color w:val="000000"/>
          <w:spacing w:val="0"/>
          <w:w w:val="100"/>
          <w:position w:val="0"/>
        </w:rPr>
        <w:t>、应付股利</w:t>
      </w:r>
      <w:bookmarkEnd w:id="1310"/>
      <w:bookmarkEnd w:id="1311"/>
      <w:bookmarkEnd w:id="1313"/>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3"/>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2</w:t>
      </w:r>
      <w:bookmarkEnd w:id="1316"/>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314"/>
      <w:bookmarkEnd w:id="1315"/>
      <w:bookmarkEnd w:id="1317"/>
    </w:p>
    <w:p>
      <w:pPr>
        <w:pStyle w:val="Style55"/>
        <w:keepNext/>
        <w:keepLines/>
        <w:widowControl w:val="0"/>
        <w:shd w:val="clear" w:color="auto" w:fill="auto"/>
        <w:bidi w:val="0"/>
        <w:spacing w:before="0" w:after="360" w:line="240" w:lineRule="auto"/>
        <w:ind w:left="0" w:right="0" w:firstLine="140"/>
        <w:jc w:val="left"/>
      </w:pPr>
      <w:bookmarkStart w:id="1318" w:name="bookmark1318"/>
      <w:bookmarkStart w:id="1319" w:name="bookmark1319"/>
      <w:bookmarkStart w:id="1320" w:name="bookmark13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18"/>
      <w:bookmarkEnd w:id="1319"/>
      <w:bookmarkEnd w:id="1320"/>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83,848,516.38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58,195,840.00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10,226,791.61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2,330,604.56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员工社保公积金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2,321,395.04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1,968,767.91</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955,452.36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137,240.59</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157,878,599.95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2,106,008.50</w:t>
            </w:r>
          </w:p>
        </w:tc>
      </w:tr>
    </w:tbl>
    <w:p>
      <w:pPr>
        <w:widowControl w:val="0"/>
        <w:spacing w:after="359" w:line="1" w:lineRule="exact"/>
      </w:pPr>
    </w:p>
    <w:p>
      <w:pPr>
        <w:pStyle w:val="Style55"/>
        <w:keepNext/>
        <w:keepLines/>
        <w:widowControl w:val="0"/>
        <w:shd w:val="clear" w:color="auto" w:fill="auto"/>
        <w:bidi w:val="0"/>
        <w:spacing w:before="0" w:after="360" w:line="240" w:lineRule="auto"/>
        <w:ind w:left="0" w:right="0" w:firstLine="140"/>
        <w:jc w:val="left"/>
      </w:pPr>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21"/>
      <w:bookmarkEnd w:id="1322"/>
      <w:bookmarkEnd w:id="1323"/>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0"/>
        <w:keepNext w:val="0"/>
        <w:keepLines w:val="0"/>
        <w:widowControl w:val="0"/>
        <w:shd w:val="clear" w:color="auto" w:fill="auto"/>
        <w:bidi w:val="0"/>
        <w:spacing w:before="0" w:after="0" w:line="307" w:lineRule="exact"/>
        <w:ind w:left="0" w:right="0" w:firstLine="440"/>
        <w:jc w:val="left"/>
      </w:pPr>
      <w:r>
        <w:rPr>
          <w:color w:val="000000"/>
          <w:spacing w:val="0"/>
          <w:w w:val="100"/>
          <w:position w:val="0"/>
        </w:rPr>
        <w:t>公司本年发行限制性股票，公司在取得该款项时，按照取得的认股款确认股本和资本公积（股本溢价）, 同时就回购义务全额确认其他非流动负债并确认库存股。</w:t>
      </w:r>
    </w:p>
    <w:p>
      <w:pPr>
        <w:pStyle w:val="Style70"/>
        <w:keepNext w:val="0"/>
        <w:keepLines w:val="0"/>
        <w:widowControl w:val="0"/>
        <w:shd w:val="clear" w:color="auto" w:fill="auto"/>
        <w:bidi w:val="0"/>
        <w:spacing w:before="0" w:after="980" w:line="307" w:lineRule="exact"/>
        <w:ind w:left="0" w:right="0" w:firstLine="440"/>
        <w:jc w:val="left"/>
      </w:pPr>
      <w:r>
        <w:rPr>
          <w:color w:val="000000"/>
          <w:spacing w:val="0"/>
          <w:w w:val="100"/>
          <w:position w:val="0"/>
        </w:rPr>
        <w:t>期末无账龄超过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年的大额其他应付款。</w:t>
      </w:r>
    </w:p>
    <w:p>
      <w:pPr>
        <w:pStyle w:val="Style33"/>
        <w:keepNext/>
        <w:keepLines/>
        <w:widowControl w:val="0"/>
        <w:shd w:val="clear" w:color="auto" w:fill="auto"/>
        <w:bidi w:val="0"/>
        <w:spacing w:before="0" w:after="38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2</w:t>
      </w:r>
      <w:bookmarkEnd w:id="1326"/>
      <w:r>
        <w:rPr>
          <w:rFonts w:ascii="Times New Roman" w:eastAsia="Times New Roman" w:hAnsi="Times New Roman" w:cs="Times New Roman"/>
          <w:color w:val="000000"/>
          <w:spacing w:val="0"/>
          <w:w w:val="100"/>
          <w:position w:val="0"/>
        </w:rPr>
        <w:t>7</w:t>
      </w:r>
      <w:r>
        <w:rPr>
          <w:color w:val="000000"/>
          <w:spacing w:val="0"/>
          <w:w w:val="100"/>
          <w:position w:val="0"/>
        </w:rPr>
        <w:t>、其他流动负债</w:t>
      </w:r>
      <w:bookmarkEnd w:id="1324"/>
      <w:bookmarkEnd w:id="1325"/>
      <w:bookmarkEnd w:id="1327"/>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8,403,664.46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8,403,664.46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2</w:t>
      </w:r>
      <w:bookmarkEnd w:id="1330"/>
      <w:r>
        <w:rPr>
          <w:rFonts w:ascii="Times New Roman" w:eastAsia="Times New Roman" w:hAnsi="Times New Roman" w:cs="Times New Roman"/>
          <w:color w:val="000000"/>
          <w:spacing w:val="0"/>
          <w:w w:val="100"/>
          <w:position w:val="0"/>
        </w:rPr>
        <w:t>8</w:t>
      </w:r>
      <w:r>
        <w:rPr>
          <w:color w:val="000000"/>
          <w:spacing w:val="0"/>
          <w:w w:val="100"/>
          <w:position w:val="0"/>
        </w:rPr>
        <w:t>、长期借款</w:t>
      </w:r>
      <w:bookmarkEnd w:id="1328"/>
      <w:bookmarkEnd w:id="1329"/>
      <w:bookmarkEnd w:id="1331"/>
    </w:p>
    <w:p>
      <w:pPr>
        <w:pStyle w:val="Style55"/>
        <w:keepNext/>
        <w:keepLines/>
        <w:widowControl w:val="0"/>
        <w:shd w:val="clear" w:color="auto" w:fill="auto"/>
        <w:bidi w:val="0"/>
        <w:spacing w:before="0" w:line="240" w:lineRule="auto"/>
        <w:ind w:left="0" w:right="0" w:firstLine="0"/>
        <w:jc w:val="left"/>
      </w:pPr>
      <w:bookmarkStart w:id="1332" w:name="bookmark1332"/>
      <w:bookmarkStart w:id="1333" w:name="bookmark1333"/>
      <w:bookmarkStart w:id="1334" w:name="bookmark13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32"/>
      <w:bookmarkEnd w:id="1333"/>
      <w:bookmarkEnd w:id="1334"/>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32,526,000.00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32,526,000.00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33"/>
        <w:keepNext/>
        <w:keepLines/>
        <w:widowControl w:val="0"/>
        <w:shd w:val="clear" w:color="auto" w:fill="auto"/>
        <w:bidi w:val="0"/>
        <w:spacing w:before="0" w:after="38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2</w:t>
      </w:r>
      <w:bookmarkEnd w:id="1337"/>
      <w:r>
        <w:rPr>
          <w:rFonts w:ascii="Times New Roman" w:eastAsia="Times New Roman" w:hAnsi="Times New Roman" w:cs="Times New Roman"/>
          <w:color w:val="000000"/>
          <w:spacing w:val="0"/>
          <w:w w:val="100"/>
          <w:position w:val="0"/>
        </w:rPr>
        <w:t>9</w:t>
      </w:r>
      <w:r>
        <w:rPr>
          <w:color w:val="000000"/>
          <w:spacing w:val="0"/>
          <w:w w:val="100"/>
          <w:position w:val="0"/>
        </w:rPr>
        <w:t>、长期应付款</w:t>
      </w:r>
      <w:bookmarkEnd w:id="1335"/>
      <w:bookmarkEnd w:id="1336"/>
      <w:bookmarkEnd w:id="1338"/>
    </w:p>
    <w:p>
      <w:pPr>
        <w:pStyle w:val="Style55"/>
        <w:keepNext/>
        <w:keepLines/>
        <w:widowControl w:val="0"/>
        <w:shd w:val="clear" w:color="auto" w:fill="auto"/>
        <w:bidi w:val="0"/>
        <w:spacing w:before="0" w:line="240" w:lineRule="auto"/>
        <w:ind w:left="0" w:right="0" w:firstLine="0"/>
        <w:jc w:val="left"/>
      </w:pPr>
      <w:bookmarkStart w:id="1339" w:name="bookmark1339"/>
      <w:bookmarkStart w:id="1340" w:name="bookmark1340"/>
      <w:bookmarkStart w:id="1341" w:name="bookmark13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339"/>
      <w:bookmarkEnd w:id="1340"/>
      <w:bookmarkEnd w:id="1341"/>
    </w:p>
    <w:p>
      <w:pPr>
        <w:pStyle w:val="Style5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应付股权转让款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201,575,635.17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30</w:t>
      </w:r>
      <w:r>
        <w:rPr>
          <w:color w:val="000000"/>
          <w:spacing w:val="0"/>
          <w:w w:val="100"/>
          <w:position w:val="0"/>
        </w:rPr>
        <w:t>、股本</w:t>
      </w:r>
      <w:bookmarkEnd w:id="1342"/>
      <w:bookmarkEnd w:id="1343"/>
      <w:bookmarkEnd w:id="1344"/>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133,340,000.00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22,768,657.00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296,868,000.00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319,636,657.00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452,976,657.00</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3</w:t>
      </w:r>
      <w:bookmarkEnd w:id="1347"/>
      <w:r>
        <w:rPr>
          <w:rFonts w:ascii="Times New Roman" w:eastAsia="Times New Roman" w:hAnsi="Times New Roman" w:cs="Times New Roman"/>
          <w:color w:val="000000"/>
          <w:spacing w:val="0"/>
          <w:w w:val="100"/>
          <w:position w:val="0"/>
        </w:rPr>
        <w:t>1</w:t>
      </w:r>
      <w:r>
        <w:rPr>
          <w:color w:val="000000"/>
          <w:spacing w:val="0"/>
          <w:w w:val="100"/>
          <w:position w:val="0"/>
        </w:rPr>
        <w:t>、资本公积</w:t>
      </w:r>
      <w:bookmarkEnd w:id="1345"/>
      <w:bookmarkEnd w:id="1346"/>
      <w:bookmarkEnd w:id="1348"/>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337,146,053.05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313,130,090.52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296,868,000.00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353,408,143.57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21,979,100.00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355,146,053.05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317,109,190.52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296,868,000.00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375,387,243.57</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年第一次临时股东大会审议通过《关于</w:t>
      </w:r>
      <w:r>
        <w:rPr>
          <w:color w:val="000000"/>
          <w:spacing w:val="0"/>
          <w:w w:val="100"/>
          <w:position w:val="0"/>
          <w:sz w:val="18"/>
          <w:szCs w:val="18"/>
        </w:rPr>
        <w:t>〈</w:t>
      </w:r>
      <w:r>
        <w:rPr>
          <w:color w:val="000000"/>
          <w:spacing w:val="0"/>
          <w:w w:val="100"/>
          <w:position w:val="0"/>
        </w:rPr>
        <w:t>高伟达软件股份有限公司限制性股票激励计划（草案修 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及其摘要的议案》，定向增发的股份数量为</w:t>
      </w:r>
      <w:r>
        <w:rPr>
          <w:rFonts w:ascii="Times New Roman" w:eastAsia="Times New Roman" w:hAnsi="Times New Roman" w:cs="Times New Roman"/>
          <w:color w:val="000000"/>
          <w:spacing w:val="0"/>
          <w:w w:val="100"/>
          <w:position w:val="0"/>
          <w:sz w:val="18"/>
          <w:szCs w:val="18"/>
        </w:rPr>
        <w:t>1,600,000</w:t>
      </w:r>
      <w:r>
        <w:rPr>
          <w:color w:val="000000"/>
          <w:spacing w:val="0"/>
          <w:w w:val="100"/>
          <w:position w:val="0"/>
        </w:rPr>
        <w:t>股，由</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名核心管理、业务与技术人员以货币认购，每股认购 价</w:t>
      </w:r>
      <w:r>
        <w:rPr>
          <w:rFonts w:ascii="Times New Roman" w:eastAsia="Times New Roman" w:hAnsi="Times New Roman" w:cs="Times New Roman"/>
          <w:color w:val="000000"/>
          <w:spacing w:val="0"/>
          <w:w w:val="100"/>
          <w:position w:val="0"/>
          <w:sz w:val="18"/>
          <w:szCs w:val="18"/>
        </w:rPr>
        <w:t>20.89</w:t>
      </w:r>
      <w:r>
        <w:rPr>
          <w:color w:val="000000"/>
          <w:spacing w:val="0"/>
          <w:w w:val="100"/>
          <w:position w:val="0"/>
        </w:rPr>
        <w:t>元，股份认购款合计人民币</w:t>
      </w:r>
      <w:r>
        <w:rPr>
          <w:rFonts w:ascii="Times New Roman" w:eastAsia="Times New Roman" w:hAnsi="Times New Roman" w:cs="Times New Roman"/>
          <w:color w:val="000000"/>
          <w:spacing w:val="0"/>
          <w:w w:val="100"/>
          <w:position w:val="0"/>
          <w:sz w:val="18"/>
          <w:szCs w:val="18"/>
        </w:rPr>
        <w:t>33,424,000.00</w:t>
      </w:r>
      <w:r>
        <w:rPr>
          <w:color w:val="000000"/>
          <w:spacing w:val="0"/>
          <w:w w:val="100"/>
          <w:position w:val="0"/>
        </w:rPr>
        <w:t>元，资本公积（股本溢价）增加</w:t>
      </w:r>
      <w:r>
        <w:rPr>
          <w:rFonts w:ascii="Times New Roman" w:eastAsia="Times New Roman" w:hAnsi="Times New Roman" w:cs="Times New Roman"/>
          <w:color w:val="000000"/>
          <w:spacing w:val="0"/>
          <w:w w:val="100"/>
          <w:position w:val="0"/>
          <w:sz w:val="18"/>
          <w:szCs w:val="18"/>
        </w:rPr>
        <w:t>31,824,000.00</w:t>
      </w:r>
      <w:r>
        <w:rPr>
          <w:color w:val="000000"/>
          <w:spacing w:val="0"/>
          <w:w w:val="100"/>
          <w:position w:val="0"/>
        </w:rPr>
        <w:t>元。</w:t>
      </w:r>
    </w:p>
    <w:p>
      <w:pPr>
        <w:pStyle w:val="Style29"/>
        <w:keepNext w:val="0"/>
        <w:keepLines w:val="0"/>
        <w:widowControl w:val="0"/>
        <w:shd w:val="clear" w:color="auto" w:fill="auto"/>
        <w:tabs>
          <w:tab w:pos="351" w:val="left"/>
        </w:tabs>
        <w:bidi w:val="0"/>
        <w:spacing w:before="0" w:after="0" w:line="314" w:lineRule="exact"/>
        <w:ind w:left="0" w:right="0" w:firstLine="0"/>
        <w:jc w:val="both"/>
      </w:pPr>
      <w:bookmarkStart w:id="1349" w:name="bookmark1349"/>
      <w:r>
        <w:rPr>
          <w:rFonts w:ascii="Times New Roman" w:eastAsia="Times New Roman" w:hAnsi="Times New Roman" w:cs="Times New Roman"/>
          <w:color w:val="000000"/>
          <w:spacing w:val="0"/>
          <w:w w:val="100"/>
          <w:position w:val="0"/>
          <w:sz w:val="18"/>
          <w:szCs w:val="18"/>
        </w:rPr>
        <w:t>（</w:t>
      </w:r>
      <w:bookmarkEnd w:id="1349"/>
      <w:r>
        <w:rPr>
          <w:rFonts w:ascii="Times New Roman" w:eastAsia="Times New Roman" w:hAnsi="Times New Roman" w:cs="Times New Roman"/>
          <w:color w:val="000000"/>
          <w:spacing w:val="0"/>
          <w:w w:val="100"/>
          <w:position w:val="0"/>
          <w:sz w:val="18"/>
          <w:szCs w:val="18"/>
        </w:rPr>
        <w:t>2）</w:t>
        <w:tab/>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年第三次临时股东大会，会议审议通过了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年半年度利润分派方案：公司将以 </w:t>
      </w:r>
      <w:r>
        <w:rPr>
          <w:rFonts w:ascii="Times New Roman" w:eastAsia="Times New Roman" w:hAnsi="Times New Roman" w:cs="Times New Roman"/>
          <w:color w:val="000000"/>
          <w:spacing w:val="0"/>
          <w:w w:val="100"/>
          <w:position w:val="0"/>
          <w:sz w:val="18"/>
          <w:szCs w:val="18"/>
        </w:rPr>
        <w:t>134,940,000</w:t>
      </w:r>
      <w:r>
        <w:rPr>
          <w:color w:val="000000"/>
          <w:spacing w:val="0"/>
          <w:w w:val="100"/>
          <w:position w:val="0"/>
        </w:rPr>
        <w:t>股为基数进行资本公积金转增股本，向全体股东每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296,868,000</w:t>
      </w:r>
      <w:r>
        <w:rPr>
          <w:color w:val="000000"/>
          <w:spacing w:val="0"/>
          <w:w w:val="100"/>
          <w:position w:val="0"/>
        </w:rPr>
        <w:t xml:space="preserve">股，资本公积减少 </w:t>
      </w:r>
      <w:r>
        <w:rPr>
          <w:rFonts w:ascii="Times New Roman" w:eastAsia="Times New Roman" w:hAnsi="Times New Roman" w:cs="Times New Roman"/>
          <w:color w:val="000000"/>
          <w:spacing w:val="0"/>
          <w:w w:val="100"/>
          <w:position w:val="0"/>
          <w:sz w:val="18"/>
          <w:szCs w:val="18"/>
        </w:rPr>
        <w:t>296,868,000.00</w:t>
      </w:r>
      <w:r>
        <w:rPr>
          <w:color w:val="000000"/>
          <w:spacing w:val="0"/>
          <w:w w:val="100"/>
          <w:position w:val="0"/>
        </w:rPr>
        <w:t>元。</w:t>
      </w:r>
    </w:p>
    <w:p>
      <w:pPr>
        <w:pStyle w:val="Style29"/>
        <w:keepNext w:val="0"/>
        <w:keepLines w:val="0"/>
        <w:widowControl w:val="0"/>
        <w:shd w:val="clear" w:color="auto" w:fill="auto"/>
        <w:tabs>
          <w:tab w:pos="351" w:val="left"/>
        </w:tabs>
        <w:bidi w:val="0"/>
        <w:spacing w:before="0" w:after="0" w:line="314" w:lineRule="exact"/>
        <w:ind w:left="0" w:right="0" w:firstLine="0"/>
        <w:jc w:val="both"/>
      </w:pPr>
      <w:bookmarkStart w:id="1350" w:name="bookmark1350"/>
      <w:r>
        <w:rPr>
          <w:rFonts w:ascii="Times New Roman" w:eastAsia="Times New Roman" w:hAnsi="Times New Roman" w:cs="Times New Roman"/>
          <w:color w:val="000000"/>
          <w:spacing w:val="0"/>
          <w:w w:val="100"/>
          <w:position w:val="0"/>
          <w:sz w:val="18"/>
          <w:szCs w:val="18"/>
        </w:rPr>
        <w:t>（</w:t>
      </w:r>
      <w:bookmarkEnd w:id="1350"/>
      <w:r>
        <w:rPr>
          <w:rFonts w:ascii="Times New Roman" w:eastAsia="Times New Roman" w:hAnsi="Times New Roman" w:cs="Times New Roman"/>
          <w:color w:val="000000"/>
          <w:spacing w:val="0"/>
          <w:w w:val="100"/>
          <w:position w:val="0"/>
          <w:sz w:val="18"/>
          <w:szCs w:val="18"/>
        </w:rPr>
        <w:t>3）</w:t>
        <w:tab/>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年第四届临时股东大会审议通过《关于</w:t>
      </w:r>
      <w:r>
        <w:rPr>
          <w:color w:val="000000"/>
          <w:spacing w:val="0"/>
          <w:w w:val="100"/>
          <w:position w:val="0"/>
          <w:sz w:val="18"/>
          <w:szCs w:val="18"/>
        </w:rPr>
        <w:t>〈</w:t>
      </w: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年限制性股票激励计划（草 案户及摘要的议案》、第二届董事会第二十七次会议通过的《关于调整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年限制性股票激励计划相关事项的议案》及</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日召开的第二届董事会第二十八次会议审议通过《关于调整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年限制性股票激励计划授予相关事项的议案》，向 </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名核心管理、业务与技术人员授予限制性股票数量</w:t>
      </w:r>
      <w:r>
        <w:rPr>
          <w:rFonts w:ascii="Times New Roman" w:eastAsia="Times New Roman" w:hAnsi="Times New Roman" w:cs="Times New Roman"/>
          <w:color w:val="000000"/>
          <w:spacing w:val="0"/>
          <w:w w:val="100"/>
          <w:position w:val="0"/>
          <w:sz w:val="18"/>
          <w:szCs w:val="18"/>
        </w:rPr>
        <w:t>2,784,000</w:t>
      </w:r>
      <w:r>
        <w:rPr>
          <w:color w:val="000000"/>
          <w:spacing w:val="0"/>
          <w:w w:val="100"/>
          <w:position w:val="0"/>
        </w:rPr>
        <w:t>股，限制性股票价格为每股</w:t>
      </w:r>
      <w:r>
        <w:rPr>
          <w:rFonts w:ascii="Times New Roman" w:eastAsia="Times New Roman" w:hAnsi="Times New Roman" w:cs="Times New Roman"/>
          <w:color w:val="000000"/>
          <w:spacing w:val="0"/>
          <w:w w:val="100"/>
          <w:position w:val="0"/>
          <w:sz w:val="18"/>
          <w:szCs w:val="18"/>
        </w:rPr>
        <w:t>7.66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元，共</w:t>
      </w:r>
      <w:r>
        <w:rPr>
          <w:rFonts w:ascii="Times New Roman" w:eastAsia="Times New Roman" w:hAnsi="Times New Roman" w:cs="Times New Roman"/>
          <w:color w:val="000000"/>
          <w:spacing w:val="0"/>
          <w:w w:val="100"/>
          <w:position w:val="0"/>
          <w:sz w:val="18"/>
          <w:szCs w:val="18"/>
        </w:rPr>
        <w:t>21,325,440.00</w:t>
      </w:r>
      <w:r>
        <w:rPr>
          <w:color w:val="000000"/>
          <w:spacing w:val="0"/>
          <w:w w:val="100"/>
          <w:position w:val="0"/>
        </w:rPr>
        <w:t>元，资本 公积（股本溢价）增加</w:t>
      </w:r>
      <w:r>
        <w:rPr>
          <w:rFonts w:ascii="Times New Roman" w:eastAsia="Times New Roman" w:hAnsi="Times New Roman" w:cs="Times New Roman"/>
          <w:color w:val="000000"/>
          <w:spacing w:val="0"/>
          <w:w w:val="100"/>
          <w:position w:val="0"/>
          <w:sz w:val="18"/>
          <w:szCs w:val="18"/>
        </w:rPr>
        <w:t>18,541,440.00</w:t>
      </w:r>
      <w:r>
        <w:rPr>
          <w:color w:val="000000"/>
          <w:spacing w:val="0"/>
          <w:w w:val="100"/>
          <w:position w:val="0"/>
        </w:rPr>
        <w:t>元。</w:t>
      </w:r>
    </w:p>
    <w:p>
      <w:pPr>
        <w:pStyle w:val="Style29"/>
        <w:keepNext w:val="0"/>
        <w:keepLines w:val="0"/>
        <w:widowControl w:val="0"/>
        <w:shd w:val="clear" w:color="auto" w:fill="auto"/>
        <w:tabs>
          <w:tab w:pos="346" w:val="left"/>
        </w:tabs>
        <w:bidi w:val="0"/>
        <w:spacing w:before="0" w:after="0" w:line="314" w:lineRule="exact"/>
        <w:ind w:left="0" w:right="0" w:firstLine="0"/>
        <w:jc w:val="both"/>
      </w:pPr>
      <w:bookmarkStart w:id="1351" w:name="bookmark1351"/>
      <w:r>
        <w:rPr>
          <w:rFonts w:ascii="Times New Roman" w:eastAsia="Times New Roman" w:hAnsi="Times New Roman" w:cs="Times New Roman"/>
          <w:color w:val="000000"/>
          <w:spacing w:val="0"/>
          <w:w w:val="100"/>
          <w:position w:val="0"/>
          <w:sz w:val="18"/>
          <w:szCs w:val="18"/>
        </w:rPr>
        <w:t>（</w:t>
      </w:r>
      <w:bookmarkEnd w:id="1351"/>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经中国证券监督管理委员会《关于核准高伟达软件股份有限公司向北京睿韬科技有限责任公司等发行股份购买资产并募 集配套资金的批复》（证监许可</w:t>
      </w:r>
      <w:r>
        <w:rPr>
          <w:rFonts w:ascii="Times New Roman" w:eastAsia="Times New Roman" w:hAnsi="Times New Roman" w:cs="Times New Roman"/>
          <w:color w:val="000000"/>
          <w:spacing w:val="0"/>
          <w:w w:val="100"/>
          <w:position w:val="0"/>
          <w:sz w:val="18"/>
          <w:szCs w:val="18"/>
        </w:rPr>
        <w:t>[2016]2562</w:t>
      </w:r>
      <w:r>
        <w:rPr>
          <w:color w:val="000000"/>
          <w:spacing w:val="0"/>
          <w:w w:val="100"/>
          <w:position w:val="0"/>
        </w:rPr>
        <w:t>号）核准，公司非公开发行股份购买资产并募集配套资金新增股份</w:t>
      </w:r>
      <w:r>
        <w:rPr>
          <w:rFonts w:ascii="Times New Roman" w:eastAsia="Times New Roman" w:hAnsi="Times New Roman" w:cs="Times New Roman"/>
          <w:color w:val="000000"/>
          <w:spacing w:val="0"/>
          <w:w w:val="100"/>
          <w:position w:val="0"/>
          <w:sz w:val="18"/>
          <w:szCs w:val="18"/>
        </w:rPr>
        <w:t>18,384,657</w:t>
      </w:r>
      <w:r>
        <w:rPr>
          <w:color w:val="000000"/>
          <w:spacing w:val="0"/>
          <w:w w:val="100"/>
          <w:position w:val="0"/>
        </w:rPr>
        <w:t>股， 资本公积（股本溢价）增加</w:t>
      </w:r>
      <w:r>
        <w:rPr>
          <w:rFonts w:ascii="Times New Roman" w:eastAsia="Times New Roman" w:hAnsi="Times New Roman" w:cs="Times New Roman"/>
          <w:color w:val="000000"/>
          <w:spacing w:val="0"/>
          <w:w w:val="100"/>
          <w:position w:val="0"/>
          <w:sz w:val="18"/>
          <w:szCs w:val="18"/>
        </w:rPr>
        <w:t>274,115,235.87</w:t>
      </w:r>
      <w:r>
        <w:rPr>
          <w:color w:val="000000"/>
          <w:spacing w:val="0"/>
          <w:w w:val="100"/>
          <w:position w:val="0"/>
        </w:rPr>
        <w:t>元。发行费用</w:t>
      </w:r>
      <w:r>
        <w:rPr>
          <w:rFonts w:ascii="Times New Roman" w:eastAsia="Times New Roman" w:hAnsi="Times New Roman" w:cs="Times New Roman"/>
          <w:color w:val="000000"/>
          <w:spacing w:val="0"/>
          <w:w w:val="100"/>
          <w:position w:val="0"/>
          <w:sz w:val="18"/>
          <w:szCs w:val="18"/>
        </w:rPr>
        <w:t>11,066,294.78</w:t>
      </w:r>
      <w:r>
        <w:rPr>
          <w:color w:val="000000"/>
          <w:spacing w:val="0"/>
          <w:w w:val="100"/>
          <w:position w:val="0"/>
        </w:rPr>
        <w:t>元和其它登记费用</w:t>
      </w:r>
      <w:r>
        <w:rPr>
          <w:rFonts w:ascii="Times New Roman" w:eastAsia="Times New Roman" w:hAnsi="Times New Roman" w:cs="Times New Roman"/>
          <w:color w:val="000000"/>
          <w:spacing w:val="0"/>
          <w:w w:val="100"/>
          <w:position w:val="0"/>
          <w:sz w:val="18"/>
          <w:szCs w:val="18"/>
        </w:rPr>
        <w:t>284,290.57</w:t>
      </w:r>
      <w:r>
        <w:rPr>
          <w:color w:val="000000"/>
          <w:spacing w:val="0"/>
          <w:w w:val="100"/>
          <w:position w:val="0"/>
        </w:rPr>
        <w:t>元冲减其相应资本公积（股 本溢价）。</w:t>
      </w:r>
    </w:p>
    <w:p>
      <w:pPr>
        <w:pStyle w:val="Style29"/>
        <w:keepNext w:val="0"/>
        <w:keepLines w:val="0"/>
        <w:widowControl w:val="0"/>
        <w:shd w:val="clear" w:color="auto" w:fill="auto"/>
        <w:bidi w:val="0"/>
        <w:spacing w:before="0" w:after="360" w:line="314" w:lineRule="exact"/>
        <w:ind w:left="0" w:right="0" w:firstLine="200"/>
        <w:jc w:val="left"/>
      </w:pPr>
      <w:bookmarkStart w:id="1352" w:name="bookmark1352"/>
      <w:r>
        <w:rPr>
          <w:rFonts w:ascii="Times New Roman" w:eastAsia="Times New Roman" w:hAnsi="Times New Roman" w:cs="Times New Roman"/>
          <w:color w:val="000000"/>
          <w:spacing w:val="0"/>
          <w:w w:val="100"/>
          <w:position w:val="0"/>
          <w:sz w:val="18"/>
          <w:szCs w:val="18"/>
        </w:rPr>
        <w:t>（</w:t>
      </w:r>
      <w:bookmarkEnd w:id="1352"/>
      <w:r>
        <w:rPr>
          <w:rFonts w:ascii="Times New Roman" w:eastAsia="Times New Roman" w:hAnsi="Times New Roman" w:cs="Times New Roman"/>
          <w:color w:val="000000"/>
          <w:spacing w:val="0"/>
          <w:w w:val="100"/>
          <w:position w:val="0"/>
          <w:sz w:val="18"/>
          <w:szCs w:val="18"/>
        </w:rPr>
        <w:t>5）</w:t>
      </w: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股份支付增减变动系本期实行限制性股票激励计划，将取得职工提供的服务计入成本费用和 资本公积（其他资本公积）所致。</w:t>
      </w:r>
    </w:p>
    <w:p>
      <w:pPr>
        <w:pStyle w:val="Style33"/>
        <w:keepNext/>
        <w:keepLines/>
        <w:widowControl w:val="0"/>
        <w:shd w:val="clear" w:color="auto" w:fill="auto"/>
        <w:bidi w:val="0"/>
        <w:spacing w:before="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3</w:t>
      </w:r>
      <w:bookmarkEnd w:id="1355"/>
      <w:r>
        <w:rPr>
          <w:rFonts w:ascii="Times New Roman" w:eastAsia="Times New Roman" w:hAnsi="Times New Roman" w:cs="Times New Roman"/>
          <w:color w:val="000000"/>
          <w:spacing w:val="0"/>
          <w:w w:val="100"/>
          <w:position w:val="0"/>
        </w:rPr>
        <w:t>2</w:t>
      </w:r>
      <w:r>
        <w:rPr>
          <w:color w:val="000000"/>
          <w:spacing w:val="0"/>
          <w:w w:val="100"/>
          <w:position w:val="0"/>
        </w:rPr>
        <w:t>、库存股</w:t>
      </w:r>
      <w:bookmarkEnd w:id="1353"/>
      <w:bookmarkEnd w:id="1354"/>
      <w:bookmarkEnd w:id="1356"/>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58,269,440.00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58,195,840.00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58,269,440.00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58,195,840.00</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33"/>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3</w:t>
      </w:r>
      <w:bookmarkEnd w:id="1359"/>
      <w:r>
        <w:rPr>
          <w:rFonts w:ascii="Times New Roman" w:eastAsia="Times New Roman" w:hAnsi="Times New Roman" w:cs="Times New Roman"/>
          <w:color w:val="000000"/>
          <w:spacing w:val="0"/>
          <w:w w:val="100"/>
          <w:position w:val="0"/>
        </w:rPr>
        <w:t>3</w:t>
      </w:r>
      <w:r>
        <w:rPr>
          <w:color w:val="000000"/>
          <w:spacing w:val="0"/>
          <w:w w:val="100"/>
          <w:position w:val="0"/>
        </w:rPr>
        <w:t>、其他综合收益</w:t>
      </w:r>
      <w:bookmarkEnd w:id="1357"/>
      <w:bookmarkEnd w:id="1358"/>
      <w:bookmarkEnd w:id="1360"/>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3"/>
        <w:gridCol w:w="1070"/>
        <w:gridCol w:w="936"/>
        <w:gridCol w:w="1152"/>
        <w:gridCol w:w="936"/>
        <w:gridCol w:w="936"/>
        <w:gridCol w:w="931"/>
        <w:gridCol w:w="806"/>
      </w:tblGrid>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本期所得 税前发生</w:t>
            </w:r>
          </w:p>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一、以后不能重分类进损益的其他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238,941.33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238,941.33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238,941.3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238,941.33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238,941.33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238,941.3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238,941.33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238,941.33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238,941.3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3"/>
        <w:keepNext/>
        <w:keepLines/>
        <w:widowControl w:val="0"/>
        <w:shd w:val="clear" w:color="auto" w:fill="auto"/>
        <w:bidi w:val="0"/>
        <w:spacing w:before="0" w:after="38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3</w:t>
      </w:r>
      <w:bookmarkEnd w:id="1363"/>
      <w:r>
        <w:rPr>
          <w:rFonts w:ascii="Times New Roman" w:eastAsia="Times New Roman" w:hAnsi="Times New Roman" w:cs="Times New Roman"/>
          <w:color w:val="000000"/>
          <w:spacing w:val="0"/>
          <w:w w:val="100"/>
          <w:position w:val="0"/>
        </w:rPr>
        <w:t>4</w:t>
      </w:r>
      <w:r>
        <w:rPr>
          <w:color w:val="000000"/>
          <w:spacing w:val="0"/>
          <w:w w:val="100"/>
          <w:position w:val="0"/>
        </w:rPr>
        <w:t>、盈余公积</w:t>
      </w:r>
      <w:bookmarkEnd w:id="1361"/>
      <w:bookmarkEnd w:id="1362"/>
      <w:bookmarkEnd w:id="1364"/>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22,838,357.75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22,936,757.78</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22,838,357.75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22,936,757.78</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119" w:line="1" w:lineRule="exact"/>
      </w:pPr>
    </w:p>
    <w:p>
      <w:pPr>
        <w:pStyle w:val="Style70"/>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公司按</w:t>
      </w:r>
      <w:r>
        <w:rPr>
          <w:rFonts w:ascii="Times New Roman" w:eastAsia="Times New Roman" w:hAnsi="Times New Roman" w:cs="Times New Roman"/>
          <w:color w:val="000000"/>
          <w:spacing w:val="0"/>
          <w:w w:val="100"/>
          <w:position w:val="0"/>
        </w:rPr>
        <w:t>2016</w:t>
      </w:r>
      <w:r>
        <w:rPr>
          <w:color w:val="000000"/>
          <w:spacing w:val="0"/>
          <w:w w:val="100"/>
          <w:position w:val="0"/>
        </w:rPr>
        <w:t>年度母公司净利润提取</w:t>
      </w:r>
      <w:r>
        <w:rPr>
          <w:rFonts w:ascii="Times New Roman" w:eastAsia="Times New Roman" w:hAnsi="Times New Roman" w:cs="Times New Roman"/>
          <w:color w:val="000000"/>
          <w:spacing w:val="0"/>
          <w:w w:val="100"/>
          <w:position w:val="0"/>
        </w:rPr>
        <w:t>10%</w:t>
      </w:r>
      <w:r>
        <w:rPr>
          <w:color w:val="000000"/>
          <w:spacing w:val="0"/>
          <w:w w:val="100"/>
          <w:position w:val="0"/>
        </w:rPr>
        <w:t>的法定盈余公积</w:t>
      </w:r>
      <w:r>
        <w:rPr>
          <w:rFonts w:ascii="Times New Roman" w:eastAsia="Times New Roman" w:hAnsi="Times New Roman" w:cs="Times New Roman"/>
          <w:color w:val="000000"/>
          <w:spacing w:val="0"/>
          <w:w w:val="100"/>
          <w:position w:val="0"/>
        </w:rPr>
        <w:t>98,400.03</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3</w:t>
      </w:r>
      <w:bookmarkEnd w:id="1367"/>
      <w:r>
        <w:rPr>
          <w:rFonts w:ascii="Times New Roman" w:eastAsia="Times New Roman" w:hAnsi="Times New Roman" w:cs="Times New Roman"/>
          <w:color w:val="000000"/>
          <w:spacing w:val="0"/>
          <w:w w:val="100"/>
          <w:position w:val="0"/>
        </w:rPr>
        <w:t>5</w:t>
      </w:r>
      <w:r>
        <w:rPr>
          <w:color w:val="000000"/>
          <w:spacing w:val="0"/>
          <w:w w:val="100"/>
          <w:position w:val="0"/>
        </w:rPr>
        <w:t>、未分配利润</w:t>
      </w:r>
      <w:bookmarkEnd w:id="1365"/>
      <w:bookmarkEnd w:id="1366"/>
      <w:bookmarkEnd w:id="1368"/>
    </w:p>
    <w:p>
      <w:pPr>
        <w:pStyle w:val="Style5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233,761,699.06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195,919,552.81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233,761,699.06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195,919,552.81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23,109,577.54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41,228,939.46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98,400.03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3,386,793.21</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6,207,240.00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250,565,636.57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233,761,699.06</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tabs>
          <w:tab w:pos="330" w:val="left"/>
        </w:tabs>
        <w:bidi w:val="0"/>
        <w:spacing w:before="0" w:after="120" w:line="240" w:lineRule="auto"/>
        <w:ind w:left="0" w:right="0" w:firstLine="0"/>
        <w:jc w:val="left"/>
      </w:pPr>
      <w:bookmarkStart w:id="1369" w:name="bookmark1369"/>
      <w:r>
        <w:rPr>
          <w:rFonts w:ascii="Times New Roman" w:eastAsia="Times New Roman" w:hAnsi="Times New Roman" w:cs="Times New Roman"/>
          <w:color w:val="000000"/>
          <w:spacing w:val="0"/>
          <w:w w:val="100"/>
          <w:position w:val="0"/>
          <w:sz w:val="18"/>
          <w:szCs w:val="18"/>
        </w:rPr>
        <w:t>1</w:t>
      </w:r>
      <w:bookmarkEnd w:id="136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9"/>
        <w:keepNext w:val="0"/>
        <w:keepLines w:val="0"/>
        <w:widowControl w:val="0"/>
        <w:shd w:val="clear" w:color="auto" w:fill="auto"/>
        <w:tabs>
          <w:tab w:pos="349" w:val="left"/>
        </w:tabs>
        <w:bidi w:val="0"/>
        <w:spacing w:before="0" w:after="240" w:line="240" w:lineRule="auto"/>
        <w:ind w:left="0" w:right="0" w:firstLine="0"/>
        <w:jc w:val="left"/>
      </w:pPr>
      <w:bookmarkStart w:id="1370" w:name="bookmark1370"/>
      <w:r>
        <w:rPr>
          <w:rFonts w:ascii="Times New Roman" w:eastAsia="Times New Roman" w:hAnsi="Times New Roman" w:cs="Times New Roman"/>
          <w:color w:val="000000"/>
          <w:spacing w:val="0"/>
          <w:w w:val="100"/>
          <w:position w:val="0"/>
          <w:sz w:val="18"/>
          <w:szCs w:val="18"/>
        </w:rPr>
        <w:t>2</w:t>
      </w:r>
      <w:bookmarkEnd w:id="137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r>
        <w:br w:type="page"/>
      </w:r>
    </w:p>
    <w:p>
      <w:pPr>
        <w:pStyle w:val="Style29"/>
        <w:keepNext w:val="0"/>
        <w:keepLines w:val="0"/>
        <w:widowControl w:val="0"/>
        <w:shd w:val="clear" w:color="auto" w:fill="auto"/>
        <w:tabs>
          <w:tab w:pos="339" w:val="left"/>
        </w:tabs>
        <w:bidi w:val="0"/>
        <w:spacing w:before="0" w:after="120" w:line="240" w:lineRule="auto"/>
        <w:ind w:left="0" w:right="0" w:firstLine="0"/>
        <w:jc w:val="left"/>
      </w:pPr>
      <w:bookmarkStart w:id="1371" w:name="bookmark1371"/>
      <w:r>
        <w:rPr>
          <w:rFonts w:ascii="Times New Roman" w:eastAsia="Times New Roman" w:hAnsi="Times New Roman" w:cs="Times New Roman"/>
          <w:color w:val="000000"/>
          <w:spacing w:val="0"/>
          <w:w w:val="100"/>
          <w:position w:val="0"/>
          <w:sz w:val="18"/>
          <w:szCs w:val="18"/>
        </w:rPr>
        <w:t>3</w:t>
      </w:r>
      <w:bookmarkEnd w:id="137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372" w:name="bookmark1372"/>
      <w:r>
        <w:rPr>
          <w:rFonts w:ascii="Times New Roman" w:eastAsia="Times New Roman" w:hAnsi="Times New Roman" w:cs="Times New Roman"/>
          <w:color w:val="000000"/>
          <w:spacing w:val="0"/>
          <w:w w:val="100"/>
          <w:position w:val="0"/>
          <w:sz w:val="18"/>
          <w:szCs w:val="18"/>
        </w:rPr>
        <w:t>4</w:t>
      </w:r>
      <w:bookmarkEnd w:id="137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9"/>
        <w:keepNext w:val="0"/>
        <w:keepLines w:val="0"/>
        <w:widowControl w:val="0"/>
        <w:shd w:val="clear" w:color="auto" w:fill="auto"/>
        <w:tabs>
          <w:tab w:pos="349" w:val="left"/>
        </w:tabs>
        <w:bidi w:val="0"/>
        <w:spacing w:before="0" w:after="380" w:line="240" w:lineRule="auto"/>
        <w:ind w:left="0" w:right="0" w:firstLine="0"/>
        <w:jc w:val="left"/>
      </w:pPr>
      <w:bookmarkStart w:id="1373" w:name="bookmark1373"/>
      <w:r>
        <w:rPr>
          <w:rFonts w:ascii="Times New Roman" w:eastAsia="Times New Roman" w:hAnsi="Times New Roman" w:cs="Times New Roman"/>
          <w:color w:val="000000"/>
          <w:spacing w:val="0"/>
          <w:w w:val="100"/>
          <w:position w:val="0"/>
          <w:sz w:val="18"/>
          <w:szCs w:val="18"/>
        </w:rPr>
        <w:t>5</w:t>
      </w:r>
      <w:bookmarkEnd w:id="137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3"/>
        <w:keepNext/>
        <w:keepLines/>
        <w:widowControl w:val="0"/>
        <w:shd w:val="clear" w:color="auto" w:fill="auto"/>
        <w:bidi w:val="0"/>
        <w:spacing w:before="0" w:after="38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3</w:t>
      </w:r>
      <w:bookmarkEnd w:id="1376"/>
      <w:r>
        <w:rPr>
          <w:rFonts w:ascii="Times New Roman" w:eastAsia="Times New Roman" w:hAnsi="Times New Roman" w:cs="Times New Roman"/>
          <w:color w:val="000000"/>
          <w:spacing w:val="0"/>
          <w:w w:val="100"/>
          <w:position w:val="0"/>
        </w:rPr>
        <w:t>6</w:t>
      </w:r>
      <w:r>
        <w:rPr>
          <w:color w:val="000000"/>
          <w:spacing w:val="0"/>
          <w:w w:val="100"/>
          <w:position w:val="0"/>
        </w:rPr>
        <w:t>、营业收入和营业成本</w:t>
      </w:r>
      <w:bookmarkEnd w:id="1374"/>
      <w:bookmarkEnd w:id="1375"/>
      <w:bookmarkEnd w:id="1377"/>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972,683,347.16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737,747,140.41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938,623,959.01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712,197,972.00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972,683,347.16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737,747,140.41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938,623,959.01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712,197,972.00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3</w:t>
      </w:r>
      <w:bookmarkEnd w:id="1380"/>
      <w:r>
        <w:rPr>
          <w:rFonts w:ascii="Times New Roman" w:eastAsia="Times New Roman" w:hAnsi="Times New Roman" w:cs="Times New Roman"/>
          <w:color w:val="000000"/>
          <w:spacing w:val="0"/>
          <w:w w:val="100"/>
          <w:position w:val="0"/>
        </w:rPr>
        <w:t>7</w:t>
      </w:r>
      <w:r>
        <w:rPr>
          <w:color w:val="000000"/>
          <w:spacing w:val="0"/>
          <w:w w:val="100"/>
          <w:position w:val="0"/>
        </w:rPr>
        <w:t>、税金及附加</w:t>
      </w:r>
      <w:bookmarkEnd w:id="1378"/>
      <w:bookmarkEnd w:id="1379"/>
      <w:bookmarkEnd w:id="1381"/>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1,194,353.70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881,839.67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501,577.56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377,931.28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260,359.13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585,772.02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352,143.75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251,954.20</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残保金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1,623,160.23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河道维护管理费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12,425.91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21,868.80</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价格调节基金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1,035.85</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4,530,910.35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1,534,629.80</w:t>
            </w:r>
          </w:p>
        </w:tc>
      </w:tr>
    </w:tbl>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3</w:t>
      </w:r>
      <w:bookmarkEnd w:id="1384"/>
      <w:r>
        <w:rPr>
          <w:rFonts w:ascii="Times New Roman" w:eastAsia="Times New Roman" w:hAnsi="Times New Roman" w:cs="Times New Roman"/>
          <w:color w:val="000000"/>
          <w:spacing w:val="0"/>
          <w:w w:val="100"/>
          <w:position w:val="0"/>
        </w:rPr>
        <w:t>8</w:t>
      </w:r>
      <w:r>
        <w:rPr>
          <w:color w:val="000000"/>
          <w:spacing w:val="0"/>
          <w:w w:val="100"/>
          <w:position w:val="0"/>
        </w:rPr>
        <w:t>、销售费用</w:t>
      </w:r>
      <w:bookmarkEnd w:id="1382"/>
      <w:bookmarkEnd w:id="1383"/>
      <w:bookmarkEnd w:id="1385"/>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68,801,490.61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51,058,013.95</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10,013,418.41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10,216,373.10</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9,498,865.34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11,200,252.27</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3,425,315.61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2,820,268.06</w:t>
            </w:r>
          </w:p>
        </w:tc>
      </w:tr>
      <w:tr>
        <w:trPr>
          <w:trHeight w:val="408"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场租费</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3,071,149.72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2,349,185.12</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2,057,254.43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5,009,035.70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4,688,806.68</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101,876,529.82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82,332,899.18</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3</w:t>
      </w:r>
      <w:bookmarkEnd w:id="1388"/>
      <w:r>
        <w:rPr>
          <w:rFonts w:ascii="Times New Roman" w:eastAsia="Times New Roman" w:hAnsi="Times New Roman" w:cs="Times New Roman"/>
          <w:color w:val="000000"/>
          <w:spacing w:val="0"/>
          <w:w w:val="100"/>
          <w:position w:val="0"/>
        </w:rPr>
        <w:t>9</w:t>
      </w:r>
      <w:r>
        <w:rPr>
          <w:color w:val="000000"/>
          <w:spacing w:val="0"/>
          <w:w w:val="100"/>
          <w:position w:val="0"/>
        </w:rPr>
        <w:t>、管理费用</w:t>
      </w:r>
      <w:bookmarkEnd w:id="1386"/>
      <w:bookmarkEnd w:id="1387"/>
      <w:bookmarkEnd w:id="1389"/>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43,054,221.35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47,649,493.00</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29,643,109.49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20,977,341.37</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8,718,521.13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4,194,173.59</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7,654,607.04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4,557,367.77</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3,578,967.88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2,462,801.63</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3,979,100.00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场租费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2,710,264.27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2,740,185.52</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2,176,623.93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1,614,408.45</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500,284.96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1,611,505.61</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3,629,238.13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3,973,099.14</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105,644,938.18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89,780,376.08</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4</w:t>
      </w:r>
      <w:bookmarkEnd w:id="1392"/>
      <w:r>
        <w:rPr>
          <w:rFonts w:ascii="Times New Roman" w:eastAsia="Times New Roman" w:hAnsi="Times New Roman" w:cs="Times New Roman"/>
          <w:color w:val="000000"/>
          <w:spacing w:val="0"/>
          <w:w w:val="100"/>
          <w:position w:val="0"/>
        </w:rPr>
        <w:t>0</w:t>
      </w:r>
      <w:r>
        <w:rPr>
          <w:color w:val="000000"/>
          <w:spacing w:val="0"/>
          <w:w w:val="100"/>
          <w:position w:val="0"/>
        </w:rPr>
        <w:t>、财务费用</w:t>
      </w:r>
      <w:bookmarkEnd w:id="1390"/>
      <w:bookmarkEnd w:id="1391"/>
      <w:bookmarkEnd w:id="1393"/>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1,128,826.08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4,230,682.37</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4,209,337.06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2,721,264.74</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未确认融资费用摊销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1,280,725.07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118,931.27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74,796.23</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-1,679,590.78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1,584,209.67</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4</w:t>
      </w:r>
      <w:bookmarkEnd w:id="1396"/>
      <w:r>
        <w:rPr>
          <w:rFonts w:ascii="Times New Roman" w:eastAsia="Times New Roman" w:hAnsi="Times New Roman" w:cs="Times New Roman"/>
          <w:color w:val="000000"/>
          <w:spacing w:val="0"/>
          <w:w w:val="100"/>
          <w:position w:val="0"/>
        </w:rPr>
        <w:t>1</w:t>
      </w:r>
      <w:r>
        <w:rPr>
          <w:color w:val="000000"/>
          <w:spacing w:val="0"/>
          <w:w w:val="100"/>
          <w:position w:val="0"/>
        </w:rPr>
        <w:t>、资产减值损失</w:t>
      </w:r>
      <w:bookmarkEnd w:id="1394"/>
      <w:bookmarkEnd w:id="1395"/>
      <w:bookmarkEnd w:id="1397"/>
    </w:p>
    <w:p>
      <w:pPr>
        <w:pStyle w:val="Style5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2,850,904.95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5,803,981.12</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2,850,904.95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5,803,981.12</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4</w:t>
      </w:r>
      <w:bookmarkEnd w:id="1400"/>
      <w:r>
        <w:rPr>
          <w:rFonts w:ascii="Times New Roman" w:eastAsia="Times New Roman" w:hAnsi="Times New Roman" w:cs="Times New Roman"/>
          <w:color w:val="000000"/>
          <w:spacing w:val="0"/>
          <w:w w:val="100"/>
          <w:position w:val="0"/>
        </w:rPr>
        <w:t>2</w:t>
      </w:r>
      <w:r>
        <w:rPr>
          <w:color w:val="000000"/>
          <w:spacing w:val="0"/>
          <w:w w:val="100"/>
          <w:position w:val="0"/>
        </w:rPr>
        <w:t>、营业外收入</w:t>
      </w:r>
      <w:bookmarkEnd w:id="1398"/>
      <w:bookmarkEnd w:id="1399"/>
      <w:bookmarkEnd w:id="1401"/>
    </w:p>
    <w:p>
      <w:pPr>
        <w:pStyle w:val="Style5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130,801.27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70,793.20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130,801.27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130,801.27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70,793.20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130,801.27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656,591.74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1,777,618.83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425,664.44</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26,237.00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28,726.60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26,237.00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813,630.01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1,877,138.63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582,702.71</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5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1"/>
        <w:gridCol w:w="1066"/>
        <w:gridCol w:w="1061"/>
        <w:gridCol w:w="1066"/>
        <w:gridCol w:w="1061"/>
        <w:gridCol w:w="1066"/>
        <w:gridCol w:w="1061"/>
        <w:gridCol w:w="1070"/>
      </w:tblGrid>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651"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促进经济发</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展专项资金</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软件增值税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即征即退</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230,927.30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377,618.83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30"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left"/>
            </w:pPr>
            <w:r>
              <w:rPr>
                <w:color w:val="000000"/>
                <w:spacing w:val="0"/>
                <w:w w:val="100"/>
                <w:position w:val="0"/>
              </w:rPr>
              <w:t>因承担国家 为保障某种 公用事业或 社会必要产 品供应或价 格控制职能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125,664.44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677"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而获得的补</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北京市科学 技术委员会 补贴款</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北京市科委 科技服务专 项款款</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656,591.74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1,777,618.83</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4</w:t>
      </w:r>
      <w:bookmarkEnd w:id="1404"/>
      <w:r>
        <w:rPr>
          <w:rFonts w:ascii="Times New Roman" w:eastAsia="Times New Roman" w:hAnsi="Times New Roman" w:cs="Times New Roman"/>
          <w:color w:val="000000"/>
          <w:spacing w:val="0"/>
          <w:w w:val="100"/>
          <w:position w:val="0"/>
        </w:rPr>
        <w:t>3</w:t>
      </w:r>
      <w:r>
        <w:rPr>
          <w:color w:val="000000"/>
          <w:spacing w:val="0"/>
          <w:w w:val="100"/>
          <w:position w:val="0"/>
        </w:rPr>
        <w:t>、营业外支出</w:t>
      </w:r>
      <w:bookmarkEnd w:id="1402"/>
      <w:bookmarkEnd w:id="1403"/>
      <w:bookmarkEnd w:id="1405"/>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47,881.03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130,555.49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47,881.03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47,881.03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130,555.49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47,881.03</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1,247,881.03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610,555.49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1,247,881.03</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4</w:t>
      </w:r>
      <w:bookmarkEnd w:id="1408"/>
      <w:r>
        <w:rPr>
          <w:rFonts w:ascii="Times New Roman" w:eastAsia="Times New Roman" w:hAnsi="Times New Roman" w:cs="Times New Roman"/>
          <w:color w:val="000000"/>
          <w:spacing w:val="0"/>
          <w:w w:val="100"/>
          <w:position w:val="0"/>
        </w:rPr>
        <w:t>4</w:t>
      </w:r>
      <w:r>
        <w:rPr>
          <w:color w:val="000000"/>
          <w:spacing w:val="0"/>
          <w:w w:val="100"/>
          <w:position w:val="0"/>
        </w:rPr>
        <w:t>、所得税费用</w:t>
      </w:r>
      <w:bookmarkEnd w:id="1406"/>
      <w:bookmarkEnd w:id="1407"/>
      <w:bookmarkEnd w:id="1409"/>
    </w:p>
    <w:p>
      <w:pPr>
        <w:pStyle w:val="Style55"/>
        <w:keepNext/>
        <w:keepLines/>
        <w:widowControl w:val="0"/>
        <w:shd w:val="clear" w:color="auto" w:fill="auto"/>
        <w:bidi w:val="0"/>
        <w:spacing w:before="0" w:after="340" w:line="240" w:lineRule="auto"/>
        <w:ind w:left="0" w:right="0" w:firstLine="140"/>
        <w:jc w:val="left"/>
      </w:pPr>
      <w:bookmarkStart w:id="1410" w:name="bookmark1410"/>
      <w:bookmarkStart w:id="1411" w:name="bookmark1411"/>
      <w:bookmarkStart w:id="1412" w:name="bookmark14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10"/>
      <w:bookmarkEnd w:id="1411"/>
      <w:bookmarkEnd w:id="1412"/>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-553,857.60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5,854,252.06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-1,277,456.73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-426,717.22</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-1,831,314.33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5,427,534.84</w:t>
            </w:r>
          </w:p>
        </w:tc>
      </w:tr>
    </w:tbl>
    <w:p>
      <w:pPr>
        <w:widowControl w:val="0"/>
        <w:spacing w:after="339" w:line="1" w:lineRule="exact"/>
      </w:pPr>
    </w:p>
    <w:p>
      <w:pPr>
        <w:pStyle w:val="Style55"/>
        <w:keepNext/>
        <w:keepLines/>
        <w:widowControl w:val="0"/>
        <w:shd w:val="clear" w:color="auto" w:fill="auto"/>
        <w:bidi w:val="0"/>
        <w:spacing w:before="0" w:line="240" w:lineRule="auto"/>
        <w:ind w:left="0" w:right="0" w:firstLine="140"/>
        <w:jc w:val="left"/>
      </w:pPr>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13"/>
      <w:bookmarkEnd w:id="1414"/>
      <w:bookmarkEnd w:id="1415"/>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21,278,263.21</w:t>
            </w:r>
          </w:p>
        </w:tc>
      </w:tr>
    </w:tbl>
    <w:p>
      <w:pPr>
        <w:widowControl w:val="0"/>
        <w:spacing w:line="1" w:lineRule="exact"/>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3,191,739.48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-3,439,038.49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-3,357,155.84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1,046,369.62</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726,770.90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-1,831,314.33</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4</w:t>
      </w:r>
      <w:bookmarkEnd w:id="1418"/>
      <w:r>
        <w:rPr>
          <w:rFonts w:ascii="Times New Roman" w:eastAsia="Times New Roman" w:hAnsi="Times New Roman" w:cs="Times New Roman"/>
          <w:color w:val="000000"/>
          <w:spacing w:val="0"/>
          <w:w w:val="100"/>
          <w:position w:val="0"/>
        </w:rPr>
        <w:t>5</w:t>
      </w:r>
      <w:r>
        <w:rPr>
          <w:color w:val="000000"/>
          <w:spacing w:val="0"/>
          <w:w w:val="100"/>
          <w:position w:val="0"/>
        </w:rPr>
        <w:t>、</w:t>
        <w:tab/>
        <w:t>其他综合收益</w:t>
      </w:r>
      <w:bookmarkEnd w:id="1416"/>
      <w:bookmarkEnd w:id="1417"/>
      <w:bookmarkEnd w:id="141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4</w:t>
      </w:r>
      <w:bookmarkEnd w:id="1422"/>
      <w:r>
        <w:rPr>
          <w:rFonts w:ascii="Times New Roman" w:eastAsia="Times New Roman" w:hAnsi="Times New Roman" w:cs="Times New Roman"/>
          <w:color w:val="000000"/>
          <w:spacing w:val="0"/>
          <w:w w:val="100"/>
          <w:position w:val="0"/>
        </w:rPr>
        <w:t>6</w:t>
      </w:r>
      <w:r>
        <w:rPr>
          <w:color w:val="000000"/>
          <w:spacing w:val="0"/>
          <w:w w:val="100"/>
          <w:position w:val="0"/>
        </w:rPr>
        <w:t>、</w:t>
        <w:tab/>
        <w:t>现金流量表项目</w:t>
      </w:r>
      <w:bookmarkEnd w:id="1420"/>
      <w:bookmarkEnd w:id="1421"/>
      <w:bookmarkEnd w:id="1423"/>
    </w:p>
    <w:p>
      <w:pPr>
        <w:pStyle w:val="Style55"/>
        <w:keepNext/>
        <w:keepLines/>
        <w:widowControl w:val="0"/>
        <w:shd w:val="clear" w:color="auto" w:fill="auto"/>
        <w:bidi w:val="0"/>
        <w:spacing w:before="0" w:line="240" w:lineRule="auto"/>
        <w:ind w:left="0" w:right="0" w:firstLine="0"/>
        <w:jc w:val="left"/>
      </w:pPr>
      <w:bookmarkStart w:id="1424" w:name="bookmark1424"/>
      <w:bookmarkStart w:id="1425" w:name="bookmark1425"/>
      <w:bookmarkStart w:id="1426" w:name="bookmark14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24"/>
      <w:bookmarkEnd w:id="1425"/>
      <w:bookmarkEnd w:id="1426"/>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收回银行保函保证金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749,510.00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621,737.83</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4,209,337.06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2,721,764.74</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收到的押金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27,098.55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100,592.00</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收回备用金借款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6,687,736.28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2,454,795.97</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政府补助拨款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425,664.44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收回投标、履约保证金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11,670,590.89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13,124,641.88</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1,582,932.68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972,068.32</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25,352,869.90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21,395,600.74</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55"/>
        <w:keepNext/>
        <w:keepLines/>
        <w:widowControl w:val="0"/>
        <w:shd w:val="clear" w:color="auto" w:fill="auto"/>
        <w:bidi w:val="0"/>
        <w:spacing w:before="0" w:line="240" w:lineRule="auto"/>
        <w:ind w:left="0" w:right="0" w:firstLine="0"/>
        <w:jc w:val="left"/>
      </w:pPr>
      <w:bookmarkStart w:id="1427" w:name="bookmark1427"/>
      <w:bookmarkStart w:id="1428" w:name="bookmark1428"/>
      <w:bookmarkStart w:id="1429" w:name="bookmark14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27"/>
      <w:bookmarkEnd w:id="1428"/>
      <w:bookmarkEnd w:id="1429"/>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支付银行保函保证金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3,189,012.02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2,426,988.40</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支付备用金借款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7,422,584.26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7,334,824.36</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期间费用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53,894,867.38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35,561,318.64</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支付的押金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348,029.90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58,551.27</w:t>
            </w:r>
          </w:p>
        </w:tc>
      </w:tr>
      <w:tr>
        <w:trPr>
          <w:trHeight w:val="413"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支付投标、履约保证金</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11,018,154.89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14,381,160.00</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2,663,764.73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969,548.08</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78,536,413.18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60,732,390.75</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55"/>
        <w:keepNext/>
        <w:keepLines/>
        <w:widowControl w:val="0"/>
        <w:shd w:val="clear" w:color="auto" w:fill="auto"/>
        <w:bidi w:val="0"/>
        <w:spacing w:before="0" w:line="240" w:lineRule="auto"/>
        <w:ind w:left="0" w:right="0" w:firstLine="0"/>
        <w:jc w:val="left"/>
      </w:pPr>
      <w:bookmarkStart w:id="1430" w:name="bookmark1430"/>
      <w:bookmarkStart w:id="1431" w:name="bookmark1431"/>
      <w:bookmarkStart w:id="1432" w:name="bookmark1432"/>
      <w:bookmarkStart w:id="1433" w:name="bookmark1433"/>
      <w:r>
        <w:rPr>
          <w:color w:val="000000"/>
          <w:spacing w:val="0"/>
          <w:w w:val="100"/>
          <w:position w:val="0"/>
        </w:rPr>
        <w:t>（</w:t>
      </w:r>
      <w:bookmarkEnd w:id="143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30"/>
      <w:bookmarkEnd w:id="1431"/>
      <w:bookmarkEnd w:id="1433"/>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55"/>
        <w:keepNext/>
        <w:keepLines/>
        <w:widowControl w:val="0"/>
        <w:shd w:val="clear" w:color="auto" w:fill="auto"/>
        <w:bidi w:val="0"/>
        <w:spacing w:before="0" w:line="240" w:lineRule="auto"/>
        <w:ind w:left="0" w:right="0" w:firstLine="0"/>
        <w:jc w:val="left"/>
      </w:pPr>
      <w:bookmarkStart w:id="1434" w:name="bookmark1434"/>
      <w:bookmarkStart w:id="1435" w:name="bookmark1435"/>
      <w:bookmarkStart w:id="1436" w:name="bookmark1436"/>
      <w:bookmarkStart w:id="1437" w:name="bookmark1437"/>
      <w:r>
        <w:rPr>
          <w:color w:val="000000"/>
          <w:spacing w:val="0"/>
          <w:w w:val="100"/>
          <w:position w:val="0"/>
        </w:rPr>
        <w:t>（</w:t>
      </w:r>
      <w:bookmarkEnd w:id="143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34"/>
      <w:bookmarkEnd w:id="1435"/>
      <w:bookmarkEnd w:id="1437"/>
    </w:p>
    <w:p>
      <w:pPr>
        <w:pStyle w:val="Style5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民生银行暂存款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55"/>
        <w:keepNext/>
        <w:keepLines/>
        <w:widowControl w:val="0"/>
        <w:shd w:val="clear" w:color="auto" w:fill="auto"/>
        <w:bidi w:val="0"/>
        <w:spacing w:before="0" w:line="240" w:lineRule="auto"/>
        <w:ind w:left="0" w:right="0" w:firstLine="0"/>
        <w:jc w:val="left"/>
      </w:pPr>
      <w:bookmarkStart w:id="1438" w:name="bookmark1438"/>
      <w:bookmarkStart w:id="1439" w:name="bookmark1439"/>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38"/>
      <w:bookmarkEnd w:id="1439"/>
      <w:bookmarkEnd w:id="1441"/>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12,000,000.00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12,000,000.00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55"/>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w:t>
      </w:r>
      <w:bookmarkEnd w:id="1444"/>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42"/>
      <w:bookmarkEnd w:id="1443"/>
      <w:bookmarkEnd w:id="1445"/>
    </w:p>
    <w:p>
      <w:pPr>
        <w:pStyle w:val="Style5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1,850,585.35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偿还借原股东款项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2,348,682.44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4,199,267.79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after="38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4</w:t>
      </w:r>
      <w:bookmarkEnd w:id="1448"/>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446"/>
      <w:bookmarkEnd w:id="1447"/>
      <w:bookmarkEnd w:id="1449"/>
    </w:p>
    <w:p>
      <w:pPr>
        <w:pStyle w:val="Style55"/>
        <w:keepNext/>
        <w:keepLines/>
        <w:widowControl w:val="0"/>
        <w:shd w:val="clear" w:color="auto" w:fill="auto"/>
        <w:bidi w:val="0"/>
        <w:spacing w:before="0" w:line="240" w:lineRule="auto"/>
        <w:ind w:left="0" w:right="0" w:firstLine="0"/>
        <w:jc w:val="left"/>
      </w:pPr>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50"/>
      <w:bookmarkEnd w:id="1451"/>
      <w:bookmarkEnd w:id="1452"/>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23,109,577.54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41,228,939.46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2,850,904.95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5,803,981.12</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7,150,107.31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5,220,925.84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4,748,988.98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765,734.52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1,313,963.11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1,151,646.76</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-82,920.24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59,762.29</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2,410,815.01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4,230,682.37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-1,215,127.90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-426,717.22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2,176,601.25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-30,938,674.08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49,385,964.29</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-133,557,976.44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-1,674,992.64</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170,984,866.09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-75,067,080.59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3,979,100.00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52,930,225.58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30,678,846.20</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251,410,298.50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404,957,311.42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404,957,311.42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216,957,260.08</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-96,547,012.92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148,000,051.34</w:t>
            </w:r>
          </w:p>
        </w:tc>
      </w:tr>
    </w:tbl>
    <w:p>
      <w:pPr>
        <w:widowControl w:val="0"/>
        <w:spacing w:after="319" w:line="1" w:lineRule="exact"/>
      </w:pPr>
    </w:p>
    <w:p>
      <w:pPr>
        <w:pStyle w:val="Style55"/>
        <w:keepNext/>
        <w:keepLines/>
        <w:widowControl w:val="0"/>
        <w:shd w:val="clear" w:color="auto" w:fill="auto"/>
        <w:bidi w:val="0"/>
        <w:spacing w:before="0" w:line="240" w:lineRule="auto"/>
        <w:ind w:left="0" w:right="0" w:firstLine="0"/>
        <w:jc w:val="left"/>
      </w:pPr>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453"/>
      <w:bookmarkEnd w:id="1454"/>
      <w:bookmarkEnd w:id="1455"/>
    </w:p>
    <w:p>
      <w:pPr>
        <w:pStyle w:val="Style5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151,070,000.00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18,118,806.61</w:t>
            </w:r>
          </w:p>
        </w:tc>
      </w:tr>
    </w:tbl>
    <w:p>
      <w:pPr>
        <w:widowControl w:val="0"/>
        <w:spacing w:line="1" w:lineRule="exact"/>
      </w:pPr>
      <w:r>
        <w:br w:type="page"/>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132,951,193.39</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5"/>
        <w:keepNext/>
        <w:keepLines/>
        <w:widowControl w:val="0"/>
        <w:numPr>
          <w:ilvl w:val="0"/>
          <w:numId w:val="65"/>
        </w:numPr>
        <w:shd w:val="clear" w:color="auto" w:fill="auto"/>
        <w:bidi w:val="0"/>
        <w:spacing w:before="0" w:line="240" w:lineRule="auto"/>
        <w:ind w:left="0" w:right="0" w:firstLine="0"/>
        <w:jc w:val="left"/>
      </w:pPr>
      <w:bookmarkStart w:id="1456" w:name="bookmark1456"/>
      <w:bookmarkStart w:id="1457" w:name="bookmark1457"/>
      <w:bookmarkStart w:id="1458" w:name="bookmark1458"/>
      <w:bookmarkStart w:id="1459" w:name="bookmark1459"/>
      <w:bookmarkEnd w:id="1458"/>
      <w:r>
        <w:rPr>
          <w:color w:val="000000"/>
          <w:spacing w:val="0"/>
          <w:w w:val="100"/>
          <w:position w:val="0"/>
        </w:rPr>
        <w:t>本期收到的处置子公司的现金净额</w:t>
      </w:r>
      <w:bookmarkEnd w:id="1456"/>
      <w:bookmarkEnd w:id="1457"/>
      <w:bookmarkEnd w:id="1459"/>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5"/>
        <w:keepNext/>
        <w:keepLines/>
        <w:widowControl w:val="0"/>
        <w:numPr>
          <w:ilvl w:val="0"/>
          <w:numId w:val="65"/>
        </w:numPr>
        <w:shd w:val="clear" w:color="auto" w:fill="auto"/>
        <w:bidi w:val="0"/>
        <w:spacing w:before="0" w:line="240" w:lineRule="auto"/>
        <w:ind w:left="0" w:right="0" w:firstLine="0"/>
        <w:jc w:val="left"/>
      </w:pPr>
      <w:bookmarkStart w:id="1460" w:name="bookmark1460"/>
      <w:bookmarkStart w:id="1461" w:name="bookmark1461"/>
      <w:bookmarkStart w:id="1462" w:name="bookmark1462"/>
      <w:bookmarkStart w:id="1463" w:name="bookmark1463"/>
      <w:bookmarkEnd w:id="1462"/>
      <w:r>
        <w:rPr>
          <w:color w:val="000000"/>
          <w:spacing w:val="0"/>
          <w:w w:val="100"/>
          <w:position w:val="0"/>
        </w:rPr>
        <w:t>现金和现金等价物的构成</w:t>
      </w:r>
      <w:bookmarkEnd w:id="1460"/>
      <w:bookmarkEnd w:id="1461"/>
      <w:bookmarkEnd w:id="1463"/>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251,410,298.50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404,957,311.42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265,374.14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335,639.77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250,294,924.36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404,621,671.65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308,410,298.50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404,957,311.42</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0"/>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年度现金流量表中现金期末数为</w:t>
      </w:r>
      <w:r>
        <w:rPr>
          <w:rFonts w:ascii="Times New Roman" w:eastAsia="Times New Roman" w:hAnsi="Times New Roman" w:cs="Times New Roman"/>
          <w:color w:val="000000"/>
          <w:spacing w:val="0"/>
          <w:w w:val="100"/>
          <w:position w:val="0"/>
        </w:rPr>
        <w:t>308,410,298.5</w:t>
      </w:r>
      <w:r>
        <w:rPr>
          <w:rFonts w:ascii="Times New Roman" w:eastAsia="Times New Roman" w:hAnsi="Times New Roman" w:cs="Times New Roman"/>
          <w:color w:val="000000"/>
          <w:spacing w:val="0"/>
          <w:w w:val="100"/>
          <w:position w:val="0"/>
        </w:rPr>
        <w:t>0</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日资产负债表中货币资金期末数 为</w:t>
      </w:r>
      <w:r>
        <w:rPr>
          <w:rFonts w:ascii="Times New Roman" w:eastAsia="Times New Roman" w:hAnsi="Times New Roman" w:cs="Times New Roman"/>
          <w:color w:val="000000"/>
          <w:spacing w:val="0"/>
          <w:w w:val="100"/>
          <w:position w:val="0"/>
        </w:rPr>
        <w:t>260,222,261.58</w:t>
      </w:r>
      <w:r>
        <w:rPr>
          <w:color w:val="000000"/>
          <w:spacing w:val="0"/>
          <w:w w:val="100"/>
          <w:position w:val="0"/>
        </w:rPr>
        <w:t>元，差额</w:t>
      </w:r>
      <w:r>
        <w:rPr>
          <w:rFonts w:ascii="Times New Roman" w:eastAsia="Times New Roman" w:hAnsi="Times New Roman" w:cs="Times New Roman"/>
          <w:color w:val="000000"/>
          <w:spacing w:val="0"/>
          <w:w w:val="100"/>
          <w:position w:val="0"/>
        </w:rPr>
        <w:t>48,188,036.92</w:t>
      </w:r>
      <w:r>
        <w:rPr>
          <w:color w:val="000000"/>
          <w:spacing w:val="0"/>
          <w:w w:val="100"/>
          <w:position w:val="0"/>
        </w:rPr>
        <w:t>元，系现金流量表现金期末数扣除了不符合现金及现金等价物标准 的保函保证金</w:t>
      </w:r>
      <w:r>
        <w:rPr>
          <w:rFonts w:ascii="Times New Roman" w:eastAsia="Times New Roman" w:hAnsi="Times New Roman" w:cs="Times New Roman"/>
          <w:color w:val="000000"/>
          <w:spacing w:val="0"/>
          <w:w w:val="100"/>
          <w:position w:val="0"/>
        </w:rPr>
        <w:t>8,811,963.08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增加了符合现金及现金等价物标准的三个月内到期的银行理财</w:t>
      </w:r>
      <w:r>
        <w:rPr>
          <w:rFonts w:ascii="Times New Roman" w:eastAsia="Times New Roman" w:hAnsi="Times New Roman" w:cs="Times New Roman"/>
          <w:color w:val="000000"/>
          <w:spacing w:val="0"/>
          <w:w w:val="100"/>
          <w:position w:val="0"/>
        </w:rPr>
        <w:t xml:space="preserve">57,000,000.00 </w:t>
      </w:r>
      <w:r>
        <w:rPr>
          <w:color w:val="000000"/>
          <w:spacing w:val="0"/>
          <w:w w:val="100"/>
          <w:position w:val="0"/>
        </w:rPr>
        <w:t>/元。</w:t>
      </w:r>
    </w:p>
    <w:p>
      <w:pPr>
        <w:pStyle w:val="Style70"/>
        <w:keepNext w:val="0"/>
        <w:keepLines w:val="0"/>
        <w:widowControl w:val="0"/>
        <w:shd w:val="clear" w:color="auto" w:fill="auto"/>
        <w:bidi w:val="0"/>
        <w:spacing w:before="0" w:after="600" w:line="314"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年度现金流量表中现金期末数为</w:t>
      </w:r>
      <w:r>
        <w:rPr>
          <w:rFonts w:ascii="Times New Roman" w:eastAsia="Times New Roman" w:hAnsi="Times New Roman" w:cs="Times New Roman"/>
          <w:color w:val="000000"/>
          <w:spacing w:val="0"/>
          <w:w w:val="100"/>
          <w:position w:val="0"/>
        </w:rPr>
        <w:t>404,957,311.4</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日资产负债表中货币资金期末数 为</w:t>
      </w:r>
      <w:r>
        <w:rPr>
          <w:rFonts w:ascii="Times New Roman" w:eastAsia="Times New Roman" w:hAnsi="Times New Roman" w:cs="Times New Roman"/>
          <w:color w:val="000000"/>
          <w:spacing w:val="0"/>
          <w:w w:val="100"/>
          <w:position w:val="0"/>
        </w:rPr>
        <w:t>411,329,772.48</w:t>
      </w:r>
      <w:r>
        <w:rPr>
          <w:color w:val="000000"/>
          <w:spacing w:val="0"/>
          <w:w w:val="100"/>
          <w:position w:val="0"/>
        </w:rPr>
        <w:t>元，差额</w:t>
      </w:r>
      <w:r>
        <w:rPr>
          <w:rFonts w:ascii="Times New Roman" w:eastAsia="Times New Roman" w:hAnsi="Times New Roman" w:cs="Times New Roman"/>
          <w:color w:val="000000"/>
          <w:spacing w:val="0"/>
          <w:w w:val="100"/>
          <w:position w:val="0"/>
        </w:rPr>
        <w:t>6,372,461.06</w:t>
      </w:r>
      <w:r>
        <w:rPr>
          <w:color w:val="000000"/>
          <w:spacing w:val="0"/>
          <w:w w:val="100"/>
          <w:position w:val="0"/>
        </w:rPr>
        <w:t>元，系现金流量表现金期末数扣除了不符合现金及现金等价物标准 的保函保证金</w:t>
      </w:r>
      <w:r>
        <w:rPr>
          <w:rFonts w:ascii="Times New Roman" w:eastAsia="Times New Roman" w:hAnsi="Times New Roman" w:cs="Times New Roman"/>
          <w:color w:val="000000"/>
          <w:spacing w:val="0"/>
          <w:w w:val="100"/>
          <w:position w:val="0"/>
        </w:rPr>
        <w:t>6,372,461.06</w:t>
      </w:r>
      <w:r>
        <w:rPr>
          <w:color w:val="000000"/>
          <w:spacing w:val="0"/>
          <w:w w:val="100"/>
          <w:position w:val="0"/>
        </w:rPr>
        <w:t>元。</w:t>
      </w:r>
    </w:p>
    <w:p>
      <w:pPr>
        <w:pStyle w:val="Style33"/>
        <w:keepNext/>
        <w:keepLines/>
        <w:widowControl w:val="0"/>
        <w:shd w:val="clear" w:color="auto" w:fill="auto"/>
        <w:bidi w:val="0"/>
        <w:spacing w:before="0" w:after="380" w:line="314" w:lineRule="exact"/>
        <w:ind w:left="0" w:right="0" w:firstLine="0"/>
        <w:jc w:val="both"/>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4</w:t>
      </w:r>
      <w:bookmarkEnd w:id="1466"/>
      <w:r>
        <w:rPr>
          <w:rFonts w:ascii="Times New Roman" w:eastAsia="Times New Roman" w:hAnsi="Times New Roman" w:cs="Times New Roman"/>
          <w:color w:val="000000"/>
          <w:spacing w:val="0"/>
          <w:w w:val="100"/>
          <w:position w:val="0"/>
        </w:rPr>
        <w:t>8</w:t>
      </w:r>
      <w:r>
        <w:rPr>
          <w:color w:val="000000"/>
          <w:spacing w:val="0"/>
          <w:w w:val="100"/>
          <w:position w:val="0"/>
        </w:rPr>
        <w:t>、所有者权益变动表项目注释</w:t>
      </w:r>
      <w:bookmarkEnd w:id="1464"/>
      <w:bookmarkEnd w:id="1465"/>
      <w:bookmarkEnd w:id="1467"/>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r>
        <w:br w:type="page"/>
      </w:r>
    </w:p>
    <w:p>
      <w:pPr>
        <w:pStyle w:val="Style33"/>
        <w:keepNext/>
        <w:keepLines/>
        <w:widowControl w:val="0"/>
        <w:shd w:val="clear" w:color="auto" w:fill="auto"/>
        <w:bidi w:val="0"/>
        <w:spacing w:before="0" w:after="38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4</w:t>
      </w:r>
      <w:bookmarkEnd w:id="1470"/>
      <w:r>
        <w:rPr>
          <w:rFonts w:ascii="Times New Roman" w:eastAsia="Times New Roman" w:hAnsi="Times New Roman" w:cs="Times New Roman"/>
          <w:color w:val="000000"/>
          <w:spacing w:val="0"/>
          <w:w w:val="100"/>
          <w:position w:val="0"/>
        </w:rPr>
        <w:t>9</w:t>
      </w:r>
      <w:r>
        <w:rPr>
          <w:color w:val="000000"/>
          <w:spacing w:val="0"/>
          <w:w w:val="100"/>
          <w:position w:val="0"/>
        </w:rPr>
        <w:t>、所有权或使用权受到限制的资产</w:t>
      </w:r>
      <w:bookmarkEnd w:id="1468"/>
      <w:bookmarkEnd w:id="1469"/>
      <w:bookmarkEnd w:id="1471"/>
    </w:p>
    <w:p>
      <w:pPr>
        <w:pStyle w:val="Style5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8,811,963.08</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105,833,281.35</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长期借款、保函</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114,645,244.43</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日，公司部分固定资产用于借款抵押情况:</w:t>
      </w:r>
    </w:p>
    <w:tbl>
      <w:tblPr>
        <w:tblOverlap w:val="never"/>
        <w:jc w:val="left"/>
        <w:tblLayout w:type="fixed"/>
      </w:tblPr>
      <w:tblGrid>
        <w:gridCol w:w="1147"/>
        <w:gridCol w:w="1325"/>
        <w:gridCol w:w="950"/>
        <w:gridCol w:w="1267"/>
        <w:gridCol w:w="1704"/>
        <w:gridCol w:w="1277"/>
        <w:gridCol w:w="1051"/>
      </w:tblGrid>
      <w:tr>
        <w:trPr>
          <w:trHeight w:val="67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被担保单位</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580"/>
              <w:jc w:val="left"/>
            </w:pPr>
            <w:r>
              <w:rPr>
                <w:color w:val="000000"/>
                <w:spacing w:val="0"/>
                <w:w w:val="100"/>
                <w:position w:val="0"/>
              </w:rPr>
              <w:t>抵押权人</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抵押物类型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抵押物账面净</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right"/>
            </w:pPr>
            <w:r>
              <w:rPr>
                <w:color w:val="000000"/>
                <w:spacing w:val="0"/>
                <w:w w:val="100"/>
                <w:position w:val="0"/>
              </w:rPr>
              <w:t>抵押借款金额</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360"/>
              <w:jc w:val="left"/>
            </w:pPr>
            <w:r>
              <w:rPr>
                <w:color w:val="000000"/>
                <w:spacing w:val="0"/>
                <w:w w:val="100"/>
                <w:position w:val="0"/>
              </w:rPr>
              <w:t>借款到期日</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保证担保人</w:t>
            </w:r>
          </w:p>
        </w:tc>
      </w:tr>
      <w:tr>
        <w:trPr>
          <w:trHeight w:val="97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98" w:lineRule="exact"/>
              <w:ind w:left="0" w:right="0" w:firstLine="0"/>
              <w:jc w:val="left"/>
            </w:pPr>
            <w:r>
              <w:rPr>
                <w:color w:val="000000"/>
                <w:spacing w:val="0"/>
                <w:w w:val="100"/>
                <w:position w:val="0"/>
              </w:rPr>
              <w:t>高伟达软件股 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中国民生银行股 份有限公司北京 分行</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不动产</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12,205,225.91</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于伟</w:t>
            </w:r>
          </w:p>
        </w:tc>
      </w:tr>
      <w:tr>
        <w:trPr>
          <w:trHeight w:val="66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高伟达软件股</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招商银行股份有 限公司北京分行</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不动产</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93,628,055.44</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76,311,000.00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于伟</w:t>
            </w:r>
          </w:p>
        </w:tc>
      </w:tr>
    </w:tbl>
    <w:p>
      <w:pPr>
        <w:pStyle w:val="Style70"/>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上述抵押物中用于抵押的固定资产账面价值为</w:t>
      </w:r>
      <w:r>
        <w:rPr>
          <w:rFonts w:ascii="Times New Roman" w:eastAsia="Times New Roman" w:hAnsi="Times New Roman" w:cs="Times New Roman"/>
          <w:color w:val="000000"/>
          <w:spacing w:val="0"/>
          <w:w w:val="100"/>
          <w:position w:val="0"/>
        </w:rPr>
        <w:t>105,833,281.35</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5</w:t>
      </w:r>
      <w:bookmarkEnd w:id="1474"/>
      <w:r>
        <w:rPr>
          <w:rFonts w:ascii="Times New Roman" w:eastAsia="Times New Roman" w:hAnsi="Times New Roman" w:cs="Times New Roman"/>
          <w:color w:val="000000"/>
          <w:spacing w:val="0"/>
          <w:w w:val="100"/>
          <w:position w:val="0"/>
        </w:rPr>
        <w:t>0</w:t>
      </w:r>
      <w:r>
        <w:rPr>
          <w:color w:val="000000"/>
          <w:spacing w:val="0"/>
          <w:w w:val="100"/>
          <w:position w:val="0"/>
        </w:rPr>
        <w:t>、外币货币性项目</w:t>
      </w:r>
      <w:bookmarkEnd w:id="1472"/>
      <w:bookmarkEnd w:id="1473"/>
      <w:bookmarkEnd w:id="1475"/>
    </w:p>
    <w:p>
      <w:pPr>
        <w:pStyle w:val="Style55"/>
        <w:keepNext/>
        <w:keepLines/>
        <w:widowControl w:val="0"/>
        <w:shd w:val="clear" w:color="auto" w:fill="auto"/>
        <w:bidi w:val="0"/>
        <w:spacing w:before="0" w:line="240" w:lineRule="auto"/>
        <w:ind w:left="0" w:right="0" w:firstLine="0"/>
        <w:jc w:val="left"/>
      </w:pPr>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76"/>
      <w:bookmarkEnd w:id="1477"/>
      <w:bookmarkEnd w:id="1478"/>
    </w:p>
    <w:p>
      <w:pPr>
        <w:pStyle w:val="Style5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9,017,561.34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1,295,589.77</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8,987,506.23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2,907.46</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21,244.24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9,850.04</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8,810.87</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16,028,867.26</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2,310,633.88</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16,028,867.26</w:t>
            </w:r>
          </w:p>
        </w:tc>
      </w:tr>
    </w:tbl>
    <w:p>
      <w:pPr>
        <w:widowControl w:val="0"/>
        <w:spacing w:after="79" w:line="1" w:lineRule="exact"/>
      </w:pP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55"/>
        <w:keepNext/>
        <w:keepLines/>
        <w:widowControl w:val="0"/>
        <w:shd w:val="clear" w:color="auto" w:fill="auto"/>
        <w:bidi w:val="0"/>
        <w:spacing w:before="0" w:line="322" w:lineRule="exact"/>
        <w:ind w:left="0" w:right="0" w:firstLine="0"/>
        <w:jc w:val="left"/>
      </w:pPr>
      <w:bookmarkStart w:id="1479" w:name="bookmark1479"/>
      <w:bookmarkStart w:id="1480" w:name="bookmark1480"/>
      <w:bookmarkStart w:id="1481" w:name="bookmark14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79"/>
      <w:bookmarkEnd w:id="1480"/>
      <w:bookmarkEnd w:id="1481"/>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70"/>
        <w:keepNext w:val="0"/>
        <w:keepLines w:val="0"/>
        <w:widowControl w:val="0"/>
        <w:shd w:val="clear" w:color="auto" w:fill="auto"/>
        <w:bidi w:val="0"/>
        <w:spacing w:before="0" w:after="80" w:line="322" w:lineRule="exact"/>
        <w:ind w:left="0" w:right="0" w:firstLine="0"/>
        <w:jc w:val="left"/>
      </w:pPr>
      <w:r>
        <w:rPr>
          <w:color w:val="000000"/>
          <w:spacing w:val="0"/>
          <w:w w:val="100"/>
          <w:position w:val="0"/>
        </w:rPr>
        <w:t>海南坚果创娱信息技术有限公司在境外存在如下经营实体：</w:t>
      </w:r>
    </w:p>
    <w:tbl>
      <w:tblPr>
        <w:tblOverlap w:val="never"/>
        <w:jc w:val="center"/>
        <w:tblLayout w:type="fixed"/>
      </w:tblPr>
      <w:tblGrid>
        <w:gridCol w:w="1454"/>
        <w:gridCol w:w="3374"/>
        <w:gridCol w:w="3379"/>
        <w:gridCol w:w="1642"/>
      </w:tblGrid>
      <w:tr>
        <w:trPr>
          <w:trHeight w:val="70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r>
      <w:tr>
        <w:trPr>
          <w:trHeight w:val="36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Nuts Information</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RM 20A KIU FU COMM BLDG </w:t>
            </w: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RM 20A KIU FU COMM BLDG 300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r>
    </w:tbl>
    <w:p>
      <w:pPr>
        <w:widowControl w:val="0"/>
        <w:spacing w:line="1" w:lineRule="exact"/>
      </w:pPr>
    </w:p>
    <w:tbl>
      <w:tblPr>
        <w:tblOverlap w:val="never"/>
        <w:jc w:val="center"/>
        <w:tblLayout w:type="fixed"/>
      </w:tblPr>
      <w:tblGrid>
        <w:gridCol w:w="1454"/>
        <w:gridCol w:w="3374"/>
        <w:gridCol w:w="3379"/>
        <w:gridCol w:w="1642"/>
      </w:tblGrid>
      <w:tr>
        <w:trPr>
          <w:trHeight w:val="66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CO.,Limited</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LOCKHART RD WAN CHAI HONG KONG</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LOCKHART RD WAN CHAI HONG KONG</w:t>
            </w:r>
          </w:p>
        </w:tc>
        <w:tc>
          <w:tcPr>
            <w:tcBorders>
              <w:top w:val="single" w:sz="4"/>
              <w:left w:val="single" w:sz="4"/>
              <w:right w:val="single" w:sz="4"/>
            </w:tcBorders>
            <w:shd w:val="clear" w:color="auto" w:fill="FFFFFF"/>
            <w:vAlign w:val="top"/>
          </w:tcPr>
          <w:p>
            <w:pPr>
              <w:widowControl w:val="0"/>
              <w:rPr>
                <w:sz w:val="10"/>
                <w:szCs w:val="10"/>
              </w:rPr>
            </w:pPr>
          </w:p>
        </w:tc>
      </w:tr>
      <w:tr>
        <w:trPr>
          <w:trHeight w:val="979"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Nuts Information</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P.O,Box1239,OffShore Incorporations Centre,Victoria,Mahe,Republic of Seychelles</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P.O,Box1239,Offshore Incorporations Centre,Victoria,Mahe,Republic of Seychelles</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r>
    </w:tbl>
    <w:p>
      <w:pPr>
        <w:widowControl w:val="0"/>
        <w:spacing w:after="619" w:line="1" w:lineRule="exact"/>
      </w:pPr>
    </w:p>
    <w:p>
      <w:pPr>
        <w:pStyle w:val="Style27"/>
        <w:keepNext/>
        <w:keepLines/>
        <w:widowControl w:val="0"/>
        <w:shd w:val="clear" w:color="auto" w:fill="auto"/>
        <w:bidi w:val="0"/>
        <w:spacing w:before="0" w:line="240" w:lineRule="auto"/>
        <w:ind w:left="0" w:right="0" w:firstLine="0"/>
        <w:jc w:val="left"/>
      </w:pPr>
      <w:bookmarkStart w:id="1482" w:name="bookmark1482"/>
      <w:bookmarkStart w:id="1483" w:name="bookmark1483"/>
      <w:bookmarkStart w:id="1484" w:name="bookmark1484"/>
      <w:bookmarkStart w:id="1485" w:name="bookmark1485"/>
      <w:r>
        <w:rPr>
          <w:color w:val="000000"/>
          <w:spacing w:val="0"/>
          <w:w w:val="100"/>
          <w:position w:val="0"/>
          <w:sz w:val="24"/>
          <w:szCs w:val="24"/>
        </w:rPr>
        <w:t>八</w:t>
      </w:r>
      <w:bookmarkEnd w:id="1484"/>
      <w:r>
        <w:rPr>
          <w:color w:val="000000"/>
          <w:spacing w:val="0"/>
          <w:w w:val="100"/>
          <w:position w:val="0"/>
          <w:sz w:val="24"/>
          <w:szCs w:val="24"/>
        </w:rPr>
        <w:t>、合并范围的变更</w:t>
      </w:r>
      <w:bookmarkEnd w:id="1482"/>
      <w:bookmarkEnd w:id="1483"/>
      <w:bookmarkEnd w:id="1485"/>
    </w:p>
    <w:p>
      <w:pPr>
        <w:pStyle w:val="Style33"/>
        <w:keepNext/>
        <w:keepLines/>
        <w:widowControl w:val="0"/>
        <w:shd w:val="clear" w:color="auto" w:fill="auto"/>
        <w:bidi w:val="0"/>
        <w:spacing w:before="0" w:line="240" w:lineRule="auto"/>
        <w:ind w:left="0" w:right="0" w:firstLine="0"/>
        <w:jc w:val="left"/>
      </w:pPr>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486"/>
      <w:bookmarkEnd w:id="1487"/>
      <w:bookmarkEnd w:id="1488"/>
    </w:p>
    <w:p>
      <w:pPr>
        <w:pStyle w:val="Style55"/>
        <w:keepNext/>
        <w:keepLines/>
        <w:widowControl w:val="0"/>
        <w:shd w:val="clear" w:color="auto" w:fill="auto"/>
        <w:bidi w:val="0"/>
        <w:spacing w:before="0" w:after="360" w:line="240" w:lineRule="auto"/>
        <w:ind w:left="0" w:right="0" w:firstLine="0"/>
        <w:jc w:val="left"/>
      </w:pPr>
      <w:bookmarkStart w:id="1489" w:name="bookmark1489"/>
      <w:bookmarkStart w:id="1490" w:name="bookmark1490"/>
      <w:bookmarkStart w:id="1491" w:name="bookmark14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489"/>
      <w:bookmarkEnd w:id="1490"/>
      <w:bookmarkEnd w:id="1491"/>
    </w:p>
    <w:p>
      <w:pPr>
        <w:pStyle w:val="Style5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购买日至期 末被购买方</w:t>
            </w:r>
          </w:p>
          <w:p>
            <w:pPr>
              <w:pStyle w:val="Style5"/>
              <w:keepNext w:val="0"/>
              <w:keepLines w:val="0"/>
              <w:widowControl w:val="0"/>
              <w:shd w:val="clear" w:color="auto" w:fill="auto"/>
              <w:bidi w:val="0"/>
              <w:spacing w:before="0" w:after="0" w:line="307" w:lineRule="exact"/>
              <w:ind w:left="0" w:right="240" w:firstLine="0"/>
              <w:jc w:val="right"/>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上海睿民互 联网科技有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299,999,982.</w:t>
            </w:r>
          </w:p>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 股份和现金 购买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22,074,434.2</w:t>
            </w:r>
          </w:p>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5,122,167.49</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海南坚果创 娱信息技术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253,660,888.</w:t>
            </w:r>
          </w:p>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现金购买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31,654,393.9</w:t>
            </w:r>
          </w:p>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11,386,448.9</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3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05" w:lineRule="exact"/>
              <w:ind w:left="0" w:right="0" w:firstLine="0"/>
              <w:jc w:val="left"/>
            </w:pPr>
            <w:r>
              <w:rPr>
                <w:color w:val="000000"/>
                <w:spacing w:val="0"/>
                <w:w w:val="100"/>
                <w:position w:val="0"/>
              </w:rPr>
              <w:t>喀什尚河信 息科技有限 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116,152,537.</w:t>
            </w:r>
          </w:p>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现金购买</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29,869,215.1</w:t>
            </w:r>
          </w:p>
          <w:p>
            <w:pPr>
              <w:pStyle w:val="Style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7,936,795.06</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0"/>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根据本公司股东会决议,本公司与北京睿韬科技有限责任公司及宁波镇海翔易融联投资管理合 伙企业（有限合伙）于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日签订的《高伟达软件股份有限公司与上海睿民互联网科技有限公司 全体股东之发行股份及支付现金购买资产协议》，本公司向北京睿韬科技有限责任公司发行</w:t>
      </w:r>
      <w:r>
        <w:rPr>
          <w:rFonts w:ascii="Times New Roman" w:eastAsia="Times New Roman" w:hAnsi="Times New Roman" w:cs="Times New Roman"/>
          <w:color w:val="000000"/>
          <w:spacing w:val="0"/>
          <w:w w:val="100"/>
          <w:position w:val="0"/>
        </w:rPr>
        <w:t>14,076</w:t>
      </w:r>
      <w:r>
        <w:rPr>
          <w:color w:val="000000"/>
          <w:spacing w:val="0"/>
          <w:w w:val="100"/>
          <w:position w:val="0"/>
        </w:rPr>
        <w:t>万元等 值高伟达股票，并支付</w:t>
      </w:r>
      <w:r>
        <w:rPr>
          <w:rFonts w:ascii="Times New Roman" w:eastAsia="Times New Roman" w:hAnsi="Times New Roman" w:cs="Times New Roman"/>
          <w:color w:val="000000"/>
          <w:spacing w:val="0"/>
          <w:w w:val="100"/>
          <w:position w:val="0"/>
        </w:rPr>
        <w:t>3,924</w:t>
      </w:r>
      <w:r>
        <w:rPr>
          <w:color w:val="000000"/>
          <w:spacing w:val="0"/>
          <w:w w:val="100"/>
          <w:position w:val="0"/>
        </w:rPr>
        <w:t>万元现金收购其持有的上海睿民互联网科技有限公司</w:t>
      </w:r>
      <w:r>
        <w:rPr>
          <w:rFonts w:ascii="Times New Roman" w:eastAsia="Times New Roman" w:hAnsi="Times New Roman" w:cs="Times New Roman"/>
          <w:color w:val="000000"/>
          <w:spacing w:val="0"/>
          <w:w w:val="100"/>
          <w:position w:val="0"/>
        </w:rPr>
        <w:t>60%</w:t>
      </w:r>
      <w:r>
        <w:rPr>
          <w:color w:val="000000"/>
          <w:spacing w:val="0"/>
          <w:w w:val="100"/>
          <w:position w:val="0"/>
        </w:rPr>
        <w:t>的股权；向宁波镇海 翔易融联投资管理合伙企业（有限合伙）发行</w:t>
      </w:r>
      <w:r>
        <w:rPr>
          <w:rFonts w:ascii="Times New Roman" w:eastAsia="Times New Roman" w:hAnsi="Times New Roman" w:cs="Times New Roman"/>
          <w:color w:val="000000"/>
          <w:spacing w:val="0"/>
          <w:w w:val="100"/>
          <w:position w:val="0"/>
        </w:rPr>
        <w:t>9,384</w:t>
      </w:r>
      <w:r>
        <w:rPr>
          <w:color w:val="000000"/>
          <w:spacing w:val="0"/>
          <w:w w:val="100"/>
          <w:position w:val="0"/>
        </w:rPr>
        <w:t>万元等值高伟达股票并支付</w:t>
      </w:r>
      <w:r>
        <w:rPr>
          <w:rFonts w:ascii="Times New Roman" w:eastAsia="Times New Roman" w:hAnsi="Times New Roman" w:cs="Times New Roman"/>
          <w:color w:val="000000"/>
          <w:spacing w:val="0"/>
          <w:w w:val="100"/>
          <w:position w:val="0"/>
        </w:rPr>
        <w:t>2,616</w:t>
      </w:r>
      <w:r>
        <w:rPr>
          <w:color w:val="000000"/>
          <w:spacing w:val="0"/>
          <w:w w:val="100"/>
          <w:position w:val="0"/>
        </w:rPr>
        <w:t>万元现金收购其持有 的上海睿民互联网科技有限公司</w:t>
      </w:r>
      <w:r>
        <w:rPr>
          <w:rFonts w:ascii="Times New Roman" w:eastAsia="Times New Roman" w:hAnsi="Times New Roman" w:cs="Times New Roman"/>
          <w:color w:val="000000"/>
          <w:spacing w:val="0"/>
          <w:w w:val="100"/>
          <w:position w:val="0"/>
        </w:rPr>
        <w:t>40%</w:t>
      </w:r>
      <w:r>
        <w:rPr>
          <w:color w:val="000000"/>
          <w:spacing w:val="0"/>
          <w:w w:val="100"/>
          <w:position w:val="0"/>
        </w:rPr>
        <w:t>的股权。本公司已于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日支付上述股权转让款</w:t>
      </w:r>
      <w:r>
        <w:rPr>
          <w:rFonts w:ascii="Times New Roman" w:eastAsia="Times New Roman" w:hAnsi="Times New Roman" w:cs="Times New Roman"/>
          <w:color w:val="000000"/>
          <w:spacing w:val="0"/>
          <w:w w:val="100"/>
          <w:position w:val="0"/>
        </w:rPr>
        <w:t>5,000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剩 余款项将于经审计的《专项审核报告》确认实现</w:t>
      </w:r>
      <w:r>
        <w:rPr>
          <w:rFonts w:ascii="Times New Roman" w:eastAsia="Times New Roman" w:hAnsi="Times New Roman" w:cs="Times New Roman"/>
          <w:color w:val="000000"/>
          <w:spacing w:val="0"/>
          <w:w w:val="100"/>
          <w:position w:val="0"/>
        </w:rPr>
        <w:t>2016</w:t>
      </w:r>
      <w:r>
        <w:rPr>
          <w:color w:val="000000"/>
          <w:spacing w:val="0"/>
          <w:w w:val="100"/>
          <w:position w:val="0"/>
        </w:rPr>
        <w:t>年业绩承诺后的</w:t>
      </w:r>
      <w:r>
        <w:rPr>
          <w:rFonts w:ascii="Times New Roman" w:eastAsia="Times New Roman" w:hAnsi="Times New Roman" w:cs="Times New Roman"/>
          <w:color w:val="000000"/>
          <w:spacing w:val="0"/>
          <w:w w:val="100"/>
          <w:position w:val="0"/>
        </w:rPr>
        <w:t>10</w:t>
      </w:r>
      <w:r>
        <w:rPr>
          <w:color w:val="000000"/>
          <w:spacing w:val="0"/>
          <w:w w:val="100"/>
          <w:position w:val="0"/>
        </w:rPr>
        <w:t>个工作日内支付</w:t>
      </w:r>
      <w:r>
        <w:rPr>
          <w:rFonts w:ascii="Times New Roman" w:eastAsia="Times New Roman" w:hAnsi="Times New Roman" w:cs="Times New Roman"/>
          <w:color w:val="000000"/>
          <w:spacing w:val="0"/>
          <w:w w:val="100"/>
          <w:position w:val="0"/>
        </w:rPr>
        <w:t>）</w:t>
      </w:r>
      <w:r>
        <w:rPr>
          <w:color w:val="000000"/>
          <w:spacing w:val="0"/>
          <w:w w:val="100"/>
          <w:position w:val="0"/>
        </w:rPr>
        <w:t>。北京睿韬科技有 限责任公司与宁波镇海翔易融联投资管理合伙企业（有限合伙）已于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日向中国证券登记结算 有限责任公司登记，列在高伟达软件股份有限公司证券持有人名册。上海睿民互联网科技有限公司于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日办妥工商变更登记手续，同时上海睿民互联网科技有限公司新的董事会于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日成 立，在新一届董事会中本公司派出董事已占多数，本公司在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月末已拥有该公司的实质控制权。为 便于核算，将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日确定为购买日，自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日起将其纳入合并财务报表范围。</w:t>
      </w:r>
    </w:p>
    <w:p>
      <w:pPr>
        <w:pStyle w:val="Style70"/>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根据本公司股东会决议，本公司与海南欢乐坚果信息咨询中心（有限合伙）、刘晓曦于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日签订的《收购协议》，本公司以</w:t>
      </w:r>
      <w:r>
        <w:rPr>
          <w:rFonts w:ascii="Times New Roman" w:eastAsia="Times New Roman" w:hAnsi="Times New Roman" w:cs="Times New Roman"/>
          <w:color w:val="000000"/>
          <w:spacing w:val="0"/>
          <w:w w:val="100"/>
          <w:position w:val="0"/>
        </w:rPr>
        <w:t>25,020</w:t>
      </w:r>
      <w:r>
        <w:rPr>
          <w:color w:val="000000"/>
          <w:spacing w:val="0"/>
          <w:w w:val="100"/>
          <w:position w:val="0"/>
        </w:rPr>
        <w:t>万元受让海南欢乐坚果信息咨询中心（有限合伙）公司持有的 海南坚果创娱信息技术有限公司</w:t>
      </w:r>
      <w:r>
        <w:rPr>
          <w:rFonts w:ascii="Times New Roman" w:eastAsia="Times New Roman" w:hAnsi="Times New Roman" w:cs="Times New Roman"/>
          <w:color w:val="000000"/>
          <w:spacing w:val="0"/>
          <w:w w:val="100"/>
          <w:position w:val="0"/>
        </w:rPr>
        <w:t>99%</w:t>
      </w:r>
      <w:r>
        <w:rPr>
          <w:color w:val="000000"/>
          <w:spacing w:val="0"/>
          <w:w w:val="100"/>
          <w:position w:val="0"/>
        </w:rPr>
        <w:t>股权及刘晓曦持有的海南坚果创娱信息技术有限公司</w:t>
      </w:r>
      <w:r>
        <w:rPr>
          <w:rFonts w:ascii="Times New Roman" w:eastAsia="Times New Roman" w:hAnsi="Times New Roman" w:cs="Times New Roman"/>
          <w:color w:val="000000"/>
          <w:spacing w:val="0"/>
          <w:w w:val="100"/>
          <w:position w:val="0"/>
        </w:rPr>
        <w:t>1%</w:t>
      </w:r>
      <w:r>
        <w:rPr>
          <w:color w:val="000000"/>
          <w:spacing w:val="0"/>
          <w:w w:val="100"/>
          <w:position w:val="0"/>
        </w:rPr>
        <w:t>的股权。本公 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日支付上述股权转让款</w:t>
      </w:r>
      <w:r>
        <w:rPr>
          <w:rFonts w:ascii="Times New Roman" w:eastAsia="Times New Roman" w:hAnsi="Times New Roman" w:cs="Times New Roman"/>
          <w:color w:val="000000"/>
          <w:spacing w:val="0"/>
          <w:w w:val="100"/>
          <w:position w:val="0"/>
        </w:rPr>
        <w:t>6,505.</w:t>
      </w:r>
      <w:r>
        <w:rPr>
          <w:rFonts w:ascii="Times New Roman" w:eastAsia="Times New Roman" w:hAnsi="Times New Roman" w:cs="Times New Roman"/>
          <w:color w:val="000000"/>
          <w:spacing w:val="0"/>
          <w:w w:val="100"/>
          <w:position w:val="0"/>
        </w:rPr>
        <w:t>2</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第二期款项</w:t>
      </w:r>
      <w:r>
        <w:rPr>
          <w:rFonts w:ascii="Times New Roman" w:eastAsia="Times New Roman" w:hAnsi="Times New Roman" w:cs="Times New Roman"/>
          <w:color w:val="000000"/>
          <w:spacing w:val="0"/>
          <w:w w:val="100"/>
          <w:position w:val="0"/>
        </w:rPr>
        <w:t>4,253.4</w:t>
      </w:r>
      <w:r>
        <w:rPr>
          <w:color w:val="000000"/>
          <w:spacing w:val="0"/>
          <w:w w:val="100"/>
          <w:position w:val="0"/>
        </w:rPr>
        <w:t>万元将于海南坚果创娱信息技术</w:t>
        <w:br w:type="page"/>
      </w:r>
      <w:r>
        <w:rPr>
          <w:color w:val="000000"/>
          <w:spacing w:val="0"/>
          <w:w w:val="100"/>
          <w:position w:val="0"/>
        </w:rPr>
        <w:t>有限公司实现</w:t>
      </w:r>
      <w:r>
        <w:rPr>
          <w:rFonts w:ascii="Times New Roman" w:eastAsia="Times New Roman" w:hAnsi="Times New Roman" w:cs="Times New Roman"/>
          <w:color w:val="000000"/>
          <w:spacing w:val="0"/>
          <w:w w:val="100"/>
          <w:position w:val="0"/>
        </w:rPr>
        <w:t>2016</w:t>
      </w:r>
      <w:r>
        <w:rPr>
          <w:color w:val="000000"/>
          <w:spacing w:val="0"/>
          <w:w w:val="100"/>
          <w:position w:val="0"/>
        </w:rPr>
        <w:t>年承诺业绩后支付，第三期款项</w:t>
      </w:r>
      <w:r>
        <w:rPr>
          <w:rFonts w:ascii="Times New Roman" w:eastAsia="Times New Roman" w:hAnsi="Times New Roman" w:cs="Times New Roman"/>
          <w:color w:val="000000"/>
          <w:spacing w:val="0"/>
          <w:w w:val="100"/>
          <w:position w:val="0"/>
        </w:rPr>
        <w:t>4,503.6</w:t>
      </w:r>
      <w:r>
        <w:rPr>
          <w:color w:val="000000"/>
          <w:spacing w:val="0"/>
          <w:w w:val="100"/>
          <w:position w:val="0"/>
        </w:rPr>
        <w:t xml:space="preserve">万元将于海南坚果创娱信息技术有限公司实现 </w:t>
      </w:r>
      <w:r>
        <w:rPr>
          <w:rFonts w:ascii="Times New Roman" w:eastAsia="Times New Roman" w:hAnsi="Times New Roman" w:cs="Times New Roman"/>
          <w:color w:val="000000"/>
          <w:spacing w:val="0"/>
          <w:w w:val="100"/>
          <w:position w:val="0"/>
        </w:rPr>
        <w:t>2017</w:t>
      </w:r>
      <w:r>
        <w:rPr>
          <w:color w:val="000000"/>
          <w:spacing w:val="0"/>
          <w:w w:val="100"/>
          <w:position w:val="0"/>
        </w:rPr>
        <w:t>年承诺业绩后支付，第四期款项</w:t>
      </w:r>
      <w:r>
        <w:rPr>
          <w:rFonts w:ascii="Times New Roman" w:eastAsia="Times New Roman" w:hAnsi="Times New Roman" w:cs="Times New Roman"/>
          <w:color w:val="000000"/>
          <w:spacing w:val="0"/>
          <w:w w:val="100"/>
          <w:position w:val="0"/>
        </w:rPr>
        <w:t>4,503.6</w:t>
      </w:r>
      <w:r>
        <w:rPr>
          <w:color w:val="000000"/>
          <w:spacing w:val="0"/>
          <w:w w:val="100"/>
          <w:position w:val="0"/>
        </w:rPr>
        <w:t>万元将于海南坚果创娱信息技术有限公司实现</w:t>
      </w:r>
      <w:r>
        <w:rPr>
          <w:rFonts w:ascii="Times New Roman" w:eastAsia="Times New Roman" w:hAnsi="Times New Roman" w:cs="Times New Roman"/>
          <w:color w:val="000000"/>
          <w:spacing w:val="0"/>
          <w:w w:val="100"/>
          <w:position w:val="0"/>
        </w:rPr>
        <w:t>2018</w:t>
      </w:r>
      <w:r>
        <w:rPr>
          <w:color w:val="000000"/>
          <w:spacing w:val="0"/>
          <w:w w:val="100"/>
          <w:position w:val="0"/>
        </w:rPr>
        <w:t>年承诺业绩 后支付，第五期款项</w:t>
      </w:r>
      <w:r>
        <w:rPr>
          <w:rFonts w:ascii="Times New Roman" w:eastAsia="Times New Roman" w:hAnsi="Times New Roman" w:cs="Times New Roman"/>
          <w:color w:val="000000"/>
          <w:spacing w:val="0"/>
          <w:w w:val="100"/>
          <w:position w:val="0"/>
        </w:rPr>
        <w:t>5,254.</w:t>
      </w:r>
      <w:r>
        <w:rPr>
          <w:rFonts w:ascii="Times New Roman" w:eastAsia="Times New Roman" w:hAnsi="Times New Roman" w:cs="Times New Roman"/>
          <w:color w:val="000000"/>
          <w:spacing w:val="0"/>
          <w:w w:val="100"/>
          <w:position w:val="0"/>
        </w:rPr>
        <w:t>2</w:t>
      </w:r>
      <w:r>
        <w:rPr>
          <w:color w:val="000000"/>
          <w:spacing w:val="0"/>
          <w:w w:val="100"/>
          <w:position w:val="0"/>
        </w:rPr>
        <w:t>万元将于海南坚果创娱信息技术有限公司实现</w:t>
      </w:r>
      <w:r>
        <w:rPr>
          <w:rFonts w:ascii="Times New Roman" w:eastAsia="Times New Roman" w:hAnsi="Times New Roman" w:cs="Times New Roman"/>
          <w:color w:val="000000"/>
          <w:spacing w:val="0"/>
          <w:w w:val="100"/>
          <w:position w:val="0"/>
        </w:rPr>
        <w:t>2019</w:t>
      </w:r>
      <w:r>
        <w:rPr>
          <w:color w:val="000000"/>
          <w:spacing w:val="0"/>
          <w:w w:val="100"/>
          <w:position w:val="0"/>
        </w:rPr>
        <w:t>年承诺业绩后支付</w:t>
      </w:r>
      <w:r>
        <w:rPr>
          <w:rFonts w:ascii="Times New Roman" w:eastAsia="Times New Roman" w:hAnsi="Times New Roman" w:cs="Times New Roman"/>
          <w:color w:val="000000"/>
          <w:spacing w:val="0"/>
          <w:w w:val="100"/>
          <w:position w:val="0"/>
        </w:rPr>
        <w:t>）</w:t>
      </w:r>
      <w:r>
        <w:rPr>
          <w:color w:val="000000"/>
          <w:spacing w:val="0"/>
          <w:w w:val="100"/>
          <w:position w:val="0"/>
        </w:rPr>
        <w:t>。海南坚 果创娱信息技术有限公司于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日办妥工商变更登记手续，同时海南坚果创娱信息技术有限公司 新的董事会于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日成立，在新一届董事会中本公司派出董事已占多数，本公司在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月末已 拥有该公司的实质控制权。为便于核算，将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日确定为购买日，自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日起将其纳入合 并财务报表范围。</w:t>
      </w:r>
    </w:p>
    <w:p>
      <w:pPr>
        <w:pStyle w:val="Style70"/>
        <w:keepNext w:val="0"/>
        <w:keepLines w:val="0"/>
        <w:widowControl w:val="0"/>
        <w:shd w:val="clear" w:color="auto" w:fill="auto"/>
        <w:tabs>
          <w:tab w:pos="1114" w:val="left"/>
        </w:tabs>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tab/>
      </w:r>
      <w:r>
        <w:rPr>
          <w:color w:val="000000"/>
          <w:spacing w:val="0"/>
          <w:w w:val="100"/>
          <w:position w:val="0"/>
        </w:rPr>
        <w:t>根据本公司股东会决议，本公司与樟树尚合投资管理中心（有限合伙）、黄河、李楠及喀什尚</w:t>
      </w:r>
    </w:p>
    <w:p>
      <w:pPr>
        <w:pStyle w:val="Style70"/>
        <w:keepNext w:val="0"/>
        <w:keepLines w:val="0"/>
        <w:widowControl w:val="0"/>
        <w:shd w:val="clear" w:color="auto" w:fill="auto"/>
        <w:bidi w:val="0"/>
        <w:spacing w:before="0" w:after="260" w:line="314" w:lineRule="exact"/>
        <w:ind w:left="0" w:right="0" w:firstLine="0"/>
        <w:jc w:val="both"/>
      </w:pPr>
      <w:r>
        <w:rPr>
          <w:color w:val="000000"/>
          <w:spacing w:val="0"/>
          <w:w w:val="100"/>
          <w:position w:val="0"/>
        </w:rPr>
        <w:t>河信息科技有限公司于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日签订的《股权收购协议》，本公司以</w:t>
      </w:r>
      <w:r>
        <w:rPr>
          <w:rFonts w:ascii="Times New Roman" w:eastAsia="Times New Roman" w:hAnsi="Times New Roman" w:cs="Times New Roman"/>
          <w:color w:val="000000"/>
          <w:spacing w:val="0"/>
          <w:w w:val="100"/>
          <w:position w:val="0"/>
        </w:rPr>
        <w:t>12,006</w:t>
      </w:r>
      <w:r>
        <w:rPr>
          <w:color w:val="000000"/>
          <w:spacing w:val="0"/>
          <w:w w:val="100"/>
          <w:position w:val="0"/>
        </w:rPr>
        <w:t>万元受让樟树尚合投资 管理中心（有限合伙）持有的喀什尚河信息科技有限公司</w:t>
      </w:r>
      <w:r>
        <w:rPr>
          <w:rFonts w:ascii="Times New Roman" w:eastAsia="Times New Roman" w:hAnsi="Times New Roman" w:cs="Times New Roman"/>
          <w:color w:val="000000"/>
          <w:spacing w:val="0"/>
          <w:w w:val="100"/>
          <w:position w:val="0"/>
        </w:rPr>
        <w:t>100%</w:t>
      </w:r>
      <w:r>
        <w:rPr>
          <w:color w:val="000000"/>
          <w:spacing w:val="0"/>
          <w:w w:val="100"/>
          <w:position w:val="0"/>
        </w:rPr>
        <w:t>股权。本公司已于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日支付上述 股权转让款</w:t>
      </w:r>
      <w:r>
        <w:rPr>
          <w:rFonts w:ascii="Times New Roman" w:eastAsia="Times New Roman" w:hAnsi="Times New Roman" w:cs="Times New Roman"/>
          <w:color w:val="000000"/>
          <w:spacing w:val="0"/>
          <w:w w:val="100"/>
          <w:position w:val="0"/>
        </w:rPr>
        <w:t>3,601.8</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第二期转让款</w:t>
      </w:r>
      <w:r>
        <w:rPr>
          <w:rFonts w:ascii="Times New Roman" w:eastAsia="Times New Roman" w:hAnsi="Times New Roman" w:cs="Times New Roman"/>
          <w:color w:val="000000"/>
          <w:spacing w:val="0"/>
          <w:w w:val="100"/>
          <w:position w:val="0"/>
        </w:rPr>
        <w:t>1,200.6</w:t>
      </w:r>
      <w:r>
        <w:rPr>
          <w:color w:val="000000"/>
          <w:spacing w:val="0"/>
          <w:w w:val="100"/>
          <w:position w:val="0"/>
        </w:rPr>
        <w:t>万元将于公司经审计</w:t>
      </w:r>
      <w:r>
        <w:rPr>
          <w:rFonts w:ascii="Times New Roman" w:eastAsia="Times New Roman" w:hAnsi="Times New Roman" w:cs="Times New Roman"/>
          <w:color w:val="000000"/>
          <w:spacing w:val="0"/>
          <w:w w:val="100"/>
          <w:position w:val="0"/>
        </w:rPr>
        <w:t>2016</w:t>
      </w:r>
      <w:r>
        <w:rPr>
          <w:color w:val="000000"/>
          <w:spacing w:val="0"/>
          <w:w w:val="100"/>
          <w:position w:val="0"/>
        </w:rPr>
        <w:t>年税后净利润确认之日起十个工作 日内支付，第三期转让款</w:t>
      </w:r>
      <w:r>
        <w:rPr>
          <w:rFonts w:ascii="Times New Roman" w:eastAsia="Times New Roman" w:hAnsi="Times New Roman" w:cs="Times New Roman"/>
          <w:color w:val="000000"/>
          <w:spacing w:val="0"/>
          <w:w w:val="100"/>
          <w:position w:val="0"/>
        </w:rPr>
        <w:t>3,601.8</w:t>
      </w:r>
      <w:r>
        <w:rPr>
          <w:color w:val="000000"/>
          <w:spacing w:val="0"/>
          <w:w w:val="100"/>
          <w:position w:val="0"/>
        </w:rPr>
        <w:t>万元将于公司经审计</w:t>
      </w:r>
      <w:r>
        <w:rPr>
          <w:rFonts w:ascii="Times New Roman" w:eastAsia="Times New Roman" w:hAnsi="Times New Roman" w:cs="Times New Roman"/>
          <w:color w:val="000000"/>
          <w:spacing w:val="0"/>
          <w:w w:val="100"/>
          <w:position w:val="0"/>
        </w:rPr>
        <w:t>2017</w:t>
      </w:r>
      <w:r>
        <w:rPr>
          <w:color w:val="000000"/>
          <w:spacing w:val="0"/>
          <w:w w:val="100"/>
          <w:position w:val="0"/>
        </w:rPr>
        <w:t>年税后净利润确认之日起十个工作日内支付，第 四期转让款</w:t>
      </w:r>
      <w:r>
        <w:rPr>
          <w:rFonts w:ascii="Times New Roman" w:eastAsia="Times New Roman" w:hAnsi="Times New Roman" w:cs="Times New Roman"/>
          <w:color w:val="000000"/>
          <w:spacing w:val="0"/>
          <w:w w:val="100"/>
          <w:position w:val="0"/>
        </w:rPr>
        <w:t>3,601.8</w:t>
      </w:r>
      <w:r>
        <w:rPr>
          <w:color w:val="000000"/>
          <w:spacing w:val="0"/>
          <w:w w:val="100"/>
          <w:position w:val="0"/>
        </w:rPr>
        <w:t>万元将于公司经审计</w:t>
      </w:r>
      <w:r>
        <w:rPr>
          <w:rFonts w:ascii="Times New Roman" w:eastAsia="Times New Roman" w:hAnsi="Times New Roman" w:cs="Times New Roman"/>
          <w:color w:val="000000"/>
          <w:spacing w:val="0"/>
          <w:w w:val="100"/>
          <w:position w:val="0"/>
        </w:rPr>
        <w:t>2018</w:t>
      </w:r>
      <w:r>
        <w:rPr>
          <w:color w:val="000000"/>
          <w:spacing w:val="0"/>
          <w:w w:val="100"/>
          <w:position w:val="0"/>
        </w:rPr>
        <w:t>年税后净利润确认之日起十个工作日内支付</w:t>
      </w:r>
      <w:r>
        <w:rPr>
          <w:rFonts w:ascii="Times New Roman" w:eastAsia="Times New Roman" w:hAnsi="Times New Roman" w:cs="Times New Roman"/>
          <w:color w:val="000000"/>
          <w:spacing w:val="0"/>
          <w:w w:val="100"/>
          <w:position w:val="0"/>
        </w:rPr>
        <w:t>）</w:t>
      </w:r>
      <w:r>
        <w:rPr>
          <w:color w:val="000000"/>
          <w:spacing w:val="0"/>
          <w:w w:val="100"/>
          <w:position w:val="0"/>
        </w:rPr>
        <w:t>。喀什尚河信息科 技有限公司于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日办妥工商变更登记手续，同时喀什尚河信息科技有限公司新的董事会于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日成立，在新一届董事会中本公司派出董事已占多数，本公司在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月末已拥有该公司的实 质控制权。为便于核算，将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日确定为购买日，自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日起将其纳入合并财务报表范 围。</w:t>
      </w:r>
    </w:p>
    <w:p>
      <w:pPr>
        <w:pStyle w:val="Style55"/>
        <w:keepNext/>
        <w:keepLines/>
        <w:widowControl w:val="0"/>
        <w:shd w:val="clear" w:color="auto" w:fill="auto"/>
        <w:bidi w:val="0"/>
        <w:spacing w:before="0" w:line="314" w:lineRule="exact"/>
        <w:ind w:left="0" w:right="0" w:firstLine="0"/>
        <w:jc w:val="both"/>
      </w:pPr>
      <w:bookmarkStart w:id="1492" w:name="bookmark1492"/>
      <w:bookmarkStart w:id="1493" w:name="bookmark1493"/>
      <w:bookmarkStart w:id="1494" w:name="bookmark14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492"/>
      <w:bookmarkEnd w:id="1493"/>
      <w:bookmarkEnd w:id="1494"/>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tcBorders>
            <w:shd w:val="clear" w:color="auto" w:fill="E1FFFF"/>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上海睿民互联网科技有限公 司</w:t>
            </w:r>
          </w:p>
        </w:tc>
        <w:tc>
          <w:tcPr>
            <w:tcBorders>
              <w:top w:val="single" w:sz="4"/>
              <w:left w:val="single" w:sz="4"/>
            </w:tcBorders>
            <w:shd w:val="clear" w:color="auto" w:fill="E1FFFF"/>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海南坚果创娱信息技术有限 公司</w:t>
            </w:r>
          </w:p>
        </w:tc>
        <w:tc>
          <w:tcPr>
            <w:tcBorders>
              <w:top w:val="single" w:sz="4"/>
              <w:left w:val="single" w:sz="4"/>
              <w:right w:val="single" w:sz="4"/>
            </w:tcBorders>
            <w:shd w:val="clear" w:color="auto" w:fill="E1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喀什尚河信息科技有限公司</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65,400,000.00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239,752,372.56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116,152,537.54</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 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234,599,982.22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13,908,516.38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299,999,982.22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253,660,888.94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116,152,537.54</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减：取得的可辨认净资产公允 价值份额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64,570,851.36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10,280,312.21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8,676,679.96</w:t>
            </w:r>
          </w:p>
        </w:tc>
      </w:tr>
      <w:tr>
        <w:trPr>
          <w:trHeight w:val="1037"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 辨认净资产公允价值份额的 金额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235,429,130.86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243,380,576.73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107,475,857.58</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合并成本公允价值的确定方法、或有对价及其变动的说明:</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大额商誉形成的主要原因：</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55"/>
        <w:keepNext/>
        <w:keepLines/>
        <w:widowControl w:val="0"/>
        <w:shd w:val="clear" w:color="auto" w:fill="auto"/>
        <w:bidi w:val="0"/>
        <w:spacing w:before="0" w:line="240" w:lineRule="auto"/>
        <w:ind w:left="0" w:right="0" w:firstLine="140"/>
        <w:jc w:val="left"/>
      </w:pPr>
      <w:bookmarkStart w:id="1495" w:name="bookmark1495"/>
      <w:bookmarkStart w:id="1496" w:name="bookmark1496"/>
      <w:bookmarkStart w:id="1497" w:name="bookmark1497"/>
      <w:bookmarkStart w:id="1498" w:name="bookmark1498"/>
      <w:r>
        <w:rPr>
          <w:color w:val="000000"/>
          <w:spacing w:val="0"/>
          <w:w w:val="100"/>
          <w:position w:val="0"/>
        </w:rPr>
        <w:t>（</w:t>
      </w:r>
      <w:bookmarkEnd w:id="1497"/>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495"/>
      <w:bookmarkEnd w:id="1496"/>
      <w:bookmarkEnd w:id="1498"/>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2731"/>
        <w:gridCol w:w="2736"/>
        <w:gridCol w:w="2741"/>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上海睿民互联网科技有限公司</w:t>
            </w:r>
          </w:p>
        </w:tc>
        <w:tc>
          <w:tcPr>
            <w:tcBorders>
              <w:top w:val="single" w:sz="4"/>
              <w:left w:val="single" w:sz="4"/>
              <w:bottom w:val="single" w:sz="4"/>
            </w:tcBorders>
            <w:shd w:val="clear" w:color="auto" w:fill="E1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海南坚果创娱信息技术有限公司</w:t>
            </w:r>
          </w:p>
        </w:tc>
        <w:tc>
          <w:tcPr>
            <w:tcBorders>
              <w:top w:val="single" w:sz="4"/>
              <w:left w:val="single" w:sz="4"/>
              <w:bottom w:val="single" w:sz="4"/>
              <w:right w:val="single" w:sz="4"/>
            </w:tcBorders>
            <w:shd w:val="clear" w:color="auto" w:fill="E1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喀什尚河信息科技有限公司</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购买日公允价值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购买日账面价值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购买日公允价值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购买日账面价值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10,209,206.36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10,209,206.36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2,856,783.58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2,856,783.58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5,052,816.67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5,052,816.67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81,062,926.32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81,062,926.32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5,956,896.16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5,956,896.16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8,008,490.12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8,008,490.12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4,469,694.43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4,469,694.43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526,527.78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526,527.78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203,194.74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203,194.74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8,490,000.00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6,493,472.94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1,560,540.00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1,560,540.00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448,725.56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448,725.56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918,702.27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918,702.27</w:t>
            </w:r>
          </w:p>
        </w:tc>
      </w:tr>
      <w:tr>
        <w:trPr>
          <w:trHeight w:val="403" w:hRule="exact"/>
        </w:trPr>
        <w:tc>
          <w:tcPr>
            <w:tcBorders>
              <w:top w:val="single" w:sz="4"/>
              <w:left w:val="single" w:sz="4"/>
            </w:tcBorders>
            <w:shd w:val="clear" w:color="auto" w:fill="E1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2,050,976.84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2,050,976.84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97,998.13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97,998.13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121,250.00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121,250.00</w:t>
            </w:r>
          </w:p>
        </w:tc>
      </w:tr>
      <w:tr>
        <w:trPr>
          <w:trHeight w:val="398" w:hRule="exact"/>
        </w:trPr>
        <w:tc>
          <w:tcPr>
            <w:tcBorders>
              <w:top w:val="single" w:sz="4"/>
              <w:left w:val="single" w:sz="4"/>
            </w:tcBorders>
            <w:shd w:val="clear" w:color="auto" w:fill="E1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3,619,132.41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3,619,132.41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19,677.51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7,637.00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4,958,843.87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4,958,843.87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3,874,126.30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3,874,126.30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2,486,919.47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2,486,919.47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1,273,500.00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972,975.00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1,201,120.01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1,201,120.01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7,740,262.61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7,740,262.61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12,756.66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12,756.66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9,020.51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9,020.51</w:t>
            </w:r>
          </w:p>
        </w:tc>
      </w:tr>
      <w:tr>
        <w:trPr>
          <w:trHeight w:val="398" w:hRule="exact"/>
        </w:trPr>
        <w:tc>
          <w:tcPr>
            <w:tcBorders>
              <w:top w:val="single" w:sz="4"/>
              <w:left w:val="single" w:sz="4"/>
            </w:tcBorders>
            <w:shd w:val="clear" w:color="auto" w:fill="E1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2,103,512.66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2,103,512.66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376,604.23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376,604.23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574,784.63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574,784.63</w:t>
            </w:r>
          </w:p>
        </w:tc>
      </w:tr>
      <w:tr>
        <w:trPr>
          <w:trHeight w:val="403" w:hRule="exact"/>
        </w:trPr>
        <w:tc>
          <w:tcPr>
            <w:tcBorders>
              <w:top w:val="single" w:sz="4"/>
              <w:left w:val="single" w:sz="4"/>
            </w:tcBorders>
            <w:shd w:val="clear" w:color="auto" w:fill="E1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38,062.50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13,102,851.13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13,102,851.13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632,111.22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632,111.22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2,353,854.49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2,353,854.49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64,570,851.36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57,354,351.36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10,280,312.21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4,766,787.21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8,676,679.96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8,676,679.96</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64,570,851.36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57,354,351.36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10,280,312.21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4,766,787.21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8,676,679.96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8,676,679.96</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pStyle w:val="Style70"/>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收购标的上海睿民互联网科技有限公司，已经中和资产评估有限公司进行评估，并出具了中和评咨字 （</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BJU3006</w:t>
      </w:r>
      <w:r>
        <w:rPr>
          <w:color w:val="000000"/>
          <w:spacing w:val="0"/>
          <w:w w:val="100"/>
          <w:position w:val="0"/>
        </w:rPr>
        <w:t>号《高伟达软件股份有限公司拟分割上海睿民互联网科技有限公司商誉价值项目评估 报告书》，评估基准日为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日。根据该评估报告，所收购上海睿民互联网科技有限股权的可 辨认净资产的公允价值为人民币</w:t>
      </w:r>
      <w:r>
        <w:rPr>
          <w:rFonts w:ascii="Times New Roman" w:eastAsia="Times New Roman" w:hAnsi="Times New Roman" w:cs="Times New Roman"/>
          <w:color w:val="000000"/>
          <w:spacing w:val="0"/>
          <w:w w:val="100"/>
          <w:position w:val="0"/>
        </w:rPr>
        <w:t>64,570,851.36</w:t>
      </w:r>
      <w:r>
        <w:rPr>
          <w:color w:val="000000"/>
          <w:spacing w:val="0"/>
          <w:w w:val="100"/>
          <w:position w:val="0"/>
        </w:rPr>
        <w:t>元。</w:t>
      </w:r>
    </w:p>
    <w:p>
      <w:pPr>
        <w:pStyle w:val="Style70"/>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收购标的海南坚果创娱信息技术有限公司，已经中联资产评估集团有限公司进行评估，并出具了中联 评报字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2292</w:t>
      </w:r>
      <w:r>
        <w:rPr>
          <w:color w:val="000000"/>
          <w:spacing w:val="0"/>
          <w:w w:val="100"/>
          <w:position w:val="0"/>
        </w:rPr>
        <w:t>号《高伟达软件股份有限公司编制合并财务报告涉及的海南坚果创娱信息技术有限公 司可辨认资产公允价值评估项目资产评估报告》，评估基准日为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日。根据该评估报告，所收 购海南坚果创娱信息技术有限公司的可辨认净资产的公允价值为人民币</w:t>
      </w:r>
      <w:r>
        <w:rPr>
          <w:rFonts w:ascii="Times New Roman" w:eastAsia="Times New Roman" w:hAnsi="Times New Roman" w:cs="Times New Roman"/>
          <w:color w:val="000000"/>
          <w:spacing w:val="0"/>
          <w:w w:val="100"/>
          <w:position w:val="0"/>
        </w:rPr>
        <w:t>10,280,312.21</w:t>
      </w:r>
      <w:r>
        <w:rPr>
          <w:color w:val="000000"/>
          <w:spacing w:val="0"/>
          <w:w w:val="100"/>
          <w:position w:val="0"/>
        </w:rPr>
        <w:t>元。</w:t>
      </w:r>
    </w:p>
    <w:p>
      <w:pPr>
        <w:pStyle w:val="Style70"/>
        <w:keepNext w:val="0"/>
        <w:keepLines w:val="0"/>
        <w:widowControl w:val="0"/>
        <w:shd w:val="clear" w:color="auto" w:fill="auto"/>
        <w:bidi w:val="0"/>
        <w:spacing w:before="0" w:after="440" w:line="310" w:lineRule="exact"/>
        <w:ind w:left="0" w:right="0" w:firstLine="360"/>
        <w:jc w:val="both"/>
      </w:pPr>
      <w:r>
        <w:rPr>
          <w:color w:val="000000"/>
          <w:spacing w:val="0"/>
          <w:w w:val="100"/>
          <w:position w:val="0"/>
        </w:rPr>
        <w:t>收购标的喀什尚河信息科技有限公司，已经国众联资产评估土地房地产股价有限公司进行评估，并出 具了国众联评报字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-2-97</w:t>
      </w:r>
      <w:r>
        <w:rPr>
          <w:rFonts w:ascii="Times New Roman" w:eastAsia="Times New Roman" w:hAnsi="Times New Roman" w:cs="Times New Roman"/>
          <w:color w:val="000000"/>
          <w:spacing w:val="0"/>
          <w:w w:val="100"/>
          <w:position w:val="0"/>
        </w:rPr>
        <w:t>9</w:t>
      </w:r>
      <w:r>
        <w:rPr>
          <w:color w:val="000000"/>
          <w:spacing w:val="0"/>
          <w:w w:val="100"/>
          <w:position w:val="0"/>
        </w:rPr>
        <w:t>号《高伟达软件股份有限公司合并对价分摊所涉及的喀什尚河信息科技有 限公司可辨认净资产公允价值评估报告》，评估基准日为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日。根据该评估报告，所收购喀 什尚河信息科技有限公司的可辨认净资产的公允价值为人民币</w:t>
      </w:r>
      <w:r>
        <w:rPr>
          <w:rFonts w:ascii="Times New Roman" w:eastAsia="Times New Roman" w:hAnsi="Times New Roman" w:cs="Times New Roman"/>
          <w:color w:val="000000"/>
          <w:spacing w:val="0"/>
          <w:w w:val="100"/>
          <w:position w:val="0"/>
        </w:rPr>
        <w:t>8,676,679.96</w:t>
      </w:r>
      <w:r>
        <w:rPr>
          <w:color w:val="000000"/>
          <w:spacing w:val="0"/>
          <w:w w:val="100"/>
          <w:position w:val="0"/>
        </w:rPr>
        <w:t>元。</w:t>
      </w: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企业合并中承担的被购买方的或有负债:</w:t>
      </w:r>
    </w:p>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55"/>
        <w:keepNext/>
        <w:keepLines/>
        <w:widowControl w:val="0"/>
        <w:shd w:val="clear" w:color="auto" w:fill="auto"/>
        <w:tabs>
          <w:tab w:pos="493" w:val="left"/>
        </w:tabs>
        <w:bidi w:val="0"/>
        <w:spacing w:before="0" w:line="240" w:lineRule="auto"/>
        <w:ind w:left="0" w:right="0" w:firstLine="0"/>
        <w:jc w:val="left"/>
      </w:pPr>
      <w:bookmarkStart w:id="1499" w:name="bookmark1499"/>
      <w:bookmarkStart w:id="1500" w:name="bookmark1500"/>
      <w:bookmarkStart w:id="1501" w:name="bookmark1501"/>
      <w:bookmarkStart w:id="1502" w:name="bookmark1502"/>
      <w:r>
        <w:rPr>
          <w:color w:val="000000"/>
          <w:spacing w:val="0"/>
          <w:w w:val="100"/>
          <w:position w:val="0"/>
        </w:rPr>
        <w:t>（</w:t>
      </w:r>
      <w:bookmarkEnd w:id="1501"/>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499"/>
      <w:bookmarkEnd w:id="1500"/>
      <w:bookmarkEnd w:id="150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5"/>
        <w:keepNext/>
        <w:keepLines/>
        <w:widowControl w:val="0"/>
        <w:shd w:val="clear" w:color="auto" w:fill="auto"/>
        <w:bidi w:val="0"/>
        <w:spacing w:before="0" w:line="240" w:lineRule="auto"/>
        <w:ind w:left="0" w:right="0" w:firstLine="0"/>
        <w:jc w:val="left"/>
      </w:pPr>
      <w:bookmarkStart w:id="1503" w:name="bookmark1503"/>
      <w:bookmarkStart w:id="1504" w:name="bookmark1504"/>
      <w:bookmarkStart w:id="1505" w:name="bookmark1505"/>
      <w:bookmarkStart w:id="1506" w:name="bookmark1506"/>
      <w:r>
        <w:rPr>
          <w:color w:val="000000"/>
          <w:spacing w:val="0"/>
          <w:w w:val="100"/>
          <w:position w:val="0"/>
        </w:rPr>
        <w:t>（</w:t>
      </w:r>
      <w:bookmarkEnd w:id="1505"/>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503"/>
      <w:bookmarkEnd w:id="1504"/>
      <w:bookmarkEnd w:id="1506"/>
    </w:p>
    <w:p>
      <w:pPr>
        <w:pStyle w:val="Style55"/>
        <w:keepNext/>
        <w:keepLines/>
        <w:widowControl w:val="0"/>
        <w:shd w:val="clear" w:color="auto" w:fill="auto"/>
        <w:tabs>
          <w:tab w:pos="493" w:val="left"/>
        </w:tabs>
        <w:bidi w:val="0"/>
        <w:spacing w:before="0" w:line="240" w:lineRule="auto"/>
        <w:ind w:left="0" w:right="0" w:firstLine="0"/>
        <w:jc w:val="left"/>
      </w:pPr>
      <w:bookmarkStart w:id="1507" w:name="bookmark1507"/>
      <w:bookmarkStart w:id="1508" w:name="bookmark1508"/>
      <w:bookmarkStart w:id="1509" w:name="bookmark1509"/>
      <w:bookmarkStart w:id="1510" w:name="bookmark1510"/>
      <w:r>
        <w:rPr>
          <w:color w:val="000000"/>
          <w:spacing w:val="0"/>
          <w:w w:val="100"/>
          <w:position w:val="0"/>
        </w:rPr>
        <w:t>（</w:t>
      </w:r>
      <w:bookmarkEnd w:id="1509"/>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507"/>
      <w:bookmarkEnd w:id="1508"/>
      <w:bookmarkEnd w:id="1510"/>
    </w:p>
    <w:p>
      <w:pPr>
        <w:pStyle w:val="Style33"/>
        <w:keepNext/>
        <w:keepLines/>
        <w:widowControl w:val="0"/>
        <w:shd w:val="clear" w:color="auto" w:fill="auto"/>
        <w:bidi w:val="0"/>
        <w:spacing w:before="0" w:after="38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2</w:t>
      </w:r>
      <w:bookmarkEnd w:id="1513"/>
      <w:r>
        <w:rPr>
          <w:color w:val="000000"/>
          <w:spacing w:val="0"/>
          <w:w w:val="100"/>
          <w:position w:val="0"/>
        </w:rPr>
        <w:t>、同一控制下企业合并</w:t>
      </w:r>
      <w:bookmarkEnd w:id="1511"/>
      <w:bookmarkEnd w:id="1512"/>
      <w:bookmarkEnd w:id="1514"/>
    </w:p>
    <w:p>
      <w:pPr>
        <w:pStyle w:val="Style55"/>
        <w:keepNext/>
        <w:keepLines/>
        <w:widowControl w:val="0"/>
        <w:shd w:val="clear" w:color="auto" w:fill="auto"/>
        <w:bidi w:val="0"/>
        <w:spacing w:before="0" w:line="240" w:lineRule="auto"/>
        <w:ind w:left="0" w:right="0" w:firstLine="0"/>
        <w:jc w:val="left"/>
      </w:pPr>
      <w:bookmarkStart w:id="1515" w:name="bookmark1515"/>
      <w:bookmarkStart w:id="1516" w:name="bookmark1516"/>
      <w:bookmarkStart w:id="1517" w:name="bookmark15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515"/>
      <w:bookmarkEnd w:id="1516"/>
      <w:bookmarkEnd w:id="151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6"/>
        <w:gridCol w:w="1070"/>
      </w:tblGrid>
      <w:tr>
        <w:trPr>
          <w:trHeight w:val="1349"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55"/>
        <w:keepNext/>
        <w:keepLines/>
        <w:widowControl w:val="0"/>
        <w:shd w:val="clear" w:color="auto" w:fill="auto"/>
        <w:bidi w:val="0"/>
        <w:spacing w:before="0" w:line="240" w:lineRule="auto"/>
        <w:ind w:left="0" w:right="0" w:firstLine="0"/>
        <w:jc w:val="both"/>
      </w:pPr>
      <w:bookmarkStart w:id="1518" w:name="bookmark1518"/>
      <w:bookmarkStart w:id="1519" w:name="bookmark1519"/>
      <w:bookmarkStart w:id="1520" w:name="bookmark15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518"/>
      <w:bookmarkEnd w:id="1519"/>
      <w:bookmarkEnd w:id="152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5"/>
        <w:keepNext/>
        <w:keepLines/>
        <w:widowControl w:val="0"/>
        <w:shd w:val="clear" w:color="auto" w:fill="auto"/>
        <w:bidi w:val="0"/>
        <w:spacing w:before="0" w:line="240" w:lineRule="auto"/>
        <w:ind w:left="0" w:right="0" w:firstLine="0"/>
        <w:jc w:val="left"/>
      </w:pPr>
      <w:bookmarkStart w:id="1521" w:name="bookmark1521"/>
      <w:bookmarkStart w:id="1522" w:name="bookmark1522"/>
      <w:bookmarkStart w:id="1523" w:name="bookmark1523"/>
      <w:bookmarkStart w:id="1524" w:name="bookmark1524"/>
      <w:r>
        <w:rPr>
          <w:color w:val="000000"/>
          <w:spacing w:val="0"/>
          <w:w w:val="100"/>
          <w:position w:val="0"/>
        </w:rPr>
        <w:t>（</w:t>
      </w:r>
      <w:bookmarkEnd w:id="1523"/>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521"/>
      <w:bookmarkEnd w:id="1522"/>
      <w:bookmarkEnd w:id="1524"/>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pStyle w:val="Style29"/>
        <w:keepNext w:val="0"/>
        <w:keepLines w:val="0"/>
        <w:widowControl w:val="0"/>
        <w:shd w:val="clear" w:color="auto" w:fill="auto"/>
        <w:bidi w:val="0"/>
        <w:spacing w:before="0" w:after="40" w:line="317" w:lineRule="exact"/>
        <w:ind w:left="0" w:right="0" w:firstLine="0"/>
        <w:jc w:val="left"/>
      </w:pPr>
      <w:r>
        <w:rPr>
          <w:color w:val="000000"/>
          <w:spacing w:val="0"/>
          <w:w w:val="100"/>
          <w:position w:val="0"/>
        </w:rPr>
        <w:t>企业合并中承担的被合并方的或有负债：</w:t>
      </w:r>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26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3</w:t>
      </w:r>
      <w:bookmarkEnd w:id="1527"/>
      <w:r>
        <w:rPr>
          <w:color w:val="000000"/>
          <w:spacing w:val="0"/>
          <w:w w:val="100"/>
          <w:position w:val="0"/>
        </w:rPr>
        <w:t>、反向购买</w:t>
      </w:r>
      <w:bookmarkEnd w:id="1525"/>
      <w:bookmarkEnd w:id="1526"/>
      <w:bookmarkEnd w:id="1528"/>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3"/>
        <w:keepNext/>
        <w:keepLines/>
        <w:widowControl w:val="0"/>
        <w:shd w:val="clear" w:color="auto" w:fill="auto"/>
        <w:tabs>
          <w:tab w:pos="378" w:val="left"/>
        </w:tabs>
        <w:bidi w:val="0"/>
        <w:spacing w:before="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4</w:t>
      </w:r>
      <w:bookmarkEnd w:id="1531"/>
      <w:r>
        <w:rPr>
          <w:color w:val="000000"/>
          <w:spacing w:val="0"/>
          <w:w w:val="100"/>
          <w:position w:val="0"/>
        </w:rPr>
        <w:t>、</w:t>
        <w:tab/>
        <w:t>处置子公司</w:t>
      </w:r>
      <w:bookmarkEnd w:id="1529"/>
      <w:bookmarkEnd w:id="1530"/>
      <w:bookmarkEnd w:id="153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3"/>
        <w:keepNext/>
        <w:keepLines/>
        <w:widowControl w:val="0"/>
        <w:shd w:val="clear" w:color="auto" w:fill="auto"/>
        <w:tabs>
          <w:tab w:pos="378" w:val="left"/>
        </w:tabs>
        <w:bidi w:val="0"/>
        <w:spacing w:before="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5</w:t>
      </w:r>
      <w:bookmarkEnd w:id="1535"/>
      <w:r>
        <w:rPr>
          <w:color w:val="000000"/>
          <w:spacing w:val="0"/>
          <w:w w:val="100"/>
          <w:position w:val="0"/>
        </w:rPr>
        <w:t>、</w:t>
        <w:tab/>
        <w:t>其他原因的合并范围变动</w:t>
      </w:r>
      <w:bookmarkEnd w:id="1533"/>
      <w:bookmarkEnd w:id="1534"/>
      <w:bookmarkEnd w:id="1536"/>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3"/>
        <w:keepNext/>
        <w:keepLines/>
        <w:widowControl w:val="0"/>
        <w:shd w:val="clear" w:color="auto" w:fill="auto"/>
        <w:tabs>
          <w:tab w:pos="378" w:val="left"/>
        </w:tabs>
        <w:bidi w:val="0"/>
        <w:spacing w:before="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6</w:t>
      </w:r>
      <w:bookmarkEnd w:id="1539"/>
      <w:r>
        <w:rPr>
          <w:color w:val="000000"/>
          <w:spacing w:val="0"/>
          <w:w w:val="100"/>
          <w:position w:val="0"/>
        </w:rPr>
        <w:t>、</w:t>
        <w:tab/>
        <w:t>其他</w:t>
      </w:r>
      <w:bookmarkEnd w:id="1537"/>
      <w:bookmarkEnd w:id="1538"/>
      <w:bookmarkEnd w:id="1540"/>
    </w:p>
    <w:p>
      <w:pPr>
        <w:pStyle w:val="Style27"/>
        <w:keepNext/>
        <w:keepLines/>
        <w:widowControl w:val="0"/>
        <w:shd w:val="clear" w:color="auto" w:fill="auto"/>
        <w:bidi w:val="0"/>
        <w:spacing w:before="0" w:line="240" w:lineRule="auto"/>
        <w:ind w:left="0" w:right="0" w:firstLine="0"/>
        <w:jc w:val="left"/>
      </w:pPr>
      <w:bookmarkStart w:id="1541" w:name="bookmark1541"/>
      <w:bookmarkStart w:id="1542" w:name="bookmark1542"/>
      <w:bookmarkStart w:id="1543" w:name="bookmark1543"/>
      <w:bookmarkStart w:id="1544" w:name="bookmark1544"/>
      <w:r>
        <w:rPr>
          <w:color w:val="000000"/>
          <w:spacing w:val="0"/>
          <w:w w:val="100"/>
          <w:position w:val="0"/>
          <w:sz w:val="24"/>
          <w:szCs w:val="24"/>
        </w:rPr>
        <w:t>九</w:t>
      </w:r>
      <w:bookmarkEnd w:id="1543"/>
      <w:r>
        <w:rPr>
          <w:color w:val="000000"/>
          <w:spacing w:val="0"/>
          <w:w w:val="100"/>
          <w:position w:val="0"/>
          <w:sz w:val="24"/>
          <w:szCs w:val="24"/>
        </w:rPr>
        <w:t>、在其他主体中的权益</w:t>
      </w:r>
      <w:bookmarkEnd w:id="1541"/>
      <w:bookmarkEnd w:id="1542"/>
      <w:bookmarkEnd w:id="1544"/>
    </w:p>
    <w:p>
      <w:pPr>
        <w:pStyle w:val="Style33"/>
        <w:keepNext/>
        <w:keepLines/>
        <w:widowControl w:val="0"/>
        <w:shd w:val="clear" w:color="auto" w:fill="auto"/>
        <w:bidi w:val="0"/>
        <w:spacing w:before="0" w:line="240" w:lineRule="auto"/>
        <w:ind w:left="0" w:right="0" w:firstLine="0"/>
        <w:jc w:val="left"/>
      </w:pPr>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45"/>
      <w:bookmarkEnd w:id="1546"/>
      <w:bookmarkEnd w:id="1547"/>
    </w:p>
    <w:p>
      <w:pPr>
        <w:pStyle w:val="Style55"/>
        <w:keepNext/>
        <w:keepLines/>
        <w:widowControl w:val="0"/>
        <w:shd w:val="clear" w:color="auto" w:fill="auto"/>
        <w:bidi w:val="0"/>
        <w:spacing w:before="0" w:after="360" w:line="240" w:lineRule="auto"/>
        <w:ind w:left="0" w:right="0" w:firstLine="0"/>
        <w:jc w:val="left"/>
      </w:pPr>
      <w:bookmarkStart w:id="1548" w:name="bookmark1548"/>
      <w:bookmarkStart w:id="1549" w:name="bookmark1549"/>
      <w:bookmarkStart w:id="1550" w:name="bookmark15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48"/>
      <w:bookmarkEnd w:id="1549"/>
      <w:bookmarkEnd w:id="1550"/>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江苏高伟达信息 技术有限公司</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1027"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上海高伟达计算 机系统工程有限 公司</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上海睿民互联网 科技有限公司</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深圳瑞云互联科 技有限公司</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0"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海南坚果创娱信 息技术有限公司</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海南省</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海南老城高新技 术区</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651"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Nuts Information</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CO.,Limited</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RM 20A KIU FU</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COMM BLDG</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300 </w:t>
            </w:r>
            <w:r>
              <w:rPr>
                <w:rFonts w:ascii="Times New Roman" w:eastAsia="Times New Roman" w:hAnsi="Times New Roman" w:cs="Times New Roman"/>
                <w:color w:val="000000"/>
                <w:spacing w:val="0"/>
                <w:w w:val="100"/>
                <w:position w:val="0"/>
                <w:sz w:val="18"/>
                <w:szCs w:val="18"/>
              </w:rPr>
              <w:t>LOCKHART</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RD WAN CHAI</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 KONG</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RM 20A KIU FU</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COMM BLDG</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300 </w:t>
            </w:r>
            <w:r>
              <w:rPr>
                <w:rFonts w:ascii="Times New Roman" w:eastAsia="Times New Roman" w:hAnsi="Times New Roman" w:cs="Times New Roman"/>
                <w:color w:val="000000"/>
                <w:spacing w:val="0"/>
                <w:w w:val="100"/>
                <w:position w:val="0"/>
                <w:sz w:val="18"/>
                <w:szCs w:val="18"/>
              </w:rPr>
              <w:t>LOCKHART</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RD WAN CHAI</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 KONG</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622"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Nuts Information</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w:t>
            </w:r>
          </w:p>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PO,Box1239,Off shore Incorporations Centre,Victoria,M ahe,Republic of</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P.O,Box1239,Off shore Incorporations Centre,Victoria,M ahe,Republic of</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Seychelles</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Seychelles</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喀什尚河信息科 技有限公司</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新疆喀什</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喀什经济开发区</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25"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北京高伟达祖云 科技有限公司</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5"/>
        <w:keepNext/>
        <w:keepLines/>
        <w:widowControl w:val="0"/>
        <w:shd w:val="clear" w:color="auto" w:fill="auto"/>
        <w:bidi w:val="0"/>
        <w:spacing w:before="0" w:line="240" w:lineRule="auto"/>
        <w:ind w:left="0" w:right="0" w:firstLine="0"/>
        <w:jc w:val="left"/>
      </w:pPr>
      <w:bookmarkStart w:id="1551" w:name="bookmark1551"/>
      <w:bookmarkStart w:id="1552" w:name="bookmark1552"/>
      <w:bookmarkStart w:id="1553" w:name="bookmark15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51"/>
      <w:bookmarkEnd w:id="1552"/>
      <w:bookmarkEnd w:id="155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30"/>
        <w:gridCol w:w="1901"/>
        <w:gridCol w:w="1896"/>
        <w:gridCol w:w="1939"/>
      </w:tblGrid>
      <w:tr>
        <w:trPr>
          <w:trHeight w:val="77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本期归属于少数股东的</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5"/>
        <w:keepNext/>
        <w:keepLines/>
        <w:widowControl w:val="0"/>
        <w:shd w:val="clear" w:color="auto" w:fill="auto"/>
        <w:bidi w:val="0"/>
        <w:spacing w:before="0" w:line="240" w:lineRule="auto"/>
        <w:ind w:left="0" w:right="0" w:firstLine="0"/>
        <w:jc w:val="left"/>
      </w:pPr>
      <w:bookmarkStart w:id="1554" w:name="bookmark1554"/>
      <w:bookmarkStart w:id="1555" w:name="bookmark1555"/>
      <w:bookmarkStart w:id="1556" w:name="bookmark1556"/>
      <w:bookmarkStart w:id="1557" w:name="bookmark1557"/>
      <w:r>
        <w:rPr>
          <w:color w:val="000000"/>
          <w:spacing w:val="0"/>
          <w:w w:val="100"/>
          <w:position w:val="0"/>
        </w:rPr>
        <w:t>（</w:t>
      </w:r>
      <w:bookmarkEnd w:id="1556"/>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554"/>
      <w:bookmarkEnd w:id="1555"/>
      <w:bookmarkEnd w:id="1557"/>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负债合</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资产合</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spacing w:after="79" w:line="1" w:lineRule="exact"/>
      </w:pPr>
    </w:p>
    <w:p>
      <w:pPr>
        <w:widowControl w:val="0"/>
        <w:spacing w:line="1" w:lineRule="exact"/>
      </w:pPr>
    </w:p>
    <w:tbl>
      <w:tblPr>
        <w:tblOverlap w:val="never"/>
        <w:jc w:val="center"/>
        <w:tblLayout w:type="fixed"/>
      </w:tblPr>
      <w:tblGrid>
        <w:gridCol w:w="1066"/>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55"/>
        <w:keepNext/>
        <w:keepLines/>
        <w:widowControl w:val="0"/>
        <w:shd w:val="clear" w:color="auto" w:fill="auto"/>
        <w:tabs>
          <w:tab w:pos="493" w:val="left"/>
        </w:tabs>
        <w:bidi w:val="0"/>
        <w:spacing w:before="0" w:line="240" w:lineRule="auto"/>
        <w:ind w:left="0" w:right="0" w:firstLine="0"/>
        <w:jc w:val="left"/>
      </w:pPr>
      <w:bookmarkStart w:id="1558" w:name="bookmark1558"/>
      <w:bookmarkStart w:id="1559" w:name="bookmark1559"/>
      <w:bookmarkStart w:id="1560" w:name="bookmark1560"/>
      <w:bookmarkStart w:id="1561" w:name="bookmark1561"/>
      <w:r>
        <w:rPr>
          <w:color w:val="000000"/>
          <w:spacing w:val="0"/>
          <w:w w:val="100"/>
          <w:position w:val="0"/>
        </w:rPr>
        <w:t>（</w:t>
      </w:r>
      <w:bookmarkEnd w:id="1560"/>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558"/>
      <w:bookmarkEnd w:id="1559"/>
      <w:bookmarkEnd w:id="1561"/>
    </w:p>
    <w:p>
      <w:pPr>
        <w:pStyle w:val="Style55"/>
        <w:keepNext/>
        <w:keepLines/>
        <w:widowControl w:val="0"/>
        <w:shd w:val="clear" w:color="auto" w:fill="auto"/>
        <w:tabs>
          <w:tab w:pos="493" w:val="left"/>
        </w:tabs>
        <w:bidi w:val="0"/>
        <w:spacing w:before="0" w:line="240" w:lineRule="auto"/>
        <w:ind w:left="0" w:right="0" w:firstLine="0"/>
        <w:jc w:val="left"/>
      </w:pPr>
      <w:bookmarkStart w:id="1562" w:name="bookmark1562"/>
      <w:bookmarkStart w:id="1563" w:name="bookmark1563"/>
      <w:bookmarkStart w:id="1564" w:name="bookmark1564"/>
      <w:bookmarkStart w:id="1565" w:name="bookmark1565"/>
      <w:r>
        <w:rPr>
          <w:color w:val="000000"/>
          <w:spacing w:val="0"/>
          <w:w w:val="100"/>
          <w:position w:val="0"/>
        </w:rPr>
        <w:t>（</w:t>
      </w:r>
      <w:bookmarkEnd w:id="1564"/>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562"/>
      <w:bookmarkEnd w:id="1563"/>
      <w:bookmarkEnd w:id="156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566"/>
      <w:bookmarkEnd w:id="1567"/>
      <w:bookmarkEnd w:id="1568"/>
    </w:p>
    <w:p>
      <w:pPr>
        <w:pStyle w:val="Style55"/>
        <w:keepNext/>
        <w:keepLines/>
        <w:widowControl w:val="0"/>
        <w:shd w:val="clear" w:color="auto" w:fill="auto"/>
        <w:tabs>
          <w:tab w:pos="493" w:val="left"/>
        </w:tabs>
        <w:bidi w:val="0"/>
        <w:spacing w:before="0" w:line="240" w:lineRule="auto"/>
        <w:ind w:left="0" w:right="0" w:firstLine="0"/>
        <w:jc w:val="left"/>
      </w:pPr>
      <w:bookmarkStart w:id="1569" w:name="bookmark1569"/>
      <w:bookmarkStart w:id="1570" w:name="bookmark1570"/>
      <w:bookmarkStart w:id="1571" w:name="bookmark1571"/>
      <w:bookmarkStart w:id="1572" w:name="bookmark1572"/>
      <w:r>
        <w:rPr>
          <w:color w:val="000000"/>
          <w:spacing w:val="0"/>
          <w:w w:val="100"/>
          <w:position w:val="0"/>
        </w:rPr>
        <w:t>（</w:t>
      </w:r>
      <w:bookmarkEnd w:id="1571"/>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569"/>
      <w:bookmarkEnd w:id="1570"/>
      <w:bookmarkEnd w:id="1572"/>
    </w:p>
    <w:p>
      <w:pPr>
        <w:pStyle w:val="Style55"/>
        <w:keepNext/>
        <w:keepLines/>
        <w:widowControl w:val="0"/>
        <w:shd w:val="clear" w:color="auto" w:fill="auto"/>
        <w:tabs>
          <w:tab w:pos="493" w:val="left"/>
        </w:tabs>
        <w:bidi w:val="0"/>
        <w:spacing w:before="0" w:line="240" w:lineRule="auto"/>
        <w:ind w:left="0" w:right="0" w:firstLine="0"/>
        <w:jc w:val="left"/>
      </w:pPr>
      <w:bookmarkStart w:id="1573" w:name="bookmark1573"/>
      <w:bookmarkStart w:id="1574" w:name="bookmark1574"/>
      <w:bookmarkStart w:id="1575" w:name="bookmark1575"/>
      <w:bookmarkStart w:id="1576" w:name="bookmark1576"/>
      <w:r>
        <w:rPr>
          <w:color w:val="000000"/>
          <w:spacing w:val="0"/>
          <w:w w:val="100"/>
          <w:position w:val="0"/>
        </w:rPr>
        <w:t>（</w:t>
      </w:r>
      <w:bookmarkEnd w:id="1575"/>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573"/>
      <w:bookmarkEnd w:id="1574"/>
      <w:bookmarkEnd w:id="157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3</w:t>
      </w:r>
      <w:bookmarkEnd w:id="1579"/>
      <w:r>
        <w:rPr>
          <w:color w:val="000000"/>
          <w:spacing w:val="0"/>
          <w:w w:val="100"/>
          <w:position w:val="0"/>
        </w:rPr>
        <w:t>、在合营安排或联营企业中的权益</w:t>
      </w:r>
      <w:bookmarkEnd w:id="1577"/>
      <w:bookmarkEnd w:id="1578"/>
      <w:bookmarkEnd w:id="1580"/>
    </w:p>
    <w:p>
      <w:pPr>
        <w:pStyle w:val="Style55"/>
        <w:keepNext/>
        <w:keepLines/>
        <w:widowControl w:val="0"/>
        <w:shd w:val="clear" w:color="auto" w:fill="auto"/>
        <w:bidi w:val="0"/>
        <w:spacing w:before="0" w:line="240" w:lineRule="auto"/>
        <w:ind w:left="0" w:right="0" w:firstLine="0"/>
        <w:jc w:val="left"/>
      </w:pPr>
      <w:bookmarkStart w:id="1581" w:name="bookmark1581"/>
      <w:bookmarkStart w:id="1582" w:name="bookmark1582"/>
      <w:bookmarkStart w:id="1583" w:name="bookmark15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81"/>
      <w:bookmarkEnd w:id="1582"/>
      <w:bookmarkEnd w:id="1583"/>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55"/>
        <w:keepNext/>
        <w:keepLines/>
        <w:widowControl w:val="0"/>
        <w:shd w:val="clear" w:color="auto" w:fill="auto"/>
        <w:bidi w:val="0"/>
        <w:spacing w:before="0" w:line="240" w:lineRule="auto"/>
        <w:ind w:left="0" w:right="0" w:firstLine="0"/>
        <w:jc w:val="left"/>
      </w:pPr>
      <w:bookmarkStart w:id="1584" w:name="bookmark1584"/>
      <w:bookmarkStart w:id="1585" w:name="bookmark1585"/>
      <w:bookmarkStart w:id="1586" w:name="bookmark15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584"/>
      <w:bookmarkEnd w:id="1585"/>
      <w:bookmarkEnd w:id="1586"/>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55"/>
        <w:keepNext/>
        <w:keepLines/>
        <w:widowControl w:val="0"/>
        <w:shd w:val="clear" w:color="auto" w:fill="auto"/>
        <w:bidi w:val="0"/>
        <w:spacing w:before="0" w:line="240" w:lineRule="auto"/>
        <w:ind w:left="0" w:right="0" w:firstLine="220"/>
        <w:jc w:val="left"/>
      </w:pPr>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587"/>
      <w:bookmarkEnd w:id="1588"/>
      <w:bookmarkEnd w:id="1589"/>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5"/>
        <w:keepNext/>
        <w:keepLines/>
        <w:widowControl w:val="0"/>
        <w:shd w:val="clear" w:color="auto" w:fill="auto"/>
        <w:bidi w:val="0"/>
        <w:spacing w:before="0" w:line="240" w:lineRule="auto"/>
        <w:ind w:left="0" w:right="0" w:firstLine="0"/>
        <w:jc w:val="left"/>
      </w:pPr>
      <w:bookmarkStart w:id="1590" w:name="bookmark1590"/>
      <w:bookmarkStart w:id="1591" w:name="bookmark1591"/>
      <w:bookmarkStart w:id="1592" w:name="bookmark1592"/>
      <w:bookmarkStart w:id="1593" w:name="bookmark1593"/>
      <w:r>
        <w:rPr>
          <w:color w:val="000000"/>
          <w:spacing w:val="0"/>
          <w:w w:val="100"/>
          <w:position w:val="0"/>
        </w:rPr>
        <w:t>（</w:t>
      </w:r>
      <w:bookmarkEnd w:id="1592"/>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590"/>
      <w:bookmarkEnd w:id="1591"/>
      <w:bookmarkEnd w:id="1593"/>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55"/>
        <w:keepNext/>
        <w:keepLines/>
        <w:widowControl w:val="0"/>
        <w:shd w:val="clear" w:color="auto" w:fill="auto"/>
        <w:tabs>
          <w:tab w:pos="633" w:val="left"/>
        </w:tabs>
        <w:bidi w:val="0"/>
        <w:spacing w:before="0" w:after="360" w:line="240" w:lineRule="auto"/>
        <w:ind w:left="0" w:right="0" w:firstLine="14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w:t>
      </w:r>
      <w:bookmarkEnd w:id="1596"/>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594"/>
      <w:bookmarkEnd w:id="1595"/>
      <w:bookmarkEnd w:id="1597"/>
    </w:p>
    <w:p>
      <w:pPr>
        <w:pStyle w:val="Style55"/>
        <w:keepNext/>
        <w:keepLines/>
        <w:widowControl w:val="0"/>
        <w:shd w:val="clear" w:color="auto" w:fill="auto"/>
        <w:tabs>
          <w:tab w:pos="633" w:val="left"/>
        </w:tabs>
        <w:bidi w:val="0"/>
        <w:spacing w:before="0" w:after="400" w:line="240" w:lineRule="auto"/>
        <w:ind w:left="0" w:right="0" w:firstLine="14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w:t>
      </w:r>
      <w:bookmarkEnd w:id="1600"/>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598"/>
      <w:bookmarkEnd w:id="1599"/>
      <w:bookmarkEnd w:id="160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55"/>
        <w:keepNext/>
        <w:keepLines/>
        <w:widowControl w:val="0"/>
        <w:shd w:val="clear" w:color="auto" w:fill="auto"/>
        <w:tabs>
          <w:tab w:pos="493" w:val="left"/>
        </w:tabs>
        <w:bidi w:val="0"/>
        <w:spacing w:before="0" w:after="360" w:line="240" w:lineRule="auto"/>
        <w:ind w:left="0" w:right="0" w:firstLine="0"/>
        <w:jc w:val="left"/>
      </w:pPr>
      <w:bookmarkStart w:id="1602" w:name="bookmark1602"/>
      <w:bookmarkStart w:id="1603" w:name="bookmark1603"/>
      <w:bookmarkStart w:id="1604" w:name="bookmark1604"/>
      <w:bookmarkStart w:id="1605" w:name="bookmark1605"/>
      <w:r>
        <w:rPr>
          <w:color w:val="000000"/>
          <w:spacing w:val="0"/>
          <w:w w:val="100"/>
          <w:position w:val="0"/>
        </w:rPr>
        <w:t>（</w:t>
      </w:r>
      <w:bookmarkEnd w:id="1604"/>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602"/>
      <w:bookmarkEnd w:id="1603"/>
      <w:bookmarkEnd w:id="1605"/>
    </w:p>
    <w:p>
      <w:pPr>
        <w:pStyle w:val="Style55"/>
        <w:keepNext/>
        <w:keepLines/>
        <w:widowControl w:val="0"/>
        <w:shd w:val="clear" w:color="auto" w:fill="auto"/>
        <w:tabs>
          <w:tab w:pos="493" w:val="left"/>
        </w:tabs>
        <w:bidi w:val="0"/>
        <w:spacing w:before="0" w:after="360" w:line="240" w:lineRule="auto"/>
        <w:ind w:left="0" w:right="0" w:firstLine="0"/>
        <w:jc w:val="left"/>
      </w:pPr>
      <w:bookmarkStart w:id="1606" w:name="bookmark1606"/>
      <w:bookmarkStart w:id="1607" w:name="bookmark1607"/>
      <w:bookmarkStart w:id="1608" w:name="bookmark1608"/>
      <w:bookmarkStart w:id="1609" w:name="bookmark1609"/>
      <w:r>
        <w:rPr>
          <w:color w:val="000000"/>
          <w:spacing w:val="0"/>
          <w:w w:val="100"/>
          <w:position w:val="0"/>
        </w:rPr>
        <w:t>（</w:t>
      </w:r>
      <w:bookmarkEnd w:id="1608"/>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606"/>
      <w:bookmarkEnd w:id="1607"/>
      <w:bookmarkEnd w:id="1609"/>
    </w:p>
    <w:p>
      <w:pPr>
        <w:pStyle w:val="Style33"/>
        <w:keepNext/>
        <w:keepLines/>
        <w:widowControl w:val="0"/>
        <w:shd w:val="clear" w:color="auto" w:fill="auto"/>
        <w:bidi w:val="0"/>
        <w:spacing w:before="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4</w:t>
      </w:r>
      <w:bookmarkEnd w:id="1612"/>
      <w:r>
        <w:rPr>
          <w:color w:val="000000"/>
          <w:spacing w:val="0"/>
          <w:w w:val="100"/>
          <w:position w:val="0"/>
        </w:rPr>
        <w:t>、重要的共同经营</w:t>
      </w:r>
      <w:bookmarkEnd w:id="1610"/>
      <w:bookmarkEnd w:id="1611"/>
      <w:bookmarkEnd w:id="1613"/>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29"/>
        <w:keepNext w:val="0"/>
        <w:keepLines w:val="0"/>
        <w:widowControl w:val="0"/>
        <w:shd w:val="clear" w:color="auto" w:fill="auto"/>
        <w:bidi w:val="0"/>
        <w:spacing w:before="0" w:after="400" w:line="355" w:lineRule="exact"/>
        <w:ind w:left="0" w:right="0" w:firstLine="0"/>
        <w:jc w:val="left"/>
      </w:pPr>
      <w:r>
        <w:rPr>
          <w:color w:val="000000"/>
          <w:spacing w:val="0"/>
          <w:w w:val="100"/>
          <w:position w:val="0"/>
        </w:rPr>
        <w:t>其他说明</w:t>
      </w:r>
    </w:p>
    <w:p>
      <w:pPr>
        <w:pStyle w:val="Style33"/>
        <w:keepNext/>
        <w:keepLines/>
        <w:widowControl w:val="0"/>
        <w:shd w:val="clear" w:color="auto" w:fill="auto"/>
        <w:tabs>
          <w:tab w:pos="424" w:val="left"/>
        </w:tabs>
        <w:bidi w:val="0"/>
        <w:spacing w:before="0" w:after="22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5</w:t>
      </w:r>
      <w:bookmarkEnd w:id="1616"/>
      <w:r>
        <w:rPr>
          <w:color w:val="000000"/>
          <w:spacing w:val="0"/>
          <w:w w:val="100"/>
          <w:position w:val="0"/>
        </w:rPr>
        <w:t>、</w:t>
        <w:tab/>
        <w:t>在未纳入合并财务报表范围的结构化主体中的权益</w:t>
      </w:r>
      <w:bookmarkEnd w:id="1614"/>
      <w:bookmarkEnd w:id="1615"/>
      <w:bookmarkEnd w:id="1617"/>
    </w:p>
    <w:p>
      <w:pPr>
        <w:pStyle w:val="Style29"/>
        <w:keepNext w:val="0"/>
        <w:keepLines w:val="0"/>
        <w:widowControl w:val="0"/>
        <w:shd w:val="clear" w:color="auto" w:fill="auto"/>
        <w:bidi w:val="0"/>
        <w:spacing w:before="0" w:after="400" w:line="355" w:lineRule="exact"/>
        <w:ind w:left="0" w:right="0" w:firstLine="0"/>
        <w:jc w:val="left"/>
      </w:pPr>
      <w:r>
        <w:rPr>
          <w:color w:val="000000"/>
          <w:spacing w:val="0"/>
          <w:w w:val="100"/>
          <w:position w:val="0"/>
        </w:rPr>
        <w:t>未纳入合并财务报表范围的结构化主体的相关说明：</w:t>
      </w:r>
    </w:p>
    <w:p>
      <w:pPr>
        <w:pStyle w:val="Style33"/>
        <w:keepNext/>
        <w:keepLines/>
        <w:widowControl w:val="0"/>
        <w:shd w:val="clear" w:color="auto" w:fill="auto"/>
        <w:tabs>
          <w:tab w:pos="424" w:val="left"/>
        </w:tabs>
        <w:bidi w:val="0"/>
        <w:spacing w:before="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6</w:t>
      </w:r>
      <w:bookmarkEnd w:id="1620"/>
      <w:r>
        <w:rPr>
          <w:color w:val="000000"/>
          <w:spacing w:val="0"/>
          <w:w w:val="100"/>
          <w:position w:val="0"/>
        </w:rPr>
        <w:t>、</w:t>
        <w:tab/>
        <w:t>其他</w:t>
      </w:r>
      <w:bookmarkEnd w:id="1618"/>
      <w:bookmarkEnd w:id="1619"/>
      <w:bookmarkEnd w:id="1621"/>
    </w:p>
    <w:p>
      <w:pPr>
        <w:pStyle w:val="Style27"/>
        <w:keepNext/>
        <w:keepLines/>
        <w:widowControl w:val="0"/>
        <w:shd w:val="clear" w:color="auto" w:fill="auto"/>
        <w:bidi w:val="0"/>
        <w:spacing w:before="0" w:line="240" w:lineRule="auto"/>
        <w:ind w:left="0" w:right="0" w:firstLine="0"/>
        <w:jc w:val="left"/>
      </w:pPr>
      <w:bookmarkStart w:id="1622" w:name="bookmark1622"/>
      <w:bookmarkStart w:id="1623" w:name="bookmark1623"/>
      <w:bookmarkStart w:id="1624" w:name="bookmark1624"/>
      <w:r>
        <w:rPr>
          <w:color w:val="000000"/>
          <w:spacing w:val="0"/>
          <w:w w:val="100"/>
          <w:position w:val="0"/>
          <w:sz w:val="24"/>
          <w:szCs w:val="24"/>
        </w:rPr>
        <w:t>十、与金融工具相关的风险</w:t>
      </w:r>
      <w:bookmarkEnd w:id="1622"/>
      <w:bookmarkEnd w:id="1623"/>
      <w:bookmarkEnd w:id="1624"/>
    </w:p>
    <w:p>
      <w:pPr>
        <w:pStyle w:val="Style27"/>
        <w:keepNext/>
        <w:keepLines/>
        <w:widowControl w:val="0"/>
        <w:shd w:val="clear" w:color="auto" w:fill="auto"/>
        <w:bidi w:val="0"/>
        <w:spacing w:before="0" w:line="240" w:lineRule="auto"/>
        <w:ind w:left="0" w:right="0" w:firstLine="0"/>
        <w:jc w:val="left"/>
      </w:pPr>
      <w:bookmarkStart w:id="1625" w:name="bookmark1625"/>
      <w:bookmarkStart w:id="1626" w:name="bookmark1626"/>
      <w:bookmarkStart w:id="1627" w:name="bookmark1627"/>
      <w:r>
        <w:rPr>
          <w:color w:val="000000"/>
          <w:spacing w:val="0"/>
          <w:w w:val="100"/>
          <w:position w:val="0"/>
          <w:sz w:val="24"/>
          <w:szCs w:val="24"/>
        </w:rPr>
        <w:t>十一、公允价值的披露</w:t>
      </w:r>
      <w:bookmarkEnd w:id="1625"/>
      <w:bookmarkEnd w:id="1626"/>
      <w:bookmarkEnd w:id="1627"/>
    </w:p>
    <w:p>
      <w:pPr>
        <w:pStyle w:val="Style33"/>
        <w:keepNext/>
        <w:keepLines/>
        <w:widowControl w:val="0"/>
        <w:shd w:val="clear" w:color="auto" w:fill="auto"/>
        <w:bidi w:val="0"/>
        <w:spacing w:before="0" w:line="240" w:lineRule="auto"/>
        <w:ind w:left="0" w:right="0" w:firstLine="0"/>
        <w:jc w:val="left"/>
      </w:pPr>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28"/>
      <w:bookmarkEnd w:id="1629"/>
      <w:bookmarkEnd w:id="1630"/>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line="1" w:lineRule="exact"/>
      </w:pPr>
    </w:p>
    <w:tbl>
      <w:tblPr>
        <w:tblOverlap w:val="never"/>
        <w:jc w:val="center"/>
        <w:tblLayout w:type="fixed"/>
      </w:tblPr>
      <w:tblGrid>
        <w:gridCol w:w="1997"/>
        <w:gridCol w:w="1838"/>
        <w:gridCol w:w="1915"/>
        <w:gridCol w:w="1910"/>
        <w:gridCol w:w="1925"/>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46"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3"/>
        <w:keepNext/>
        <w:keepLines/>
        <w:widowControl w:val="0"/>
        <w:shd w:val="clear" w:color="auto" w:fill="auto"/>
        <w:tabs>
          <w:tab w:pos="378" w:val="left"/>
        </w:tabs>
        <w:bidi w:val="0"/>
        <w:spacing w:before="0" w:after="400" w:line="240" w:lineRule="auto"/>
        <w:ind w:left="0" w:right="0" w:firstLine="0"/>
        <w:jc w:val="both"/>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2</w:t>
      </w:r>
      <w:bookmarkEnd w:id="1633"/>
      <w:r>
        <w:rPr>
          <w:color w:val="000000"/>
          <w:spacing w:val="0"/>
          <w:w w:val="100"/>
          <w:position w:val="0"/>
        </w:rPr>
        <w:t>、</w:t>
        <w:tab/>
        <w:t>持续和非持续第一层次公允价值计量项目市价的确定依据</w:t>
      </w:r>
      <w:bookmarkEnd w:id="1631"/>
      <w:bookmarkEnd w:id="1632"/>
      <w:bookmarkEnd w:id="1634"/>
    </w:p>
    <w:p>
      <w:pPr>
        <w:pStyle w:val="Style33"/>
        <w:keepNext/>
        <w:keepLines/>
        <w:widowControl w:val="0"/>
        <w:shd w:val="clear" w:color="auto" w:fill="auto"/>
        <w:tabs>
          <w:tab w:pos="378" w:val="left"/>
        </w:tabs>
        <w:bidi w:val="0"/>
        <w:spacing w:before="0" w:after="340" w:line="240" w:lineRule="auto"/>
        <w:ind w:left="0" w:right="0" w:firstLine="0"/>
        <w:jc w:val="both"/>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3</w:t>
      </w:r>
      <w:bookmarkEnd w:id="1637"/>
      <w:r>
        <w:rPr>
          <w:color w:val="000000"/>
          <w:spacing w:val="0"/>
          <w:w w:val="100"/>
          <w:position w:val="0"/>
        </w:rPr>
        <w:t>、</w:t>
        <w:tab/>
        <w:t>持续和非持续第二层次公允价值计量项目，采用的估值技术和重要参数的定性及定量信息</w:t>
      </w:r>
      <w:bookmarkEnd w:id="1635"/>
      <w:bookmarkEnd w:id="1636"/>
      <w:bookmarkEnd w:id="1638"/>
    </w:p>
    <w:p>
      <w:pPr>
        <w:pStyle w:val="Style33"/>
        <w:keepNext/>
        <w:keepLines/>
        <w:widowControl w:val="0"/>
        <w:shd w:val="clear" w:color="auto" w:fill="auto"/>
        <w:tabs>
          <w:tab w:pos="378" w:val="left"/>
        </w:tabs>
        <w:bidi w:val="0"/>
        <w:spacing w:before="0" w:after="400" w:line="240" w:lineRule="auto"/>
        <w:ind w:left="0" w:right="0" w:firstLine="0"/>
        <w:jc w:val="both"/>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4</w:t>
      </w:r>
      <w:bookmarkEnd w:id="1641"/>
      <w:r>
        <w:rPr>
          <w:color w:val="000000"/>
          <w:spacing w:val="0"/>
          <w:w w:val="100"/>
          <w:position w:val="0"/>
        </w:rPr>
        <w:t>、</w:t>
        <w:tab/>
        <w:t>持续和非持续第三层次公允价值计量项目，采用的估值技术和重要参数的定性及定量信息</w:t>
      </w:r>
      <w:bookmarkEnd w:id="1639"/>
      <w:bookmarkEnd w:id="1640"/>
      <w:bookmarkEnd w:id="1642"/>
    </w:p>
    <w:p>
      <w:pPr>
        <w:pStyle w:val="Style33"/>
        <w:keepNext/>
        <w:keepLines/>
        <w:widowControl w:val="0"/>
        <w:shd w:val="clear" w:color="auto" w:fill="auto"/>
        <w:tabs>
          <w:tab w:pos="378" w:val="left"/>
        </w:tabs>
        <w:bidi w:val="0"/>
        <w:spacing w:before="0" w:after="340" w:line="240" w:lineRule="auto"/>
        <w:ind w:left="0" w:right="0" w:firstLine="0"/>
        <w:jc w:val="both"/>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5</w:t>
      </w:r>
      <w:bookmarkEnd w:id="1645"/>
      <w:r>
        <w:rPr>
          <w:color w:val="000000"/>
          <w:spacing w:val="0"/>
          <w:w w:val="100"/>
          <w:position w:val="0"/>
        </w:rPr>
        <w:t>、</w:t>
        <w:tab/>
        <w:t>持续的第三层次公允价值计量项目，期初与期末账面价值间的调节信息及不可观察参数敏感性分析</w:t>
      </w:r>
      <w:bookmarkEnd w:id="1643"/>
      <w:bookmarkEnd w:id="1644"/>
      <w:bookmarkEnd w:id="1646"/>
    </w:p>
    <w:p>
      <w:pPr>
        <w:pStyle w:val="Style33"/>
        <w:keepNext/>
        <w:keepLines/>
        <w:widowControl w:val="0"/>
        <w:shd w:val="clear" w:color="auto" w:fill="auto"/>
        <w:tabs>
          <w:tab w:pos="378" w:val="left"/>
        </w:tabs>
        <w:bidi w:val="0"/>
        <w:spacing w:before="0" w:after="340" w:line="240" w:lineRule="auto"/>
        <w:ind w:left="0" w:right="0" w:firstLine="0"/>
        <w:jc w:val="both"/>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6</w:t>
      </w:r>
      <w:bookmarkEnd w:id="1649"/>
      <w:r>
        <w:rPr>
          <w:color w:val="000000"/>
          <w:spacing w:val="0"/>
          <w:w w:val="100"/>
          <w:position w:val="0"/>
        </w:rPr>
        <w:t>、</w:t>
        <w:tab/>
        <w:t>持续的公允价值计量项目，本期内发生各层级之间转换的，转换的原因及确定转换时点的政策</w:t>
      </w:r>
      <w:bookmarkEnd w:id="1647"/>
      <w:bookmarkEnd w:id="1648"/>
      <w:bookmarkEnd w:id="1650"/>
    </w:p>
    <w:p>
      <w:pPr>
        <w:pStyle w:val="Style33"/>
        <w:keepNext/>
        <w:keepLines/>
        <w:widowControl w:val="0"/>
        <w:shd w:val="clear" w:color="auto" w:fill="auto"/>
        <w:tabs>
          <w:tab w:pos="373" w:val="left"/>
        </w:tabs>
        <w:bidi w:val="0"/>
        <w:spacing w:before="0" w:after="340" w:line="240" w:lineRule="auto"/>
        <w:ind w:left="0" w:right="0" w:firstLine="0"/>
        <w:jc w:val="both"/>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7</w:t>
      </w:r>
      <w:bookmarkEnd w:id="1653"/>
      <w:r>
        <w:rPr>
          <w:color w:val="000000"/>
          <w:spacing w:val="0"/>
          <w:w w:val="100"/>
          <w:position w:val="0"/>
        </w:rPr>
        <w:t>、</w:t>
        <w:tab/>
        <w:t>本期内发生的估值技术变更及变更原因</w:t>
      </w:r>
      <w:bookmarkEnd w:id="1651"/>
      <w:bookmarkEnd w:id="1652"/>
      <w:bookmarkEnd w:id="1654"/>
    </w:p>
    <w:p>
      <w:pPr>
        <w:pStyle w:val="Style33"/>
        <w:keepNext/>
        <w:keepLines/>
        <w:widowControl w:val="0"/>
        <w:shd w:val="clear" w:color="auto" w:fill="auto"/>
        <w:tabs>
          <w:tab w:pos="378" w:val="left"/>
        </w:tabs>
        <w:bidi w:val="0"/>
        <w:spacing w:before="0" w:after="340" w:line="240" w:lineRule="auto"/>
        <w:ind w:left="0" w:right="0" w:firstLine="0"/>
        <w:jc w:val="both"/>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8</w:t>
      </w:r>
      <w:bookmarkEnd w:id="1657"/>
      <w:r>
        <w:rPr>
          <w:color w:val="000000"/>
          <w:spacing w:val="0"/>
          <w:w w:val="100"/>
          <w:position w:val="0"/>
        </w:rPr>
        <w:t>、</w:t>
        <w:tab/>
        <w:t>不以公允价值计量的金融资产和金融负债的公允价值情况</w:t>
      </w:r>
      <w:bookmarkEnd w:id="1655"/>
      <w:bookmarkEnd w:id="1656"/>
      <w:bookmarkEnd w:id="1658"/>
    </w:p>
    <w:p>
      <w:pPr>
        <w:pStyle w:val="Style33"/>
        <w:keepNext/>
        <w:keepLines/>
        <w:widowControl w:val="0"/>
        <w:shd w:val="clear" w:color="auto" w:fill="auto"/>
        <w:tabs>
          <w:tab w:pos="378" w:val="left"/>
        </w:tabs>
        <w:bidi w:val="0"/>
        <w:spacing w:before="0" w:after="340" w:line="240" w:lineRule="auto"/>
        <w:ind w:left="0" w:right="0" w:firstLine="0"/>
        <w:jc w:val="both"/>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9</w:t>
      </w:r>
      <w:bookmarkEnd w:id="1661"/>
      <w:r>
        <w:rPr>
          <w:color w:val="000000"/>
          <w:spacing w:val="0"/>
          <w:w w:val="100"/>
          <w:position w:val="0"/>
        </w:rPr>
        <w:t>、</w:t>
        <w:tab/>
        <w:t>其他</w:t>
      </w:r>
      <w:bookmarkEnd w:id="1659"/>
      <w:bookmarkEnd w:id="1660"/>
      <w:bookmarkEnd w:id="1662"/>
    </w:p>
    <w:p>
      <w:pPr>
        <w:pStyle w:val="Style27"/>
        <w:keepNext/>
        <w:keepLines/>
        <w:widowControl w:val="0"/>
        <w:shd w:val="clear" w:color="auto" w:fill="auto"/>
        <w:bidi w:val="0"/>
        <w:spacing w:before="0" w:after="400" w:line="240" w:lineRule="auto"/>
        <w:ind w:left="0" w:right="0" w:firstLine="0"/>
        <w:jc w:val="both"/>
      </w:pPr>
      <w:bookmarkStart w:id="1663" w:name="bookmark1663"/>
      <w:bookmarkStart w:id="1664" w:name="bookmark1664"/>
      <w:bookmarkStart w:id="1665" w:name="bookmark1665"/>
      <w:r>
        <w:rPr>
          <w:color w:val="000000"/>
          <w:spacing w:val="0"/>
          <w:w w:val="100"/>
          <w:position w:val="0"/>
          <w:sz w:val="24"/>
          <w:szCs w:val="24"/>
        </w:rPr>
        <w:t>十二、关联方及关联交易</w:t>
      </w:r>
      <w:bookmarkEnd w:id="1663"/>
      <w:bookmarkEnd w:id="1664"/>
      <w:bookmarkEnd w:id="1665"/>
    </w:p>
    <w:p>
      <w:pPr>
        <w:pStyle w:val="Style33"/>
        <w:keepNext/>
        <w:keepLines/>
        <w:widowControl w:val="0"/>
        <w:shd w:val="clear" w:color="auto" w:fill="auto"/>
        <w:bidi w:val="0"/>
        <w:spacing w:before="0" w:after="340" w:line="240" w:lineRule="auto"/>
        <w:ind w:left="0" w:right="0" w:firstLine="0"/>
        <w:jc w:val="both"/>
      </w:pPr>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66"/>
      <w:bookmarkEnd w:id="1667"/>
      <w:bookmarkEnd w:id="1668"/>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55"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鹰潭市鹰高投资咨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询有限公司</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江西省鹰潭市</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投资，企业管理咨 询；营销策划</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39" w:line="1" w:lineRule="exact"/>
      </w:pPr>
    </w:p>
    <w:p>
      <w:pPr>
        <w:pStyle w:val="Style70"/>
        <w:keepNext w:val="0"/>
        <w:keepLines w:val="0"/>
        <w:widowControl w:val="0"/>
        <w:shd w:val="clear" w:color="auto" w:fill="auto"/>
        <w:bidi w:val="0"/>
        <w:spacing w:before="0" w:after="440" w:line="310" w:lineRule="exact"/>
        <w:ind w:left="0" w:right="0" w:firstLine="440"/>
        <w:jc w:val="left"/>
      </w:pPr>
      <w:r>
        <w:rPr>
          <w:color w:val="000000"/>
          <w:spacing w:val="0"/>
          <w:w w:val="100"/>
          <w:position w:val="0"/>
        </w:rPr>
        <w:t>本公司的最终控制方为自然人于伟，于伟通过鹰潭市鹰高投资咨询有限公司持有本公司</w:t>
      </w:r>
      <w:r>
        <w:rPr>
          <w:rFonts w:ascii="Times New Roman" w:eastAsia="Times New Roman" w:hAnsi="Times New Roman" w:cs="Times New Roman"/>
          <w:color w:val="000000"/>
          <w:spacing w:val="0"/>
          <w:w w:val="100"/>
          <w:position w:val="0"/>
        </w:rPr>
        <w:t>31.01%</w:t>
      </w:r>
      <w:r>
        <w:rPr>
          <w:color w:val="000000"/>
          <w:spacing w:val="0"/>
          <w:w w:val="100"/>
          <w:position w:val="0"/>
        </w:rPr>
        <w:t>股份， 通过鹰潭市华鹰投资咨询有限公司持有本公司</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92%</w:t>
      </w:r>
      <w:r>
        <w:rPr>
          <w:color w:val="000000"/>
          <w:spacing w:val="0"/>
          <w:w w:val="100"/>
          <w:position w:val="0"/>
        </w:rPr>
        <w:t xml:space="preserve">股份，通过鹰潭市锐鹰投资咨询有限公司持有本公司 </w:t>
      </w:r>
      <w:r>
        <w:rPr>
          <w:rFonts w:ascii="Times New Roman" w:eastAsia="Times New Roman" w:hAnsi="Times New Roman" w:cs="Times New Roman"/>
          <w:color w:val="000000"/>
          <w:spacing w:val="0"/>
          <w:w w:val="100"/>
          <w:position w:val="0"/>
        </w:rPr>
        <w:t>1.63%</w:t>
      </w:r>
      <w:r>
        <w:rPr>
          <w:color w:val="000000"/>
          <w:spacing w:val="0"/>
          <w:w w:val="100"/>
          <w:position w:val="0"/>
        </w:rPr>
        <w:t>股份，合计持有本公司</w:t>
      </w:r>
      <w:r>
        <w:rPr>
          <w:rFonts w:ascii="Times New Roman" w:eastAsia="Times New Roman" w:hAnsi="Times New Roman" w:cs="Times New Roman"/>
          <w:color w:val="000000"/>
          <w:spacing w:val="0"/>
          <w:w w:val="100"/>
          <w:position w:val="0"/>
        </w:rPr>
        <w:t>34.56%</w:t>
      </w:r>
      <w:r>
        <w:rPr>
          <w:color w:val="000000"/>
          <w:spacing w:val="0"/>
          <w:w w:val="100"/>
          <w:position w:val="0"/>
        </w:rPr>
        <w:t>的股份。</w:t>
      </w: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本企业最终控制方是于伟。</w:t>
      </w:r>
    </w:p>
    <w:p>
      <w:pPr>
        <w:pStyle w:val="Style29"/>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33"/>
        <w:keepNext/>
        <w:keepLines/>
        <w:widowControl w:val="0"/>
        <w:shd w:val="clear" w:color="auto" w:fill="auto"/>
        <w:tabs>
          <w:tab w:pos="378" w:val="left"/>
        </w:tabs>
        <w:bidi w:val="0"/>
        <w:spacing w:before="0" w:after="340" w:line="324" w:lineRule="auto"/>
        <w:ind w:left="0" w:right="0" w:firstLine="0"/>
        <w:jc w:val="both"/>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2</w:t>
      </w:r>
      <w:bookmarkEnd w:id="1671"/>
      <w:r>
        <w:rPr>
          <w:color w:val="000000"/>
          <w:spacing w:val="0"/>
          <w:w w:val="100"/>
          <w:position w:val="0"/>
        </w:rPr>
        <w:t>、</w:t>
        <w:tab/>
        <w:t>本企业的子公司情况</w:t>
      </w:r>
      <w:bookmarkEnd w:id="1669"/>
      <w:bookmarkEnd w:id="1670"/>
      <w:bookmarkEnd w:id="1672"/>
    </w:p>
    <w:p>
      <w:pPr>
        <w:pStyle w:val="Style29"/>
        <w:keepNext w:val="0"/>
        <w:keepLines w:val="0"/>
        <w:widowControl w:val="0"/>
        <w:shd w:val="clear" w:color="auto" w:fill="auto"/>
        <w:bidi w:val="0"/>
        <w:spacing w:before="0" w:after="400" w:line="240" w:lineRule="auto"/>
        <w:ind w:left="0" w:right="0" w:firstLine="0"/>
        <w:jc w:val="both"/>
      </w:pPr>
      <w:r>
        <w:rPr>
          <w:color w:val="000000"/>
          <w:spacing w:val="0"/>
          <w:w w:val="100"/>
          <w:position w:val="0"/>
        </w:rPr>
        <w:t>本企业子公司的情况详见附注九。</w:t>
      </w:r>
    </w:p>
    <w:p>
      <w:pPr>
        <w:pStyle w:val="Style33"/>
        <w:keepNext/>
        <w:keepLines/>
        <w:widowControl w:val="0"/>
        <w:shd w:val="clear" w:color="auto" w:fill="auto"/>
        <w:tabs>
          <w:tab w:pos="378" w:val="left"/>
        </w:tabs>
        <w:bidi w:val="0"/>
        <w:spacing w:before="0" w:after="340" w:line="324" w:lineRule="auto"/>
        <w:ind w:left="0" w:right="0" w:firstLine="0"/>
        <w:jc w:val="both"/>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3</w:t>
      </w:r>
      <w:bookmarkEnd w:id="1675"/>
      <w:r>
        <w:rPr>
          <w:color w:val="000000"/>
          <w:spacing w:val="0"/>
          <w:w w:val="100"/>
          <w:position w:val="0"/>
        </w:rPr>
        <w:t>、</w:t>
        <w:tab/>
        <w:t>本企业合营和联营企业情况</w:t>
      </w:r>
      <w:bookmarkEnd w:id="1673"/>
      <w:bookmarkEnd w:id="1674"/>
      <w:bookmarkEnd w:id="1676"/>
    </w:p>
    <w:p>
      <w:pPr>
        <w:pStyle w:val="Style29"/>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本企业重要的合营或联营企业详见附注。</w:t>
      </w:r>
      <w:r>
        <w:br w:type="page"/>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402"/>
        <w:gridCol w:w="5179"/>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20" w:line="240" w:lineRule="auto"/>
        <w:ind w:left="0" w:right="0" w:firstLine="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4</w:t>
      </w:r>
      <w:bookmarkEnd w:id="1679"/>
      <w:r>
        <w:rPr>
          <w:color w:val="000000"/>
          <w:spacing w:val="0"/>
          <w:w w:val="100"/>
          <w:position w:val="0"/>
        </w:rPr>
        <w:t>、其他关联方情况</w:t>
      </w:r>
      <w:bookmarkEnd w:id="1677"/>
      <w:bookmarkEnd w:id="1678"/>
      <w:bookmarkEnd w:id="1680"/>
    </w:p>
    <w:tbl>
      <w:tblPr>
        <w:tblOverlap w:val="never"/>
        <w:jc w:val="center"/>
        <w:tblLayout w:type="fixed"/>
      </w:tblPr>
      <w:tblGrid>
        <w:gridCol w:w="4402"/>
        <w:gridCol w:w="5179"/>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宁波镇海翔易融联投资管理合伙企业（有限合伙）</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子公司上海睿民之原股东</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北京睿韬科技有限责任公司</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子公司上海睿民之原股东</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海南欢乐坚果信息咨询中心（有限合伙）</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子公司海南坚果之原股东、受子公司海南坚果董事长控制的企业</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樟树市尚合投资管理中心（有限合伙）</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子公司喀什尚河之原股东、受子公司喀什尚河董事长控制的企业</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刘晓曦</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子公司海南坚果之董事长</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熊桂生</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本公司之监事</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黄河</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子公司喀什尚河之董事长</w:t>
            </w:r>
          </w:p>
        </w:tc>
      </w:tr>
      <w:tr>
        <w:trPr>
          <w:trHeight w:val="413"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深圳市快读科技有限公司</w:t>
            </w:r>
          </w:p>
        </w:tc>
        <w:tc>
          <w:tcPr>
            <w:tcBorders>
              <w:top w:val="single" w:sz="4"/>
              <w:left w:val="single" w:sz="4"/>
              <w:bottom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受子公司喀什尚河董事长控制的企业</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5</w:t>
      </w:r>
      <w:bookmarkEnd w:id="1683"/>
      <w:r>
        <w:rPr>
          <w:color w:val="000000"/>
          <w:spacing w:val="0"/>
          <w:w w:val="100"/>
          <w:position w:val="0"/>
        </w:rPr>
        <w:t>、关联交易情况</w:t>
      </w:r>
      <w:bookmarkEnd w:id="1681"/>
      <w:bookmarkEnd w:id="1682"/>
      <w:bookmarkEnd w:id="1684"/>
    </w:p>
    <w:p>
      <w:pPr>
        <w:pStyle w:val="Style55"/>
        <w:keepNext/>
        <w:keepLines/>
        <w:widowControl w:val="0"/>
        <w:shd w:val="clear" w:color="auto" w:fill="auto"/>
        <w:bidi w:val="0"/>
        <w:spacing w:before="0" w:line="240" w:lineRule="auto"/>
        <w:ind w:left="0" w:right="0" w:firstLine="0"/>
        <w:jc w:val="left"/>
      </w:pPr>
      <w:bookmarkStart w:id="1685" w:name="bookmark1685"/>
      <w:bookmarkStart w:id="1686" w:name="bookmark1686"/>
      <w:bookmarkStart w:id="1687" w:name="bookmark16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85"/>
      <w:bookmarkEnd w:id="1686"/>
      <w:bookmarkEnd w:id="1687"/>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深圳市快读科技有 限公司</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8,709,479.15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widowControl w:val="0"/>
        <w:spacing w:line="1" w:lineRule="exact"/>
      </w:pP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55"/>
        <w:keepNext/>
        <w:keepLines/>
        <w:widowControl w:val="0"/>
        <w:shd w:val="clear" w:color="auto" w:fill="auto"/>
        <w:bidi w:val="0"/>
        <w:spacing w:before="0" w:line="240" w:lineRule="auto"/>
        <w:ind w:left="0" w:right="0" w:firstLine="0"/>
        <w:jc w:val="left"/>
      </w:pPr>
      <w:bookmarkStart w:id="1688" w:name="bookmark1688"/>
      <w:bookmarkStart w:id="1689" w:name="bookmark1689"/>
      <w:bookmarkStart w:id="1690" w:name="bookmark16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688"/>
      <w:bookmarkEnd w:id="1689"/>
      <w:bookmarkEnd w:id="1690"/>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r>
        <w:br w:type="page"/>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55"/>
        <w:keepNext/>
        <w:keepLines/>
        <w:widowControl w:val="0"/>
        <w:shd w:val="clear" w:color="auto" w:fill="auto"/>
        <w:bidi w:val="0"/>
        <w:spacing w:before="0" w:line="240" w:lineRule="auto"/>
        <w:ind w:left="0" w:right="0" w:firstLine="0"/>
        <w:jc w:val="left"/>
      </w:pPr>
      <w:bookmarkStart w:id="1691" w:name="bookmark1691"/>
      <w:bookmarkStart w:id="1692" w:name="bookmark1692"/>
      <w:bookmarkStart w:id="1693" w:name="bookmark1693"/>
      <w:bookmarkStart w:id="1694" w:name="bookmark1694"/>
      <w:r>
        <w:rPr>
          <w:color w:val="000000"/>
          <w:spacing w:val="0"/>
          <w:w w:val="100"/>
          <w:position w:val="0"/>
        </w:rPr>
        <w:t>（</w:t>
      </w:r>
      <w:bookmarkEnd w:id="1693"/>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691"/>
      <w:bookmarkEnd w:id="1692"/>
      <w:bookmarkEnd w:id="1694"/>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5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5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79" w:line="1" w:lineRule="exact"/>
      </w:pPr>
    </w:p>
    <w:p>
      <w:pPr>
        <w:pStyle w:val="Style55"/>
        <w:keepNext/>
        <w:keepLines/>
        <w:widowControl w:val="0"/>
        <w:shd w:val="clear" w:color="auto" w:fill="auto"/>
        <w:bidi w:val="0"/>
        <w:spacing w:before="0" w:line="240" w:lineRule="auto"/>
        <w:ind w:left="0" w:right="0" w:firstLine="0"/>
        <w:jc w:val="left"/>
      </w:pPr>
      <w:bookmarkStart w:id="1695" w:name="bookmark1695"/>
      <w:bookmarkStart w:id="1696" w:name="bookmark1696"/>
      <w:bookmarkStart w:id="1697" w:name="bookmark1697"/>
      <w:bookmarkStart w:id="1698" w:name="bookmark1698"/>
      <w:r>
        <w:rPr>
          <w:color w:val="000000"/>
          <w:spacing w:val="0"/>
          <w:w w:val="100"/>
          <w:position w:val="0"/>
        </w:rPr>
        <w:t>（</w:t>
      </w:r>
      <w:bookmarkEnd w:id="1697"/>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695"/>
      <w:bookmarkEnd w:id="1696"/>
      <w:bookmarkEnd w:id="1698"/>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5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398"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于伟</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76,311,000.00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否</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70"/>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本公司从招商银行股份有限公司北京分行借入</w:t>
      </w:r>
      <w:r>
        <w:rPr>
          <w:rFonts w:ascii="Times New Roman" w:eastAsia="Times New Roman" w:hAnsi="Times New Roman" w:cs="Times New Roman"/>
          <w:color w:val="000000"/>
          <w:spacing w:val="0"/>
          <w:w w:val="100"/>
          <w:position w:val="0"/>
        </w:rPr>
        <w:t>40,000,000.00</w:t>
      </w:r>
      <w:r>
        <w:rPr>
          <w:color w:val="000000"/>
          <w:spacing w:val="0"/>
          <w:w w:val="100"/>
          <w:position w:val="0"/>
        </w:rPr>
        <w:t>元，由自然人于伟提供最高额保证担保， 最高额保证担保合同到期日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日，最高担保额为</w:t>
      </w:r>
      <w:r>
        <w:rPr>
          <w:rFonts w:ascii="Times New Roman" w:eastAsia="Times New Roman" w:hAnsi="Times New Roman" w:cs="Times New Roman"/>
          <w:color w:val="000000"/>
          <w:spacing w:val="0"/>
          <w:w w:val="100"/>
          <w:position w:val="0"/>
        </w:rPr>
        <w:t>80,000,000.00</w:t>
      </w:r>
      <w:r>
        <w:rPr>
          <w:color w:val="000000"/>
          <w:spacing w:val="0"/>
          <w:w w:val="100"/>
          <w:position w:val="0"/>
        </w:rPr>
        <w:t>元。</w:t>
      </w:r>
    </w:p>
    <w:p>
      <w:pPr>
        <w:pStyle w:val="Style70"/>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本公司从中国民生银行股份有限公司北京分行借入</w:t>
      </w:r>
      <w:r>
        <w:rPr>
          <w:rFonts w:ascii="Times New Roman" w:eastAsia="Times New Roman" w:hAnsi="Times New Roman" w:cs="Times New Roman"/>
          <w:color w:val="000000"/>
          <w:spacing w:val="0"/>
          <w:w w:val="100"/>
          <w:position w:val="0"/>
        </w:rPr>
        <w:t>16,400,000.00</w:t>
      </w:r>
      <w:r>
        <w:rPr>
          <w:color w:val="000000"/>
          <w:spacing w:val="0"/>
          <w:w w:val="100"/>
          <w:position w:val="0"/>
        </w:rPr>
        <w:t>元，由自然人于伟提供最高额保证担 保，最高额保证担保合同到期日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日，最高担保额为</w:t>
      </w:r>
      <w:r>
        <w:rPr>
          <w:rFonts w:ascii="Times New Roman" w:eastAsia="Times New Roman" w:hAnsi="Times New Roman" w:cs="Times New Roman"/>
          <w:color w:val="000000"/>
          <w:spacing w:val="0"/>
          <w:w w:val="100"/>
          <w:position w:val="0"/>
        </w:rPr>
        <w:t>100,000,000.00</w:t>
      </w:r>
      <w:r>
        <w:rPr>
          <w:color w:val="000000"/>
          <w:spacing w:val="0"/>
          <w:w w:val="100"/>
          <w:position w:val="0"/>
        </w:rPr>
        <w:t>元。</w:t>
      </w:r>
    </w:p>
    <w:p>
      <w:pPr>
        <w:pStyle w:val="Style70"/>
        <w:keepNext w:val="0"/>
        <w:keepLines w:val="0"/>
        <w:widowControl w:val="0"/>
        <w:shd w:val="clear" w:color="auto" w:fill="auto"/>
        <w:bidi w:val="0"/>
        <w:spacing w:before="0" w:after="280" w:line="310" w:lineRule="exact"/>
        <w:ind w:left="0" w:right="0" w:firstLine="440"/>
        <w:jc w:val="both"/>
      </w:pPr>
      <w:r>
        <w:rPr>
          <w:color w:val="000000"/>
          <w:spacing w:val="0"/>
          <w:w w:val="100"/>
          <w:position w:val="0"/>
        </w:rPr>
        <w:t>本公司从招商银行股份有限公司北京分行借入</w:t>
      </w:r>
      <w:r>
        <w:rPr>
          <w:rFonts w:ascii="Times New Roman" w:eastAsia="Times New Roman" w:hAnsi="Times New Roman" w:cs="Times New Roman"/>
          <w:color w:val="000000"/>
          <w:spacing w:val="0"/>
          <w:w w:val="100"/>
          <w:position w:val="0"/>
        </w:rPr>
        <w:t>32,526,000.00</w:t>
      </w:r>
      <w:r>
        <w:rPr>
          <w:color w:val="000000"/>
          <w:spacing w:val="0"/>
          <w:w w:val="100"/>
          <w:position w:val="0"/>
        </w:rPr>
        <w:t>元，款项为并购贷款，由自然人于伟提供 保证担保，贷款总金额</w:t>
      </w:r>
      <w:r>
        <w:rPr>
          <w:rFonts w:ascii="Times New Roman" w:eastAsia="Times New Roman" w:hAnsi="Times New Roman" w:cs="Times New Roman"/>
          <w:color w:val="000000"/>
          <w:spacing w:val="0"/>
          <w:w w:val="100"/>
          <w:position w:val="0"/>
        </w:rPr>
        <w:t>76,311,000.00</w:t>
      </w:r>
      <w:r>
        <w:rPr>
          <w:color w:val="000000"/>
          <w:spacing w:val="0"/>
          <w:w w:val="100"/>
          <w:position w:val="0"/>
        </w:rPr>
        <w:t>元，保证到期日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p>
      <w:pPr>
        <w:pStyle w:val="Style55"/>
        <w:keepNext/>
        <w:keepLines/>
        <w:widowControl w:val="0"/>
        <w:shd w:val="clear" w:color="auto" w:fill="auto"/>
        <w:bidi w:val="0"/>
        <w:spacing w:before="0" w:line="310" w:lineRule="exact"/>
        <w:ind w:left="0" w:right="0" w:firstLine="0"/>
        <w:jc w:val="left"/>
      </w:pPr>
      <w:bookmarkStart w:id="1699" w:name="bookmark1699"/>
      <w:bookmarkStart w:id="1700" w:name="bookmark1700"/>
      <w:bookmarkStart w:id="1701" w:name="bookmark1701"/>
      <w:bookmarkStart w:id="1702" w:name="bookmark1702"/>
      <w:r>
        <w:rPr>
          <w:color w:val="000000"/>
          <w:spacing w:val="0"/>
          <w:w w:val="100"/>
          <w:position w:val="0"/>
        </w:rPr>
        <w:t>（</w:t>
      </w:r>
      <w:bookmarkEnd w:id="1701"/>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699"/>
      <w:bookmarkEnd w:id="1700"/>
      <w:bookmarkEnd w:id="1702"/>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拆借金额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bl>
    <w:p>
      <w:pPr>
        <w:spacing w:lineRule="exact" w:line="1"/>
        <w:rPr>
          <w:sz w:val="2"/>
          <w:szCs w:val="2"/>
        </w:rPr>
      </w:pPr>
      <w:r>
        <w:br w:type="page"/>
      </w:r>
    </w:p>
    <w:p>
      <w:pPr>
        <w:pStyle w:val="Style29"/>
        <w:keepNext w:val="0"/>
        <w:keepLines w:val="0"/>
        <w:widowControl w:val="0"/>
        <w:pBdr>
          <w:top w:val="single" w:sz="4" w:space="1" w:color="D3D3D3"/>
          <w:left w:val="single" w:sz="4" w:space="0" w:color="D3D3D3"/>
          <w:bottom w:val="single" w:sz="4" w:space="6" w:color="D3D3D3"/>
          <w:right w:val="single" w:sz="4" w:space="0" w:color="D3D3D3"/>
        </w:pBdr>
        <w:shd w:val="clear" w:color="auto" w:fill="D3D3D3"/>
        <w:bidi w:val="0"/>
        <w:spacing w:before="0" w:after="295" w:line="240" w:lineRule="auto"/>
        <w:ind w:left="0" w:right="0" w:firstLine="0"/>
        <w:jc w:val="left"/>
      </w:pPr>
      <w:r>
        <w:rPr>
          <w:color w:val="000000"/>
          <w:spacing w:val="0"/>
          <w:w w:val="100"/>
          <w:position w:val="0"/>
        </w:rPr>
        <w:t>拆出</w:t>
      </w:r>
    </w:p>
    <w:p>
      <w:pPr>
        <w:pStyle w:val="Style55"/>
        <w:keepNext/>
        <w:keepLines/>
        <w:widowControl w:val="0"/>
        <w:shd w:val="clear" w:color="auto" w:fill="auto"/>
        <w:bidi w:val="0"/>
        <w:spacing w:before="0" w:after="420" w:line="240" w:lineRule="auto"/>
        <w:ind w:left="0" w:right="0" w:firstLine="140"/>
        <w:jc w:val="left"/>
      </w:pPr>
      <w:bookmarkStart w:id="1703" w:name="bookmark1703"/>
      <w:bookmarkStart w:id="1704" w:name="bookmark1704"/>
      <w:bookmarkStart w:id="1705" w:name="bookmark1705"/>
      <w:bookmarkStart w:id="1706" w:name="bookmark1706"/>
      <w:r>
        <w:rPr>
          <w:color w:val="000000"/>
          <w:spacing w:val="0"/>
          <w:w w:val="100"/>
          <w:position w:val="0"/>
        </w:rPr>
        <w:t>（</w:t>
      </w:r>
      <w:bookmarkEnd w:id="1705"/>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703"/>
      <w:bookmarkEnd w:id="1704"/>
      <w:bookmarkEnd w:id="170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59" w:line="1" w:lineRule="exact"/>
      </w:pPr>
    </w:p>
    <w:p>
      <w:pPr>
        <w:pStyle w:val="Style55"/>
        <w:keepNext/>
        <w:keepLines/>
        <w:widowControl w:val="0"/>
        <w:shd w:val="clear" w:color="auto" w:fill="auto"/>
        <w:bidi w:val="0"/>
        <w:spacing w:before="0" w:after="360" w:line="240" w:lineRule="auto"/>
        <w:ind w:left="0" w:right="0" w:firstLine="14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w:t>
      </w:r>
      <w:bookmarkEnd w:id="1709"/>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707"/>
      <w:bookmarkEnd w:id="1708"/>
      <w:bookmarkEnd w:id="1710"/>
    </w:p>
    <w:p>
      <w:pPr>
        <w:pStyle w:val="Style5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4,384,600.00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4,441,100.00</w:t>
            </w:r>
          </w:p>
        </w:tc>
      </w:tr>
    </w:tbl>
    <w:p>
      <w:pPr>
        <w:widowControl w:val="0"/>
        <w:spacing w:after="359" w:line="1" w:lineRule="exact"/>
      </w:pPr>
    </w:p>
    <w:p>
      <w:pPr>
        <w:pStyle w:val="Style55"/>
        <w:keepNext/>
        <w:keepLines/>
        <w:widowControl w:val="0"/>
        <w:shd w:val="clear" w:color="auto" w:fill="auto"/>
        <w:bidi w:val="0"/>
        <w:spacing w:before="0" w:after="360" w:line="240" w:lineRule="auto"/>
        <w:ind w:left="0" w:right="0" w:firstLine="14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w:t>
      </w:r>
      <w:bookmarkEnd w:id="1713"/>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711"/>
      <w:bookmarkEnd w:id="1712"/>
      <w:bookmarkEnd w:id="1714"/>
    </w:p>
    <w:p>
      <w:pPr>
        <w:pStyle w:val="Style7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应付关联方款项</w:t>
      </w:r>
    </w:p>
    <w:tbl>
      <w:tblPr>
        <w:tblOverlap w:val="never"/>
        <w:jc w:val="center"/>
        <w:tblLayout w:type="fixed"/>
      </w:tblPr>
      <w:tblGrid>
        <w:gridCol w:w="2434"/>
        <w:gridCol w:w="2429"/>
        <w:gridCol w:w="2424"/>
        <w:gridCol w:w="2438"/>
      </w:tblGrid>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94,904,761.53</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海南欢乐坚果信息咨询中心</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55,878,091.22</w:t>
            </w: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北京睿韬科技有限责任公司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19,466,791.61</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樟树市尚河投资管理中心（有 限合伙）</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12,006,000.00</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宁波镇海翔易融联投资管理合 伙企业（有限合伙）</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564,425.16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熊桂生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1,453.54</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201,575,635.17</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海南欢乐坚果信息咨询中心</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131,796,716.69</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樟树市尚河投资管理中心（有 限合伙）</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68,447,638.51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刘晓曦</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1,331,279.97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70"/>
        <w:keepNext w:val="0"/>
        <w:keepLines w:val="0"/>
        <w:widowControl w:val="0"/>
        <w:shd w:val="clear" w:color="auto" w:fill="auto"/>
        <w:bidi w:val="0"/>
        <w:spacing w:before="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长期应付款以扣除未确认融资费用后的净值列式。</w:t>
      </w:r>
    </w:p>
    <w:p>
      <w:pPr>
        <w:pStyle w:val="Style33"/>
        <w:keepNext/>
        <w:keepLines/>
        <w:widowControl w:val="0"/>
        <w:shd w:val="clear" w:color="auto" w:fill="auto"/>
        <w:bidi w:val="0"/>
        <w:spacing w:before="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6</w:t>
      </w:r>
      <w:bookmarkEnd w:id="1717"/>
      <w:r>
        <w:rPr>
          <w:color w:val="000000"/>
          <w:spacing w:val="0"/>
          <w:w w:val="100"/>
          <w:position w:val="0"/>
        </w:rPr>
        <w:t>、关联方应收应付款项</w:t>
      </w:r>
      <w:bookmarkEnd w:id="1715"/>
      <w:bookmarkEnd w:id="1716"/>
      <w:bookmarkEnd w:id="1718"/>
    </w:p>
    <w:p>
      <w:pPr>
        <w:pStyle w:val="Style55"/>
        <w:keepNext/>
        <w:keepLines/>
        <w:widowControl w:val="0"/>
        <w:shd w:val="clear" w:color="auto" w:fill="auto"/>
        <w:bidi w:val="0"/>
        <w:spacing w:before="0" w:after="360" w:line="240" w:lineRule="auto"/>
        <w:ind w:left="0" w:right="0" w:firstLine="0"/>
        <w:jc w:val="both"/>
      </w:pPr>
      <w:bookmarkStart w:id="1719" w:name="bookmark1719"/>
      <w:bookmarkStart w:id="1720" w:name="bookmark1720"/>
      <w:bookmarkStart w:id="1721" w:name="bookmark17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19"/>
      <w:bookmarkEnd w:id="1720"/>
      <w:bookmarkEnd w:id="172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3192"/>
        <w:gridCol w:w="3197"/>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p>
    <w:tbl>
      <w:tblPr>
        <w:tblOverlap w:val="never"/>
        <w:jc w:val="center"/>
        <w:tblLayout w:type="fixed"/>
      </w:tblPr>
      <w:tblGrid>
        <w:gridCol w:w="1598"/>
        <w:gridCol w:w="1594"/>
        <w:gridCol w:w="1598"/>
        <w:gridCol w:w="1594"/>
        <w:gridCol w:w="1594"/>
        <w:gridCol w:w="1603"/>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after="339" w:line="1" w:lineRule="exact"/>
      </w:pPr>
    </w:p>
    <w:p>
      <w:pPr>
        <w:pStyle w:val="Style55"/>
        <w:keepNext/>
        <w:keepLines/>
        <w:widowControl w:val="0"/>
        <w:shd w:val="clear" w:color="auto" w:fill="auto"/>
        <w:bidi w:val="0"/>
        <w:spacing w:before="0" w:after="400" w:line="240" w:lineRule="auto"/>
        <w:ind w:left="0" w:right="0" w:firstLine="140"/>
        <w:jc w:val="both"/>
      </w:pPr>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22"/>
      <w:bookmarkEnd w:id="1723"/>
      <w:bookmarkEnd w:id="1724"/>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339" w:line="1" w:lineRule="exact"/>
      </w:pPr>
    </w:p>
    <w:p>
      <w:pPr>
        <w:pStyle w:val="Style33"/>
        <w:keepNext/>
        <w:keepLines/>
        <w:widowControl w:val="0"/>
        <w:shd w:val="clear" w:color="auto" w:fill="auto"/>
        <w:tabs>
          <w:tab w:pos="373" w:val="left"/>
        </w:tabs>
        <w:bidi w:val="0"/>
        <w:spacing w:before="0" w:after="340" w:line="240" w:lineRule="auto"/>
        <w:ind w:left="0" w:right="0" w:firstLine="0"/>
        <w:jc w:val="both"/>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7</w:t>
      </w:r>
      <w:bookmarkEnd w:id="1727"/>
      <w:r>
        <w:rPr>
          <w:color w:val="000000"/>
          <w:spacing w:val="0"/>
          <w:w w:val="100"/>
          <w:position w:val="0"/>
        </w:rPr>
        <w:t>、</w:t>
        <w:tab/>
        <w:t>关联方承诺</w:t>
      </w:r>
      <w:bookmarkEnd w:id="1725"/>
      <w:bookmarkEnd w:id="1726"/>
      <w:bookmarkEnd w:id="1728"/>
    </w:p>
    <w:p>
      <w:pPr>
        <w:pStyle w:val="Style33"/>
        <w:keepNext/>
        <w:keepLines/>
        <w:widowControl w:val="0"/>
        <w:shd w:val="clear" w:color="auto" w:fill="auto"/>
        <w:tabs>
          <w:tab w:pos="378" w:val="left"/>
        </w:tabs>
        <w:bidi w:val="0"/>
        <w:spacing w:before="0" w:after="340" w:line="240" w:lineRule="auto"/>
        <w:ind w:left="0" w:right="0" w:firstLine="0"/>
        <w:jc w:val="both"/>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8</w:t>
      </w:r>
      <w:bookmarkEnd w:id="1731"/>
      <w:r>
        <w:rPr>
          <w:color w:val="000000"/>
          <w:spacing w:val="0"/>
          <w:w w:val="100"/>
          <w:position w:val="0"/>
        </w:rPr>
        <w:t>、</w:t>
        <w:tab/>
        <w:t>其他</w:t>
      </w:r>
      <w:bookmarkEnd w:id="1729"/>
      <w:bookmarkEnd w:id="1730"/>
      <w:bookmarkEnd w:id="1732"/>
    </w:p>
    <w:p>
      <w:pPr>
        <w:pStyle w:val="Style27"/>
        <w:keepNext/>
        <w:keepLines/>
        <w:widowControl w:val="0"/>
        <w:shd w:val="clear" w:color="auto" w:fill="auto"/>
        <w:bidi w:val="0"/>
        <w:spacing w:before="0" w:after="340" w:line="240" w:lineRule="auto"/>
        <w:ind w:left="0" w:right="0" w:firstLine="0"/>
        <w:jc w:val="both"/>
      </w:pPr>
      <w:bookmarkStart w:id="1733" w:name="bookmark1733"/>
      <w:bookmarkStart w:id="1734" w:name="bookmark1734"/>
      <w:bookmarkStart w:id="1735" w:name="bookmark1735"/>
      <w:r>
        <w:rPr>
          <w:color w:val="000000"/>
          <w:spacing w:val="0"/>
          <w:w w:val="100"/>
          <w:position w:val="0"/>
          <w:sz w:val="24"/>
          <w:szCs w:val="24"/>
        </w:rPr>
        <w:t>十三、股份支付</w:t>
      </w:r>
      <w:bookmarkEnd w:id="1733"/>
      <w:bookmarkEnd w:id="1734"/>
      <w:bookmarkEnd w:id="1735"/>
    </w:p>
    <w:p>
      <w:pPr>
        <w:pStyle w:val="Style33"/>
        <w:keepNext/>
        <w:keepLines/>
        <w:widowControl w:val="0"/>
        <w:shd w:val="clear" w:color="auto" w:fill="auto"/>
        <w:bidi w:val="0"/>
        <w:spacing w:before="0" w:after="340" w:line="240" w:lineRule="auto"/>
        <w:ind w:left="0" w:right="0" w:firstLine="0"/>
        <w:jc w:val="both"/>
      </w:pPr>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736"/>
      <w:bookmarkEnd w:id="1737"/>
      <w:bookmarkEnd w:id="1738"/>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7,904,000.00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60" w:line="314" w:lineRule="exact"/>
        <w:ind w:left="0" w:right="0" w:firstLine="0"/>
        <w:jc w:val="both"/>
      </w:pPr>
      <w:r>
        <w:rPr>
          <w:color w:val="000000"/>
          <w:spacing w:val="0"/>
          <w:w w:val="100"/>
          <w:position w:val="0"/>
        </w:rPr>
        <w:t>其他说明</w:t>
      </w:r>
    </w:p>
    <w:p>
      <w:pPr>
        <w:pStyle w:val="Style70"/>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1.2016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日授予批次</w:t>
      </w:r>
    </w:p>
    <w:p>
      <w:pPr>
        <w:pStyle w:val="Style7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月向符合资格的</w:t>
      </w:r>
      <w:r>
        <w:rPr>
          <w:rFonts w:ascii="Times New Roman" w:eastAsia="Times New Roman" w:hAnsi="Times New Roman" w:cs="Times New Roman"/>
          <w:color w:val="000000"/>
          <w:spacing w:val="0"/>
          <w:w w:val="100"/>
          <w:position w:val="0"/>
        </w:rPr>
        <w:t>100</w:t>
      </w:r>
      <w:r>
        <w:rPr>
          <w:color w:val="000000"/>
          <w:spacing w:val="0"/>
          <w:w w:val="100"/>
          <w:position w:val="0"/>
        </w:rPr>
        <w:t>名员工</w:t>
      </w:r>
      <w:r>
        <w:rPr>
          <w:rFonts w:ascii="Times New Roman" w:eastAsia="Times New Roman" w:hAnsi="Times New Roman" w:cs="Times New Roman"/>
          <w:color w:val="000000"/>
          <w:spacing w:val="0"/>
          <w:w w:val="100"/>
          <w:position w:val="0"/>
        </w:rPr>
        <w:t>(“</w:t>
      </w:r>
      <w:r>
        <w:rPr>
          <w:color w:val="000000"/>
          <w:spacing w:val="0"/>
          <w:w w:val="100"/>
          <w:position w:val="0"/>
        </w:rPr>
        <w:t>激励对象</w:t>
      </w:r>
      <w:r>
        <w:rPr>
          <w:rFonts w:ascii="Times New Roman" w:eastAsia="Times New Roman" w:hAnsi="Times New Roman" w:cs="Times New Roman"/>
          <w:color w:val="000000"/>
          <w:spacing w:val="0"/>
          <w:w w:val="100"/>
          <w:position w:val="0"/>
        </w:rPr>
        <w:t>”)</w:t>
      </w:r>
      <w:r>
        <w:rPr>
          <w:color w:val="000000"/>
          <w:spacing w:val="0"/>
          <w:w w:val="100"/>
          <w:position w:val="0"/>
        </w:rPr>
        <w:t>授予限制性股票</w:t>
      </w:r>
      <w:r>
        <w:rPr>
          <w:rFonts w:ascii="Times New Roman" w:eastAsia="Times New Roman" w:hAnsi="Times New Roman" w:cs="Times New Roman"/>
          <w:color w:val="000000"/>
          <w:spacing w:val="0"/>
          <w:w w:val="100"/>
          <w:position w:val="0"/>
        </w:rPr>
        <w:t>160</w:t>
      </w:r>
      <w:r>
        <w:rPr>
          <w:color w:val="000000"/>
          <w:spacing w:val="0"/>
          <w:w w:val="100"/>
          <w:position w:val="0"/>
        </w:rPr>
        <w:t>万股，授予价格</w:t>
      </w:r>
      <w:r>
        <w:rPr>
          <w:rFonts w:ascii="Times New Roman" w:eastAsia="Times New Roman" w:hAnsi="Times New Roman" w:cs="Times New Roman"/>
          <w:color w:val="000000"/>
          <w:spacing w:val="0"/>
          <w:w w:val="100"/>
          <w:position w:val="0"/>
        </w:rPr>
        <w:t>20.89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 授予日为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p>
      <w:pPr>
        <w:pStyle w:val="Style7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激励对象获授限制性股票之日起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个月内为锁定期。在锁定期内，激励对象根据本计划获授的限制 性股票予以锁定，不得转让；限制性股票锁定期后</w:t>
      </w:r>
      <w:r>
        <w:rPr>
          <w:rFonts w:ascii="Times New Roman" w:eastAsia="Times New Roman" w:hAnsi="Times New Roman" w:cs="Times New Roman"/>
          <w:color w:val="000000"/>
          <w:spacing w:val="0"/>
          <w:w w:val="100"/>
          <w:position w:val="0"/>
        </w:rPr>
        <w:t>36</w:t>
      </w:r>
      <w:r>
        <w:rPr>
          <w:color w:val="000000"/>
          <w:spacing w:val="0"/>
          <w:w w:val="100"/>
          <w:position w:val="0"/>
        </w:rPr>
        <w:t>个月为解锁期，在解锁期内，若达到本股权激励计 划规定的解锁条件，激励对象可分三次申请解锁：</w:t>
      </w:r>
    </w:p>
    <w:p>
      <w:pPr>
        <w:pStyle w:val="Style70"/>
        <w:keepNext w:val="0"/>
        <w:keepLines w:val="0"/>
        <w:widowControl w:val="0"/>
        <w:numPr>
          <w:ilvl w:val="0"/>
          <w:numId w:val="67"/>
        </w:numPr>
        <w:shd w:val="clear" w:color="auto" w:fill="auto"/>
        <w:tabs>
          <w:tab w:pos="866" w:val="left"/>
        </w:tabs>
        <w:bidi w:val="0"/>
        <w:spacing w:before="0" w:after="0" w:line="314" w:lineRule="exact"/>
        <w:ind w:left="0" w:right="0" w:firstLine="440"/>
        <w:jc w:val="both"/>
      </w:pPr>
      <w:bookmarkStart w:id="1739" w:name="bookmark1739"/>
      <w:bookmarkEnd w:id="1739"/>
      <w:r>
        <w:rPr>
          <w:color w:val="000000"/>
          <w:spacing w:val="0"/>
          <w:w w:val="100"/>
          <w:position w:val="0"/>
        </w:rPr>
        <w:t>第一次解锁期为自授予日起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个月后申请解锁，可解锁数量占限制股票总数的</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70"/>
        <w:keepNext w:val="0"/>
        <w:keepLines w:val="0"/>
        <w:widowControl w:val="0"/>
        <w:numPr>
          <w:ilvl w:val="0"/>
          <w:numId w:val="67"/>
        </w:numPr>
        <w:shd w:val="clear" w:color="auto" w:fill="auto"/>
        <w:tabs>
          <w:tab w:pos="866" w:val="left"/>
        </w:tabs>
        <w:bidi w:val="0"/>
        <w:spacing w:before="0" w:after="0" w:line="314" w:lineRule="exact"/>
        <w:ind w:left="0" w:right="0" w:firstLine="440"/>
        <w:jc w:val="both"/>
      </w:pPr>
      <w:bookmarkStart w:id="1740" w:name="bookmark1740"/>
      <w:bookmarkEnd w:id="1740"/>
      <w:r>
        <w:rPr>
          <w:color w:val="000000"/>
          <w:spacing w:val="0"/>
          <w:w w:val="100"/>
          <w:position w:val="0"/>
        </w:rPr>
        <w:t>第二次解锁期为自授予日起</w:t>
      </w:r>
      <w:r>
        <w:rPr>
          <w:rFonts w:ascii="Times New Roman" w:eastAsia="Times New Roman" w:hAnsi="Times New Roman" w:cs="Times New Roman"/>
          <w:color w:val="000000"/>
          <w:spacing w:val="0"/>
          <w:w w:val="100"/>
          <w:position w:val="0"/>
        </w:rPr>
        <w:t>24</w:t>
      </w:r>
      <w:r>
        <w:rPr>
          <w:color w:val="000000"/>
          <w:spacing w:val="0"/>
          <w:w w:val="100"/>
          <w:position w:val="0"/>
        </w:rPr>
        <w:t>个月后申请解锁，可解锁数量占限制股票总数的</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70"/>
        <w:keepNext w:val="0"/>
        <w:keepLines w:val="0"/>
        <w:widowControl w:val="0"/>
        <w:numPr>
          <w:ilvl w:val="0"/>
          <w:numId w:val="67"/>
        </w:numPr>
        <w:shd w:val="clear" w:color="auto" w:fill="auto"/>
        <w:tabs>
          <w:tab w:pos="866" w:val="left"/>
        </w:tabs>
        <w:bidi w:val="0"/>
        <w:spacing w:before="0" w:after="0" w:line="314" w:lineRule="exact"/>
        <w:ind w:left="0" w:right="0" w:firstLine="440"/>
        <w:jc w:val="both"/>
      </w:pPr>
      <w:bookmarkStart w:id="1741" w:name="bookmark1741"/>
      <w:bookmarkEnd w:id="1741"/>
      <w:r>
        <w:rPr>
          <w:color w:val="000000"/>
          <w:spacing w:val="0"/>
          <w:w w:val="100"/>
          <w:position w:val="0"/>
        </w:rPr>
        <w:t>第三次解锁期为自授予日起</w:t>
      </w:r>
      <w:r>
        <w:rPr>
          <w:rFonts w:ascii="Times New Roman" w:eastAsia="Times New Roman" w:hAnsi="Times New Roman" w:cs="Times New Roman"/>
          <w:color w:val="000000"/>
          <w:spacing w:val="0"/>
          <w:w w:val="100"/>
          <w:position w:val="0"/>
        </w:rPr>
        <w:t>36</w:t>
      </w:r>
      <w:r>
        <w:rPr>
          <w:color w:val="000000"/>
          <w:spacing w:val="0"/>
          <w:w w:val="100"/>
          <w:position w:val="0"/>
        </w:rPr>
        <w:t>个月后申请解锁，可解锁数量占限制股票总数的</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70"/>
        <w:keepNext w:val="0"/>
        <w:keepLines w:val="0"/>
        <w:widowControl w:val="0"/>
        <w:shd w:val="clear" w:color="auto" w:fill="auto"/>
        <w:bidi w:val="0"/>
        <w:spacing w:before="0" w:after="60" w:line="314" w:lineRule="exact"/>
        <w:ind w:left="0" w:right="0" w:firstLine="440"/>
        <w:jc w:val="both"/>
      </w:pPr>
      <w:r>
        <w:rPr>
          <w:color w:val="000000"/>
          <w:spacing w:val="0"/>
          <w:w w:val="100"/>
          <w:position w:val="0"/>
        </w:rPr>
        <w:t>在解锁期内，激励对象可在董事会确认当期达到解锁条件后，在董事会确定的解锁窗口期内对相应比 例的限制性股票申请解锁，当期未申请解锁的部分不再解锁并由公司回购注销；若解锁期内任何一期未达</w:t>
      </w:r>
    </w:p>
    <w:p>
      <w:pPr>
        <w:pStyle w:val="Style51"/>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到解锁条件，则当期可申请解锁的限制性股票不得解锁并由公司回购后注销。 本次限制性股票解锁安排及公司业绩考核条件如下：</w:t>
      </w:r>
    </w:p>
    <w:tbl>
      <w:tblPr>
        <w:tblOverlap w:val="never"/>
        <w:jc w:val="left"/>
        <w:tblLayout w:type="fixed"/>
      </w:tblPr>
      <w:tblGrid>
        <w:gridCol w:w="1387"/>
        <w:gridCol w:w="2126"/>
        <w:gridCol w:w="4397"/>
        <w:gridCol w:w="1013"/>
      </w:tblGrid>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锁定期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解锁安排</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公司业绩考核条件</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解锁比例</w:t>
            </w:r>
          </w:p>
        </w:tc>
      </w:tr>
      <w:tr>
        <w:trPr>
          <w:trHeight w:val="97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第一次解锁期</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第一批于授予日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个月内解锁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年度扣除非经常损益和股份支付影响后的净利润 为基础，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年度扣除非经常损益和股份支付影响后的 净利润增长率不低于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96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第二次解锁期</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第二批于授予日</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 至</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个月内解锁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年度扣除非经常损益和股份支付影响后的净利润 为基础，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年度扣除非经常损益和股份支付影响后的 净利润增长率不低于</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35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第三次解锁期</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第三批于授予日</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年度扣除非经常损益和股份支付影响后的净利润</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r>
    </w:tbl>
    <w:p>
      <w:pPr>
        <w:widowControl w:val="0"/>
        <w:spacing w:line="1" w:lineRule="exact"/>
      </w:pPr>
      <w:r>
        <w:br w:type="page"/>
      </w:r>
    </w:p>
    <w:tbl>
      <w:tblPr>
        <w:tblOverlap w:val="never"/>
        <w:jc w:val="left"/>
        <w:tblLayout w:type="fixed"/>
      </w:tblPr>
      <w:tblGrid>
        <w:gridCol w:w="1387"/>
        <w:gridCol w:w="2126"/>
        <w:gridCol w:w="4397"/>
        <w:gridCol w:w="1013"/>
      </w:tblGrid>
      <w:tr>
        <w:trPr>
          <w:trHeight w:val="66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个月内解锁</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为基础，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年度扣除非经常损益和股份支付影响后的 净利润增长率不低于</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70"/>
        <w:keepNext w:val="0"/>
        <w:keepLines w:val="0"/>
        <w:widowControl w:val="0"/>
        <w:shd w:val="clear" w:color="auto" w:fill="auto"/>
        <w:bidi w:val="0"/>
        <w:spacing w:before="0" w:after="80" w:line="320" w:lineRule="exact"/>
        <w:ind w:left="0" w:right="0" w:firstLine="440"/>
        <w:jc w:val="left"/>
      </w:pPr>
      <w:r>
        <w:rPr>
          <w:color w:val="000000"/>
          <w:spacing w:val="0"/>
          <w:w w:val="100"/>
          <w:position w:val="0"/>
        </w:rPr>
        <w:t>本次股权激励计划第一批授予登记的股票共计</w:t>
      </w:r>
      <w:r>
        <w:rPr>
          <w:rFonts w:ascii="Times New Roman" w:eastAsia="Times New Roman" w:hAnsi="Times New Roman" w:cs="Times New Roman"/>
          <w:color w:val="000000"/>
          <w:spacing w:val="0"/>
          <w:w w:val="100"/>
          <w:position w:val="0"/>
        </w:rPr>
        <w:t>160</w:t>
      </w:r>
      <w:r>
        <w:rPr>
          <w:color w:val="000000"/>
          <w:spacing w:val="0"/>
          <w:w w:val="100"/>
          <w:position w:val="0"/>
        </w:rPr>
        <w:t>万股，于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日在中国证券登记结算有限责 任公司深圳分公司办理完成股份登记。</w:t>
      </w:r>
    </w:p>
    <w:p>
      <w:pPr>
        <w:pStyle w:val="Style95"/>
        <w:keepNext w:val="0"/>
        <w:keepLines w:val="0"/>
        <w:widowControl w:val="0"/>
        <w:shd w:val="clear" w:color="auto" w:fill="auto"/>
        <w:bidi w:val="0"/>
        <w:spacing w:before="0" w:after="0"/>
        <w:ind w:left="0" w:right="0"/>
        <w:jc w:val="both"/>
      </w:pPr>
      <w:r>
        <w:rPr>
          <w:color w:val="000000"/>
          <w:spacing w:val="0"/>
          <w:w w:val="100"/>
          <w:position w:val="0"/>
        </w:rPr>
        <w:t>2.2016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日授予批次</w:t>
      </w:r>
    </w:p>
    <w:p>
      <w:pPr>
        <w:pStyle w:val="Style70"/>
        <w:keepNext w:val="0"/>
        <w:keepLines w:val="0"/>
        <w:widowControl w:val="0"/>
        <w:shd w:val="clear" w:color="auto" w:fill="auto"/>
        <w:bidi w:val="0"/>
        <w:spacing w:before="0" w:after="0" w:line="320"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月向符合资格的</w:t>
      </w:r>
      <w:r>
        <w:rPr>
          <w:rFonts w:ascii="Times New Roman" w:eastAsia="Times New Roman" w:hAnsi="Times New Roman" w:cs="Times New Roman"/>
          <w:color w:val="000000"/>
          <w:spacing w:val="0"/>
          <w:w w:val="100"/>
          <w:position w:val="0"/>
        </w:rPr>
        <w:t>48</w:t>
      </w:r>
      <w:r>
        <w:rPr>
          <w:color w:val="000000"/>
          <w:spacing w:val="0"/>
          <w:w w:val="100"/>
          <w:position w:val="0"/>
        </w:rPr>
        <w:t>名员工</w:t>
      </w:r>
      <w:r>
        <w:rPr>
          <w:rFonts w:ascii="Times New Roman" w:eastAsia="Times New Roman" w:hAnsi="Times New Roman" w:cs="Times New Roman"/>
          <w:color w:val="000000"/>
          <w:spacing w:val="0"/>
          <w:w w:val="100"/>
          <w:position w:val="0"/>
        </w:rPr>
        <w:t>(“</w:t>
      </w:r>
      <w:r>
        <w:rPr>
          <w:color w:val="000000"/>
          <w:spacing w:val="0"/>
          <w:w w:val="100"/>
          <w:position w:val="0"/>
        </w:rPr>
        <w:t>激励对象</w:t>
      </w:r>
      <w:r>
        <w:rPr>
          <w:rFonts w:ascii="Times New Roman" w:eastAsia="Times New Roman" w:hAnsi="Times New Roman" w:cs="Times New Roman"/>
          <w:color w:val="000000"/>
          <w:spacing w:val="0"/>
          <w:w w:val="100"/>
          <w:position w:val="0"/>
        </w:rPr>
        <w:t>”)</w:t>
      </w:r>
      <w:r>
        <w:rPr>
          <w:color w:val="000000"/>
          <w:spacing w:val="0"/>
          <w:w w:val="100"/>
          <w:position w:val="0"/>
        </w:rPr>
        <w:t>授予限制性股票</w:t>
      </w:r>
      <w:r>
        <w:rPr>
          <w:rFonts w:ascii="Times New Roman" w:eastAsia="Times New Roman" w:hAnsi="Times New Roman" w:cs="Times New Roman"/>
          <w:color w:val="000000"/>
          <w:spacing w:val="0"/>
          <w:w w:val="100"/>
          <w:position w:val="0"/>
        </w:rPr>
        <w:t>278.4</w:t>
      </w:r>
      <w:r>
        <w:rPr>
          <w:color w:val="000000"/>
          <w:spacing w:val="0"/>
          <w:w w:val="100"/>
          <w:position w:val="0"/>
        </w:rPr>
        <w:t>万股，授予价格</w:t>
      </w:r>
      <w:r>
        <w:rPr>
          <w:rFonts w:ascii="Times New Roman" w:eastAsia="Times New Roman" w:hAnsi="Times New Roman" w:cs="Times New Roman"/>
          <w:color w:val="000000"/>
          <w:spacing w:val="0"/>
          <w:w w:val="100"/>
          <w:position w:val="0"/>
        </w:rPr>
        <w:t>7.660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 授予日为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p>
      <w:pPr>
        <w:pStyle w:val="Style70"/>
        <w:keepNext w:val="0"/>
        <w:keepLines w:val="0"/>
        <w:widowControl w:val="0"/>
        <w:shd w:val="clear" w:color="auto" w:fill="auto"/>
        <w:bidi w:val="0"/>
        <w:spacing w:before="0" w:after="0" w:line="320" w:lineRule="exact"/>
        <w:ind w:left="0" w:right="0" w:firstLine="440"/>
        <w:jc w:val="both"/>
      </w:pPr>
      <w:r>
        <w:rPr>
          <w:color w:val="000000"/>
          <w:spacing w:val="0"/>
          <w:w w:val="100"/>
          <w:position w:val="0"/>
        </w:rPr>
        <w:t>激励对象获授限制性股票之日起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个月内为锁定期。在锁定期内，激励对象根据本计划获授的限制 性股票予以锁定，不得转让；限制性股票锁定期后</w:t>
      </w:r>
      <w:r>
        <w:rPr>
          <w:rFonts w:ascii="Times New Roman" w:eastAsia="Times New Roman" w:hAnsi="Times New Roman" w:cs="Times New Roman"/>
          <w:color w:val="000000"/>
          <w:spacing w:val="0"/>
          <w:w w:val="100"/>
          <w:position w:val="0"/>
        </w:rPr>
        <w:t>36</w:t>
      </w:r>
      <w:r>
        <w:rPr>
          <w:color w:val="000000"/>
          <w:spacing w:val="0"/>
          <w:w w:val="100"/>
          <w:position w:val="0"/>
        </w:rPr>
        <w:t>个月为解锁期，在解锁期内，若达到本股权激励计 划规定的解锁条件，激励对象可分三次申请解锁：</w:t>
      </w:r>
    </w:p>
    <w:p>
      <w:pPr>
        <w:pStyle w:val="Style70"/>
        <w:keepNext w:val="0"/>
        <w:keepLines w:val="0"/>
        <w:widowControl w:val="0"/>
        <w:numPr>
          <w:ilvl w:val="0"/>
          <w:numId w:val="69"/>
        </w:numPr>
        <w:shd w:val="clear" w:color="auto" w:fill="auto"/>
        <w:tabs>
          <w:tab w:pos="866" w:val="left"/>
        </w:tabs>
        <w:bidi w:val="0"/>
        <w:spacing w:before="0" w:after="0" w:line="320" w:lineRule="exact"/>
        <w:ind w:left="440" w:right="0" w:firstLine="0"/>
        <w:jc w:val="left"/>
      </w:pPr>
      <w:bookmarkStart w:id="1742" w:name="bookmark1742"/>
      <w:bookmarkEnd w:id="1742"/>
      <w:r>
        <w:rPr>
          <w:color w:val="000000"/>
          <w:spacing w:val="0"/>
          <w:w w:val="100"/>
          <w:position w:val="0"/>
        </w:rPr>
        <w:t>第一次解锁期为自授予日起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个月后申请解锁，可解锁数量占限制股票总数的</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70"/>
        <w:keepNext w:val="0"/>
        <w:keepLines w:val="0"/>
        <w:widowControl w:val="0"/>
        <w:numPr>
          <w:ilvl w:val="0"/>
          <w:numId w:val="69"/>
        </w:numPr>
        <w:shd w:val="clear" w:color="auto" w:fill="auto"/>
        <w:tabs>
          <w:tab w:pos="866" w:val="left"/>
        </w:tabs>
        <w:bidi w:val="0"/>
        <w:spacing w:before="0" w:after="0" w:line="320" w:lineRule="exact"/>
        <w:ind w:left="440" w:right="0" w:firstLine="0"/>
        <w:jc w:val="left"/>
      </w:pPr>
      <w:bookmarkStart w:id="1743" w:name="bookmark1743"/>
      <w:bookmarkEnd w:id="1743"/>
      <w:r>
        <w:rPr>
          <w:color w:val="000000"/>
          <w:spacing w:val="0"/>
          <w:w w:val="100"/>
          <w:position w:val="0"/>
        </w:rPr>
        <w:t>第二次解锁期为自授予日起</w:t>
      </w:r>
      <w:r>
        <w:rPr>
          <w:rFonts w:ascii="Times New Roman" w:eastAsia="Times New Roman" w:hAnsi="Times New Roman" w:cs="Times New Roman"/>
          <w:color w:val="000000"/>
          <w:spacing w:val="0"/>
          <w:w w:val="100"/>
          <w:position w:val="0"/>
        </w:rPr>
        <w:t>24</w:t>
      </w:r>
      <w:r>
        <w:rPr>
          <w:color w:val="000000"/>
          <w:spacing w:val="0"/>
          <w:w w:val="100"/>
          <w:position w:val="0"/>
        </w:rPr>
        <w:t>个月后申请解锁，可解锁数量占限制股票总数的</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70"/>
        <w:keepNext w:val="0"/>
        <w:keepLines w:val="0"/>
        <w:widowControl w:val="0"/>
        <w:numPr>
          <w:ilvl w:val="0"/>
          <w:numId w:val="69"/>
        </w:numPr>
        <w:shd w:val="clear" w:color="auto" w:fill="auto"/>
        <w:tabs>
          <w:tab w:pos="866" w:val="left"/>
        </w:tabs>
        <w:bidi w:val="0"/>
        <w:spacing w:before="0" w:after="0" w:line="320" w:lineRule="exact"/>
        <w:ind w:left="440" w:right="0" w:firstLine="0"/>
        <w:jc w:val="left"/>
      </w:pPr>
      <w:bookmarkStart w:id="1744" w:name="bookmark1744"/>
      <w:bookmarkEnd w:id="1744"/>
      <w:r>
        <w:rPr>
          <w:color w:val="000000"/>
          <w:spacing w:val="0"/>
          <w:w w:val="100"/>
          <w:position w:val="0"/>
        </w:rPr>
        <w:t>第三次解锁期为自授予日起</w:t>
      </w:r>
      <w:r>
        <w:rPr>
          <w:rFonts w:ascii="Times New Roman" w:eastAsia="Times New Roman" w:hAnsi="Times New Roman" w:cs="Times New Roman"/>
          <w:color w:val="000000"/>
          <w:spacing w:val="0"/>
          <w:w w:val="100"/>
          <w:position w:val="0"/>
        </w:rPr>
        <w:t>36</w:t>
      </w:r>
      <w:r>
        <w:rPr>
          <w:color w:val="000000"/>
          <w:spacing w:val="0"/>
          <w:w w:val="100"/>
          <w:position w:val="0"/>
        </w:rPr>
        <w:t>个月后申请解锁，可解锁数量占限制股票总数的</w:t>
      </w:r>
      <w:r>
        <w:rPr>
          <w:rFonts w:ascii="Times New Roman" w:eastAsia="Times New Roman" w:hAnsi="Times New Roman" w:cs="Times New Roman"/>
          <w:color w:val="000000"/>
          <w:spacing w:val="0"/>
          <w:w w:val="100"/>
          <w:position w:val="0"/>
        </w:rPr>
        <w:t>40%</w:t>
      </w:r>
      <w:r>
        <w:rPr>
          <w:color w:val="000000"/>
          <w:spacing w:val="0"/>
          <w:w w:val="100"/>
          <w:position w:val="0"/>
        </w:rPr>
        <w:t>。 本次限制性股票解锁安排及公司业绩考核条件如下：</w:t>
      </w:r>
    </w:p>
    <w:tbl>
      <w:tblPr>
        <w:tblOverlap w:val="never"/>
        <w:jc w:val="left"/>
        <w:tblLayout w:type="fixed"/>
      </w:tblPr>
      <w:tblGrid>
        <w:gridCol w:w="1387"/>
        <w:gridCol w:w="2126"/>
        <w:gridCol w:w="4406"/>
        <w:gridCol w:w="1003"/>
      </w:tblGrid>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锁定期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解锁安排</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公司业绩考核条件</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解锁比例</w:t>
            </w:r>
          </w:p>
        </w:tc>
      </w:tr>
      <w:tr>
        <w:trPr>
          <w:trHeight w:val="96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第一次解锁期</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第一批于授予日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 至</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个月内解锁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年度扣除非经常损益和股份支付影响后的净利润 为基础，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年度扣除非经常损益和股份支付影响后的 净利润增长率不低于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97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第二次解锁期</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第二批于授予日</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 至</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个月内解锁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年度扣除非经常损益和股份支付影响后的净利润 为基础，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年度扣除非经常损益和股份支付影响后的 净利润增长率不低于</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974"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color w:val="000000"/>
                <w:spacing w:val="0"/>
                <w:w w:val="100"/>
                <w:position w:val="0"/>
              </w:rPr>
              <w:t>第三次解锁期</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第三批于授予日</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 至</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个月内解锁</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年度扣除非经常损益和股份支付影响后的净利润 为基础，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年度扣除非经常损益和股份支付影响后的 净利润增长率不低于</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r>
    </w:tbl>
    <w:p>
      <w:pPr>
        <w:pStyle w:val="Style70"/>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本次股权激励计划第一批授予登记的股票共计</w:t>
      </w:r>
      <w:r>
        <w:rPr>
          <w:rFonts w:ascii="Times New Roman" w:eastAsia="Times New Roman" w:hAnsi="Times New Roman" w:cs="Times New Roman"/>
          <w:color w:val="000000"/>
          <w:spacing w:val="0"/>
          <w:w w:val="100"/>
          <w:position w:val="0"/>
        </w:rPr>
        <w:t>278.4</w:t>
      </w:r>
      <w:r>
        <w:rPr>
          <w:color w:val="000000"/>
          <w:spacing w:val="0"/>
          <w:w w:val="100"/>
          <w:position w:val="0"/>
        </w:rPr>
        <w:t>万股，于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日在中国证券登记结算有限 责任公司深圳分公司办理完成了股份登记。</w:t>
      </w:r>
    </w:p>
    <w:p>
      <w:pPr>
        <w:pStyle w:val="Style33"/>
        <w:keepNext/>
        <w:keepLines/>
        <w:widowControl w:val="0"/>
        <w:shd w:val="clear" w:color="auto" w:fill="auto"/>
        <w:bidi w:val="0"/>
        <w:spacing w:before="0" w:after="280" w:line="336" w:lineRule="auto"/>
        <w:ind w:left="0" w:right="0" w:firstLine="0"/>
        <w:jc w:val="left"/>
      </w:pPr>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745"/>
      <w:bookmarkEnd w:id="1746"/>
      <w:bookmarkEnd w:id="1747"/>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布莱克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斯科尔斯期权定价模型</w:t>
            </w:r>
          </w:p>
        </w:tc>
      </w:tr>
      <w:tr>
        <w:trPr>
          <w:trHeight w:val="133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在等待期内每个资产负债表日，根据最新取得的可行权职 工人数变动等后续信息做出最佳估计，修正预计可行权的 权益工具数量。在可行权日，最终预计可行权权益工具的 数量与实际可行权工具的数量一致。</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3,979,100.00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3,979,100.00</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line="315" w:lineRule="exact"/>
        <w:ind w:left="0" w:right="0" w:firstLine="0"/>
        <w:jc w:val="left"/>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3</w:t>
      </w:r>
      <w:bookmarkEnd w:id="1750"/>
      <w:r>
        <w:rPr>
          <w:color w:val="000000"/>
          <w:spacing w:val="0"/>
          <w:w w:val="100"/>
          <w:position w:val="0"/>
        </w:rPr>
        <w:t>、</w:t>
        <w:tab/>
        <w:t>以现金结算的股份支付情况</w:t>
      </w:r>
      <w:bookmarkEnd w:id="1748"/>
      <w:bookmarkEnd w:id="1749"/>
      <w:bookmarkEnd w:id="1751"/>
    </w:p>
    <w:p>
      <w:pPr>
        <w:pStyle w:val="Style2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280" w:line="315" w:lineRule="exact"/>
        <w:ind w:left="0" w:right="0" w:firstLine="0"/>
        <w:jc w:val="left"/>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4</w:t>
      </w:r>
      <w:bookmarkEnd w:id="1754"/>
      <w:r>
        <w:rPr>
          <w:color w:val="000000"/>
          <w:spacing w:val="0"/>
          <w:w w:val="100"/>
          <w:position w:val="0"/>
        </w:rPr>
        <w:t>、</w:t>
        <w:tab/>
        <w:t>股份支付的修改、终止情况</w:t>
      </w:r>
      <w:bookmarkEnd w:id="1752"/>
      <w:bookmarkEnd w:id="1753"/>
      <w:bookmarkEnd w:id="1755"/>
    </w:p>
    <w:p>
      <w:pPr>
        <w:pStyle w:val="Style33"/>
        <w:keepNext/>
        <w:keepLines/>
        <w:widowControl w:val="0"/>
        <w:shd w:val="clear" w:color="auto" w:fill="auto"/>
        <w:tabs>
          <w:tab w:pos="378" w:val="left"/>
        </w:tabs>
        <w:bidi w:val="0"/>
        <w:spacing w:before="0" w:line="315" w:lineRule="exact"/>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5</w:t>
      </w:r>
      <w:bookmarkEnd w:id="1758"/>
      <w:r>
        <w:rPr>
          <w:color w:val="000000"/>
          <w:spacing w:val="0"/>
          <w:w w:val="100"/>
          <w:position w:val="0"/>
        </w:rPr>
        <w:t>、</w:t>
        <w:tab/>
        <w:t>其他</w:t>
      </w:r>
      <w:bookmarkEnd w:id="1756"/>
      <w:bookmarkEnd w:id="1757"/>
      <w:bookmarkEnd w:id="1759"/>
    </w:p>
    <w:p>
      <w:pPr>
        <w:pStyle w:val="Style27"/>
        <w:keepNext/>
        <w:keepLines/>
        <w:widowControl w:val="0"/>
        <w:shd w:val="clear" w:color="auto" w:fill="auto"/>
        <w:bidi w:val="0"/>
        <w:spacing w:before="0" w:after="280" w:line="240" w:lineRule="auto"/>
        <w:ind w:left="0" w:right="0" w:firstLine="0"/>
        <w:jc w:val="left"/>
      </w:pPr>
      <w:bookmarkStart w:id="1760" w:name="bookmark1760"/>
      <w:bookmarkStart w:id="1761" w:name="bookmark1761"/>
      <w:bookmarkStart w:id="1762" w:name="bookmark1762"/>
      <w:r>
        <w:rPr>
          <w:color w:val="000000"/>
          <w:spacing w:val="0"/>
          <w:w w:val="100"/>
          <w:position w:val="0"/>
          <w:sz w:val="24"/>
          <w:szCs w:val="24"/>
        </w:rPr>
        <w:t>十四、承诺及或有事项</w:t>
      </w:r>
      <w:bookmarkEnd w:id="1760"/>
      <w:bookmarkEnd w:id="1761"/>
      <w:bookmarkEnd w:id="1762"/>
    </w:p>
    <w:p>
      <w:pPr>
        <w:pStyle w:val="Style33"/>
        <w:keepNext/>
        <w:keepLines/>
        <w:widowControl w:val="0"/>
        <w:shd w:val="clear" w:color="auto" w:fill="auto"/>
        <w:bidi w:val="0"/>
        <w:spacing w:before="0" w:line="315" w:lineRule="exact"/>
        <w:ind w:left="0" w:right="0" w:firstLine="0"/>
        <w:jc w:val="left"/>
      </w:pPr>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763"/>
      <w:bookmarkEnd w:id="1764"/>
      <w:bookmarkEnd w:id="1765"/>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资产负债表日存在的重要承诺</w:t>
      </w:r>
    </w:p>
    <w:p>
      <w:pPr>
        <w:pStyle w:val="Style70"/>
        <w:keepNext w:val="0"/>
        <w:keepLines w:val="0"/>
        <w:widowControl w:val="0"/>
        <w:numPr>
          <w:ilvl w:val="0"/>
          <w:numId w:val="71"/>
        </w:numPr>
        <w:shd w:val="clear" w:color="auto" w:fill="auto"/>
        <w:tabs>
          <w:tab w:pos="779" w:val="left"/>
        </w:tabs>
        <w:bidi w:val="0"/>
        <w:spacing w:before="0" w:after="0" w:line="315" w:lineRule="exact"/>
        <w:ind w:left="0" w:right="0" w:firstLine="440"/>
        <w:jc w:val="left"/>
      </w:pPr>
      <w:bookmarkStart w:id="1766" w:name="bookmark1766"/>
      <w:bookmarkEnd w:id="1766"/>
      <w:r>
        <w:rPr>
          <w:color w:val="000000"/>
          <w:spacing w:val="0"/>
          <w:w w:val="100"/>
          <w:position w:val="0"/>
        </w:rPr>
        <w:t>已签订的尚未履行或尚未完全履行的对外投资合同及有关财务支出</w:t>
      </w:r>
    </w:p>
    <w:p>
      <w:pPr>
        <w:pStyle w:val="Style70"/>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根据本公司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日的第二届董事会第三十次会议，本公司与北京伟达聚才企业管理中心 （有限合伙）、北京伟达助云企业管理中心（有限合伙）共同投资设立了北京高伟达钽云科技有限公司。 其中，公司出资人民币</w:t>
      </w:r>
      <w:r>
        <w:rPr>
          <w:rFonts w:ascii="Times New Roman" w:eastAsia="Times New Roman" w:hAnsi="Times New Roman" w:cs="Times New Roman"/>
          <w:color w:val="000000"/>
          <w:spacing w:val="0"/>
          <w:w w:val="100"/>
          <w:position w:val="0"/>
        </w:rPr>
        <w:t>1,950.00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65.00%</w:t>
      </w:r>
      <w:r>
        <w:rPr>
          <w:color w:val="000000"/>
          <w:spacing w:val="0"/>
          <w:w w:val="100"/>
          <w:position w:val="0"/>
        </w:rPr>
        <w:t>；北京伟达聚才企业管理中心（有限合伙） 出资人民币</w:t>
      </w:r>
      <w:r>
        <w:rPr>
          <w:rFonts w:ascii="Times New Roman" w:eastAsia="Times New Roman" w:hAnsi="Times New Roman" w:cs="Times New Roman"/>
          <w:color w:val="000000"/>
          <w:spacing w:val="0"/>
          <w:w w:val="100"/>
          <w:position w:val="0"/>
        </w:rPr>
        <w:t>750.00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25.00%</w:t>
      </w:r>
      <w:r>
        <w:rPr>
          <w:color w:val="000000"/>
          <w:spacing w:val="0"/>
          <w:w w:val="100"/>
          <w:position w:val="0"/>
        </w:rPr>
        <w:t>；北京伟达助云企业管理中心（有限合伙）出资人民币</w:t>
      </w:r>
      <w:r>
        <w:rPr>
          <w:rFonts w:ascii="Times New Roman" w:eastAsia="Times New Roman" w:hAnsi="Times New Roman" w:cs="Times New Roman"/>
          <w:color w:val="000000"/>
          <w:spacing w:val="0"/>
          <w:w w:val="100"/>
          <w:position w:val="0"/>
        </w:rPr>
        <w:t xml:space="preserve">300.00 </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10.00%</w:t>
      </w:r>
      <w:r>
        <w:rPr>
          <w:color w:val="000000"/>
          <w:spacing w:val="0"/>
          <w:w w:val="100"/>
          <w:position w:val="0"/>
        </w:rPr>
        <w:t>。截止资产负债表日，各方尚未实际出资。</w:t>
      </w:r>
    </w:p>
    <w:p>
      <w:pPr>
        <w:pStyle w:val="Style70"/>
        <w:keepNext w:val="0"/>
        <w:keepLines w:val="0"/>
        <w:widowControl w:val="0"/>
        <w:numPr>
          <w:ilvl w:val="0"/>
          <w:numId w:val="71"/>
        </w:numPr>
        <w:shd w:val="clear" w:color="auto" w:fill="auto"/>
        <w:tabs>
          <w:tab w:pos="798" w:val="left"/>
        </w:tabs>
        <w:bidi w:val="0"/>
        <w:spacing w:before="0" w:after="0" w:line="315" w:lineRule="exact"/>
        <w:ind w:left="0" w:right="0" w:firstLine="440"/>
        <w:jc w:val="left"/>
      </w:pPr>
      <w:bookmarkStart w:id="1767" w:name="bookmark1767"/>
      <w:bookmarkEnd w:id="1767"/>
      <w:r>
        <w:rPr>
          <w:color w:val="000000"/>
          <w:spacing w:val="0"/>
          <w:w w:val="100"/>
          <w:position w:val="0"/>
        </w:rPr>
        <w:t>已签订的正在或准备履行的并购协议</w:t>
      </w:r>
    </w:p>
    <w:p>
      <w:pPr>
        <w:pStyle w:val="Style70"/>
        <w:keepNext w:val="0"/>
        <w:keepLines w:val="0"/>
        <w:widowControl w:val="0"/>
        <w:shd w:val="clear" w:color="auto" w:fill="auto"/>
        <w:bidi w:val="0"/>
        <w:spacing w:before="0" w:after="0" w:line="315" w:lineRule="exact"/>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收购海南坚果创娱信息技术有限公司</w:t>
      </w:r>
    </w:p>
    <w:p>
      <w:pPr>
        <w:pStyle w:val="Style70"/>
        <w:keepNext w:val="0"/>
        <w:keepLines w:val="0"/>
        <w:widowControl w:val="0"/>
        <w:shd w:val="clear" w:color="auto" w:fill="auto"/>
        <w:bidi w:val="0"/>
        <w:spacing w:before="0" w:after="0" w:line="315"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日，本公司</w:t>
      </w:r>
      <w:r>
        <w:rPr>
          <w:rFonts w:ascii="Times New Roman" w:eastAsia="Times New Roman" w:hAnsi="Times New Roman" w:cs="Times New Roman"/>
          <w:color w:val="000000"/>
          <w:spacing w:val="0"/>
          <w:w w:val="100"/>
          <w:position w:val="0"/>
        </w:rPr>
        <w:t>（“</w:t>
      </w:r>
      <w:r>
        <w:rPr>
          <w:color w:val="000000"/>
          <w:spacing w:val="0"/>
          <w:w w:val="100"/>
          <w:position w:val="0"/>
        </w:rPr>
        <w:t>收购方</w:t>
      </w:r>
      <w:r>
        <w:rPr>
          <w:rFonts w:ascii="Times New Roman" w:eastAsia="Times New Roman" w:hAnsi="Times New Roman" w:cs="Times New Roman"/>
          <w:color w:val="000000"/>
          <w:spacing w:val="0"/>
          <w:w w:val="100"/>
          <w:position w:val="0"/>
        </w:rPr>
        <w:t>”）</w:t>
      </w:r>
      <w:r>
        <w:rPr>
          <w:color w:val="000000"/>
          <w:spacing w:val="0"/>
          <w:w w:val="100"/>
          <w:position w:val="0"/>
        </w:rPr>
        <w:t>与海南欢乐坚果信息咨询中心（有限合伙）及刘晓曦</w:t>
      </w:r>
      <w:r>
        <w:rPr>
          <w:rFonts w:ascii="Times New Roman" w:eastAsia="Times New Roman" w:hAnsi="Times New Roman" w:cs="Times New Roman"/>
          <w:color w:val="000000"/>
          <w:spacing w:val="0"/>
          <w:w w:val="100"/>
          <w:position w:val="0"/>
        </w:rPr>
        <w:t>（</w:t>
      </w:r>
      <w:r>
        <w:rPr>
          <w:color w:val="000000"/>
          <w:spacing w:val="0"/>
          <w:w w:val="100"/>
          <w:position w:val="0"/>
        </w:rPr>
        <w:t>合称</w:t>
      </w:r>
      <w:r>
        <w:rPr>
          <w:rFonts w:ascii="Times New Roman" w:eastAsia="Times New Roman" w:hAnsi="Times New Roman" w:cs="Times New Roman"/>
          <w:color w:val="000000"/>
          <w:spacing w:val="0"/>
          <w:w w:val="100"/>
          <w:position w:val="0"/>
        </w:rPr>
        <w:t>“</w:t>
      </w:r>
      <w:r>
        <w:rPr>
          <w:color w:val="000000"/>
          <w:spacing w:val="0"/>
          <w:w w:val="100"/>
          <w:position w:val="0"/>
        </w:rPr>
        <w:t>原股东</w:t>
      </w:r>
      <w:r>
        <w:rPr>
          <w:rFonts w:ascii="Times New Roman" w:eastAsia="Times New Roman" w:hAnsi="Times New Roman" w:cs="Times New Roman"/>
          <w:color w:val="000000"/>
          <w:spacing w:val="0"/>
          <w:w w:val="100"/>
          <w:position w:val="0"/>
        </w:rPr>
        <w:t xml:space="preserve">''） </w:t>
      </w:r>
      <w:r>
        <w:rPr>
          <w:color w:val="000000"/>
          <w:spacing w:val="0"/>
          <w:w w:val="100"/>
          <w:position w:val="0"/>
        </w:rPr>
        <w:t>签订《关于海南坚果创娱信息技术有限公司的收购协议》，本公司以</w:t>
      </w:r>
      <w:r>
        <w:rPr>
          <w:rFonts w:ascii="Times New Roman" w:eastAsia="Times New Roman" w:hAnsi="Times New Roman" w:cs="Times New Roman"/>
          <w:color w:val="000000"/>
          <w:spacing w:val="0"/>
          <w:w w:val="100"/>
          <w:position w:val="0"/>
        </w:rPr>
        <w:t>25,020.00</w:t>
      </w:r>
      <w:r>
        <w:rPr>
          <w:color w:val="000000"/>
          <w:spacing w:val="0"/>
          <w:w w:val="100"/>
          <w:position w:val="0"/>
        </w:rPr>
        <w:t>万元受让原股东持有的海南 坚果创娱信息技术有限公司</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海南坚果</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100.00%</w:t>
      </w:r>
      <w:r>
        <w:rPr>
          <w:color w:val="000000"/>
          <w:spacing w:val="0"/>
          <w:w w:val="100"/>
          <w:position w:val="0"/>
        </w:rPr>
        <w:t>股权，股权转让价款分五期支付。</w:t>
      </w:r>
    </w:p>
    <w:p>
      <w:pPr>
        <w:pStyle w:val="Style70"/>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原股东承诺：</w:t>
      </w:r>
      <w:r>
        <w:rPr>
          <w:rFonts w:ascii="Times New Roman" w:eastAsia="Times New Roman" w:hAnsi="Times New Roman" w:cs="Times New Roman"/>
          <w:color w:val="000000"/>
          <w:spacing w:val="0"/>
          <w:w w:val="100"/>
          <w:position w:val="0"/>
        </w:rPr>
        <w:t>2016</w:t>
      </w:r>
      <w:r>
        <w:rPr>
          <w:color w:val="000000"/>
          <w:spacing w:val="0"/>
          <w:w w:val="100"/>
          <w:position w:val="0"/>
        </w:rPr>
        <w:t>年海南坚果全年经审计的净利润（本条项下的净利润均指扣除研发费用资本化影响 后归属于母公司股东的扣除非经常性损益的净利润）不低于</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w:t>
      </w:r>
      <w:r>
        <w:rPr>
          <w:color w:val="000000"/>
          <w:spacing w:val="0"/>
          <w:w w:val="100"/>
          <w:position w:val="0"/>
        </w:rPr>
        <w:t xml:space="preserve">万元，其中第四季度净利润不低于 </w:t>
      </w:r>
      <w:r>
        <w:rPr>
          <w:rFonts w:ascii="Times New Roman" w:eastAsia="Times New Roman" w:hAnsi="Times New Roman" w:cs="Times New Roman"/>
          <w:color w:val="000000"/>
          <w:spacing w:val="0"/>
          <w:w w:val="100"/>
          <w:position w:val="0"/>
        </w:rPr>
        <w:t>700.00</w:t>
      </w:r>
      <w:r>
        <w:rPr>
          <w:color w:val="000000"/>
          <w:spacing w:val="0"/>
          <w:w w:val="100"/>
          <w:position w:val="0"/>
        </w:rPr>
        <w:t>万元；</w:t>
      </w:r>
      <w:r>
        <w:rPr>
          <w:rFonts w:ascii="Times New Roman" w:eastAsia="Times New Roman" w:hAnsi="Times New Roman" w:cs="Times New Roman"/>
          <w:color w:val="000000"/>
          <w:spacing w:val="0"/>
          <w:w w:val="100"/>
          <w:position w:val="0"/>
        </w:rPr>
        <w:t>2017</w:t>
      </w:r>
      <w:r>
        <w:rPr>
          <w:color w:val="000000"/>
          <w:spacing w:val="0"/>
          <w:w w:val="100"/>
          <w:position w:val="0"/>
        </w:rPr>
        <w:t>年海南坚果全年经审计的净利润不低于</w:t>
      </w:r>
      <w:r>
        <w:rPr>
          <w:rFonts w:ascii="Times New Roman" w:eastAsia="Times New Roman" w:hAnsi="Times New Roman" w:cs="Times New Roman"/>
          <w:color w:val="000000"/>
          <w:spacing w:val="0"/>
          <w:w w:val="100"/>
          <w:position w:val="0"/>
        </w:rPr>
        <w:t>1,800.00</w:t>
      </w:r>
      <w:r>
        <w:rPr>
          <w:color w:val="000000"/>
          <w:spacing w:val="0"/>
          <w:w w:val="100"/>
          <w:position w:val="0"/>
        </w:rPr>
        <w:t>万元；</w:t>
      </w:r>
      <w:r>
        <w:rPr>
          <w:rFonts w:ascii="Times New Roman" w:eastAsia="Times New Roman" w:hAnsi="Times New Roman" w:cs="Times New Roman"/>
          <w:color w:val="000000"/>
          <w:spacing w:val="0"/>
          <w:w w:val="100"/>
          <w:position w:val="0"/>
        </w:rPr>
        <w:t>2018</w:t>
      </w:r>
      <w:r>
        <w:rPr>
          <w:color w:val="000000"/>
          <w:spacing w:val="0"/>
          <w:w w:val="100"/>
          <w:position w:val="0"/>
        </w:rPr>
        <w:t>年海南坚果全年经审计的净利 润不低于</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,340.00</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年海南坚果全年经审计的净利润不低于</w:t>
      </w:r>
      <w:r>
        <w:rPr>
          <w:rFonts w:ascii="Times New Roman" w:eastAsia="Times New Roman" w:hAnsi="Times New Roman" w:cs="Times New Roman"/>
          <w:color w:val="000000"/>
          <w:spacing w:val="0"/>
          <w:w w:val="100"/>
          <w:position w:val="0"/>
        </w:rPr>
        <w:t>3,042.00</w:t>
      </w:r>
      <w:r>
        <w:rPr>
          <w:color w:val="000000"/>
          <w:spacing w:val="0"/>
          <w:w w:val="100"/>
          <w:position w:val="0"/>
        </w:rPr>
        <w:t>万元。</w:t>
      </w:r>
    </w:p>
    <w:p>
      <w:pPr>
        <w:pStyle w:val="Style70"/>
        <w:keepNext w:val="0"/>
        <w:keepLines w:val="0"/>
        <w:widowControl w:val="0"/>
        <w:shd w:val="clear" w:color="auto" w:fill="auto"/>
        <w:bidi w:val="0"/>
        <w:spacing w:before="0" w:after="0" w:line="315" w:lineRule="exact"/>
        <w:ind w:left="0" w:right="0" w:firstLine="440"/>
        <w:jc w:val="left"/>
      </w:pPr>
      <w:r>
        <w:rPr>
          <w:color w:val="000000"/>
          <w:spacing w:val="0"/>
          <w:w w:val="100"/>
          <w:position w:val="0"/>
        </w:rPr>
        <w:t>上述各年承诺业绩单称</w:t>
      </w:r>
      <w:r>
        <w:rPr>
          <w:rFonts w:ascii="Times New Roman" w:eastAsia="Times New Roman" w:hAnsi="Times New Roman" w:cs="Times New Roman"/>
          <w:color w:val="000000"/>
          <w:spacing w:val="0"/>
          <w:w w:val="100"/>
          <w:position w:val="0"/>
        </w:rPr>
        <w:t>“</w:t>
      </w:r>
      <w:r>
        <w:rPr>
          <w:color w:val="000000"/>
          <w:spacing w:val="0"/>
          <w:w w:val="100"/>
          <w:position w:val="0"/>
        </w:rPr>
        <w:t>当期承诺业绩</w:t>
      </w:r>
      <w:r>
        <w:rPr>
          <w:rFonts w:ascii="Times New Roman" w:eastAsia="Times New Roman" w:hAnsi="Times New Roman" w:cs="Times New Roman"/>
          <w:color w:val="000000"/>
          <w:spacing w:val="0"/>
          <w:w w:val="100"/>
          <w:position w:val="0"/>
        </w:rPr>
        <w:t>”</w:t>
      </w:r>
      <w:r>
        <w:rPr>
          <w:color w:val="000000"/>
          <w:spacing w:val="0"/>
          <w:w w:val="100"/>
          <w:position w:val="0"/>
        </w:rPr>
        <w:t>，合称</w:t>
      </w:r>
      <w:r>
        <w:rPr>
          <w:rFonts w:ascii="Times New Roman" w:eastAsia="Times New Roman" w:hAnsi="Times New Roman" w:cs="Times New Roman"/>
          <w:color w:val="000000"/>
          <w:spacing w:val="0"/>
          <w:w w:val="100"/>
          <w:position w:val="0"/>
        </w:rPr>
        <w:t>“</w:t>
      </w:r>
      <w:r>
        <w:rPr>
          <w:color w:val="000000"/>
          <w:spacing w:val="0"/>
          <w:w w:val="100"/>
          <w:position w:val="0"/>
        </w:rPr>
        <w:t>总承诺业绩</w:t>
      </w:r>
      <w:r>
        <w:rPr>
          <w:rFonts w:ascii="Times New Roman" w:eastAsia="Times New Roman" w:hAnsi="Times New Roman" w:cs="Times New Roman"/>
          <w:color w:val="000000"/>
          <w:spacing w:val="0"/>
          <w:w w:val="100"/>
          <w:position w:val="0"/>
        </w:rPr>
        <w:t>”</w:t>
      </w:r>
      <w:r>
        <w:rPr>
          <w:color w:val="000000"/>
          <w:spacing w:val="0"/>
          <w:w w:val="100"/>
          <w:position w:val="0"/>
        </w:rPr>
        <w:t>，各年实际完成的业绩（</w:t>
      </w:r>
      <w:r>
        <w:rPr>
          <w:rFonts w:ascii="Times New Roman" w:eastAsia="Times New Roman" w:hAnsi="Times New Roman" w:cs="Times New Roman"/>
          <w:color w:val="000000"/>
          <w:spacing w:val="0"/>
          <w:w w:val="100"/>
          <w:position w:val="0"/>
        </w:rPr>
        <w:t>“</w:t>
      </w:r>
      <w:r>
        <w:rPr>
          <w:color w:val="000000"/>
          <w:spacing w:val="0"/>
          <w:w w:val="100"/>
          <w:position w:val="0"/>
        </w:rPr>
        <w:t>当期实际业绩</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应当由经收购方委派的具备证券从业资格的会计师事务所进行专项审计并出具审计报告，以审计报告数据 为准。</w:t>
      </w:r>
    </w:p>
    <w:p>
      <w:pPr>
        <w:pStyle w:val="Style70"/>
        <w:keepNext w:val="0"/>
        <w:keepLines w:val="0"/>
        <w:widowControl w:val="0"/>
        <w:shd w:val="clear" w:color="auto" w:fill="auto"/>
        <w:bidi w:val="0"/>
        <w:spacing w:before="0" w:after="0" w:line="324" w:lineRule="exact"/>
        <w:ind w:left="0" w:right="0" w:firstLine="440"/>
        <w:jc w:val="left"/>
      </w:pPr>
      <w:r>
        <w:rPr>
          <w:color w:val="000000"/>
          <w:spacing w:val="0"/>
          <w:w w:val="100"/>
          <w:position w:val="0"/>
        </w:rPr>
        <w:t>若海南坚果未能实现上述任一当期承诺业绩，则收购方实际支付股权转让价款将按照协议第</w:t>
      </w:r>
      <w:r>
        <w:rPr>
          <w:rFonts w:ascii="Times New Roman" w:eastAsia="Times New Roman" w:hAnsi="Times New Roman" w:cs="Times New Roman"/>
          <w:color w:val="000000"/>
          <w:spacing w:val="0"/>
          <w:w w:val="100"/>
          <w:position w:val="0"/>
        </w:rPr>
        <w:t>4</w:t>
      </w:r>
      <w:r>
        <w:rPr>
          <w:color w:val="000000"/>
          <w:spacing w:val="0"/>
          <w:w w:val="100"/>
          <w:position w:val="0"/>
        </w:rPr>
        <w:t>条相关 规定做出调整。</w:t>
      </w:r>
    </w:p>
    <w:p>
      <w:pPr>
        <w:pStyle w:val="Style70"/>
        <w:keepNext w:val="0"/>
        <w:keepLines w:val="0"/>
        <w:widowControl w:val="0"/>
        <w:shd w:val="clear" w:color="auto" w:fill="auto"/>
        <w:bidi w:val="0"/>
        <w:spacing w:before="0" w:after="0" w:line="324" w:lineRule="exact"/>
        <w:ind w:left="0" w:right="0" w:firstLine="440"/>
        <w:jc w:val="left"/>
      </w:pPr>
      <w:r>
        <w:rPr>
          <w:color w:val="000000"/>
          <w:spacing w:val="0"/>
          <w:w w:val="100"/>
          <w:position w:val="0"/>
        </w:rPr>
        <w:t>如果当期实际业绩高于承诺业绩，则超出承诺业绩的净利润部分为</w:t>
      </w:r>
      <w:r>
        <w:rPr>
          <w:rFonts w:ascii="Times New Roman" w:eastAsia="Times New Roman" w:hAnsi="Times New Roman" w:cs="Times New Roman"/>
          <w:color w:val="000000"/>
          <w:spacing w:val="0"/>
          <w:w w:val="100"/>
          <w:position w:val="0"/>
        </w:rPr>
        <w:t>“</w:t>
      </w:r>
      <w:r>
        <w:rPr>
          <w:color w:val="000000"/>
          <w:spacing w:val="0"/>
          <w:w w:val="100"/>
          <w:position w:val="0"/>
        </w:rPr>
        <w:t>超额业绩。收购方将为超额业绩 支付浮动对价：</w:t>
      </w:r>
    </w:p>
    <w:p>
      <w:pPr>
        <w:pStyle w:val="Style70"/>
        <w:keepNext w:val="0"/>
        <w:keepLines w:val="0"/>
        <w:widowControl w:val="0"/>
        <w:shd w:val="clear" w:color="auto" w:fill="auto"/>
        <w:tabs>
          <w:tab w:pos="781" w:val="left"/>
        </w:tabs>
        <w:bidi w:val="0"/>
        <w:spacing w:before="0" w:after="0" w:line="319" w:lineRule="exact"/>
        <w:ind w:left="0" w:right="0" w:firstLine="440"/>
        <w:jc w:val="left"/>
      </w:pPr>
      <w:bookmarkStart w:id="1768" w:name="bookmark1768"/>
      <w:r>
        <w:rPr>
          <w:rFonts w:ascii="Times New Roman" w:eastAsia="Times New Roman" w:hAnsi="Times New Roman" w:cs="Times New Roman"/>
          <w:color w:val="000000"/>
          <w:spacing w:val="0"/>
          <w:w w:val="100"/>
          <w:position w:val="0"/>
        </w:rPr>
        <w:t>1</w:t>
      </w:r>
      <w:bookmarkEnd w:id="1768"/>
      <w:r>
        <w:rPr>
          <w:rFonts w:ascii="Times New Roman" w:eastAsia="Times New Roman" w:hAnsi="Times New Roman" w:cs="Times New Roman"/>
          <w:color w:val="000000"/>
          <w:spacing w:val="0"/>
          <w:w w:val="100"/>
          <w:position w:val="0"/>
        </w:rPr>
        <w:t>）</w:t>
        <w:tab/>
      </w:r>
      <w:r>
        <w:rPr>
          <w:color w:val="000000"/>
          <w:spacing w:val="0"/>
          <w:w w:val="100"/>
          <w:position w:val="0"/>
        </w:rPr>
        <w:t>海南坚果在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2018</w:t>
      </w:r>
      <w:r>
        <w:rPr>
          <w:color w:val="000000"/>
          <w:spacing w:val="0"/>
          <w:w w:val="100"/>
          <w:position w:val="0"/>
        </w:rPr>
        <w:t>年和</w:t>
      </w:r>
      <w:r>
        <w:rPr>
          <w:rFonts w:ascii="Times New Roman" w:eastAsia="Times New Roman" w:hAnsi="Times New Roman" w:cs="Times New Roman"/>
          <w:color w:val="000000"/>
          <w:spacing w:val="0"/>
          <w:w w:val="100"/>
          <w:position w:val="0"/>
        </w:rPr>
        <w:t>2019</w:t>
      </w:r>
      <w:r>
        <w:rPr>
          <w:color w:val="000000"/>
          <w:spacing w:val="0"/>
          <w:w w:val="100"/>
          <w:position w:val="0"/>
        </w:rPr>
        <w:t>年（合称</w:t>
      </w:r>
      <w:r>
        <w:rPr>
          <w:rFonts w:ascii="Times New Roman" w:eastAsia="Times New Roman" w:hAnsi="Times New Roman" w:cs="Times New Roman"/>
          <w:color w:val="000000"/>
          <w:spacing w:val="0"/>
          <w:w w:val="100"/>
          <w:position w:val="0"/>
        </w:rPr>
        <w:t>“</w:t>
      </w:r>
      <w:r>
        <w:rPr>
          <w:color w:val="000000"/>
          <w:spacing w:val="0"/>
          <w:w w:val="100"/>
          <w:position w:val="0"/>
        </w:rPr>
        <w:t>业绩承诺期</w:t>
      </w:r>
      <w:r>
        <w:rPr>
          <w:rFonts w:ascii="Times New Roman" w:eastAsia="Times New Roman" w:hAnsi="Times New Roman" w:cs="Times New Roman"/>
          <w:color w:val="000000"/>
          <w:spacing w:val="0"/>
          <w:w w:val="100"/>
          <w:position w:val="0"/>
        </w:rPr>
        <w:t>”</w:t>
      </w:r>
      <w:r>
        <w:rPr>
          <w:color w:val="000000"/>
          <w:spacing w:val="0"/>
          <w:w w:val="100"/>
          <w:position w:val="0"/>
        </w:rPr>
        <w:t>总计实现</w:t>
      </w:r>
      <w:r>
        <w:rPr>
          <w:rFonts w:ascii="Times New Roman" w:eastAsia="Times New Roman" w:hAnsi="Times New Roman" w:cs="Times New Roman"/>
          <w:color w:val="000000"/>
          <w:spacing w:val="0"/>
          <w:w w:val="100"/>
          <w:position w:val="0"/>
        </w:rPr>
        <w:t>1,600.00</w:t>
      </w:r>
      <w:r>
        <w:rPr>
          <w:color w:val="000000"/>
          <w:spacing w:val="0"/>
          <w:w w:val="100"/>
          <w:position w:val="0"/>
        </w:rPr>
        <w:t>万元或以上的超 额业绩，该部分超额业绩对应的浮动对价</w:t>
      </w:r>
      <w:r>
        <w:rPr>
          <w:rFonts w:ascii="Times New Roman" w:eastAsia="Times New Roman" w:hAnsi="Times New Roman" w:cs="Times New Roman"/>
          <w:color w:val="000000"/>
          <w:spacing w:val="0"/>
          <w:w w:val="100"/>
          <w:position w:val="0"/>
        </w:rPr>
        <w:t>=</w:t>
      </w:r>
      <w:r>
        <w:rPr>
          <w:color w:val="000000"/>
          <w:spacing w:val="0"/>
          <w:w w:val="100"/>
          <w:position w:val="0"/>
        </w:rPr>
        <w:t>超额业绩</w:t>
      </w:r>
      <w:r>
        <w:rPr>
          <w:rFonts w:ascii="Times New Roman" w:eastAsia="Times New Roman" w:hAnsi="Times New Roman" w:cs="Times New Roman"/>
          <w:color w:val="000000"/>
          <w:spacing w:val="0"/>
          <w:w w:val="100"/>
          <w:position w:val="0"/>
        </w:rPr>
        <w:t>*3.17</w:t>
      </w:r>
      <w:r>
        <w:rPr>
          <w:color w:val="000000"/>
          <w:spacing w:val="0"/>
          <w:w w:val="100"/>
          <w:position w:val="0"/>
        </w:rPr>
        <w:t>；</w:t>
      </w:r>
    </w:p>
    <w:p>
      <w:pPr>
        <w:pStyle w:val="Style70"/>
        <w:keepNext w:val="0"/>
        <w:keepLines w:val="0"/>
        <w:widowControl w:val="0"/>
        <w:shd w:val="clear" w:color="auto" w:fill="auto"/>
        <w:tabs>
          <w:tab w:pos="781" w:val="left"/>
        </w:tabs>
        <w:bidi w:val="0"/>
        <w:spacing w:before="0" w:after="0" w:line="319" w:lineRule="exact"/>
        <w:ind w:left="0" w:right="0" w:firstLine="440"/>
        <w:jc w:val="left"/>
      </w:pPr>
      <w:bookmarkStart w:id="1769" w:name="bookmark1769"/>
      <w:r>
        <w:rPr>
          <w:rFonts w:ascii="Times New Roman" w:eastAsia="Times New Roman" w:hAnsi="Times New Roman" w:cs="Times New Roman"/>
          <w:color w:val="000000"/>
          <w:spacing w:val="0"/>
          <w:w w:val="100"/>
          <w:position w:val="0"/>
        </w:rPr>
        <w:t>2</w:t>
      </w:r>
      <w:bookmarkEnd w:id="1769"/>
      <w:r>
        <w:rPr>
          <w:rFonts w:ascii="Times New Roman" w:eastAsia="Times New Roman" w:hAnsi="Times New Roman" w:cs="Times New Roman"/>
          <w:color w:val="000000"/>
          <w:spacing w:val="0"/>
          <w:w w:val="100"/>
          <w:position w:val="0"/>
        </w:rPr>
        <w:t>）</w:t>
        <w:tab/>
      </w:r>
      <w:r>
        <w:rPr>
          <w:color w:val="000000"/>
          <w:spacing w:val="0"/>
          <w:w w:val="100"/>
          <w:position w:val="0"/>
        </w:rPr>
        <w:t>业绩承诺期内任何一个年度如有超额业绩，则收购方应支付按上述第（</w:t>
      </w:r>
      <w:r>
        <w:rPr>
          <w:rFonts w:ascii="Times New Roman" w:eastAsia="Times New Roman" w:hAnsi="Times New Roman" w:cs="Times New Roman"/>
          <w:color w:val="000000"/>
          <w:spacing w:val="0"/>
          <w:w w:val="100"/>
          <w:position w:val="0"/>
        </w:rPr>
        <w:t>1</w:t>
      </w:r>
      <w:r>
        <w:rPr>
          <w:color w:val="000000"/>
          <w:spacing w:val="0"/>
          <w:w w:val="100"/>
          <w:position w:val="0"/>
        </w:rPr>
        <w:t>）所述公式计算的当期浮动 对价；当期浮动对价的支付在当期审计报告出具后，与当期转让价款同时支付；</w:t>
      </w:r>
    </w:p>
    <w:p>
      <w:pPr>
        <w:pStyle w:val="Style70"/>
        <w:keepNext w:val="0"/>
        <w:keepLines w:val="0"/>
        <w:widowControl w:val="0"/>
        <w:shd w:val="clear" w:color="auto" w:fill="auto"/>
        <w:tabs>
          <w:tab w:pos="781" w:val="left"/>
        </w:tabs>
        <w:bidi w:val="0"/>
        <w:spacing w:before="0" w:after="0" w:line="317" w:lineRule="exact"/>
        <w:ind w:left="0" w:right="0" w:firstLine="440"/>
        <w:jc w:val="left"/>
      </w:pPr>
      <w:bookmarkStart w:id="1770" w:name="bookmark1770"/>
      <w:r>
        <w:rPr>
          <w:rFonts w:ascii="Times New Roman" w:eastAsia="Times New Roman" w:hAnsi="Times New Roman" w:cs="Times New Roman"/>
          <w:color w:val="000000"/>
          <w:spacing w:val="0"/>
          <w:w w:val="100"/>
          <w:position w:val="0"/>
        </w:rPr>
        <w:t>3</w:t>
      </w:r>
      <w:bookmarkEnd w:id="1770"/>
      <w:r>
        <w:rPr>
          <w:rFonts w:ascii="Times New Roman" w:eastAsia="Times New Roman" w:hAnsi="Times New Roman" w:cs="Times New Roman"/>
          <w:color w:val="000000"/>
          <w:spacing w:val="0"/>
          <w:w w:val="100"/>
          <w:position w:val="0"/>
        </w:rPr>
        <w:t>）</w:t>
        <w:tab/>
      </w:r>
      <w:r>
        <w:rPr>
          <w:color w:val="000000"/>
          <w:spacing w:val="0"/>
          <w:w w:val="100"/>
          <w:position w:val="0"/>
        </w:rPr>
        <w:t>为避免歧义，当任意一期发生该协议中规定暂停支付股权转让款情形的，自该期起后续各期的超额 业绩浮动对价不再根据前述第</w:t>
      </w:r>
      <w:r>
        <w:rPr>
          <w:rFonts w:ascii="Times New Roman" w:eastAsia="Times New Roman" w:hAnsi="Times New Roman" w:cs="Times New Roman"/>
          <w:color w:val="000000"/>
          <w:spacing w:val="0"/>
          <w:w w:val="100"/>
          <w:position w:val="0"/>
        </w:rPr>
        <w:t>2）</w:t>
      </w:r>
      <w:r>
        <w:rPr>
          <w:color w:val="000000"/>
          <w:spacing w:val="0"/>
          <w:w w:val="100"/>
          <w:position w:val="0"/>
        </w:rPr>
        <w:t>项结算，而应于全部业绩承诺期届满后，根据前述第</w:t>
      </w:r>
      <w:r>
        <w:rPr>
          <w:rFonts w:ascii="Times New Roman" w:eastAsia="Times New Roman" w:hAnsi="Times New Roman" w:cs="Times New Roman"/>
          <w:color w:val="000000"/>
          <w:spacing w:val="0"/>
          <w:w w:val="100"/>
          <w:position w:val="0"/>
        </w:rPr>
        <w:t>1）</w:t>
      </w:r>
      <w:r>
        <w:rPr>
          <w:color w:val="000000"/>
          <w:spacing w:val="0"/>
          <w:w w:val="100"/>
          <w:position w:val="0"/>
        </w:rPr>
        <w:t>项所列公式于收购 方收到全部业绩承诺期的审计报告后合并累积计算超额业绩并进行结算。</w:t>
      </w:r>
    </w:p>
    <w:p>
      <w:pPr>
        <w:pStyle w:val="Style70"/>
        <w:keepNext w:val="0"/>
        <w:keepLines w:val="0"/>
        <w:widowControl w:val="0"/>
        <w:shd w:val="clear" w:color="auto" w:fill="auto"/>
        <w:tabs>
          <w:tab w:pos="781" w:val="left"/>
        </w:tabs>
        <w:bidi w:val="0"/>
        <w:spacing w:before="0" w:after="280" w:line="317" w:lineRule="exact"/>
        <w:ind w:left="0" w:right="0" w:firstLine="440"/>
        <w:jc w:val="left"/>
      </w:pPr>
      <w:bookmarkStart w:id="1771" w:name="bookmark1771"/>
      <w:r>
        <w:rPr>
          <w:rFonts w:ascii="Times New Roman" w:eastAsia="Times New Roman" w:hAnsi="Times New Roman" w:cs="Times New Roman"/>
          <w:color w:val="000000"/>
          <w:spacing w:val="0"/>
          <w:w w:val="100"/>
          <w:position w:val="0"/>
        </w:rPr>
        <w:t>4</w:t>
      </w:r>
      <w:bookmarkEnd w:id="1771"/>
      <w:r>
        <w:rPr>
          <w:rFonts w:ascii="Times New Roman" w:eastAsia="Times New Roman" w:hAnsi="Times New Roman" w:cs="Times New Roman"/>
          <w:color w:val="000000"/>
          <w:spacing w:val="0"/>
          <w:w w:val="100"/>
          <w:position w:val="0"/>
        </w:rPr>
        <w:t>）</w:t>
        <w:tab/>
      </w:r>
      <w:r>
        <w:rPr>
          <w:color w:val="000000"/>
          <w:spacing w:val="0"/>
          <w:w w:val="100"/>
          <w:position w:val="0"/>
        </w:rPr>
        <w:t>尽管有上述约定，但在任何情况下，业绩承诺期中任意单期超额业绩超过</w:t>
      </w:r>
      <w:r>
        <w:rPr>
          <w:rFonts w:ascii="Times New Roman" w:eastAsia="Times New Roman" w:hAnsi="Times New Roman" w:cs="Times New Roman"/>
          <w:color w:val="000000"/>
          <w:spacing w:val="0"/>
          <w:w w:val="100"/>
          <w:position w:val="0"/>
        </w:rPr>
        <w:t>700.00</w:t>
      </w:r>
      <w:r>
        <w:rPr>
          <w:color w:val="000000"/>
          <w:spacing w:val="0"/>
          <w:w w:val="100"/>
          <w:position w:val="0"/>
        </w:rPr>
        <w:t>万元的部分不再支 付浮动对价，以及，全部业绩承诺期内超额业绩累计超过</w:t>
      </w:r>
      <w:r>
        <w:rPr>
          <w:rFonts w:ascii="Times New Roman" w:eastAsia="Times New Roman" w:hAnsi="Times New Roman" w:cs="Times New Roman"/>
          <w:color w:val="000000"/>
          <w:spacing w:val="0"/>
          <w:w w:val="100"/>
          <w:position w:val="0"/>
        </w:rPr>
        <w:t>1,600.00</w:t>
      </w:r>
      <w:r>
        <w:rPr>
          <w:color w:val="000000"/>
          <w:spacing w:val="0"/>
          <w:w w:val="100"/>
          <w:position w:val="0"/>
        </w:rPr>
        <w:t>万元的部分不再支付浮动对价。</w:t>
      </w:r>
    </w:p>
    <w:p>
      <w:pPr>
        <w:pStyle w:val="Style70"/>
        <w:keepNext w:val="0"/>
        <w:keepLines w:val="0"/>
        <w:widowControl w:val="0"/>
        <w:shd w:val="clear" w:color="auto" w:fill="auto"/>
        <w:tabs>
          <w:tab w:pos="806" w:val="left"/>
        </w:tabs>
        <w:bidi w:val="0"/>
        <w:spacing w:before="0" w:after="0" w:line="312" w:lineRule="exact"/>
        <w:ind w:left="0" w:right="0" w:firstLine="440"/>
        <w:jc w:val="left"/>
      </w:pPr>
      <w:bookmarkStart w:id="1772" w:name="bookmark1772"/>
      <w:r>
        <w:rPr>
          <w:rFonts w:ascii="Times New Roman" w:eastAsia="Times New Roman" w:hAnsi="Times New Roman" w:cs="Times New Roman"/>
          <w:color w:val="000000"/>
          <w:spacing w:val="0"/>
          <w:w w:val="100"/>
          <w:position w:val="0"/>
        </w:rPr>
        <w:t>（</w:t>
      </w:r>
      <w:bookmarkEnd w:id="1772"/>
      <w:r>
        <w:rPr>
          <w:rFonts w:ascii="Times New Roman" w:eastAsia="Times New Roman" w:hAnsi="Times New Roman" w:cs="Times New Roman"/>
          <w:color w:val="000000"/>
          <w:spacing w:val="0"/>
          <w:w w:val="100"/>
          <w:position w:val="0"/>
        </w:rPr>
        <w:t>2）</w:t>
        <w:tab/>
      </w:r>
      <w:r>
        <w:rPr>
          <w:color w:val="000000"/>
          <w:spacing w:val="0"/>
          <w:w w:val="100"/>
          <w:position w:val="0"/>
        </w:rPr>
        <w:t>收购喀什尚河信息科技有限公司</w:t>
      </w:r>
    </w:p>
    <w:p>
      <w:pPr>
        <w:pStyle w:val="Style70"/>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日，本公司与樟树市尚合投资管理中心（有限合伙）</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樟树尚合</w:t>
      </w:r>
      <w:r>
        <w:rPr>
          <w:rFonts w:ascii="Times New Roman" w:eastAsia="Times New Roman" w:hAnsi="Times New Roman" w:cs="Times New Roman"/>
          <w:color w:val="000000"/>
          <w:spacing w:val="0"/>
          <w:w w:val="100"/>
          <w:position w:val="0"/>
        </w:rPr>
        <w:t>''）</w:t>
      </w:r>
      <w:r>
        <w:rPr>
          <w:color w:val="000000"/>
          <w:spacing w:val="0"/>
          <w:w w:val="100"/>
          <w:position w:val="0"/>
        </w:rPr>
        <w:t>、黄河、李楠及 喀什尚河信息科技有限公司</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喀什尚河</w:t>
      </w:r>
      <w:r>
        <w:rPr>
          <w:rFonts w:ascii="Times New Roman" w:eastAsia="Times New Roman" w:hAnsi="Times New Roman" w:cs="Times New Roman"/>
          <w:color w:val="000000"/>
          <w:spacing w:val="0"/>
          <w:w w:val="100"/>
          <w:position w:val="0"/>
        </w:rPr>
        <w:t>''）</w:t>
      </w:r>
      <w:r>
        <w:rPr>
          <w:color w:val="000000"/>
          <w:spacing w:val="0"/>
          <w:w w:val="100"/>
          <w:position w:val="0"/>
        </w:rPr>
        <w:t>签订《股权收购协议》，本公司以</w:t>
      </w:r>
      <w:r>
        <w:rPr>
          <w:rFonts w:ascii="Times New Roman" w:eastAsia="Times New Roman" w:hAnsi="Times New Roman" w:cs="Times New Roman"/>
          <w:color w:val="000000"/>
          <w:spacing w:val="0"/>
          <w:w w:val="100"/>
          <w:position w:val="0"/>
        </w:rPr>
        <w:t>12,006.00</w:t>
      </w:r>
      <w:r>
        <w:rPr>
          <w:color w:val="000000"/>
          <w:spacing w:val="0"/>
          <w:w w:val="100"/>
          <w:position w:val="0"/>
        </w:rPr>
        <w:t>万元受让樟树尚 合持有的喀什尚河</w:t>
      </w:r>
      <w:r>
        <w:rPr>
          <w:rFonts w:ascii="Times New Roman" w:eastAsia="Times New Roman" w:hAnsi="Times New Roman" w:cs="Times New Roman"/>
          <w:color w:val="000000"/>
          <w:spacing w:val="0"/>
          <w:w w:val="100"/>
          <w:position w:val="0"/>
        </w:rPr>
        <w:t>100.00%</w:t>
      </w:r>
      <w:r>
        <w:rPr>
          <w:color w:val="000000"/>
          <w:spacing w:val="0"/>
          <w:w w:val="100"/>
          <w:position w:val="0"/>
        </w:rPr>
        <w:t>股权，股权转让价款分四期支付。</w:t>
      </w:r>
    </w:p>
    <w:p>
      <w:pPr>
        <w:pStyle w:val="Style70"/>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樟树尚合实际控制人黄河承诺：</w:t>
      </w:r>
      <w:r>
        <w:rPr>
          <w:rFonts w:ascii="Times New Roman" w:eastAsia="Times New Roman" w:hAnsi="Times New Roman" w:cs="Times New Roman"/>
          <w:color w:val="000000"/>
          <w:spacing w:val="0"/>
          <w:w w:val="100"/>
          <w:position w:val="0"/>
        </w:rPr>
        <w:t>2016</w:t>
      </w:r>
      <w:r>
        <w:rPr>
          <w:color w:val="000000"/>
          <w:spacing w:val="0"/>
          <w:w w:val="100"/>
          <w:position w:val="0"/>
        </w:rPr>
        <w:t>年度喀什尚河税后净利润不低于人民币</w:t>
      </w:r>
      <w:r>
        <w:rPr>
          <w:rFonts w:ascii="Times New Roman" w:eastAsia="Times New Roman" w:hAnsi="Times New Roman" w:cs="Times New Roman"/>
          <w:color w:val="000000"/>
          <w:spacing w:val="0"/>
          <w:w w:val="100"/>
          <w:position w:val="0"/>
        </w:rPr>
        <w:t>870.00</w:t>
      </w:r>
      <w:r>
        <w:rPr>
          <w:color w:val="000000"/>
          <w:spacing w:val="0"/>
          <w:w w:val="100"/>
          <w:position w:val="0"/>
        </w:rPr>
        <w:t>万元，自协议约定 的相关工商变更登记或备案手续办理完成后，为收购方贡献的净利润不低于人民币</w:t>
      </w:r>
      <w:r>
        <w:rPr>
          <w:rFonts w:ascii="Times New Roman" w:eastAsia="Times New Roman" w:hAnsi="Times New Roman" w:cs="Times New Roman"/>
          <w:color w:val="000000"/>
          <w:spacing w:val="0"/>
          <w:w w:val="100"/>
          <w:position w:val="0"/>
        </w:rPr>
        <w:t>400.00</w:t>
      </w:r>
      <w:r>
        <w:rPr>
          <w:color w:val="000000"/>
          <w:spacing w:val="0"/>
          <w:w w:val="100"/>
          <w:position w:val="0"/>
        </w:rPr>
        <w:t>万元；</w:t>
      </w:r>
      <w:r>
        <w:rPr>
          <w:rFonts w:ascii="Times New Roman" w:eastAsia="Times New Roman" w:hAnsi="Times New Roman" w:cs="Times New Roman"/>
          <w:color w:val="000000"/>
          <w:spacing w:val="0"/>
          <w:w w:val="100"/>
          <w:position w:val="0"/>
        </w:rPr>
        <w:t>2017</w:t>
      </w:r>
      <w:r>
        <w:rPr>
          <w:color w:val="000000"/>
          <w:spacing w:val="0"/>
          <w:w w:val="100"/>
          <w:position w:val="0"/>
        </w:rPr>
        <w:t>年度 将实现税后净利润</w:t>
      </w:r>
      <w:r>
        <w:rPr>
          <w:rFonts w:ascii="Times New Roman" w:eastAsia="Times New Roman" w:hAnsi="Times New Roman" w:cs="Times New Roman"/>
          <w:color w:val="000000"/>
          <w:spacing w:val="0"/>
          <w:w w:val="100"/>
          <w:position w:val="0"/>
        </w:rPr>
        <w:t>1,131.00</w:t>
      </w:r>
      <w:r>
        <w:rPr>
          <w:color w:val="000000"/>
          <w:spacing w:val="0"/>
          <w:w w:val="100"/>
          <w:position w:val="0"/>
        </w:rPr>
        <w:t>万元；</w:t>
      </w:r>
      <w:r>
        <w:rPr>
          <w:rFonts w:ascii="Times New Roman" w:eastAsia="Times New Roman" w:hAnsi="Times New Roman" w:cs="Times New Roman"/>
          <w:color w:val="000000"/>
          <w:spacing w:val="0"/>
          <w:w w:val="100"/>
          <w:position w:val="0"/>
        </w:rPr>
        <w:t>2018</w:t>
      </w:r>
      <w:r>
        <w:rPr>
          <w:color w:val="000000"/>
          <w:spacing w:val="0"/>
          <w:w w:val="100"/>
          <w:position w:val="0"/>
        </w:rPr>
        <w:t>年度将实现税后净利润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,470.00</w:t>
      </w:r>
      <w:r>
        <w:rPr>
          <w:color w:val="000000"/>
          <w:spacing w:val="0"/>
          <w:w w:val="100"/>
          <w:position w:val="0"/>
        </w:rPr>
        <w:t>万元。该等净利润应根据收购方认可 的具备证券从业资格的会计师事务所审计后最终确认。</w:t>
      </w:r>
    </w:p>
    <w:p>
      <w:pPr>
        <w:pStyle w:val="Style70"/>
        <w:keepNext w:val="0"/>
        <w:keepLines w:val="0"/>
        <w:widowControl w:val="0"/>
        <w:shd w:val="clear" w:color="auto" w:fill="auto"/>
        <w:bidi w:val="0"/>
        <w:spacing w:before="0" w:after="0" w:line="312" w:lineRule="exact"/>
        <w:ind w:left="0" w:right="0" w:firstLine="440"/>
        <w:jc w:val="left"/>
      </w:pPr>
      <w:r>
        <w:rPr>
          <w:color w:val="000000"/>
          <w:spacing w:val="0"/>
          <w:w w:val="100"/>
          <w:position w:val="0"/>
        </w:rPr>
        <w:t>若上述承诺的各年度税后净利润经收购方认可的具备证券从业资格的会计师事务所审计确认后，实际 税后净利润与相应年度的承诺税后净利润存在差异的，则收购方实际支付股权转让价款将按照协议第</w:t>
      </w:r>
      <w:r>
        <w:rPr>
          <w:rFonts w:ascii="Times New Roman" w:eastAsia="Times New Roman" w:hAnsi="Times New Roman" w:cs="Times New Roman"/>
          <w:color w:val="000000"/>
          <w:spacing w:val="0"/>
          <w:w w:val="100"/>
          <w:position w:val="0"/>
        </w:rPr>
        <w:t>5</w:t>
      </w:r>
      <w:r>
        <w:rPr>
          <w:color w:val="000000"/>
          <w:spacing w:val="0"/>
          <w:w w:val="100"/>
          <w:position w:val="0"/>
        </w:rPr>
        <w:t>条 相关规定做出调整。</w:t>
      </w:r>
    </w:p>
    <w:p>
      <w:pPr>
        <w:pStyle w:val="Style70"/>
        <w:keepNext w:val="0"/>
        <w:keepLines w:val="0"/>
        <w:widowControl w:val="0"/>
        <w:shd w:val="clear" w:color="auto" w:fill="auto"/>
        <w:tabs>
          <w:tab w:pos="806" w:val="left"/>
        </w:tabs>
        <w:bidi w:val="0"/>
        <w:spacing w:before="0" w:after="0" w:line="312" w:lineRule="exact"/>
        <w:ind w:left="0" w:right="0" w:firstLine="440"/>
        <w:jc w:val="left"/>
      </w:pPr>
      <w:bookmarkStart w:id="1773" w:name="bookmark1773"/>
      <w:r>
        <w:rPr>
          <w:rFonts w:ascii="Times New Roman" w:eastAsia="Times New Roman" w:hAnsi="Times New Roman" w:cs="Times New Roman"/>
          <w:color w:val="000000"/>
          <w:spacing w:val="0"/>
          <w:w w:val="100"/>
          <w:position w:val="0"/>
        </w:rPr>
        <w:t>（</w:t>
      </w:r>
      <w:bookmarkEnd w:id="1773"/>
      <w:r>
        <w:rPr>
          <w:rFonts w:ascii="Times New Roman" w:eastAsia="Times New Roman" w:hAnsi="Times New Roman" w:cs="Times New Roman"/>
          <w:color w:val="000000"/>
          <w:spacing w:val="0"/>
          <w:w w:val="100"/>
          <w:position w:val="0"/>
        </w:rPr>
        <w:t>3）</w:t>
        <w:tab/>
      </w:r>
      <w:r>
        <w:rPr>
          <w:color w:val="000000"/>
          <w:spacing w:val="0"/>
          <w:w w:val="100"/>
          <w:position w:val="0"/>
        </w:rPr>
        <w:t>收购上海睿民互联网科技有限公司</w:t>
      </w:r>
    </w:p>
    <w:p>
      <w:pPr>
        <w:pStyle w:val="Style70"/>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日，本公司与北京睿韬科技有限责任公司</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北京睿韬</w:t>
      </w:r>
      <w:r>
        <w:rPr>
          <w:rFonts w:ascii="Times New Roman" w:eastAsia="Times New Roman" w:hAnsi="Times New Roman" w:cs="Times New Roman"/>
          <w:color w:val="000000"/>
          <w:spacing w:val="0"/>
          <w:w w:val="100"/>
          <w:position w:val="0"/>
        </w:rPr>
        <w:t>”）</w:t>
      </w:r>
      <w:r>
        <w:rPr>
          <w:color w:val="000000"/>
          <w:spacing w:val="0"/>
          <w:w w:val="100"/>
          <w:position w:val="0"/>
        </w:rPr>
        <w:t>以及宁波镇海翔易融联投资管 理合伙（有限公司）</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宁波翔易</w:t>
      </w:r>
      <w:r>
        <w:rPr>
          <w:rFonts w:ascii="Times New Roman" w:eastAsia="Times New Roman" w:hAnsi="Times New Roman" w:cs="Times New Roman"/>
          <w:color w:val="000000"/>
          <w:spacing w:val="0"/>
          <w:w w:val="100"/>
          <w:position w:val="0"/>
        </w:rPr>
        <w:t>”）</w:t>
      </w:r>
      <w:r>
        <w:rPr>
          <w:color w:val="000000"/>
          <w:spacing w:val="0"/>
          <w:w w:val="100"/>
          <w:position w:val="0"/>
        </w:rPr>
        <w:t>签订《</w:t>
      </w:r>
      <w:r>
        <w:rPr>
          <w:rFonts w:ascii="SimHei" w:eastAsia="SimHei" w:hAnsi="SimHei" w:cs="SimHei"/>
          <w:color w:val="000000"/>
          <w:spacing w:val="0"/>
          <w:w w:val="100"/>
          <w:position w:val="0"/>
        </w:rPr>
        <w:t>高伟达软件股份有限公司与上海睿民互联网科技有限公 司全体股东之</w:t>
      </w:r>
      <w:r>
        <w:rPr>
          <w:color w:val="000000"/>
          <w:spacing w:val="0"/>
          <w:w w:val="100"/>
          <w:position w:val="0"/>
        </w:rPr>
        <w:t xml:space="preserve">发行股份及支付现金购买资产协议》及《盈利预测补偿协议》，本公司向北京睿韬发行 </w:t>
      </w:r>
      <w:r>
        <w:rPr>
          <w:rFonts w:ascii="Times New Roman" w:eastAsia="Times New Roman" w:hAnsi="Times New Roman" w:cs="Times New Roman"/>
          <w:color w:val="000000"/>
          <w:spacing w:val="0"/>
          <w:w w:val="100"/>
          <w:position w:val="0"/>
        </w:rPr>
        <w:t>14,076.00</w:t>
      </w:r>
      <w:r>
        <w:rPr>
          <w:color w:val="000000"/>
          <w:spacing w:val="0"/>
          <w:w w:val="100"/>
          <w:position w:val="0"/>
        </w:rPr>
        <w:t>万元等值股票，并支付</w:t>
      </w:r>
      <w:r>
        <w:rPr>
          <w:rFonts w:ascii="Times New Roman" w:eastAsia="Times New Roman" w:hAnsi="Times New Roman" w:cs="Times New Roman"/>
          <w:color w:val="000000"/>
          <w:spacing w:val="0"/>
          <w:w w:val="100"/>
          <w:position w:val="0"/>
        </w:rPr>
        <w:t>3,924.00</w:t>
      </w:r>
      <w:r>
        <w:rPr>
          <w:color w:val="000000"/>
          <w:spacing w:val="0"/>
          <w:w w:val="100"/>
          <w:position w:val="0"/>
        </w:rPr>
        <w:t>万元现金收购其持有的上海睿民互联网科技有限公司（简称</w:t>
      </w:r>
      <w:r>
        <w:rPr>
          <w:rFonts w:ascii="Times New Roman" w:eastAsia="Times New Roman" w:hAnsi="Times New Roman" w:cs="Times New Roman"/>
          <w:color w:val="000000"/>
          <w:spacing w:val="0"/>
          <w:w w:val="100"/>
          <w:position w:val="0"/>
        </w:rPr>
        <w:t>“</w:t>
      </w:r>
      <w:r>
        <w:rPr>
          <w:color w:val="000000"/>
          <w:spacing w:val="0"/>
          <w:w w:val="100"/>
          <w:position w:val="0"/>
        </w:rPr>
        <w:t>上海 睿民</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60.00%</w:t>
      </w:r>
      <w:r>
        <w:rPr>
          <w:color w:val="000000"/>
          <w:spacing w:val="0"/>
          <w:w w:val="100"/>
          <w:position w:val="0"/>
        </w:rPr>
        <w:t>的股权；向宁波翔易发行</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,384.00</w:t>
      </w:r>
      <w:r>
        <w:rPr>
          <w:color w:val="000000"/>
          <w:spacing w:val="0"/>
          <w:w w:val="100"/>
          <w:position w:val="0"/>
        </w:rPr>
        <w:t>万元等值股票并支付</w:t>
      </w:r>
      <w:r>
        <w:rPr>
          <w:rFonts w:ascii="Times New Roman" w:eastAsia="Times New Roman" w:hAnsi="Times New Roman" w:cs="Times New Roman"/>
          <w:color w:val="000000"/>
          <w:spacing w:val="0"/>
          <w:w w:val="100"/>
          <w:position w:val="0"/>
        </w:rPr>
        <w:t>2,616.00</w:t>
      </w:r>
      <w:r>
        <w:rPr>
          <w:color w:val="000000"/>
          <w:spacing w:val="0"/>
          <w:w w:val="100"/>
          <w:position w:val="0"/>
        </w:rPr>
        <w:t>万元现金收购其持有的上海 睿民</w:t>
      </w:r>
      <w:r>
        <w:rPr>
          <w:rFonts w:ascii="Times New Roman" w:eastAsia="Times New Roman" w:hAnsi="Times New Roman" w:cs="Times New Roman"/>
          <w:color w:val="000000"/>
          <w:spacing w:val="0"/>
          <w:w w:val="100"/>
          <w:position w:val="0"/>
        </w:rPr>
        <w:t>40%</w:t>
      </w:r>
      <w:r>
        <w:rPr>
          <w:color w:val="000000"/>
          <w:spacing w:val="0"/>
          <w:w w:val="100"/>
          <w:position w:val="0"/>
        </w:rPr>
        <w:t>的股权。</w:t>
      </w:r>
    </w:p>
    <w:p>
      <w:pPr>
        <w:pStyle w:val="Style70"/>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北京睿韬及宁波翔易承诺：上海睿民在</w:t>
      </w:r>
      <w:r>
        <w:rPr>
          <w:rFonts w:ascii="Times New Roman" w:eastAsia="Times New Roman" w:hAnsi="Times New Roman" w:cs="Times New Roman"/>
          <w:color w:val="000000"/>
          <w:spacing w:val="0"/>
          <w:w w:val="100"/>
          <w:position w:val="0"/>
        </w:rPr>
        <w:t>2016</w:t>
      </w:r>
      <w:r>
        <w:rPr>
          <w:color w:val="000000"/>
          <w:spacing w:val="0"/>
          <w:w w:val="100"/>
          <w:position w:val="0"/>
        </w:rPr>
        <w:t>年度、</w:t>
      </w:r>
      <w:r>
        <w:rPr>
          <w:rFonts w:ascii="Times New Roman" w:eastAsia="Times New Roman" w:hAnsi="Times New Roman" w:cs="Times New Roman"/>
          <w:color w:val="000000"/>
          <w:spacing w:val="0"/>
          <w:w w:val="100"/>
          <w:position w:val="0"/>
        </w:rPr>
        <w:t>2017</w:t>
      </w:r>
      <w:r>
        <w:rPr>
          <w:color w:val="000000"/>
          <w:spacing w:val="0"/>
          <w:w w:val="100"/>
          <w:position w:val="0"/>
        </w:rPr>
        <w:t>年度及</w:t>
      </w:r>
      <w:r>
        <w:rPr>
          <w:rFonts w:ascii="Times New Roman" w:eastAsia="Times New Roman" w:hAnsi="Times New Roman" w:cs="Times New Roman"/>
          <w:color w:val="000000"/>
          <w:spacing w:val="0"/>
          <w:w w:val="100"/>
          <w:position w:val="0"/>
        </w:rPr>
        <w:t>2018</w:t>
      </w:r>
      <w:r>
        <w:rPr>
          <w:color w:val="000000"/>
          <w:spacing w:val="0"/>
          <w:w w:val="100"/>
          <w:position w:val="0"/>
        </w:rPr>
        <w:t>年度合并报表口径下归属于母公司 所有者的扣除非经常性损益后的净利润分别不低于</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,000.00</w:t>
      </w:r>
      <w:r>
        <w:rPr>
          <w:color w:val="000000"/>
          <w:spacing w:val="0"/>
          <w:w w:val="100"/>
          <w:position w:val="0"/>
        </w:rPr>
        <w:t>万元、</w:t>
      </w:r>
      <w:r>
        <w:rPr>
          <w:rFonts w:ascii="Times New Roman" w:eastAsia="Times New Roman" w:hAnsi="Times New Roman" w:cs="Times New Roman"/>
          <w:color w:val="000000"/>
          <w:spacing w:val="0"/>
          <w:w w:val="100"/>
          <w:position w:val="0"/>
        </w:rPr>
        <w:t>2,600.00</w:t>
      </w:r>
      <w:r>
        <w:rPr>
          <w:color w:val="000000"/>
          <w:spacing w:val="0"/>
          <w:w w:val="100"/>
          <w:position w:val="0"/>
        </w:rPr>
        <w:t>万元和</w:t>
      </w:r>
      <w:r>
        <w:rPr>
          <w:rFonts w:ascii="Times New Roman" w:eastAsia="Times New Roman" w:hAnsi="Times New Roman" w:cs="Times New Roman"/>
          <w:color w:val="000000"/>
          <w:spacing w:val="0"/>
          <w:w w:val="100"/>
          <w:position w:val="0"/>
        </w:rPr>
        <w:t>3,380.00</w:t>
      </w:r>
      <w:r>
        <w:rPr>
          <w:color w:val="000000"/>
          <w:spacing w:val="0"/>
          <w:w w:val="100"/>
          <w:position w:val="0"/>
        </w:rPr>
        <w:t>万元。</w:t>
      </w:r>
    </w:p>
    <w:p>
      <w:pPr>
        <w:pStyle w:val="Style70"/>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本公司将在业绩承诺期间的每一个会计年度结束时，聘请具有证券期货相关业务资格的会计师事务所 对业绩承诺期间上海睿民实际实现的合并报表口径下归属于母公司所有者的扣除非经常性损益后的净利 润（以下简称</w:t>
      </w:r>
      <w:r>
        <w:rPr>
          <w:rFonts w:ascii="Times New Roman" w:eastAsia="Times New Roman" w:hAnsi="Times New Roman" w:cs="Times New Roman"/>
          <w:color w:val="000000"/>
          <w:spacing w:val="0"/>
          <w:w w:val="100"/>
          <w:position w:val="0"/>
        </w:rPr>
        <w:t>“</w:t>
      </w:r>
      <w:r>
        <w:rPr>
          <w:color w:val="000000"/>
          <w:spacing w:val="0"/>
          <w:w w:val="100"/>
          <w:position w:val="0"/>
        </w:rPr>
        <w:t>实现利润数</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的完成情况进行审计，并就实现利润数与该年度承诺利润数的差异情况，由 会计师事务所审核并出具专项审核报告。</w:t>
      </w:r>
    </w:p>
    <w:p>
      <w:pPr>
        <w:pStyle w:val="Style70"/>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业绩承诺期间，若上海睿民利润补偿各期间实现净利润未达到对应期间的承诺净利润，则原股东须优 先以现金对价进行补偿，其余部分以本次交易中所获得本公司股份进行补偿。</w:t>
      </w:r>
    </w:p>
    <w:p>
      <w:pPr>
        <w:pStyle w:val="Style70"/>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业绩承诺期间届满时，上海睿民于业绩承诺期内累计实际实现归属于母公司股东的扣除非经常性损益 后的净利润数超过累计承诺利润数，且在对赌期间内每一期的业绩承诺都完成的前提下，则本公司同意将 累计超额实现净利润（即累计实际实现净利润数</w:t>
      </w:r>
      <w:r>
        <w:rPr>
          <w:rFonts w:ascii="Times New Roman" w:eastAsia="Times New Roman" w:hAnsi="Times New Roman" w:cs="Times New Roman"/>
          <w:color w:val="000000"/>
          <w:spacing w:val="0"/>
          <w:w w:val="100"/>
          <w:position w:val="0"/>
        </w:rPr>
        <w:t>-</w:t>
      </w:r>
      <w:r>
        <w:rPr>
          <w:color w:val="000000"/>
          <w:spacing w:val="0"/>
          <w:w w:val="100"/>
          <w:position w:val="0"/>
        </w:rPr>
        <w:t>累计承诺净利润数）乘以届时本公司持有上海睿民股权的 比例再乘以</w:t>
      </w:r>
      <w:r>
        <w:rPr>
          <w:rFonts w:ascii="Times New Roman" w:eastAsia="Times New Roman" w:hAnsi="Times New Roman" w:cs="Times New Roman"/>
          <w:color w:val="000000"/>
          <w:spacing w:val="0"/>
          <w:w w:val="100"/>
          <w:position w:val="0"/>
        </w:rPr>
        <w:t>50.00%</w:t>
      </w:r>
      <w:r>
        <w:rPr>
          <w:color w:val="000000"/>
          <w:spacing w:val="0"/>
          <w:w w:val="100"/>
          <w:position w:val="0"/>
        </w:rPr>
        <w:t>的比例，由上海睿民按照本次交易前北京睿韬及宁波翔易持有上海睿民的持股比例进行 分配。超额业绩奖励安排是基于标的资产实际盈利数大于业绩承诺数的超额部分，且奖励总额不超过超额 业绩部分的</w:t>
      </w:r>
      <w:r>
        <w:rPr>
          <w:rFonts w:ascii="Times New Roman" w:eastAsia="Times New Roman" w:hAnsi="Times New Roman" w:cs="Times New Roman"/>
          <w:color w:val="000000"/>
          <w:spacing w:val="0"/>
          <w:w w:val="100"/>
          <w:position w:val="0"/>
        </w:rPr>
        <w:t>100.00%</w:t>
      </w:r>
      <w:r>
        <w:rPr>
          <w:color w:val="000000"/>
          <w:spacing w:val="0"/>
          <w:w w:val="100"/>
          <w:position w:val="0"/>
        </w:rPr>
        <w:t>，且不超过交易对价的</w:t>
      </w:r>
      <w:r>
        <w:rPr>
          <w:rFonts w:ascii="Times New Roman" w:eastAsia="Times New Roman" w:hAnsi="Times New Roman" w:cs="Times New Roman"/>
          <w:color w:val="000000"/>
          <w:spacing w:val="0"/>
          <w:w w:val="100"/>
          <w:position w:val="0"/>
        </w:rPr>
        <w:t>20.00%</w:t>
      </w:r>
      <w:r>
        <w:rPr>
          <w:color w:val="000000"/>
          <w:spacing w:val="0"/>
          <w:w w:val="100"/>
          <w:position w:val="0"/>
        </w:rPr>
        <w:t>。</w:t>
      </w:r>
    </w:p>
    <w:p>
      <w:pPr>
        <w:pStyle w:val="Style70"/>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前述超额业绩奖励条款须经本公司董事会审议通过后方生效，本公司应将超额业绩奖励金额在会计师 事务所审核并出具专项审核报告后</w:t>
      </w:r>
      <w:r>
        <w:rPr>
          <w:rFonts w:ascii="Times New Roman" w:eastAsia="Times New Roman" w:hAnsi="Times New Roman" w:cs="Times New Roman"/>
          <w:color w:val="000000"/>
          <w:spacing w:val="0"/>
          <w:w w:val="100"/>
          <w:position w:val="0"/>
        </w:rPr>
        <w:t>30</w:t>
      </w:r>
      <w:r>
        <w:rPr>
          <w:color w:val="000000"/>
          <w:spacing w:val="0"/>
          <w:w w:val="100"/>
          <w:position w:val="0"/>
        </w:rPr>
        <w:t>个工作日内以现金方式支付给北京睿韬、宁波翔易。</w:t>
      </w:r>
    </w:p>
    <w:p>
      <w:pPr>
        <w:pStyle w:val="Style70"/>
        <w:keepNext w:val="0"/>
        <w:keepLines w:val="0"/>
        <w:widowControl w:val="0"/>
        <w:numPr>
          <w:ilvl w:val="0"/>
          <w:numId w:val="71"/>
        </w:numPr>
        <w:shd w:val="clear" w:color="auto" w:fill="auto"/>
        <w:bidi w:val="0"/>
        <w:spacing w:before="0" w:after="300" w:line="312" w:lineRule="exact"/>
        <w:ind w:left="0" w:right="0" w:firstLine="440"/>
        <w:jc w:val="left"/>
      </w:pPr>
      <w:bookmarkStart w:id="1774" w:name="bookmark1774"/>
      <w:bookmarkEnd w:id="1774"/>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日，本公司因履约、投标等事项申请开具的尚未到期或解约的银行保函金额 </w:t>
      </w:r>
      <w:r>
        <w:rPr>
          <w:rFonts w:ascii="Times New Roman" w:eastAsia="Times New Roman" w:hAnsi="Times New Roman" w:cs="Times New Roman"/>
          <w:color w:val="000000"/>
          <w:spacing w:val="0"/>
          <w:w w:val="100"/>
          <w:position w:val="0"/>
        </w:rPr>
        <w:t xml:space="preserve">25,987,392.23 </w:t>
      </w:r>
      <w:r>
        <w:rPr>
          <w:color w:val="000000"/>
          <w:spacing w:val="0"/>
          <w:w w:val="100"/>
          <w:position w:val="0"/>
        </w:rPr>
        <w:t>元。</w:t>
      </w:r>
    </w:p>
    <w:p>
      <w:pPr>
        <w:pStyle w:val="Style33"/>
        <w:keepNext/>
        <w:keepLines/>
        <w:widowControl w:val="0"/>
        <w:shd w:val="clear" w:color="auto" w:fill="auto"/>
        <w:bidi w:val="0"/>
        <w:spacing w:before="0" w:after="300" w:line="312" w:lineRule="exact"/>
        <w:ind w:left="0" w:right="0" w:firstLine="0"/>
        <w:jc w:val="left"/>
      </w:pPr>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775"/>
      <w:bookmarkEnd w:id="1776"/>
      <w:bookmarkEnd w:id="1777"/>
    </w:p>
    <w:p>
      <w:pPr>
        <w:pStyle w:val="Style55"/>
        <w:keepNext/>
        <w:keepLines/>
        <w:widowControl w:val="0"/>
        <w:shd w:val="clear" w:color="auto" w:fill="auto"/>
        <w:bidi w:val="0"/>
        <w:spacing w:before="0" w:line="312" w:lineRule="exact"/>
        <w:ind w:left="0" w:right="0" w:firstLine="0"/>
        <w:jc w:val="left"/>
      </w:pPr>
      <w:bookmarkStart w:id="1778" w:name="bookmark1778"/>
      <w:bookmarkStart w:id="1779" w:name="bookmark1779"/>
      <w:bookmarkStart w:id="1780" w:name="bookmark17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778"/>
      <w:bookmarkEnd w:id="1779"/>
      <w:bookmarkEnd w:id="1780"/>
    </w:p>
    <w:p>
      <w:pPr>
        <w:pStyle w:val="Style5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为非关联方提供债务担保形成的或有负债及其财务影响</w:t>
      </w:r>
    </w:p>
    <w:p>
      <w:pPr>
        <w:pStyle w:val="Style5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日，本公司为非关联方提供保证担保的情况</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单位：万元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bl>
      <w:tblPr>
        <w:tblOverlap w:val="never"/>
        <w:jc w:val="center"/>
        <w:tblLayout w:type="fixed"/>
      </w:tblPr>
      <w:tblGrid>
        <w:gridCol w:w="1992"/>
        <w:gridCol w:w="1656"/>
        <w:gridCol w:w="1862"/>
        <w:gridCol w:w="1339"/>
        <w:gridCol w:w="1133"/>
        <w:gridCol w:w="725"/>
      </w:tblGrid>
      <w:tr>
        <w:trPr>
          <w:trHeight w:val="35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担保单位</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被担保单位</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贷款金融机构</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担保借款余额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借款到期日</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备注</w:t>
            </w:r>
          </w:p>
        </w:tc>
      </w:tr>
    </w:tbl>
    <w:p>
      <w:pPr>
        <w:widowControl w:val="0"/>
        <w:spacing w:line="1" w:lineRule="exact"/>
      </w:pPr>
    </w:p>
    <w:tbl>
      <w:tblPr>
        <w:tblOverlap w:val="never"/>
        <w:jc w:val="left"/>
        <w:tblLayout w:type="fixed"/>
      </w:tblPr>
      <w:tblGrid>
        <w:gridCol w:w="1992"/>
        <w:gridCol w:w="1656"/>
        <w:gridCol w:w="1862"/>
        <w:gridCol w:w="1339"/>
        <w:gridCol w:w="1133"/>
        <w:gridCol w:w="725"/>
      </w:tblGrid>
      <w:tr>
        <w:trPr>
          <w:trHeight w:val="65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高伟达软件股份有限公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北京中北万兴国际贸</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易有限公司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中国民生银行股份有限</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公司北京分行</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万美元</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2017-5-19</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万美元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70"/>
        <w:keepNext w:val="0"/>
        <w:keepLines w:val="0"/>
        <w:widowControl w:val="0"/>
        <w:shd w:val="clear" w:color="auto" w:fill="auto"/>
        <w:bidi w:val="0"/>
        <w:spacing w:before="0" w:after="280" w:line="312"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日，本公司为进口货物代理商北京中北万兴国际贸易有限公司以进口本公司 货物为目的向中国民生银行股份有限公司北京分行申请的</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w:t>
      </w:r>
      <w:r>
        <w:rPr>
          <w:color w:val="000000"/>
          <w:spacing w:val="0"/>
          <w:w w:val="100"/>
          <w:position w:val="0"/>
        </w:rPr>
        <w:t>万美元的最高额授信业务提供连带责 任担保，期限为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p>
      <w:pPr>
        <w:pStyle w:val="Style55"/>
        <w:keepNext/>
        <w:keepLines/>
        <w:widowControl w:val="0"/>
        <w:shd w:val="clear" w:color="auto" w:fill="auto"/>
        <w:bidi w:val="0"/>
        <w:spacing w:before="0" w:after="360" w:line="312" w:lineRule="exact"/>
        <w:ind w:left="0" w:right="0" w:firstLine="0"/>
        <w:jc w:val="left"/>
      </w:pPr>
      <w:bookmarkStart w:id="1781" w:name="bookmark1781"/>
      <w:bookmarkStart w:id="1782" w:name="bookmark1782"/>
      <w:bookmarkStart w:id="1783" w:name="bookmark17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781"/>
      <w:bookmarkEnd w:id="1782"/>
      <w:bookmarkEnd w:id="1783"/>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公司不存在需要披露的重要或有事项。</w:t>
      </w:r>
    </w:p>
    <w:p>
      <w:pPr>
        <w:pStyle w:val="Style33"/>
        <w:keepNext/>
        <w:keepLines/>
        <w:widowControl w:val="0"/>
        <w:shd w:val="clear" w:color="auto" w:fill="auto"/>
        <w:bidi w:val="0"/>
        <w:spacing w:before="0" w:line="312" w:lineRule="exact"/>
        <w:ind w:left="0" w:right="0" w:firstLine="0"/>
        <w:jc w:val="left"/>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3</w:t>
      </w:r>
      <w:bookmarkEnd w:id="1786"/>
      <w:r>
        <w:rPr>
          <w:color w:val="000000"/>
          <w:spacing w:val="0"/>
          <w:w w:val="100"/>
          <w:position w:val="0"/>
        </w:rPr>
        <w:t>、其他</w:t>
      </w:r>
      <w:bookmarkEnd w:id="1784"/>
      <w:bookmarkEnd w:id="1785"/>
      <w:bookmarkEnd w:id="1787"/>
    </w:p>
    <w:p>
      <w:pPr>
        <w:pStyle w:val="Style27"/>
        <w:keepNext/>
        <w:keepLines/>
        <w:widowControl w:val="0"/>
        <w:shd w:val="clear" w:color="auto" w:fill="auto"/>
        <w:bidi w:val="0"/>
        <w:spacing w:before="0" w:after="280" w:line="240" w:lineRule="auto"/>
        <w:ind w:left="0" w:right="0" w:firstLine="0"/>
        <w:jc w:val="left"/>
      </w:pPr>
      <w:bookmarkStart w:id="1788" w:name="bookmark1788"/>
      <w:bookmarkStart w:id="1789" w:name="bookmark1789"/>
      <w:bookmarkStart w:id="1790" w:name="bookmark1790"/>
      <w:r>
        <w:rPr>
          <w:color w:val="000000"/>
          <w:spacing w:val="0"/>
          <w:w w:val="100"/>
          <w:position w:val="0"/>
          <w:sz w:val="24"/>
          <w:szCs w:val="24"/>
        </w:rPr>
        <w:t>十五、资产负债表日后事项</w:t>
      </w:r>
      <w:bookmarkEnd w:id="1788"/>
      <w:bookmarkEnd w:id="1789"/>
      <w:bookmarkEnd w:id="1790"/>
    </w:p>
    <w:p>
      <w:pPr>
        <w:pStyle w:val="Style33"/>
        <w:keepNext/>
        <w:keepLines/>
        <w:widowControl w:val="0"/>
        <w:shd w:val="clear" w:color="auto" w:fill="auto"/>
        <w:bidi w:val="0"/>
        <w:spacing w:before="0" w:line="312" w:lineRule="exact"/>
        <w:ind w:left="0" w:right="0" w:firstLine="0"/>
        <w:jc w:val="left"/>
      </w:pPr>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791"/>
      <w:bookmarkEnd w:id="1792"/>
      <w:bookmarkEnd w:id="179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3"/>
        <w:keepNext/>
        <w:keepLines/>
        <w:widowControl w:val="0"/>
        <w:shd w:val="clear" w:color="auto" w:fill="auto"/>
        <w:tabs>
          <w:tab w:pos="377" w:val="left"/>
        </w:tabs>
        <w:bidi w:val="0"/>
        <w:spacing w:before="0" w:after="280" w:line="240" w:lineRule="auto"/>
        <w:ind w:left="0" w:right="0" w:firstLine="0"/>
        <w:jc w:val="left"/>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2</w:t>
      </w:r>
      <w:bookmarkEnd w:id="1796"/>
      <w:r>
        <w:rPr>
          <w:color w:val="000000"/>
          <w:spacing w:val="0"/>
          <w:w w:val="100"/>
          <w:position w:val="0"/>
        </w:rPr>
        <w:t>、</w:t>
        <w:tab/>
        <w:t>利润分配情况</w:t>
      </w:r>
      <w:bookmarkEnd w:id="1794"/>
      <w:bookmarkEnd w:id="1795"/>
      <w:bookmarkEnd w:id="1797"/>
    </w:p>
    <w:p>
      <w:pPr>
        <w:pStyle w:val="Style29"/>
        <w:keepNext w:val="0"/>
        <w:keepLines w:val="0"/>
        <w:widowControl w:val="0"/>
        <w:shd w:val="clear" w:color="auto" w:fill="auto"/>
        <w:bidi w:val="0"/>
        <w:spacing w:before="0" w:after="40" w:line="315" w:lineRule="exact"/>
        <w:ind w:left="0" w:right="0" w:firstLine="0"/>
        <w:jc w:val="right"/>
      </w:pPr>
      <w:r>
        <w:rPr>
          <w:color w:val="000000"/>
          <w:spacing w:val="0"/>
          <w:w w:val="100"/>
          <w:position w:val="0"/>
        </w:rPr>
        <w:t>单位： 元</w:t>
      </w:r>
    </w:p>
    <w:p>
      <w:pPr>
        <w:pStyle w:val="Style29"/>
        <w:keepNext w:val="0"/>
        <w:keepLines w:val="0"/>
        <w:widowControl w:val="0"/>
        <w:shd w:val="clear" w:color="auto" w:fill="auto"/>
        <w:bidi w:val="0"/>
        <w:spacing w:before="0" w:after="40" w:line="312" w:lineRule="exact"/>
        <w:ind w:left="0" w:right="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年度合并报表归属于母公司股东的净利润为</w:t>
      </w:r>
      <w:r>
        <w:rPr>
          <w:rFonts w:ascii="Times New Roman" w:eastAsia="Times New Roman" w:hAnsi="Times New Roman" w:cs="Times New Roman"/>
          <w:color w:val="000000"/>
          <w:spacing w:val="0"/>
          <w:w w:val="100"/>
          <w:position w:val="0"/>
          <w:sz w:val="18"/>
          <w:szCs w:val="18"/>
        </w:rPr>
        <w:t>23,109,577.54</w:t>
      </w:r>
      <w:r>
        <w:rPr>
          <w:color w:val="000000"/>
          <w:spacing w:val="0"/>
          <w:w w:val="100"/>
          <w:position w:val="0"/>
        </w:rPr>
        <w:t>元，根据《公司法》和《公司章程》的规定，</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年度提取法定公积金</w:t>
      </w:r>
      <w:r>
        <w:rPr>
          <w:rFonts w:ascii="Times New Roman" w:eastAsia="Times New Roman" w:hAnsi="Times New Roman" w:cs="Times New Roman"/>
          <w:color w:val="000000"/>
          <w:spacing w:val="0"/>
          <w:w w:val="100"/>
          <w:position w:val="0"/>
          <w:sz w:val="18"/>
          <w:szCs w:val="18"/>
        </w:rPr>
        <w:t>98,400.03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日可供投资者分配的利润为</w:t>
      </w:r>
      <w:r>
        <w:rPr>
          <w:rFonts w:ascii="Times New Roman" w:eastAsia="Times New Roman" w:hAnsi="Times New Roman" w:cs="Times New Roman"/>
          <w:color w:val="000000"/>
          <w:spacing w:val="0"/>
          <w:w w:val="100"/>
          <w:position w:val="0"/>
          <w:sz w:val="18"/>
          <w:szCs w:val="18"/>
        </w:rPr>
        <w:t>250,565,636.57</w:t>
      </w:r>
      <w:r>
        <w:rPr>
          <w:color w:val="000000"/>
          <w:spacing w:val="0"/>
          <w:w w:val="100"/>
          <w:position w:val="0"/>
        </w:rPr>
        <w:t>元。</w:t>
      </w:r>
    </w:p>
    <w:p>
      <w:pPr>
        <w:pStyle w:val="Style29"/>
        <w:keepNext w:val="0"/>
        <w:keepLines w:val="0"/>
        <w:widowControl w:val="0"/>
        <w:shd w:val="clear" w:color="auto" w:fill="auto"/>
        <w:bidi w:val="0"/>
        <w:spacing w:before="0" w:after="360" w:line="317"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日第二届董事会第三十四次会议通过的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年度利润分配预案，本公司拟以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年度利润分配实 施公告的股权登记日当日的总股本为基数，向全体股东每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0.08</w:t>
      </w:r>
      <w:r>
        <w:rPr>
          <w:color w:val="000000"/>
          <w:spacing w:val="0"/>
          <w:w w:val="100"/>
          <w:position w:val="0"/>
        </w:rPr>
        <w:t>元（含税），其余未分配利润结转以后年 度分配，此分配预案尚需提请股东大会批准。</w:t>
      </w:r>
    </w:p>
    <w:p>
      <w:pPr>
        <w:pStyle w:val="Style33"/>
        <w:keepNext/>
        <w:keepLines/>
        <w:widowControl w:val="0"/>
        <w:shd w:val="clear" w:color="auto" w:fill="auto"/>
        <w:tabs>
          <w:tab w:pos="377" w:val="left"/>
        </w:tabs>
        <w:bidi w:val="0"/>
        <w:spacing w:before="0" w:line="240" w:lineRule="auto"/>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3</w:t>
      </w:r>
      <w:bookmarkEnd w:id="1800"/>
      <w:r>
        <w:rPr>
          <w:color w:val="000000"/>
          <w:spacing w:val="0"/>
          <w:w w:val="100"/>
          <w:position w:val="0"/>
        </w:rPr>
        <w:t>、</w:t>
        <w:tab/>
        <w:t>销售退回</w:t>
      </w:r>
      <w:bookmarkEnd w:id="1798"/>
      <w:bookmarkEnd w:id="1799"/>
      <w:bookmarkEnd w:id="1801"/>
    </w:p>
    <w:p>
      <w:pPr>
        <w:pStyle w:val="Style33"/>
        <w:keepNext/>
        <w:keepLines/>
        <w:widowControl w:val="0"/>
        <w:shd w:val="clear" w:color="auto" w:fill="auto"/>
        <w:tabs>
          <w:tab w:pos="377" w:val="left"/>
        </w:tabs>
        <w:bidi w:val="0"/>
        <w:spacing w:before="0" w:after="280" w:line="240" w:lineRule="auto"/>
        <w:ind w:left="0" w:right="0" w:firstLine="0"/>
        <w:jc w:val="left"/>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4</w:t>
      </w:r>
      <w:bookmarkEnd w:id="1804"/>
      <w:r>
        <w:rPr>
          <w:color w:val="000000"/>
          <w:spacing w:val="0"/>
          <w:w w:val="100"/>
          <w:position w:val="0"/>
        </w:rPr>
        <w:t>、</w:t>
        <w:tab/>
        <w:t>其他资产负债表日后事项说明</w:t>
      </w:r>
      <w:bookmarkEnd w:id="1802"/>
      <w:bookmarkEnd w:id="1803"/>
      <w:bookmarkEnd w:id="1805"/>
    </w:p>
    <w:p>
      <w:pPr>
        <w:pStyle w:val="Style29"/>
        <w:keepNext w:val="0"/>
        <w:keepLines w:val="0"/>
        <w:widowControl w:val="0"/>
        <w:shd w:val="clear" w:color="auto" w:fill="auto"/>
        <w:bidi w:val="0"/>
        <w:spacing w:before="0" w:after="40" w:line="313" w:lineRule="exact"/>
        <w:ind w:left="0" w:right="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日第二届董事会第三十一次会议，本公司拟与中信云网有限公司、银川聚信信科资产管理合 伙企业（有限合伙）及银川聚信信赢资产管理合伙企业（有限合伙）共同投资设立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中信科技发展有限公司（筹）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（以工商 行政机关核准为准）。其中，本公司出资人民币</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；中信云网有限公司出资人民币</w:t>
      </w:r>
      <w:r>
        <w:rPr>
          <w:rFonts w:ascii="Times New Roman" w:eastAsia="Times New Roman" w:hAnsi="Times New Roman" w:cs="Times New Roman"/>
          <w:color w:val="000000"/>
          <w:spacing w:val="0"/>
          <w:w w:val="100"/>
          <w:position w:val="0"/>
          <w:sz w:val="18"/>
          <w:szCs w:val="18"/>
        </w:rPr>
        <w:t>2,750</w:t>
      </w:r>
      <w:r>
        <w:rPr>
          <w:color w:val="000000"/>
          <w:spacing w:val="0"/>
          <w:w w:val="100"/>
          <w:position w:val="0"/>
        </w:rPr>
        <w:t>万 元，占注册资本的</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；银川聚信信赢资产管理合伙企业（有限合伙）出资人民币</w:t>
      </w:r>
      <w:r>
        <w:rPr>
          <w:rFonts w:ascii="Times New Roman" w:eastAsia="Times New Roman" w:hAnsi="Times New Roman" w:cs="Times New Roman"/>
          <w:color w:val="000000"/>
          <w:spacing w:val="0"/>
          <w:w w:val="100"/>
          <w:position w:val="0"/>
          <w:sz w:val="18"/>
          <w:szCs w:val="18"/>
        </w:rPr>
        <w:t>375</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7.50%</w:t>
      </w:r>
      <w:r>
        <w:rPr>
          <w:color w:val="000000"/>
          <w:spacing w:val="0"/>
          <w:w w:val="100"/>
          <w:position w:val="0"/>
        </w:rPr>
        <w:t>；银 川聚信信科资产管理合伙企业（有限合伙）出资人民币</w:t>
      </w:r>
      <w:r>
        <w:rPr>
          <w:rFonts w:ascii="Times New Roman" w:eastAsia="Times New Roman" w:hAnsi="Times New Roman" w:cs="Times New Roman"/>
          <w:color w:val="000000"/>
          <w:spacing w:val="0"/>
          <w:w w:val="100"/>
          <w:position w:val="0"/>
          <w:sz w:val="18"/>
          <w:szCs w:val="18"/>
        </w:rPr>
        <w:t>375</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7.50%</w:t>
      </w:r>
      <w:r>
        <w:rPr>
          <w:color w:val="000000"/>
          <w:spacing w:val="0"/>
          <w:w w:val="100"/>
          <w:position w:val="0"/>
        </w:rPr>
        <w:t>。</w:t>
      </w:r>
    </w:p>
    <w:p>
      <w:pPr>
        <w:pStyle w:val="Style29"/>
        <w:keepNext w:val="0"/>
        <w:keepLines w:val="0"/>
        <w:widowControl w:val="0"/>
        <w:shd w:val="clear" w:color="auto" w:fill="auto"/>
        <w:bidi w:val="0"/>
        <w:spacing w:before="0" w:after="280" w:line="317" w:lineRule="exact"/>
        <w:ind w:left="0" w:right="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日第二届董事会第三十三次会议决议，本公司拟以支付现金的方式购买深圳市快读科技有限 公司（以下简称快读科技）</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的股权，交易金额为</w:t>
      </w:r>
      <w:r>
        <w:rPr>
          <w:rFonts w:ascii="Times New Roman" w:eastAsia="Times New Roman" w:hAnsi="Times New Roman" w:cs="Times New Roman"/>
          <w:color w:val="000000"/>
          <w:spacing w:val="0"/>
          <w:w w:val="100"/>
          <w:position w:val="0"/>
          <w:sz w:val="18"/>
          <w:szCs w:val="18"/>
        </w:rPr>
        <w:t>41,400.00</w:t>
      </w:r>
      <w:r>
        <w:rPr>
          <w:color w:val="000000"/>
          <w:spacing w:val="0"/>
          <w:w w:val="100"/>
          <w:position w:val="0"/>
        </w:rPr>
        <w:t>万元，其中：拟支付寿宁县恒力智信股权投资合伙企业 （有限合伙）</w:t>
      </w:r>
      <w:r>
        <w:rPr>
          <w:rFonts w:ascii="Times New Roman" w:eastAsia="Times New Roman" w:hAnsi="Times New Roman" w:cs="Times New Roman"/>
          <w:color w:val="000000"/>
          <w:spacing w:val="0"/>
          <w:w w:val="100"/>
          <w:position w:val="0"/>
          <w:sz w:val="18"/>
          <w:szCs w:val="18"/>
        </w:rPr>
        <w:t>40,986.00</w:t>
      </w:r>
      <w:r>
        <w:rPr>
          <w:color w:val="000000"/>
          <w:spacing w:val="0"/>
          <w:w w:val="100"/>
          <w:position w:val="0"/>
        </w:rPr>
        <w:t>万元，购买其持有的快读科技</w:t>
      </w:r>
      <w:r>
        <w:rPr>
          <w:rFonts w:ascii="Times New Roman" w:eastAsia="Times New Roman" w:hAnsi="Times New Roman" w:cs="Times New Roman"/>
          <w:color w:val="000000"/>
          <w:spacing w:val="0"/>
          <w:w w:val="100"/>
          <w:position w:val="0"/>
          <w:sz w:val="18"/>
          <w:szCs w:val="18"/>
        </w:rPr>
        <w:t>99.00%</w:t>
      </w:r>
      <w:r>
        <w:rPr>
          <w:color w:val="000000"/>
          <w:spacing w:val="0"/>
          <w:w w:val="100"/>
          <w:position w:val="0"/>
        </w:rPr>
        <w:t>的股权；拟支付黄河</w:t>
      </w:r>
      <w:r>
        <w:rPr>
          <w:rFonts w:ascii="Times New Roman" w:eastAsia="Times New Roman" w:hAnsi="Times New Roman" w:cs="Times New Roman"/>
          <w:color w:val="000000"/>
          <w:spacing w:val="0"/>
          <w:w w:val="100"/>
          <w:position w:val="0"/>
          <w:sz w:val="18"/>
          <w:szCs w:val="18"/>
        </w:rPr>
        <w:t>414.00</w:t>
      </w:r>
      <w:r>
        <w:rPr>
          <w:color w:val="000000"/>
          <w:spacing w:val="0"/>
          <w:w w:val="100"/>
          <w:position w:val="0"/>
        </w:rPr>
        <w:t>万元，购买其持有的快读科技</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的股权。</w:t>
      </w:r>
    </w:p>
    <w:p>
      <w:pPr>
        <w:pStyle w:val="Style27"/>
        <w:keepNext/>
        <w:keepLines/>
        <w:widowControl w:val="0"/>
        <w:shd w:val="clear" w:color="auto" w:fill="auto"/>
        <w:bidi w:val="0"/>
        <w:spacing w:before="0" w:line="240" w:lineRule="auto"/>
        <w:ind w:left="0" w:right="0" w:firstLine="0"/>
        <w:jc w:val="left"/>
      </w:pPr>
      <w:bookmarkStart w:id="1806" w:name="bookmark1806"/>
      <w:bookmarkStart w:id="1807" w:name="bookmark1807"/>
      <w:bookmarkStart w:id="1808" w:name="bookmark1808"/>
      <w:r>
        <w:rPr>
          <w:color w:val="000000"/>
          <w:spacing w:val="0"/>
          <w:w w:val="100"/>
          <w:position w:val="0"/>
          <w:sz w:val="24"/>
          <w:szCs w:val="24"/>
        </w:rPr>
        <w:t>十六、其他重要事项</w:t>
      </w:r>
      <w:bookmarkEnd w:id="1806"/>
      <w:bookmarkEnd w:id="1807"/>
      <w:bookmarkEnd w:id="1808"/>
    </w:p>
    <w:p>
      <w:pPr>
        <w:pStyle w:val="Style33"/>
        <w:keepNext/>
        <w:keepLines/>
        <w:widowControl w:val="0"/>
        <w:shd w:val="clear" w:color="auto" w:fill="auto"/>
        <w:bidi w:val="0"/>
        <w:spacing w:before="0" w:line="240" w:lineRule="auto"/>
        <w:ind w:left="0" w:right="0" w:firstLine="0"/>
        <w:jc w:val="left"/>
      </w:pPr>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809"/>
      <w:bookmarkEnd w:id="1810"/>
      <w:bookmarkEnd w:id="1811"/>
    </w:p>
    <w:p>
      <w:pPr>
        <w:pStyle w:val="Style55"/>
        <w:keepNext/>
        <w:keepLines/>
        <w:widowControl w:val="0"/>
        <w:shd w:val="clear" w:color="auto" w:fill="auto"/>
        <w:bidi w:val="0"/>
        <w:spacing w:before="0" w:after="360" w:line="240" w:lineRule="auto"/>
        <w:ind w:left="0" w:right="0" w:firstLine="0"/>
        <w:jc w:val="left"/>
      </w:pPr>
      <w:bookmarkStart w:id="1812" w:name="bookmark1812"/>
      <w:bookmarkStart w:id="1813" w:name="bookmark1813"/>
      <w:bookmarkStart w:id="1814" w:name="bookmark18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812"/>
      <w:bookmarkEnd w:id="1813"/>
      <w:bookmarkEnd w:id="1814"/>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55"/>
        <w:keepNext/>
        <w:keepLines/>
        <w:widowControl w:val="0"/>
        <w:shd w:val="clear" w:color="auto" w:fill="auto"/>
        <w:bidi w:val="0"/>
        <w:spacing w:before="0" w:after="360" w:line="240" w:lineRule="auto"/>
        <w:ind w:left="0" w:right="0" w:firstLine="140"/>
        <w:jc w:val="left"/>
      </w:pPr>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815"/>
      <w:bookmarkEnd w:id="1816"/>
      <w:bookmarkEnd w:id="1817"/>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33"/>
        <w:keepNext/>
        <w:keepLines/>
        <w:widowControl w:val="0"/>
        <w:shd w:val="clear" w:color="auto" w:fill="auto"/>
        <w:tabs>
          <w:tab w:pos="378" w:val="left"/>
        </w:tabs>
        <w:bidi w:val="0"/>
        <w:spacing w:before="0" w:line="240" w:lineRule="auto"/>
        <w:ind w:left="0" w:right="0" w:firstLine="0"/>
        <w:jc w:val="both"/>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2</w:t>
      </w:r>
      <w:bookmarkEnd w:id="1820"/>
      <w:r>
        <w:rPr>
          <w:color w:val="000000"/>
          <w:spacing w:val="0"/>
          <w:w w:val="100"/>
          <w:position w:val="0"/>
        </w:rPr>
        <w:t>、</w:t>
        <w:tab/>
        <w:t>债务重组</w:t>
      </w:r>
      <w:bookmarkEnd w:id="1818"/>
      <w:bookmarkEnd w:id="1819"/>
      <w:bookmarkEnd w:id="1821"/>
    </w:p>
    <w:p>
      <w:pPr>
        <w:pStyle w:val="Style33"/>
        <w:keepNext/>
        <w:keepLines/>
        <w:widowControl w:val="0"/>
        <w:shd w:val="clear" w:color="auto" w:fill="auto"/>
        <w:tabs>
          <w:tab w:pos="378" w:val="left"/>
        </w:tabs>
        <w:bidi w:val="0"/>
        <w:spacing w:before="0" w:line="240" w:lineRule="auto"/>
        <w:ind w:left="0" w:right="0" w:firstLine="0"/>
        <w:jc w:val="both"/>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3</w:t>
      </w:r>
      <w:bookmarkEnd w:id="1824"/>
      <w:r>
        <w:rPr>
          <w:color w:val="000000"/>
          <w:spacing w:val="0"/>
          <w:w w:val="100"/>
          <w:position w:val="0"/>
        </w:rPr>
        <w:t>、</w:t>
        <w:tab/>
        <w:t>资产置换</w:t>
      </w:r>
      <w:bookmarkEnd w:id="1822"/>
      <w:bookmarkEnd w:id="1823"/>
      <w:bookmarkEnd w:id="1825"/>
    </w:p>
    <w:p>
      <w:pPr>
        <w:pStyle w:val="Style55"/>
        <w:keepNext/>
        <w:keepLines/>
        <w:widowControl w:val="0"/>
        <w:shd w:val="clear" w:color="auto" w:fill="auto"/>
        <w:tabs>
          <w:tab w:pos="493" w:val="left"/>
        </w:tabs>
        <w:bidi w:val="0"/>
        <w:spacing w:before="0" w:after="360" w:line="240" w:lineRule="auto"/>
        <w:ind w:left="0" w:right="0" w:firstLine="0"/>
        <w:jc w:val="both"/>
      </w:pPr>
      <w:bookmarkStart w:id="1826" w:name="bookmark1826"/>
      <w:bookmarkStart w:id="1827" w:name="bookmark1827"/>
      <w:bookmarkStart w:id="1828" w:name="bookmark1828"/>
      <w:bookmarkStart w:id="1829" w:name="bookmark1829"/>
      <w:r>
        <w:rPr>
          <w:color w:val="000000"/>
          <w:spacing w:val="0"/>
          <w:w w:val="100"/>
          <w:position w:val="0"/>
        </w:rPr>
        <w:t>（</w:t>
      </w:r>
      <w:bookmarkEnd w:id="1828"/>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826"/>
      <w:bookmarkEnd w:id="1827"/>
      <w:bookmarkEnd w:id="1829"/>
    </w:p>
    <w:p>
      <w:pPr>
        <w:pStyle w:val="Style55"/>
        <w:keepNext/>
        <w:keepLines/>
        <w:widowControl w:val="0"/>
        <w:shd w:val="clear" w:color="auto" w:fill="auto"/>
        <w:tabs>
          <w:tab w:pos="493" w:val="left"/>
        </w:tabs>
        <w:bidi w:val="0"/>
        <w:spacing w:before="0" w:after="360" w:line="240" w:lineRule="auto"/>
        <w:ind w:left="0" w:right="0" w:firstLine="0"/>
        <w:jc w:val="both"/>
      </w:pPr>
      <w:bookmarkStart w:id="1830" w:name="bookmark1830"/>
      <w:bookmarkStart w:id="1831" w:name="bookmark1831"/>
      <w:bookmarkStart w:id="1832" w:name="bookmark1832"/>
      <w:bookmarkStart w:id="1833" w:name="bookmark1833"/>
      <w:r>
        <w:rPr>
          <w:color w:val="000000"/>
          <w:spacing w:val="0"/>
          <w:w w:val="100"/>
          <w:position w:val="0"/>
        </w:rPr>
        <w:t>（</w:t>
      </w:r>
      <w:bookmarkEnd w:id="1832"/>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1830"/>
      <w:bookmarkEnd w:id="1831"/>
      <w:bookmarkEnd w:id="1833"/>
    </w:p>
    <w:p>
      <w:pPr>
        <w:pStyle w:val="Style33"/>
        <w:keepNext/>
        <w:keepLines/>
        <w:widowControl w:val="0"/>
        <w:shd w:val="clear" w:color="auto" w:fill="auto"/>
        <w:tabs>
          <w:tab w:pos="378" w:val="left"/>
        </w:tabs>
        <w:bidi w:val="0"/>
        <w:spacing w:before="0" w:line="240" w:lineRule="auto"/>
        <w:ind w:left="0" w:right="0" w:firstLine="0"/>
        <w:jc w:val="both"/>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4</w:t>
      </w:r>
      <w:bookmarkEnd w:id="1836"/>
      <w:r>
        <w:rPr>
          <w:color w:val="000000"/>
          <w:spacing w:val="0"/>
          <w:w w:val="100"/>
          <w:position w:val="0"/>
        </w:rPr>
        <w:t>、</w:t>
        <w:tab/>
        <w:t>年金计划</w:t>
      </w:r>
      <w:bookmarkEnd w:id="1834"/>
      <w:bookmarkEnd w:id="1835"/>
      <w:bookmarkEnd w:id="1837"/>
    </w:p>
    <w:p>
      <w:pPr>
        <w:pStyle w:val="Style33"/>
        <w:keepNext/>
        <w:keepLines/>
        <w:widowControl w:val="0"/>
        <w:shd w:val="clear" w:color="auto" w:fill="auto"/>
        <w:tabs>
          <w:tab w:pos="378" w:val="left"/>
        </w:tabs>
        <w:bidi w:val="0"/>
        <w:spacing w:before="0" w:line="240" w:lineRule="auto"/>
        <w:ind w:left="0" w:right="0" w:firstLine="0"/>
        <w:jc w:val="both"/>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5</w:t>
      </w:r>
      <w:bookmarkEnd w:id="1840"/>
      <w:r>
        <w:rPr>
          <w:color w:val="000000"/>
          <w:spacing w:val="0"/>
          <w:w w:val="100"/>
          <w:position w:val="0"/>
        </w:rPr>
        <w:t>、</w:t>
        <w:tab/>
        <w:t>终止经营</w:t>
      </w:r>
      <w:bookmarkEnd w:id="1838"/>
      <w:bookmarkEnd w:id="1839"/>
      <w:bookmarkEnd w:id="1841"/>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1037"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42" w:name="bookmark1842"/>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6</w:t>
      </w:r>
      <w:bookmarkEnd w:id="1844"/>
      <w:r>
        <w:rPr>
          <w:color w:val="000000"/>
          <w:spacing w:val="0"/>
          <w:w w:val="100"/>
          <w:position w:val="0"/>
        </w:rPr>
        <w:t>、分部信息</w:t>
      </w:r>
      <w:bookmarkEnd w:id="1842"/>
      <w:bookmarkEnd w:id="1843"/>
      <w:bookmarkEnd w:id="1845"/>
    </w:p>
    <w:p>
      <w:pPr>
        <w:pStyle w:val="Style55"/>
        <w:keepNext/>
        <w:keepLines/>
        <w:widowControl w:val="0"/>
        <w:shd w:val="clear" w:color="auto" w:fill="auto"/>
        <w:tabs>
          <w:tab w:pos="493" w:val="left"/>
        </w:tabs>
        <w:bidi w:val="0"/>
        <w:spacing w:before="0" w:after="360" w:line="240" w:lineRule="auto"/>
        <w:ind w:left="0" w:right="0" w:firstLine="0"/>
        <w:jc w:val="left"/>
      </w:pPr>
      <w:bookmarkStart w:id="1846" w:name="bookmark1846"/>
      <w:bookmarkStart w:id="1847" w:name="bookmark1847"/>
      <w:bookmarkStart w:id="1848" w:name="bookmark1848"/>
      <w:bookmarkStart w:id="1849" w:name="bookmark1849"/>
      <w:r>
        <w:rPr>
          <w:color w:val="000000"/>
          <w:spacing w:val="0"/>
          <w:w w:val="100"/>
          <w:position w:val="0"/>
        </w:rPr>
        <w:t>（</w:t>
      </w:r>
      <w:bookmarkEnd w:id="1848"/>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846"/>
      <w:bookmarkEnd w:id="1847"/>
      <w:bookmarkEnd w:id="1849"/>
    </w:p>
    <w:p>
      <w:pPr>
        <w:pStyle w:val="Style55"/>
        <w:keepNext/>
        <w:keepLines/>
        <w:widowControl w:val="0"/>
        <w:shd w:val="clear" w:color="auto" w:fill="auto"/>
        <w:tabs>
          <w:tab w:pos="493" w:val="left"/>
        </w:tabs>
        <w:bidi w:val="0"/>
        <w:spacing w:before="0" w:after="360" w:line="240" w:lineRule="auto"/>
        <w:ind w:left="0" w:right="0" w:firstLine="0"/>
        <w:jc w:val="left"/>
      </w:pPr>
      <w:bookmarkStart w:id="1850" w:name="bookmark1850"/>
      <w:bookmarkStart w:id="1851" w:name="bookmark1851"/>
      <w:bookmarkStart w:id="1852" w:name="bookmark1852"/>
      <w:bookmarkStart w:id="1853" w:name="bookmark1853"/>
      <w:r>
        <w:rPr>
          <w:color w:val="000000"/>
          <w:spacing w:val="0"/>
          <w:w w:val="100"/>
          <w:position w:val="0"/>
        </w:rPr>
        <w:t>（</w:t>
      </w:r>
      <w:bookmarkEnd w:id="1852"/>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850"/>
      <w:bookmarkEnd w:id="1851"/>
      <w:bookmarkEnd w:id="1853"/>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pStyle w:val="Style55"/>
        <w:keepNext/>
        <w:keepLines/>
        <w:widowControl w:val="0"/>
        <w:numPr>
          <w:ilvl w:val="0"/>
          <w:numId w:val="73"/>
        </w:numPr>
        <w:shd w:val="clear" w:color="auto" w:fill="auto"/>
        <w:tabs>
          <w:tab w:pos="493" w:val="left"/>
        </w:tabs>
        <w:bidi w:val="0"/>
        <w:spacing w:before="0" w:after="360" w:line="240" w:lineRule="auto"/>
        <w:ind w:left="0" w:right="0" w:firstLine="0"/>
        <w:jc w:val="left"/>
      </w:pPr>
      <w:bookmarkStart w:id="1854" w:name="bookmark1854"/>
      <w:bookmarkStart w:id="1855" w:name="bookmark1855"/>
      <w:bookmarkStart w:id="1856" w:name="bookmark1856"/>
      <w:bookmarkStart w:id="1857" w:name="bookmark1857"/>
      <w:bookmarkEnd w:id="1856"/>
      <w:r>
        <w:rPr>
          <w:color w:val="000000"/>
          <w:spacing w:val="0"/>
          <w:w w:val="100"/>
          <w:position w:val="0"/>
        </w:rPr>
        <w:t>公司无报告分部的，或者不能披露各报告分部的资产总额和负债总额的，应说明原因</w:t>
      </w:r>
      <w:bookmarkEnd w:id="1854"/>
      <w:bookmarkEnd w:id="1855"/>
      <w:bookmarkEnd w:id="1857"/>
    </w:p>
    <w:p>
      <w:pPr>
        <w:pStyle w:val="Style55"/>
        <w:keepNext/>
        <w:keepLines/>
        <w:widowControl w:val="0"/>
        <w:numPr>
          <w:ilvl w:val="0"/>
          <w:numId w:val="73"/>
        </w:numPr>
        <w:shd w:val="clear" w:color="auto" w:fill="auto"/>
        <w:tabs>
          <w:tab w:pos="493" w:val="left"/>
        </w:tabs>
        <w:bidi w:val="0"/>
        <w:spacing w:before="0" w:after="360" w:line="240" w:lineRule="auto"/>
        <w:ind w:left="0" w:right="0" w:firstLine="0"/>
        <w:jc w:val="left"/>
      </w:pPr>
      <w:bookmarkStart w:id="1854" w:name="bookmark1854"/>
      <w:bookmarkStart w:id="1855" w:name="bookmark1855"/>
      <w:bookmarkStart w:id="1858" w:name="bookmark1858"/>
      <w:bookmarkStart w:id="1859" w:name="bookmark1859"/>
      <w:bookmarkEnd w:id="1858"/>
      <w:r>
        <w:rPr>
          <w:color w:val="000000"/>
          <w:spacing w:val="0"/>
          <w:w w:val="100"/>
          <w:position w:val="0"/>
        </w:rPr>
        <w:t>其他说明</w:t>
      </w:r>
      <w:bookmarkEnd w:id="1854"/>
      <w:bookmarkEnd w:id="1855"/>
      <w:bookmarkEnd w:id="1859"/>
    </w:p>
    <w:p>
      <w:pPr>
        <w:pStyle w:val="Style33"/>
        <w:keepNext/>
        <w:keepLines/>
        <w:widowControl w:val="0"/>
        <w:shd w:val="clear" w:color="auto" w:fill="auto"/>
        <w:tabs>
          <w:tab w:pos="373" w:val="left"/>
        </w:tabs>
        <w:bidi w:val="0"/>
        <w:spacing w:before="0" w:line="240" w:lineRule="auto"/>
        <w:ind w:left="0" w:right="0" w:firstLine="0"/>
        <w:jc w:val="left"/>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7</w:t>
      </w:r>
      <w:bookmarkEnd w:id="1862"/>
      <w:r>
        <w:rPr>
          <w:color w:val="000000"/>
          <w:spacing w:val="0"/>
          <w:w w:val="100"/>
          <w:position w:val="0"/>
        </w:rPr>
        <w:t>、</w:t>
        <w:tab/>
        <w:t>其他对投资者决策有影响的重要交易和事项</w:t>
      </w:r>
      <w:bookmarkEnd w:id="1860"/>
      <w:bookmarkEnd w:id="1861"/>
      <w:bookmarkEnd w:id="1863"/>
    </w:p>
    <w:p>
      <w:pPr>
        <w:pStyle w:val="Style33"/>
        <w:keepNext/>
        <w:keepLines/>
        <w:widowControl w:val="0"/>
        <w:shd w:val="clear" w:color="auto" w:fill="auto"/>
        <w:tabs>
          <w:tab w:pos="378" w:val="left"/>
        </w:tabs>
        <w:bidi w:val="0"/>
        <w:spacing w:before="0" w:line="240" w:lineRule="auto"/>
        <w:ind w:left="0" w:right="0" w:firstLine="0"/>
        <w:jc w:val="left"/>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8</w:t>
      </w:r>
      <w:bookmarkEnd w:id="1866"/>
      <w:r>
        <w:rPr>
          <w:color w:val="000000"/>
          <w:spacing w:val="0"/>
          <w:w w:val="100"/>
          <w:position w:val="0"/>
        </w:rPr>
        <w:t>、</w:t>
        <w:tab/>
        <w:t>其他</w:t>
      </w:r>
      <w:bookmarkEnd w:id="1864"/>
      <w:bookmarkEnd w:id="1865"/>
      <w:bookmarkEnd w:id="1867"/>
    </w:p>
    <w:p>
      <w:pPr>
        <w:pStyle w:val="Style27"/>
        <w:keepNext/>
        <w:keepLines/>
        <w:widowControl w:val="0"/>
        <w:shd w:val="clear" w:color="auto" w:fill="auto"/>
        <w:bidi w:val="0"/>
        <w:spacing w:before="0" w:line="240" w:lineRule="auto"/>
        <w:ind w:left="0" w:right="0" w:firstLine="0"/>
        <w:jc w:val="left"/>
      </w:pPr>
      <w:bookmarkStart w:id="1868" w:name="bookmark1868"/>
      <w:bookmarkStart w:id="1869" w:name="bookmark1869"/>
      <w:bookmarkStart w:id="1870" w:name="bookmark1870"/>
      <w:r>
        <w:rPr>
          <w:color w:val="000000"/>
          <w:spacing w:val="0"/>
          <w:w w:val="100"/>
          <w:position w:val="0"/>
          <w:sz w:val="24"/>
          <w:szCs w:val="24"/>
        </w:rPr>
        <w:t>十七、母公司财务报表主要项目注释</w:t>
      </w:r>
      <w:bookmarkEnd w:id="1868"/>
      <w:bookmarkEnd w:id="1869"/>
      <w:bookmarkEnd w:id="1870"/>
    </w:p>
    <w:p>
      <w:pPr>
        <w:pStyle w:val="Style33"/>
        <w:keepNext/>
        <w:keepLines/>
        <w:widowControl w:val="0"/>
        <w:shd w:val="clear" w:color="auto" w:fill="auto"/>
        <w:bidi w:val="0"/>
        <w:spacing w:before="0" w:line="240" w:lineRule="auto"/>
        <w:ind w:left="0" w:right="0" w:firstLine="0"/>
        <w:jc w:val="left"/>
      </w:pPr>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71"/>
      <w:bookmarkEnd w:id="1872"/>
      <w:bookmarkEnd w:id="1873"/>
    </w:p>
    <w:p>
      <w:pPr>
        <w:pStyle w:val="Style55"/>
        <w:keepNext/>
        <w:keepLines/>
        <w:widowControl w:val="0"/>
        <w:shd w:val="clear" w:color="auto" w:fill="auto"/>
        <w:bidi w:val="0"/>
        <w:spacing w:before="0" w:after="360" w:line="240" w:lineRule="auto"/>
        <w:ind w:left="0" w:right="0" w:firstLine="140"/>
        <w:jc w:val="left"/>
      </w:pPr>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74"/>
      <w:bookmarkEnd w:id="1875"/>
      <w:bookmarkEnd w:id="1876"/>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297,684,</w:t>
            </w:r>
          </w:p>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374.86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24,283,9</w:t>
            </w:r>
          </w:p>
          <w:p>
            <w:pPr>
              <w:pStyle w:val="Style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273,400,4</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281,952</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21,825,12</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260,127,71</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r>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297,684,</w:t>
            </w:r>
          </w:p>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374.86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24,283,9</w:t>
            </w:r>
          </w:p>
          <w:p>
            <w:pPr>
              <w:pStyle w:val="Style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15.70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8.27%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273,400,4</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281,952</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,836.82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21,825,12</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260,127,71</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221,722,121.40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6,651,663.64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53,752,525.62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5,375,252.56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8,502,177.22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2,550,653.17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9,706,346.33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9,706,346.33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293,683,170.57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24,283,915.70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组合中，采用其他方法计提坏账准备的应收账款：</w:t>
      </w:r>
    </w:p>
    <w:p>
      <w:pPr>
        <w:pStyle w:val="Style29"/>
        <w:keepNext w:val="0"/>
        <w:keepLines w:val="0"/>
        <w:widowControl w:val="0"/>
        <w:shd w:val="clear" w:color="auto" w:fill="auto"/>
        <w:tabs>
          <w:tab w:pos="4315" w:val="right"/>
          <w:tab w:pos="6514" w:val="right"/>
          <w:tab w:pos="8664" w:val="right"/>
        </w:tabs>
        <w:bidi w:val="0"/>
        <w:spacing w:before="0" w:line="240" w:lineRule="auto"/>
        <w:ind w:left="0" w:right="0" w:firstLine="0"/>
        <w:jc w:val="left"/>
        <w:rPr>
          <w:sz w:val="18"/>
          <w:szCs w:val="18"/>
        </w:rPr>
      </w:pPr>
      <w:r>
        <w:rPr>
          <w:color w:val="000000"/>
          <w:spacing w:val="0"/>
          <w:w w:val="100"/>
          <w:position w:val="0"/>
          <w:sz w:val="17"/>
          <w:szCs w:val="17"/>
        </w:rPr>
        <w:t>组合</w:t>
        <w:tab/>
        <w:t>账面余额</w:t>
        <w:tab/>
        <w:t>坏账准备</w:t>
        <w:tab/>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p>
      <w:pPr>
        <w:pStyle w:val="Style67"/>
        <w:keepNext w:val="0"/>
        <w:keepLines w:val="0"/>
        <w:widowControl w:val="0"/>
        <w:shd w:val="clear" w:color="auto" w:fill="auto"/>
        <w:tabs>
          <w:tab w:pos="4315" w:val="right"/>
        </w:tabs>
        <w:bidi w:val="0"/>
        <w:spacing w:before="0" w:after="160" w:line="240" w:lineRule="auto"/>
        <w:ind w:left="0" w:right="0" w:firstLine="0"/>
        <w:jc w:val="left"/>
      </w:pPr>
      <w:r>
        <w:rPr>
          <w:rFonts w:ascii="SimSun" w:eastAsia="SimSun" w:hAnsi="SimSun" w:cs="SimSun"/>
          <w:color w:val="000000"/>
          <w:spacing w:val="0"/>
          <w:w w:val="100"/>
          <w:position w:val="0"/>
          <w:sz w:val="17"/>
          <w:szCs w:val="17"/>
        </w:rPr>
        <w:t>关联方组合</w:t>
        <w:tab/>
      </w:r>
      <w:r>
        <w:rPr>
          <w:color w:val="000000"/>
          <w:spacing w:val="0"/>
          <w:w w:val="100"/>
          <w:position w:val="0"/>
        </w:rPr>
        <w:t>4,001,204.29</w:t>
      </w:r>
    </w:p>
    <w:p>
      <w:pPr>
        <w:pStyle w:val="Style67"/>
        <w:keepNext w:val="0"/>
        <w:keepLines w:val="0"/>
        <w:widowControl w:val="0"/>
        <w:shd w:val="clear" w:color="auto" w:fill="auto"/>
        <w:tabs>
          <w:tab w:pos="4315" w:val="right"/>
        </w:tabs>
        <w:bidi w:val="0"/>
        <w:spacing w:before="0" w:after="720" w:line="240" w:lineRule="auto"/>
        <w:ind w:left="0" w:right="0" w:firstLine="0"/>
        <w:jc w:val="left"/>
      </w:pPr>
      <w:r>
        <w:rPr>
          <w:rFonts w:ascii="SimSun" w:eastAsia="SimSun" w:hAnsi="SimSun" w:cs="SimSun"/>
          <w:color w:val="000000"/>
          <w:spacing w:val="0"/>
          <w:w w:val="100"/>
          <w:position w:val="0"/>
          <w:sz w:val="17"/>
          <w:szCs w:val="17"/>
        </w:rPr>
        <w:t>小计</w:t>
        <w:tab/>
      </w:r>
      <w:r>
        <w:rPr>
          <w:color w:val="000000"/>
          <w:spacing w:val="0"/>
          <w:w w:val="100"/>
          <w:position w:val="0"/>
          <w:u w:val="single"/>
        </w:rPr>
        <w:t>4,001,204.29</w:t>
      </w:r>
    </w:p>
    <w:p>
      <w:pPr>
        <w:pStyle w:val="Style55"/>
        <w:keepNext/>
        <w:keepLines/>
        <w:widowControl w:val="0"/>
        <w:shd w:val="clear" w:color="auto" w:fill="auto"/>
        <w:bidi w:val="0"/>
        <w:spacing w:before="0" w:line="240" w:lineRule="auto"/>
        <w:ind w:left="0" w:right="0" w:firstLine="0"/>
        <w:jc w:val="left"/>
      </w:pPr>
      <w:bookmarkStart w:id="1877" w:name="bookmark1877"/>
      <w:bookmarkStart w:id="1878" w:name="bookmark1878"/>
      <w:bookmarkStart w:id="1879" w:name="bookmark18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77"/>
      <w:bookmarkEnd w:id="1878"/>
      <w:bookmarkEnd w:id="1879"/>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2,458,794.54</w:t>
      </w:r>
      <w:r>
        <w:rPr>
          <w:color w:val="000000"/>
          <w:spacing w:val="0"/>
          <w:w w:val="100"/>
          <w:position w:val="0"/>
        </w:rPr>
        <w:t>元；本期收回或转回坏账准备金额元。</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55"/>
        <w:keepNext/>
        <w:keepLines/>
        <w:widowControl w:val="0"/>
        <w:shd w:val="clear" w:color="auto" w:fill="auto"/>
        <w:bidi w:val="0"/>
        <w:spacing w:before="0" w:line="240" w:lineRule="auto"/>
        <w:ind w:left="0" w:right="0" w:firstLine="0"/>
        <w:jc w:val="left"/>
      </w:pPr>
      <w:bookmarkStart w:id="1880" w:name="bookmark1880"/>
      <w:bookmarkStart w:id="1881" w:name="bookmark1881"/>
      <w:bookmarkStart w:id="1882" w:name="bookmark1882"/>
      <w:bookmarkStart w:id="1883" w:name="bookmark1883"/>
      <w:r>
        <w:rPr>
          <w:color w:val="000000"/>
          <w:spacing w:val="0"/>
          <w:w w:val="100"/>
          <w:position w:val="0"/>
        </w:rPr>
        <w:t>（</w:t>
      </w:r>
      <w:bookmarkEnd w:id="188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880"/>
      <w:bookmarkEnd w:id="1881"/>
      <w:bookmarkEnd w:id="1883"/>
    </w:p>
    <w:p>
      <w:pPr>
        <w:pStyle w:val="Style29"/>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其中重要的应收账款核销情况：</w:t>
      </w:r>
    </w:p>
    <w:p>
      <w:pPr>
        <w:pStyle w:val="Style29"/>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55"/>
        <w:keepNext/>
        <w:keepLines/>
        <w:widowControl w:val="0"/>
        <w:shd w:val="clear" w:color="auto" w:fill="auto"/>
        <w:bidi w:val="0"/>
        <w:spacing w:before="0" w:after="320" w:line="240" w:lineRule="auto"/>
        <w:ind w:left="0" w:right="0" w:firstLine="0"/>
        <w:jc w:val="left"/>
      </w:pPr>
      <w:bookmarkStart w:id="1884" w:name="bookmark1884"/>
      <w:bookmarkStart w:id="1885" w:name="bookmark1885"/>
      <w:bookmarkStart w:id="1886" w:name="bookmark1886"/>
      <w:bookmarkStart w:id="1887" w:name="bookmark1887"/>
      <w:r>
        <w:rPr>
          <w:color w:val="000000"/>
          <w:spacing w:val="0"/>
          <w:w w:val="100"/>
          <w:position w:val="0"/>
        </w:rPr>
        <w:t>（</w:t>
      </w:r>
      <w:bookmarkEnd w:id="188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884"/>
      <w:bookmarkEnd w:id="1885"/>
      <w:bookmarkEnd w:id="1887"/>
    </w:p>
    <w:tbl>
      <w:tblPr>
        <w:tblOverlap w:val="never"/>
        <w:jc w:val="left"/>
        <w:tblLayout w:type="fixed"/>
      </w:tblPr>
      <w:tblGrid>
        <w:gridCol w:w="2189"/>
        <w:gridCol w:w="2174"/>
        <w:gridCol w:w="2174"/>
        <w:gridCol w:w="2184"/>
      </w:tblGrid>
      <w:tr>
        <w:trPr>
          <w:trHeight w:val="36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346" w:hRule="exact"/>
        </w:trPr>
        <w:tc>
          <w:tcPr>
            <w:vMerge w:val="restart"/>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44,668,350.65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9,060,961.78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3.04</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0.07</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164,503.20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0.06</w:t>
            </w:r>
          </w:p>
        </w:tc>
      </w:tr>
      <w:tr>
        <w:trPr>
          <w:trHeight w:val="346" w:hRule="exact"/>
        </w:trPr>
        <w:tc>
          <w:tcPr>
            <w:vMerge w:val="restart"/>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25,929,458.15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8.71</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24,634,178.84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8.28</w:t>
            </w:r>
          </w:p>
        </w:tc>
      </w:tr>
      <w:tr>
        <w:trPr>
          <w:trHeight w:val="350" w:hRule="exact"/>
        </w:trPr>
        <w:tc>
          <w:tcPr>
            <w:vMerge w:val="restart"/>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27,897,028.13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9.37</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6,762,324.60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2.27</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3,309,536.95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1.11</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2,246,400.00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0.75</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10,877,661.71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3.65</w:t>
            </w:r>
          </w:p>
        </w:tc>
      </w:tr>
      <w:tr>
        <w:trPr>
          <w:trHeight w:val="346" w:hRule="exact"/>
        </w:trPr>
        <w:tc>
          <w:tcPr>
            <w:vMerge w:val="restart"/>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9,679,333.37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3.25</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0.23</w:t>
            </w:r>
          </w:p>
        </w:tc>
      </w:tr>
      <w:tr>
        <w:trPr>
          <w:trHeight w:val="35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166,102,537.38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55.80</w:t>
            </w:r>
          </w:p>
        </w:tc>
      </w:tr>
    </w:tbl>
    <w:p>
      <w:pPr>
        <w:spacing w:lineRule="exact" w:line="1"/>
        <w:rPr>
          <w:sz w:val="2"/>
          <w:szCs w:val="2"/>
        </w:rPr>
      </w:pPr>
      <w:r>
        <w:br w:type="page"/>
      </w:r>
    </w:p>
    <w:p>
      <w:pPr>
        <w:pStyle w:val="Style55"/>
        <w:keepNext/>
        <w:keepLines/>
        <w:widowControl w:val="0"/>
        <w:shd w:val="clear" w:color="auto" w:fill="auto"/>
        <w:tabs>
          <w:tab w:pos="493" w:val="left"/>
        </w:tabs>
        <w:bidi w:val="0"/>
        <w:spacing w:before="0" w:after="360" w:line="240" w:lineRule="auto"/>
        <w:ind w:left="0" w:right="0" w:firstLine="0"/>
        <w:jc w:val="left"/>
      </w:pPr>
      <w:bookmarkStart w:id="1888" w:name="bookmark1888"/>
      <w:bookmarkStart w:id="1889" w:name="bookmark1889"/>
      <w:bookmarkStart w:id="1890" w:name="bookmark1890"/>
      <w:bookmarkStart w:id="1891" w:name="bookmark1891"/>
      <w:r>
        <w:rPr>
          <w:color w:val="000000"/>
          <w:spacing w:val="0"/>
          <w:w w:val="100"/>
          <w:position w:val="0"/>
        </w:rPr>
        <w:t>（</w:t>
      </w:r>
      <w:bookmarkEnd w:id="1890"/>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888"/>
      <w:bookmarkEnd w:id="1889"/>
      <w:bookmarkEnd w:id="1891"/>
    </w:p>
    <w:p>
      <w:pPr>
        <w:pStyle w:val="Style55"/>
        <w:keepNext/>
        <w:keepLines/>
        <w:widowControl w:val="0"/>
        <w:shd w:val="clear" w:color="auto" w:fill="auto"/>
        <w:tabs>
          <w:tab w:pos="493" w:val="left"/>
        </w:tabs>
        <w:bidi w:val="0"/>
        <w:spacing w:before="0" w:after="360" w:line="240" w:lineRule="auto"/>
        <w:ind w:left="0" w:right="0" w:firstLine="0"/>
        <w:jc w:val="left"/>
      </w:pPr>
      <w:bookmarkStart w:id="1892" w:name="bookmark1892"/>
      <w:bookmarkStart w:id="1893" w:name="bookmark1893"/>
      <w:bookmarkStart w:id="1894" w:name="bookmark1894"/>
      <w:bookmarkStart w:id="1895" w:name="bookmark1895"/>
      <w:r>
        <w:rPr>
          <w:color w:val="000000"/>
          <w:spacing w:val="0"/>
          <w:w w:val="100"/>
          <w:position w:val="0"/>
        </w:rPr>
        <w:t>（</w:t>
      </w:r>
      <w:bookmarkEnd w:id="1894"/>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892"/>
      <w:bookmarkEnd w:id="1893"/>
      <w:bookmarkEnd w:id="1895"/>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7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应收关联方账款情况</w:t>
      </w:r>
    </w:p>
    <w:tbl>
      <w:tblPr>
        <w:tblOverlap w:val="never"/>
        <w:jc w:val="left"/>
        <w:tblLayout w:type="fixed"/>
      </w:tblPr>
      <w:tblGrid>
        <w:gridCol w:w="2554"/>
        <w:gridCol w:w="1795"/>
        <w:gridCol w:w="2174"/>
        <w:gridCol w:w="2184"/>
      </w:tblGrid>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与本公司关系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占应收账款余额的比例</w:t>
            </w: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江苏高伟达信息技术有限公司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全资子公司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3,180,000.00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1.07</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上海睿民互联网科技有限公司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全资子公司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821.204.29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0.27</w:t>
            </w:r>
          </w:p>
        </w:tc>
      </w:tr>
      <w:tr>
        <w:trPr>
          <w:trHeight w:val="36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4,001,204.29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1.34</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96"/>
      <w:bookmarkEnd w:id="1897"/>
      <w:bookmarkEnd w:id="1898"/>
    </w:p>
    <w:p>
      <w:pPr>
        <w:pStyle w:val="Style55"/>
        <w:keepNext/>
        <w:keepLines/>
        <w:widowControl w:val="0"/>
        <w:shd w:val="clear" w:color="auto" w:fill="auto"/>
        <w:bidi w:val="0"/>
        <w:spacing w:before="0" w:after="360" w:line="240" w:lineRule="auto"/>
        <w:ind w:left="0" w:right="0" w:firstLine="0"/>
        <w:jc w:val="left"/>
      </w:pPr>
      <w:bookmarkStart w:id="1899" w:name="bookmark1899"/>
      <w:bookmarkStart w:id="1900" w:name="bookmark1900"/>
      <w:bookmarkStart w:id="1901" w:name="bookmark19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899"/>
      <w:bookmarkEnd w:id="1900"/>
      <w:bookmarkEnd w:id="1901"/>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按信用风险特征组</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合计提坏账准备的</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5,987,57</w:t>
            </w:r>
          </w:p>
          <w:p>
            <w:pPr>
              <w:pStyle w:val="Style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1,429,92</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4,557,650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1,706,093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4,631,256.0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5,987,57</w:t>
            </w:r>
          </w:p>
          <w:p>
            <w:pPr>
              <w:pStyle w:val="Style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5.76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1,429,92</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23.88%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4,557,650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1,706,093</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26.92%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4,631,256.0</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3,675,280.55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110,258.43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1,041,925.02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104,192.50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78,422.00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23,526.60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1,191,948.19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1,191,948.19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p>
    <w:tbl>
      <w:tblPr>
        <w:tblOverlap w:val="never"/>
        <w:jc w:val="center"/>
        <w:tblLayout w:type="fixed"/>
      </w:tblPr>
      <w:tblGrid>
        <w:gridCol w:w="2496"/>
        <w:gridCol w:w="2294"/>
        <w:gridCol w:w="2390"/>
        <w:gridCol w:w="2400"/>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5,987,575.76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1,429,925.72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bidi w:val="0"/>
        <w:spacing w:before="0" w:line="240" w:lineRule="auto"/>
        <w:ind w:left="0" w:right="0" w:firstLine="0"/>
        <w:jc w:val="left"/>
      </w:pPr>
      <w:bookmarkStart w:id="1902" w:name="bookmark1902"/>
      <w:bookmarkStart w:id="1903" w:name="bookmark1903"/>
      <w:bookmarkStart w:id="1904" w:name="bookmark19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02"/>
      <w:bookmarkEnd w:id="1903"/>
      <w:bookmarkEnd w:id="190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276,167.40</w:t>
      </w:r>
      <w:r>
        <w:rPr>
          <w:color w:val="000000"/>
          <w:spacing w:val="0"/>
          <w:w w:val="100"/>
          <w:position w:val="0"/>
        </w:rPr>
        <w:t>元；本期收回或转回坏账准备金额元。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55"/>
        <w:keepNext/>
        <w:keepLines/>
        <w:widowControl w:val="0"/>
        <w:shd w:val="clear" w:color="auto" w:fill="auto"/>
        <w:bidi w:val="0"/>
        <w:spacing w:before="0" w:line="240" w:lineRule="auto"/>
        <w:ind w:left="0" w:right="0" w:firstLine="0"/>
        <w:jc w:val="left"/>
      </w:pPr>
      <w:bookmarkStart w:id="1905" w:name="bookmark1905"/>
      <w:bookmarkStart w:id="1906" w:name="bookmark1906"/>
      <w:bookmarkStart w:id="1907" w:name="bookmark1907"/>
      <w:bookmarkStart w:id="1908" w:name="bookmark1908"/>
      <w:r>
        <w:rPr>
          <w:color w:val="000000"/>
          <w:spacing w:val="0"/>
          <w:w w:val="100"/>
          <w:position w:val="0"/>
        </w:rPr>
        <w:t>（</w:t>
      </w:r>
      <w:bookmarkEnd w:id="1907"/>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905"/>
      <w:bookmarkEnd w:id="1906"/>
      <w:bookmarkEnd w:id="1908"/>
    </w:p>
    <w:p>
      <w:pPr>
        <w:pStyle w:val="Style29"/>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9"/>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55"/>
        <w:keepNext/>
        <w:keepLines/>
        <w:widowControl w:val="0"/>
        <w:shd w:val="clear" w:color="auto" w:fill="auto"/>
        <w:bidi w:val="0"/>
        <w:spacing w:before="0" w:line="240" w:lineRule="auto"/>
        <w:ind w:left="0" w:right="0" w:firstLine="0"/>
        <w:jc w:val="left"/>
      </w:pPr>
      <w:bookmarkStart w:id="1909" w:name="bookmark1909"/>
      <w:bookmarkStart w:id="1910" w:name="bookmark1910"/>
      <w:bookmarkStart w:id="1911" w:name="bookmark1911"/>
      <w:bookmarkStart w:id="1912" w:name="bookmark1912"/>
      <w:r>
        <w:rPr>
          <w:color w:val="000000"/>
          <w:spacing w:val="0"/>
          <w:w w:val="100"/>
          <w:position w:val="0"/>
        </w:rPr>
        <w:t>（</w:t>
      </w:r>
      <w:bookmarkEnd w:id="1911"/>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909"/>
      <w:bookmarkEnd w:id="1910"/>
      <w:bookmarkEnd w:id="1912"/>
    </w:p>
    <w:p>
      <w:pPr>
        <w:pStyle w:val="Style5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5,987,575.76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6,337,349.20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5,987,575.76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6,337,349.20</w:t>
            </w:r>
          </w:p>
        </w:tc>
      </w:tr>
    </w:tbl>
    <w:p>
      <w:pPr>
        <w:widowControl w:val="0"/>
        <w:spacing w:after="319" w:line="1" w:lineRule="exact"/>
      </w:pPr>
    </w:p>
    <w:p>
      <w:pPr>
        <w:pStyle w:val="Style55"/>
        <w:keepNext/>
        <w:keepLines/>
        <w:widowControl w:val="0"/>
        <w:shd w:val="clear" w:color="auto" w:fill="auto"/>
        <w:bidi w:val="0"/>
        <w:spacing w:before="0" w:line="240" w:lineRule="auto"/>
        <w:ind w:left="0" w:right="0" w:firstLine="0"/>
        <w:jc w:val="left"/>
      </w:pPr>
      <w:bookmarkStart w:id="1913" w:name="bookmark1913"/>
      <w:bookmarkStart w:id="1914" w:name="bookmark1914"/>
      <w:bookmarkStart w:id="1915" w:name="bookmark1915"/>
      <w:bookmarkStart w:id="1916" w:name="bookmark1916"/>
      <w:r>
        <w:rPr>
          <w:color w:val="000000"/>
          <w:spacing w:val="0"/>
          <w:w w:val="100"/>
          <w:position w:val="0"/>
        </w:rPr>
        <w:t>（</w:t>
      </w:r>
      <w:bookmarkEnd w:id="1915"/>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913"/>
      <w:bookmarkEnd w:id="1914"/>
      <w:bookmarkEnd w:id="1916"/>
    </w:p>
    <w:p>
      <w:pPr>
        <w:pStyle w:val="Style5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888,000.00</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26,640.00</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8"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bl>
    <w:p>
      <w:pPr>
        <w:widowControl w:val="0"/>
        <w:spacing w:line="1" w:lineRule="exact"/>
      </w:pPr>
      <w:r>
        <w:br w:type="page"/>
      </w:r>
    </w:p>
    <w:tbl>
      <w:tblPr>
        <w:tblOverlap w:val="never"/>
        <w:jc w:val="center"/>
        <w:tblLayout w:type="fixed"/>
      </w:tblPr>
      <w:tblGrid>
        <w:gridCol w:w="1690"/>
        <w:gridCol w:w="1550"/>
        <w:gridCol w:w="1550"/>
        <w:gridCol w:w="1555"/>
        <w:gridCol w:w="1613"/>
        <w:gridCol w:w="1622"/>
      </w:tblGrid>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398,000.00</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39,800.00</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248,696.00</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248,696.00</w:t>
            </w:r>
          </w:p>
        </w:tc>
      </w:tr>
      <w:tr>
        <w:trPr>
          <w:trHeight w:val="403"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2,134,696.00</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541,136.00</w:t>
            </w:r>
          </w:p>
        </w:tc>
      </w:tr>
    </w:tbl>
    <w:p>
      <w:pPr>
        <w:widowControl w:val="0"/>
        <w:spacing w:after="359" w:line="1" w:lineRule="exact"/>
      </w:pPr>
    </w:p>
    <w:p>
      <w:pPr>
        <w:pStyle w:val="Style55"/>
        <w:keepNext/>
        <w:keepLines/>
        <w:widowControl w:val="0"/>
        <w:shd w:val="clear" w:color="auto" w:fill="auto"/>
        <w:bidi w:val="0"/>
        <w:spacing w:before="0" w:after="360" w:line="240" w:lineRule="auto"/>
        <w:ind w:left="0" w:right="0" w:firstLine="140"/>
        <w:jc w:val="left"/>
      </w:pPr>
      <w:bookmarkStart w:id="1917" w:name="bookmark1917"/>
      <w:bookmarkStart w:id="1918" w:name="bookmark1918"/>
      <w:bookmarkStart w:id="1919" w:name="bookmark1919"/>
      <w:bookmarkStart w:id="1920" w:name="bookmark1920"/>
      <w:r>
        <w:rPr>
          <w:color w:val="000000"/>
          <w:spacing w:val="0"/>
          <w:w w:val="100"/>
          <w:position w:val="0"/>
        </w:rPr>
        <w:t>（</w:t>
      </w:r>
      <w:bookmarkEnd w:id="1919"/>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917"/>
      <w:bookmarkEnd w:id="1918"/>
      <w:bookmarkEnd w:id="1920"/>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2"/>
        <w:gridCol w:w="1867"/>
        <w:gridCol w:w="1954"/>
      </w:tblGrid>
      <w:tr>
        <w:trPr>
          <w:trHeight w:val="73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55"/>
        <w:keepNext/>
        <w:keepLines/>
        <w:widowControl w:val="0"/>
        <w:shd w:val="clear" w:color="auto" w:fill="auto"/>
        <w:tabs>
          <w:tab w:pos="493" w:val="left"/>
        </w:tabs>
        <w:bidi w:val="0"/>
        <w:spacing w:before="0" w:after="360" w:line="240" w:lineRule="auto"/>
        <w:ind w:left="0" w:right="0" w:firstLine="0"/>
        <w:jc w:val="left"/>
      </w:pPr>
      <w:bookmarkStart w:id="1921" w:name="bookmark1921"/>
      <w:bookmarkStart w:id="1922" w:name="bookmark1922"/>
      <w:bookmarkStart w:id="1923" w:name="bookmark1923"/>
      <w:bookmarkStart w:id="1924" w:name="bookmark1924"/>
      <w:r>
        <w:rPr>
          <w:color w:val="000000"/>
          <w:spacing w:val="0"/>
          <w:w w:val="100"/>
          <w:position w:val="0"/>
        </w:rPr>
        <w:t>（</w:t>
      </w:r>
      <w:bookmarkEnd w:id="1923"/>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921"/>
      <w:bookmarkEnd w:id="1922"/>
      <w:bookmarkEnd w:id="1924"/>
    </w:p>
    <w:p>
      <w:pPr>
        <w:pStyle w:val="Style55"/>
        <w:keepNext/>
        <w:keepLines/>
        <w:widowControl w:val="0"/>
        <w:shd w:val="clear" w:color="auto" w:fill="auto"/>
        <w:tabs>
          <w:tab w:pos="493" w:val="left"/>
        </w:tabs>
        <w:bidi w:val="0"/>
        <w:spacing w:before="0" w:after="400" w:line="240" w:lineRule="auto"/>
        <w:ind w:left="0" w:right="0" w:firstLine="0"/>
        <w:jc w:val="left"/>
      </w:pPr>
      <w:bookmarkStart w:id="1925" w:name="bookmark1925"/>
      <w:bookmarkStart w:id="1926" w:name="bookmark1926"/>
      <w:bookmarkStart w:id="1927" w:name="bookmark1927"/>
      <w:bookmarkStart w:id="1928" w:name="bookmark1928"/>
      <w:r>
        <w:rPr>
          <w:color w:val="000000"/>
          <w:spacing w:val="0"/>
          <w:w w:val="100"/>
          <w:position w:val="0"/>
        </w:rPr>
        <w:t>（</w:t>
      </w:r>
      <w:bookmarkEnd w:id="1927"/>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925"/>
      <w:bookmarkEnd w:id="1926"/>
      <w:bookmarkEnd w:id="1928"/>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929" w:name="bookmark1929"/>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3</w:t>
      </w:r>
      <w:bookmarkEnd w:id="1931"/>
      <w:r>
        <w:rPr>
          <w:color w:val="000000"/>
          <w:spacing w:val="0"/>
          <w:w w:val="100"/>
          <w:position w:val="0"/>
        </w:rPr>
        <w:t>、长期股权投资</w:t>
      </w:r>
      <w:bookmarkEnd w:id="1929"/>
      <w:bookmarkEnd w:id="1930"/>
      <w:bookmarkEnd w:id="1932"/>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679,895,408.70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679,895,408.70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19,500,000.00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679,895,408.70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679,895,408.70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29,500,000.00</w:t>
            </w:r>
          </w:p>
        </w:tc>
      </w:tr>
    </w:tbl>
    <w:p>
      <w:pPr>
        <w:widowControl w:val="0"/>
        <w:spacing w:after="359" w:line="1" w:lineRule="exact"/>
      </w:pPr>
    </w:p>
    <w:p>
      <w:pPr>
        <w:pStyle w:val="Style55"/>
        <w:keepNext/>
        <w:keepLines/>
        <w:widowControl w:val="0"/>
        <w:shd w:val="clear" w:color="auto" w:fill="auto"/>
        <w:bidi w:val="0"/>
        <w:spacing w:before="0" w:after="360" w:line="240" w:lineRule="auto"/>
        <w:ind w:left="0" w:right="0" w:firstLine="140"/>
        <w:jc w:val="left"/>
      </w:pPr>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33"/>
      <w:bookmarkEnd w:id="1934"/>
      <w:bookmarkEnd w:id="1935"/>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上海睿民互联网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299,999,982.22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299,999,982.22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海南坚果创娱信 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253,660,888.94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253,660,888.94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喀什尚河信息科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116,152,537.54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116,152,537.54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C8EDCC"/>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江苏高伟达信息 技术有限公司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10,077,700.00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1339"/>
        <w:gridCol w:w="1334"/>
        <w:gridCol w:w="1334"/>
        <w:gridCol w:w="1334"/>
        <w:gridCol w:w="1387"/>
        <w:gridCol w:w="1402"/>
      </w:tblGrid>
      <w:tr>
        <w:trPr>
          <w:trHeight w:val="1027"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上海高伟达计算 机系统工程有限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北京高伟达祖云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669,895,408.70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679,895,408.70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5"/>
        <w:keepNext/>
        <w:keepLines/>
        <w:widowControl w:val="0"/>
        <w:shd w:val="clear" w:color="auto" w:fill="auto"/>
        <w:bidi w:val="0"/>
        <w:spacing w:before="0" w:after="360" w:line="240" w:lineRule="auto"/>
        <w:ind w:left="0" w:right="0" w:firstLine="0"/>
        <w:jc w:val="left"/>
      </w:pPr>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36"/>
      <w:bookmarkEnd w:id="1937"/>
      <w:bookmarkEnd w:id="1938"/>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C8EDCC"/>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盈行金融 信息技术</w:t>
            </w:r>
          </w:p>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19,500,00</w:t>
            </w:r>
          </w:p>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19,500,00</w:t>
            </w:r>
          </w:p>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19,500,00</w:t>
            </w:r>
          </w:p>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19,500,00</w:t>
            </w:r>
          </w:p>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19,500,00</w:t>
            </w:r>
          </w:p>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19,500,00</w:t>
            </w:r>
          </w:p>
          <w:p>
            <w:pPr>
              <w:pStyle w:val="Style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5"/>
        <w:keepNext/>
        <w:keepLines/>
        <w:widowControl w:val="0"/>
        <w:shd w:val="clear" w:color="auto" w:fill="auto"/>
        <w:bidi w:val="0"/>
        <w:spacing w:before="0" w:after="360" w:line="240" w:lineRule="auto"/>
        <w:ind w:left="0" w:right="0" w:firstLine="0"/>
        <w:jc w:val="left"/>
      </w:pPr>
      <w:bookmarkStart w:id="1939" w:name="bookmark1939"/>
      <w:bookmarkStart w:id="1940" w:name="bookmark1940"/>
      <w:bookmarkStart w:id="1941" w:name="bookmark1941"/>
      <w:bookmarkStart w:id="1942" w:name="bookmark1942"/>
      <w:r>
        <w:rPr>
          <w:color w:val="000000"/>
          <w:spacing w:val="0"/>
          <w:w w:val="100"/>
          <w:position w:val="0"/>
        </w:rPr>
        <w:t>（</w:t>
      </w:r>
      <w:bookmarkEnd w:id="1941"/>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939"/>
      <w:bookmarkEnd w:id="1940"/>
      <w:bookmarkEnd w:id="1942"/>
    </w:p>
    <w:p>
      <w:pPr>
        <w:pStyle w:val="Style33"/>
        <w:keepNext/>
        <w:keepLines/>
        <w:widowControl w:val="0"/>
        <w:shd w:val="clear" w:color="auto" w:fill="auto"/>
        <w:bidi w:val="0"/>
        <w:spacing w:before="0" w:line="240" w:lineRule="auto"/>
        <w:ind w:left="0" w:right="0" w:firstLine="0"/>
        <w:jc w:val="left"/>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4</w:t>
      </w:r>
      <w:bookmarkEnd w:id="1945"/>
      <w:r>
        <w:rPr>
          <w:color w:val="000000"/>
          <w:spacing w:val="0"/>
          <w:w w:val="100"/>
          <w:position w:val="0"/>
        </w:rPr>
        <w:t>、营业收入和营业成本</w:t>
      </w:r>
      <w:bookmarkEnd w:id="1943"/>
      <w:bookmarkEnd w:id="1944"/>
      <w:bookmarkEnd w:id="1946"/>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784,186,689.75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606,231,313.98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797,308,908.66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602,811,715.41</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784,186,689.75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606,231,313.98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797,308,908.66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602,811,715.41</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947" w:name="bookmark1947"/>
      <w:bookmarkStart w:id="1948" w:name="bookmark1948"/>
      <w:bookmarkStart w:id="1949" w:name="bookmark1949"/>
      <w:r>
        <w:rPr>
          <w:color w:val="000000"/>
          <w:spacing w:val="0"/>
          <w:w w:val="100"/>
          <w:position w:val="0"/>
          <w:sz w:val="24"/>
          <w:szCs w:val="24"/>
        </w:rPr>
        <w:t>十八、补充资料</w:t>
      </w:r>
      <w:bookmarkEnd w:id="1947"/>
      <w:bookmarkEnd w:id="1948"/>
      <w:bookmarkEnd w:id="1949"/>
    </w:p>
    <w:p>
      <w:pPr>
        <w:pStyle w:val="Style33"/>
        <w:keepNext/>
        <w:keepLines/>
        <w:widowControl w:val="0"/>
        <w:shd w:val="clear" w:color="auto" w:fill="auto"/>
        <w:bidi w:val="0"/>
        <w:spacing w:before="0" w:line="240" w:lineRule="auto"/>
        <w:ind w:left="0" w:right="0" w:firstLine="0"/>
        <w:jc w:val="both"/>
      </w:pPr>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50"/>
      <w:bookmarkEnd w:id="1951"/>
      <w:bookmarkEnd w:id="1952"/>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82,920.24</w:t>
            </w:r>
          </w:p>
        </w:tc>
        <w:tc>
          <w:tcPr>
            <w:tcBorders>
              <w:top w:val="single" w:sz="4"/>
              <w:left w:val="single" w:sz="4"/>
              <w:right w:val="single" w:sz="4"/>
            </w:tcBorders>
            <w:shd w:val="clear" w:color="auto" w:fill="C8EDCC"/>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425,664.44</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-1,173,763.00</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35,387.61</w:t>
            </w:r>
          </w:p>
        </w:tc>
        <w:tc>
          <w:tcPr>
            <w:tcBorders>
              <w:top w:val="single" w:sz="4"/>
              <w:left w:val="single" w:sz="4"/>
              <w:right w:val="single" w:sz="4"/>
            </w:tcBorders>
            <w:shd w:val="clear" w:color="auto" w:fill="C8EDCC"/>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-700,565.93</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9"/>
        <w:keepNext w:val="0"/>
        <w:keepLines w:val="0"/>
        <w:widowControl w:val="0"/>
        <w:shd w:val="clear" w:color="auto" w:fill="auto"/>
        <w:bidi w:val="0"/>
        <w:spacing w:before="0" w:after="280"/>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80" w:line="240" w:lineRule="auto"/>
        <w:ind w:left="0" w:right="0" w:firstLine="0"/>
        <w:jc w:val="both"/>
      </w:pPr>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953"/>
      <w:bookmarkEnd w:id="1954"/>
      <w:bookmarkEnd w:id="1955"/>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0.0539</w:t>
            </w:r>
          </w:p>
        </w:tc>
      </w:tr>
      <w:tr>
        <w:trPr>
          <w:trHeight w:val="72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0.0556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0.0554</w:t>
            </w:r>
          </w:p>
        </w:tc>
      </w:tr>
    </w:tbl>
    <w:p>
      <w:pPr>
        <w:widowControl w:val="0"/>
        <w:spacing w:after="279" w:line="1" w:lineRule="exact"/>
      </w:pPr>
    </w:p>
    <w:p>
      <w:pPr>
        <w:pStyle w:val="Style33"/>
        <w:keepNext/>
        <w:keepLines/>
        <w:widowControl w:val="0"/>
        <w:shd w:val="clear" w:color="auto" w:fill="auto"/>
        <w:bidi w:val="0"/>
        <w:spacing w:before="0" w:after="280" w:line="322" w:lineRule="exact"/>
        <w:ind w:left="0" w:right="0" w:firstLine="0"/>
        <w:jc w:val="both"/>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3</w:t>
      </w:r>
      <w:bookmarkEnd w:id="1958"/>
      <w:r>
        <w:rPr>
          <w:color w:val="000000"/>
          <w:spacing w:val="0"/>
          <w:w w:val="100"/>
          <w:position w:val="0"/>
        </w:rPr>
        <w:t>、境内外会计准则下会计数据差异</w:t>
      </w:r>
      <w:bookmarkEnd w:id="1956"/>
      <w:bookmarkEnd w:id="1957"/>
      <w:bookmarkEnd w:id="1959"/>
    </w:p>
    <w:p>
      <w:pPr>
        <w:pStyle w:val="Style55"/>
        <w:keepNext/>
        <w:keepLines/>
        <w:widowControl w:val="0"/>
        <w:shd w:val="clear" w:color="auto" w:fill="auto"/>
        <w:tabs>
          <w:tab w:pos="493" w:val="left"/>
        </w:tabs>
        <w:bidi w:val="0"/>
        <w:spacing w:before="0" w:after="360" w:line="322" w:lineRule="exact"/>
        <w:ind w:left="0" w:right="0" w:firstLine="0"/>
        <w:jc w:val="left"/>
      </w:pPr>
      <w:bookmarkStart w:id="1960" w:name="bookmark1960"/>
      <w:bookmarkStart w:id="1961" w:name="bookmark1961"/>
      <w:bookmarkStart w:id="1962" w:name="bookmark1962"/>
      <w:bookmarkStart w:id="1963" w:name="bookmark1963"/>
      <w:r>
        <w:rPr>
          <w:color w:val="000000"/>
          <w:spacing w:val="0"/>
          <w:w w:val="100"/>
          <w:position w:val="0"/>
        </w:rPr>
        <w:t>（</w:t>
      </w:r>
      <w:bookmarkEnd w:id="1962"/>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960"/>
      <w:bookmarkEnd w:id="1961"/>
      <w:bookmarkEnd w:id="1963"/>
    </w:p>
    <w:p>
      <w:pPr>
        <w:pStyle w:val="Style2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tabs>
          <w:tab w:pos="493" w:val="left"/>
        </w:tabs>
        <w:bidi w:val="0"/>
        <w:spacing w:before="0" w:after="360" w:line="322" w:lineRule="exact"/>
        <w:ind w:left="0" w:right="0" w:firstLine="0"/>
        <w:jc w:val="left"/>
      </w:pPr>
      <w:bookmarkStart w:id="1964" w:name="bookmark1964"/>
      <w:bookmarkStart w:id="1965" w:name="bookmark1965"/>
      <w:bookmarkStart w:id="1966" w:name="bookmark1966"/>
      <w:bookmarkStart w:id="1967" w:name="bookmark1967"/>
      <w:r>
        <w:rPr>
          <w:color w:val="000000"/>
          <w:spacing w:val="0"/>
          <w:w w:val="100"/>
          <w:position w:val="0"/>
        </w:rPr>
        <w:t>（</w:t>
      </w:r>
      <w:bookmarkEnd w:id="1966"/>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964"/>
      <w:bookmarkEnd w:id="1965"/>
      <w:bookmarkEnd w:id="1967"/>
    </w:p>
    <w:p>
      <w:pPr>
        <w:pStyle w:val="Style2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bidi w:val="0"/>
        <w:spacing w:before="0" w:after="360" w:line="322" w:lineRule="exact"/>
        <w:ind w:left="0" w:right="0" w:firstLine="0"/>
        <w:jc w:val="left"/>
      </w:pPr>
      <w:bookmarkStart w:id="1968" w:name="bookmark1968"/>
      <w:bookmarkStart w:id="1969" w:name="bookmark1969"/>
      <w:bookmarkStart w:id="1970" w:name="bookmark1970"/>
      <w:bookmarkStart w:id="1971" w:name="bookmark1971"/>
      <w:r>
        <w:rPr>
          <w:color w:val="000000"/>
          <w:spacing w:val="0"/>
          <w:w w:val="100"/>
          <w:position w:val="0"/>
        </w:rPr>
        <w:t>（</w:t>
      </w:r>
      <w:bookmarkEnd w:id="1970"/>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968"/>
      <w:bookmarkEnd w:id="1969"/>
      <w:bookmarkEnd w:id="1971"/>
    </w:p>
    <w:p>
      <w:pPr>
        <w:pStyle w:val="Style33"/>
        <w:keepNext/>
        <w:keepLines/>
        <w:widowControl w:val="0"/>
        <w:shd w:val="clear" w:color="auto" w:fill="auto"/>
        <w:bidi w:val="0"/>
        <w:spacing w:before="0" w:after="280" w:line="240" w:lineRule="auto"/>
        <w:ind w:left="0" w:right="0" w:firstLine="0"/>
        <w:jc w:val="both"/>
      </w:pPr>
      <w:bookmarkStart w:id="1972" w:name="bookmark1972"/>
      <w:bookmarkStart w:id="1973" w:name="bookmark1973"/>
      <w:bookmarkStart w:id="1974" w:name="bookmark1974"/>
      <w:bookmarkStart w:id="1975" w:name="bookmark1975"/>
      <w:r>
        <w:rPr>
          <w:rFonts w:ascii="Times New Roman" w:eastAsia="Times New Roman" w:hAnsi="Times New Roman" w:cs="Times New Roman"/>
          <w:color w:val="000000"/>
          <w:spacing w:val="0"/>
          <w:w w:val="100"/>
          <w:position w:val="0"/>
        </w:rPr>
        <w:t>4</w:t>
      </w:r>
      <w:bookmarkEnd w:id="1974"/>
      <w:r>
        <w:rPr>
          <w:color w:val="000000"/>
          <w:spacing w:val="0"/>
          <w:w w:val="100"/>
          <w:position w:val="0"/>
        </w:rPr>
        <w:t>、其他</w:t>
      </w:r>
      <w:bookmarkEnd w:id="1972"/>
      <w:bookmarkEnd w:id="1973"/>
      <w:bookmarkEnd w:id="1975"/>
    </w:p>
    <w:p>
      <w:pPr>
        <w:pStyle w:val="Style18"/>
        <w:keepNext/>
        <w:keepLines/>
        <w:widowControl w:val="0"/>
        <w:shd w:val="clear" w:color="auto" w:fill="auto"/>
        <w:bidi w:val="0"/>
        <w:spacing w:before="0" w:after="600" w:line="240" w:lineRule="auto"/>
        <w:ind w:left="0" w:right="0" w:firstLine="0"/>
        <w:jc w:val="center"/>
      </w:pPr>
      <w:bookmarkStart w:id="1976" w:name="bookmark1976"/>
      <w:bookmarkStart w:id="1977" w:name="bookmark1977"/>
      <w:bookmarkStart w:id="1978" w:name="bookmark1978"/>
      <w:r>
        <w:rPr>
          <w:color w:val="000000"/>
          <w:spacing w:val="0"/>
          <w:w w:val="100"/>
          <w:position w:val="0"/>
        </w:rPr>
        <w:t>第十二节备查文件目录</w:t>
      </w:r>
      <w:bookmarkEnd w:id="1976"/>
      <w:bookmarkEnd w:id="1977"/>
      <w:bookmarkEnd w:id="1978"/>
    </w:p>
    <w:p>
      <w:pPr>
        <w:pStyle w:val="Style29"/>
        <w:keepNext w:val="0"/>
        <w:keepLines w:val="0"/>
        <w:widowControl w:val="0"/>
        <w:shd w:val="clear" w:color="auto" w:fill="auto"/>
        <w:tabs>
          <w:tab w:pos="435" w:val="left"/>
        </w:tabs>
        <w:bidi w:val="0"/>
        <w:spacing w:before="0" w:after="120" w:line="240" w:lineRule="auto"/>
        <w:ind w:left="0" w:right="0" w:firstLine="0"/>
        <w:jc w:val="left"/>
      </w:pPr>
      <w:bookmarkStart w:id="1979" w:name="bookmark1979"/>
      <w:bookmarkStart w:id="1980" w:name="bookmark1980"/>
      <w:r>
        <w:rPr>
          <w:color w:val="000000"/>
          <w:spacing w:val="0"/>
          <w:w w:val="100"/>
          <w:position w:val="0"/>
        </w:rPr>
        <w:t>一</w:t>
      </w:r>
      <w:bookmarkEnd w:id="1980"/>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年度报告》文本原件；</w:t>
      </w:r>
      <w:bookmarkEnd w:id="1979"/>
    </w:p>
    <w:p>
      <w:pPr>
        <w:pStyle w:val="Style29"/>
        <w:keepNext w:val="0"/>
        <w:keepLines w:val="0"/>
        <w:widowControl w:val="0"/>
        <w:shd w:val="clear" w:color="auto" w:fill="auto"/>
        <w:tabs>
          <w:tab w:pos="435" w:val="left"/>
        </w:tabs>
        <w:bidi w:val="0"/>
        <w:spacing w:before="0" w:after="120" w:line="240" w:lineRule="auto"/>
        <w:ind w:left="0" w:right="0" w:firstLine="0"/>
        <w:jc w:val="left"/>
      </w:pPr>
      <w:bookmarkStart w:id="1981" w:name="bookmark1981"/>
      <w:r>
        <w:rPr>
          <w:color w:val="000000"/>
          <w:spacing w:val="0"/>
          <w:w w:val="100"/>
          <w:position w:val="0"/>
        </w:rPr>
        <w:t>二</w:t>
      </w:r>
      <w:bookmarkEnd w:id="1981"/>
      <w:r>
        <w:rPr>
          <w:color w:val="000000"/>
          <w:spacing w:val="0"/>
          <w:w w:val="100"/>
          <w:position w:val="0"/>
        </w:rPr>
        <w:t>、</w:t>
        <w:tab/>
        <w:t>载有法定代表人、财务负责人、会计机构负责人签名并盖章的财务报告文本；</w:t>
      </w:r>
    </w:p>
    <w:p>
      <w:pPr>
        <w:pStyle w:val="Style29"/>
        <w:keepNext w:val="0"/>
        <w:keepLines w:val="0"/>
        <w:widowControl w:val="0"/>
        <w:shd w:val="clear" w:color="auto" w:fill="auto"/>
        <w:tabs>
          <w:tab w:pos="435" w:val="left"/>
        </w:tabs>
        <w:bidi w:val="0"/>
        <w:spacing w:before="0" w:after="120" w:line="240" w:lineRule="auto"/>
        <w:ind w:left="0" w:right="0" w:firstLine="0"/>
        <w:jc w:val="left"/>
      </w:pPr>
      <w:bookmarkStart w:id="1982" w:name="bookmark1982"/>
      <w:r>
        <w:rPr>
          <w:color w:val="000000"/>
          <w:spacing w:val="0"/>
          <w:w w:val="100"/>
          <w:position w:val="0"/>
        </w:rPr>
        <w:t>三</w:t>
      </w:r>
      <w:bookmarkEnd w:id="1982"/>
      <w:r>
        <w:rPr>
          <w:color w:val="000000"/>
          <w:spacing w:val="0"/>
          <w:w w:val="100"/>
          <w:position w:val="0"/>
        </w:rPr>
        <w:t>、</w:t>
        <w:tab/>
        <w:t>载有会计师事务所盖章、注册会计师签名并盖章的审计报告文本；</w:t>
      </w:r>
    </w:p>
    <w:p>
      <w:pPr>
        <w:pStyle w:val="Style29"/>
        <w:keepNext w:val="0"/>
        <w:keepLines w:val="0"/>
        <w:widowControl w:val="0"/>
        <w:shd w:val="clear" w:color="auto" w:fill="auto"/>
        <w:tabs>
          <w:tab w:pos="435" w:val="left"/>
        </w:tabs>
        <w:bidi w:val="0"/>
        <w:spacing w:before="0" w:after="120" w:line="240" w:lineRule="auto"/>
        <w:ind w:left="0" w:right="0" w:firstLine="0"/>
        <w:jc w:val="left"/>
      </w:pPr>
      <w:bookmarkStart w:id="1983" w:name="bookmark1983"/>
      <w:r>
        <w:rPr>
          <w:color w:val="000000"/>
          <w:spacing w:val="0"/>
          <w:w w:val="100"/>
          <w:position w:val="0"/>
        </w:rPr>
        <w:t>四</w:t>
      </w:r>
      <w:bookmarkEnd w:id="1983"/>
      <w:r>
        <w:rPr>
          <w:color w:val="000000"/>
          <w:spacing w:val="0"/>
          <w:w w:val="100"/>
          <w:position w:val="0"/>
        </w:rPr>
        <w:t>、</w:t>
        <w:tab/>
        <w:t>报告期内公司在中国证监会指定创业板信息披露媒体上公开披露过的所有文件及公告原稿;</w:t>
      </w:r>
    </w:p>
    <w:sectPr>
      <w:footnotePr>
        <w:pos w:val="pageBottom"/>
        <w:numFmt w:val="decimal"/>
        <w:numStart w:val="1"/>
        <w:numRestart w:val="continuous"/>
        <w15:footnoteColumns w:val="1"/>
      </w:footnotePr>
      <w:pgSz w:w="11900" w:h="16840"/>
      <w:pgMar w:top="1388" w:right="1018" w:bottom="1431" w:left="102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10125710</wp:posOffset>
              </wp:positionV>
              <wp:extent cx="30480" cy="82550"/>
              <wp:wrapNone/>
              <wp:docPr id="4" name="Shape 4"/>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4E4847"/>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30000000000007pt;width:2.3999999999999999pt;height:6.5pt;z-index:-18874406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4E4847"/>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6713855</wp:posOffset>
              </wp:positionH>
              <wp:positionV relativeFrom="page">
                <wp:posOffset>9961245</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8.64999999999998pt;margin-top:784.35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vertAlign w:val="superscript"/>
        </w:rPr>
        <w:footnoteRef/>
      </w:r>
      <w:r>
        <w:rPr>
          <w:color w:val="000000"/>
          <w:spacing w:val="0"/>
          <w:w w:val="100"/>
          <w:position w:val="0"/>
        </w:rPr>
        <w:t>上海睿民、坚果技术、尚河科技仅对未来业绩进行承诺，不构成盈利预测。</w:t>
      </w:r>
    </w:p>
  </w:footnote>
  <w:footnote w:id="3">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vertAlign w:val="superscript"/>
        </w:rPr>
        <w:footnoteRef/>
      </w:r>
      <w:r>
        <w:rPr>
          <w:rFonts w:ascii="Times New Roman" w:eastAsia="Times New Roman" w:hAnsi="Times New Roman" w:cs="Times New Roman"/>
          <w:color w:val="000000"/>
          <w:spacing w:val="0"/>
          <w:w w:val="100"/>
          <w:position w:val="0"/>
          <w:sz w:val="18"/>
          <w:szCs w:val="18"/>
        </w:rPr>
        <w:t xml:space="preserve"> 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日，公司召开第二届董事会第十九次会议，同意以最高额保证形式，为北京中北万兴国际贸易有限公司在 中国民生银行股份有限公司总行营业部所申请</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万美元、一年期的银行综合授信额度提供担保，担保总额不超过</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万美元，实际担保金额、种类、期限等以担保合同为准；同时南方创业科技发展有限公司为公司在担保期限内的担保事项提 供反担保，反担保的金额，期限、方式等与担保合同的保证事项完全一致。</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4505325</wp:posOffset>
              </wp:positionH>
              <wp:positionV relativeFrom="page">
                <wp:posOffset>478790</wp:posOffset>
              </wp:positionV>
              <wp:extent cx="2328545" cy="106680"/>
              <wp:wrapNone/>
              <wp:docPr id="1" name="Shape 1"/>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高伟达软件股份有限公司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54.75pt;margin-top:37.700000000000003pt;width:183.3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高伟达软件股份有限公司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4488815</wp:posOffset>
              </wp:positionH>
              <wp:positionV relativeFrom="page">
                <wp:posOffset>470535</wp:posOffset>
              </wp:positionV>
              <wp:extent cx="2328545" cy="106680"/>
              <wp:wrapNone/>
              <wp:docPr id="6" name="Shape 6"/>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高伟达软件股份有限公司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53.44999999999999pt;margin-top:37.050000000000004pt;width:183.3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高伟达软件股份有限公司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678815</wp:posOffset>
              </wp:positionH>
              <wp:positionV relativeFrom="page">
                <wp:posOffset>713105</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450000000000003pt;margin-top:56.149999999999999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Palatino Linotype" w:eastAsia="Palatino Linotype" w:hAnsi="Palatino Linotype" w:cs="Palatino Linotype"/>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1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脚注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其他_"/>
    <w:basedOn w:val="DefaultParagraphFont"/>
    <w:link w:val="Style5"/>
    <w:rPr>
      <w:rFonts w:ascii="SimSun" w:eastAsia="SimSun" w:hAnsi="SimSun" w:cs="SimSun"/>
      <w:b w:val="0"/>
      <w:bCs w:val="0"/>
      <w:i w:val="0"/>
      <w:iCs w:val="0"/>
      <w:smallCaps w:val="0"/>
      <w:strike w:val="0"/>
      <w:sz w:val="17"/>
      <w:szCs w:val="17"/>
      <w:u w:val="none"/>
      <w:shd w:val="clear" w:color="auto" w:fill="auto"/>
    </w:rPr>
  </w:style>
  <w:style w:type="character" w:customStyle="1" w:styleId="CharStyle9">
    <w:name w:val="页眉或页脚 (2)_"/>
    <w:basedOn w:val="DefaultParagraphFont"/>
    <w:link w:val="Style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9">
    <w:name w:val="标题 #1_"/>
    <w:basedOn w:val="DefaultParagraphFont"/>
    <w:link w:val="Style18"/>
    <w:rPr>
      <w:rFonts w:ascii="SimSun" w:eastAsia="SimSun" w:hAnsi="SimSun" w:cs="SimSun"/>
      <w:b/>
      <w:bCs/>
      <w:i w:val="0"/>
      <w:iCs w:val="0"/>
      <w:smallCaps w:val="0"/>
      <w:strike w:val="0"/>
      <w:sz w:val="32"/>
      <w:szCs w:val="32"/>
      <w:u w:val="none"/>
      <w:shd w:val="clear" w:color="auto" w:fill="auto"/>
    </w:rPr>
  </w:style>
  <w:style w:type="character" w:customStyle="1" w:styleId="CharStyle21">
    <w:name w:val="正文文本 (2)_"/>
    <w:basedOn w:val="DefaultParagraphFont"/>
    <w:link w:val="Style20"/>
    <w:rPr>
      <w:rFonts w:ascii="SimSun" w:eastAsia="SimSun" w:hAnsi="SimSun" w:cs="SimSun"/>
      <w:b/>
      <w:bCs/>
      <w:i w:val="0"/>
      <w:iCs w:val="0"/>
      <w:smallCaps w:val="0"/>
      <w:strike w:val="0"/>
      <w:sz w:val="28"/>
      <w:szCs w:val="28"/>
      <w:u w:val="none"/>
      <w:shd w:val="clear" w:color="auto" w:fill="auto"/>
    </w:rPr>
  </w:style>
  <w:style w:type="character" w:customStyle="1" w:styleId="CharStyle24">
    <w:name w:val="目录_"/>
    <w:basedOn w:val="DefaultParagraphFont"/>
    <w:link w:val="Style23"/>
    <w:rPr>
      <w:rFonts w:ascii="SimSun" w:eastAsia="SimSun" w:hAnsi="SimSun" w:cs="SimSun"/>
      <w:b w:val="0"/>
      <w:bCs w:val="0"/>
      <w:i w:val="0"/>
      <w:iCs w:val="0"/>
      <w:smallCaps w:val="0"/>
      <w:strike w:val="0"/>
      <w:sz w:val="28"/>
      <w:szCs w:val="28"/>
      <w:u w:val="none"/>
      <w:shd w:val="clear" w:color="auto" w:fill="auto"/>
    </w:rPr>
  </w:style>
  <w:style w:type="character" w:customStyle="1" w:styleId="CharStyle28">
    <w:name w:val="标题 #2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40">
    <w:name w:val="图片标题_"/>
    <w:basedOn w:val="DefaultParagraphFont"/>
    <w:link w:val="Style39"/>
    <w:rPr>
      <w:rFonts w:ascii="Palatino Linotype" w:eastAsia="Palatino Linotype" w:hAnsi="Palatino Linotype" w:cs="Palatino Linotype"/>
      <w:b w:val="0"/>
      <w:bCs w:val="0"/>
      <w:i w:val="0"/>
      <w:iCs w:val="0"/>
      <w:smallCaps w:val="0"/>
      <w:strike w:val="0"/>
      <w:color w:val="1D1D1D"/>
      <w:sz w:val="18"/>
      <w:szCs w:val="18"/>
      <w:u w:val="none"/>
      <w:shd w:val="clear" w:color="auto" w:fill="auto"/>
    </w:rPr>
  </w:style>
  <w:style w:type="character" w:customStyle="1" w:styleId="CharStyle52">
    <w:name w:val="表格标题_"/>
    <w:basedOn w:val="DefaultParagraphFont"/>
    <w:link w:val="Style51"/>
    <w:rPr>
      <w:rFonts w:ascii="SimSun" w:eastAsia="SimSun" w:hAnsi="SimSun" w:cs="SimSun"/>
      <w:b w:val="0"/>
      <w:bCs w:val="0"/>
      <w:i w:val="0"/>
      <w:iCs w:val="0"/>
      <w:smallCaps w:val="0"/>
      <w:strike w:val="0"/>
      <w:sz w:val="17"/>
      <w:szCs w:val="17"/>
      <w:u w:val="none"/>
      <w:shd w:val="clear" w:color="auto" w:fill="auto"/>
    </w:rPr>
  </w:style>
  <w:style w:type="character" w:customStyle="1" w:styleId="CharStyle56">
    <w:name w:val="标题 #4_"/>
    <w:basedOn w:val="DefaultParagraphFont"/>
    <w:link w:val="Style55"/>
    <w:rPr>
      <w:rFonts w:ascii="SimSun" w:eastAsia="SimSun" w:hAnsi="SimSun" w:cs="SimSun"/>
      <w:b/>
      <w:bCs/>
      <w:i w:val="0"/>
      <w:iCs w:val="0"/>
      <w:smallCaps w:val="0"/>
      <w:strike w:val="0"/>
      <w:sz w:val="20"/>
      <w:szCs w:val="20"/>
      <w:u w:val="none"/>
      <w:shd w:val="clear" w:color="auto" w:fill="auto"/>
    </w:rPr>
  </w:style>
  <w:style w:type="character" w:customStyle="1" w:styleId="CharStyle65">
    <w:name w:val="正文文本 (5)_"/>
    <w:basedOn w:val="DefaultParagraphFont"/>
    <w:link w:val="Style64"/>
    <w:rPr>
      <w:rFonts w:ascii="SimSun" w:eastAsia="SimSun" w:hAnsi="SimSun" w:cs="SimSun"/>
      <w:b w:val="0"/>
      <w:bCs w:val="0"/>
      <w:i w:val="0"/>
      <w:iCs w:val="0"/>
      <w:smallCaps w:val="0"/>
      <w:strike w:val="0"/>
      <w:u w:val="none"/>
      <w:shd w:val="clear" w:color="auto" w:fill="auto"/>
    </w:rPr>
  </w:style>
  <w:style w:type="character" w:customStyle="1" w:styleId="CharStyle68">
    <w:name w:val="正文文本 (6)_"/>
    <w:basedOn w:val="DefaultParagraphFont"/>
    <w:link w:val="Style6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1">
    <w:name w:val="正文文本 (8)_"/>
    <w:basedOn w:val="DefaultParagraphFont"/>
    <w:link w:val="Style70"/>
    <w:rPr>
      <w:rFonts w:ascii="SimSun" w:eastAsia="SimSun" w:hAnsi="SimSun" w:cs="SimSun"/>
      <w:b w:val="0"/>
      <w:bCs w:val="0"/>
      <w:i w:val="0"/>
      <w:iCs w:val="0"/>
      <w:smallCaps w:val="0"/>
      <w:strike w:val="0"/>
      <w:sz w:val="20"/>
      <w:szCs w:val="20"/>
      <w:u w:val="none"/>
      <w:shd w:val="clear" w:color="auto" w:fill="auto"/>
    </w:rPr>
  </w:style>
  <w:style w:type="character" w:customStyle="1" w:styleId="CharStyle73">
    <w:name w:val="正文文本 (7)_"/>
    <w:basedOn w:val="DefaultParagraphFont"/>
    <w:link w:val="Style72"/>
    <w:rPr>
      <w:rFonts w:ascii="SimHei" w:eastAsia="SimHei" w:hAnsi="SimHei" w:cs="SimHei"/>
      <w:b w:val="0"/>
      <w:bCs w:val="0"/>
      <w:i w:val="0"/>
      <w:iCs w:val="0"/>
      <w:smallCaps w:val="0"/>
      <w:strike w:val="0"/>
      <w:sz w:val="20"/>
      <w:szCs w:val="20"/>
      <w:u w:val="none"/>
      <w:shd w:val="clear" w:color="auto" w:fill="auto"/>
    </w:rPr>
  </w:style>
  <w:style w:type="character" w:customStyle="1" w:styleId="CharStyle96">
    <w:name w:val="正文文本 (9)_"/>
    <w:basedOn w:val="DefaultParagraphFont"/>
    <w:link w:val="Style95"/>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脚注"/>
    <w:basedOn w:val="Normal"/>
    <w:link w:val="CharStyle3"/>
    <w:pPr>
      <w:widowControl w:val="0"/>
      <w:shd w:val="clear" w:color="auto" w:fill="auto"/>
      <w:spacing w:line="237" w:lineRule="exact"/>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其他"/>
    <w:basedOn w:val="Normal"/>
    <w:link w:val="CharStyle6"/>
    <w:pPr>
      <w:widowControl w:val="0"/>
      <w:shd w:val="clear" w:color="auto" w:fill="auto"/>
      <w:spacing w:after="100" w:line="36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8">
    <w:name w:val="页眉或页脚 (2)"/>
    <w:basedOn w:val="Normal"/>
    <w:link w:val="CharStyle9"/>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8">
    <w:name w:val="标题 #1"/>
    <w:basedOn w:val="Normal"/>
    <w:link w:val="CharStyle19"/>
    <w:pPr>
      <w:widowControl w:val="0"/>
      <w:shd w:val="clear" w:color="auto" w:fill="auto"/>
      <w:spacing w:before="19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20">
    <w:name w:val="正文文本 (2)"/>
    <w:basedOn w:val="Normal"/>
    <w:link w:val="CharStyle21"/>
    <w:pPr>
      <w:widowControl w:val="0"/>
      <w:shd w:val="clear" w:color="auto" w:fill="auto"/>
      <w:spacing w:after="80" w:line="625"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3">
    <w:name w:val="目录"/>
    <w:basedOn w:val="Normal"/>
    <w:link w:val="CharStyle24"/>
    <w:pPr>
      <w:widowControl w:val="0"/>
      <w:shd w:val="clear" w:color="auto" w:fill="auto"/>
      <w:spacing w:after="320"/>
    </w:pPr>
    <w:rPr>
      <w:rFonts w:ascii="SimSun" w:eastAsia="SimSun" w:hAnsi="SimSun" w:cs="SimSun"/>
      <w:b w:val="0"/>
      <w:bCs w:val="0"/>
      <w:i w:val="0"/>
      <w:iCs w:val="0"/>
      <w:smallCaps w:val="0"/>
      <w:strike w:val="0"/>
      <w:sz w:val="28"/>
      <w:szCs w:val="28"/>
      <w:u w:val="none"/>
      <w:shd w:val="clear" w:color="auto" w:fill="auto"/>
    </w:rPr>
  </w:style>
  <w:style w:type="paragraph" w:customStyle="1" w:styleId="Style27">
    <w:name w:val="标题 #2"/>
    <w:basedOn w:val="Normal"/>
    <w:link w:val="CharStyle28"/>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9">
    <w:name w:val="正文文本"/>
    <w:basedOn w:val="Normal"/>
    <w:link w:val="CharStyle30"/>
    <w:pPr>
      <w:widowControl w:val="0"/>
      <w:shd w:val="clear" w:color="auto" w:fill="auto"/>
      <w:spacing w:after="100" w:line="36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标题 #3"/>
    <w:basedOn w:val="Normal"/>
    <w:link w:val="CharStyle34"/>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9">
    <w:name w:val="图片标题"/>
    <w:basedOn w:val="Normal"/>
    <w:link w:val="CharStyle40"/>
    <w:pPr>
      <w:widowControl w:val="0"/>
      <w:shd w:val="clear" w:color="auto" w:fill="auto"/>
    </w:pPr>
    <w:rPr>
      <w:rFonts w:ascii="Palatino Linotype" w:eastAsia="Palatino Linotype" w:hAnsi="Palatino Linotype" w:cs="Palatino Linotype"/>
      <w:b w:val="0"/>
      <w:bCs w:val="0"/>
      <w:i w:val="0"/>
      <w:iCs w:val="0"/>
      <w:smallCaps w:val="0"/>
      <w:strike w:val="0"/>
      <w:color w:val="1D1D1D"/>
      <w:sz w:val="18"/>
      <w:szCs w:val="18"/>
      <w:u w:val="none"/>
      <w:shd w:val="clear" w:color="auto" w:fill="auto"/>
    </w:rPr>
  </w:style>
  <w:style w:type="paragraph" w:customStyle="1" w:styleId="Style51">
    <w:name w:val="表格标题"/>
    <w:basedOn w:val="Normal"/>
    <w:link w:val="CharStyle5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5">
    <w:name w:val="标题 #4"/>
    <w:basedOn w:val="Normal"/>
    <w:link w:val="CharStyle56"/>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4">
    <w:name w:val="正文文本 (5)"/>
    <w:basedOn w:val="Normal"/>
    <w:link w:val="CharStyle65"/>
    <w:pPr>
      <w:widowControl w:val="0"/>
      <w:shd w:val="clear" w:color="auto" w:fill="auto"/>
      <w:spacing w:after="280"/>
    </w:pPr>
    <w:rPr>
      <w:rFonts w:ascii="SimSun" w:eastAsia="SimSun" w:hAnsi="SimSun" w:cs="SimSun"/>
      <w:b w:val="0"/>
      <w:bCs w:val="0"/>
      <w:i w:val="0"/>
      <w:iCs w:val="0"/>
      <w:smallCaps w:val="0"/>
      <w:strike w:val="0"/>
      <w:u w:val="none"/>
      <w:shd w:val="clear" w:color="auto" w:fill="auto"/>
    </w:rPr>
  </w:style>
  <w:style w:type="paragraph" w:customStyle="1" w:styleId="Style67">
    <w:name w:val="正文文本 (6)"/>
    <w:basedOn w:val="Normal"/>
    <w:link w:val="CharStyle68"/>
    <w:pPr>
      <w:widowControl w:val="0"/>
      <w:shd w:val="clear" w:color="auto" w:fill="auto"/>
      <w:spacing w:line="313" w:lineRule="exact"/>
      <w:ind w:firstLine="3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0">
    <w:name w:val="正文文本 (8)"/>
    <w:basedOn w:val="Normal"/>
    <w:link w:val="CharStyle71"/>
    <w:pPr>
      <w:widowControl w:val="0"/>
      <w:shd w:val="clear" w:color="auto" w:fill="auto"/>
      <w:spacing w:after="360"/>
    </w:pPr>
    <w:rPr>
      <w:rFonts w:ascii="SimSun" w:eastAsia="SimSun" w:hAnsi="SimSun" w:cs="SimSun"/>
      <w:b w:val="0"/>
      <w:bCs w:val="0"/>
      <w:i w:val="0"/>
      <w:iCs w:val="0"/>
      <w:smallCaps w:val="0"/>
      <w:strike w:val="0"/>
      <w:sz w:val="20"/>
      <w:szCs w:val="20"/>
      <w:u w:val="none"/>
      <w:shd w:val="clear" w:color="auto" w:fill="auto"/>
    </w:rPr>
  </w:style>
  <w:style w:type="paragraph" w:customStyle="1" w:styleId="Style72">
    <w:name w:val="正文文本 (7)"/>
    <w:basedOn w:val="Normal"/>
    <w:link w:val="CharStyle73"/>
    <w:pPr>
      <w:widowControl w:val="0"/>
      <w:shd w:val="clear" w:color="auto" w:fill="auto"/>
    </w:pPr>
    <w:rPr>
      <w:rFonts w:ascii="SimHei" w:eastAsia="SimHei" w:hAnsi="SimHei" w:cs="SimHei"/>
      <w:b w:val="0"/>
      <w:bCs w:val="0"/>
      <w:i w:val="0"/>
      <w:iCs w:val="0"/>
      <w:smallCaps w:val="0"/>
      <w:strike w:val="0"/>
      <w:sz w:val="20"/>
      <w:szCs w:val="20"/>
      <w:u w:val="none"/>
      <w:shd w:val="clear" w:color="auto" w:fill="auto"/>
    </w:rPr>
  </w:style>
  <w:style w:type="paragraph" w:customStyle="1" w:styleId="Style95">
    <w:name w:val="正文文本 (9)"/>
    <w:basedOn w:val="Normal"/>
    <w:link w:val="CharStyle96"/>
    <w:pPr>
      <w:widowControl w:val="0"/>
      <w:shd w:val="clear" w:color="auto" w:fill="auto"/>
      <w:spacing w:line="334" w:lineRule="auto"/>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高伟达软件股份有限公司2016年年度报告全文</dc:title>
  <dc:subject/>
  <dc:creator>高伟达软件股份有限公司</dc:creator>
  <cp:keywords/>
</cp:coreProperties>
</file>