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p>
      <w:pPr>
        <w:spacing w:line="460" w:lineRule="exact" w:before="0"/>
        <w:ind w:left="0" w:right="982" w:firstLine="0"/>
        <w:jc w:val="center"/>
        <w:rPr>
          <w:rFonts w:ascii="宋体" w:hAnsi="宋体" w:cs="宋体" w:eastAsia="宋体" w:hint="default"/>
          <w:sz w:val="36"/>
          <w:szCs w:val="36"/>
        </w:rPr>
      </w:pPr>
      <w:r>
        <w:rPr/>
        <w:pict>
          <v:group style="position:absolute;margin-left:55.200001pt;margin-top:-88.511253pt;width:484.9pt;height:.1pt;mso-position-horizontal-relative:page;mso-position-vertical-relative:paragraph;z-index:0" coordorigin="1104,-1770" coordsize="9698,2">
            <v:shape style="position:absolute;left:1104;top:-1770;width:9698;height:2" coordorigin="1104,-1770" coordsize="9698,0" path="m1104,-1770l10802,-1770e" filled="false" stroked="true" strokeweight=".72pt" strokecolor="#000000">
              <v:path arrowok="t"/>
            </v:shape>
            <w10:wrap type="none"/>
          </v:group>
        </w:pict>
      </w:r>
      <w:r>
        <w:rPr>
          <w:rFonts w:ascii="宋体" w:hAnsi="宋体" w:cs="宋体" w:eastAsia="宋体" w:hint="default"/>
          <w:b/>
          <w:bCs/>
          <w:sz w:val="36"/>
          <w:szCs w:val="36"/>
        </w:rPr>
        <w:t>高伟达软件股份有限公司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0" w:right="98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0" w:right="979" w:firstLine="0"/>
        <w:jc w:val="center"/>
        <w:rPr>
          <w:rFonts w:ascii="Times New Roman" w:hAnsi="Times New Roman" w:cs="Times New Roman" w:eastAsia="Times New Roman" w:hint="default"/>
          <w:sz w:val="32"/>
          <w:szCs w:val="32"/>
        </w:rPr>
      </w:pPr>
      <w:r>
        <w:rPr>
          <w:rFonts w:ascii="Times New Roman"/>
          <w:b/>
          <w:sz w:val="32"/>
        </w:rPr>
        <w:t>2019-016</w:t>
      </w:r>
      <w:r>
        <w:rPr>
          <w:rFonts w:ascii="Times New Roman"/>
          <w:sz w:val="32"/>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15"/>
          <w:szCs w:val="15"/>
        </w:rPr>
      </w:pPr>
    </w:p>
    <w:p>
      <w:pPr>
        <w:spacing w:line="1728" w:lineRule="exact"/>
        <w:ind w:left="299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2518973" cy="109727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518973" cy="1097279"/>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3"/>
        <w:rPr>
          <w:rFonts w:ascii="Times New Roman" w:hAnsi="Times New Roman" w:cs="Times New Roman" w:eastAsia="Times New Roman" w:hint="default"/>
          <w:b/>
          <w:bCs/>
          <w:sz w:val="38"/>
          <w:szCs w:val="38"/>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504" w:top="1100" w:bottom="70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803" w:right="1117"/>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4"/>
        <w:rPr>
          <w:rFonts w:ascii="宋体" w:hAnsi="宋体" w:cs="宋体" w:eastAsia="宋体" w:hint="default"/>
          <w:b/>
          <w:bCs/>
          <w:sz w:val="32"/>
          <w:szCs w:val="32"/>
        </w:rPr>
      </w:pPr>
    </w:p>
    <w:p>
      <w:pPr>
        <w:spacing w:line="408" w:lineRule="auto" w:before="0"/>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公司负责人于伟、主管会计工作负责人高源及会计机构负责人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贾银肖声明：保证年度报告中财务报告的真实、准确、完整。</w:t>
      </w:r>
      <w:r>
        <w:rPr>
          <w:rFonts w:ascii="宋体" w:hAnsi="宋体" w:cs="宋体" w:eastAsia="宋体" w:hint="default"/>
          <w:sz w:val="28"/>
          <w:szCs w:val="28"/>
        </w:rPr>
      </w:r>
    </w:p>
    <w:p>
      <w:pPr>
        <w:spacing w:line="475" w:lineRule="auto" w:before="145"/>
        <w:ind w:left="714" w:right="111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公司需遵守《深圳证券交易所创业板行业信息披露指引第 </w:t>
      </w:r>
      <w:r>
        <w:rPr>
          <w:rFonts w:ascii="Times New Roman" w:hAnsi="Times New Roman" w:cs="Times New Roman" w:eastAsia="Times New Roman" w:hint="default"/>
          <w:b/>
          <w:bCs/>
          <w:sz w:val="28"/>
          <w:szCs w:val="28"/>
        </w:rPr>
        <w:t>8</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号</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上市公</w:t>
      </w:r>
      <w:r>
        <w:rPr>
          <w:rFonts w:ascii="宋体" w:hAnsi="宋体" w:cs="宋体" w:eastAsia="宋体" w:hint="default"/>
          <w:sz w:val="28"/>
          <w:szCs w:val="28"/>
        </w:rPr>
      </w:r>
    </w:p>
    <w:p>
      <w:pPr>
        <w:spacing w:line="299" w:lineRule="exact" w:before="0"/>
        <w:ind w:left="152" w:right="1117" w:firstLine="0"/>
        <w:jc w:val="left"/>
        <w:rPr>
          <w:rFonts w:ascii="宋体" w:hAnsi="宋体" w:cs="宋体" w:eastAsia="宋体" w:hint="default"/>
          <w:sz w:val="28"/>
          <w:szCs w:val="28"/>
        </w:rPr>
      </w:pPr>
      <w:r>
        <w:rPr>
          <w:rFonts w:ascii="宋体" w:hAnsi="宋体" w:cs="宋体" w:eastAsia="宋体" w:hint="default"/>
          <w:b/>
          <w:bCs/>
          <w:sz w:val="28"/>
          <w:szCs w:val="28"/>
        </w:rPr>
        <w:t>司从事互联网营销业务》的披露要求</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398" w:lineRule="auto" w:before="0"/>
        <w:ind w:left="152" w:right="113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1</w:t>
      </w:r>
      <w:r>
        <w:rPr>
          <w:rFonts w:ascii="宋体" w:hAnsi="宋体" w:cs="宋体" w:eastAsia="宋体" w:hint="default"/>
          <w:b/>
          <w:bCs/>
          <w:spacing w:val="-2"/>
          <w:sz w:val="28"/>
          <w:szCs w:val="28"/>
        </w:rPr>
        <w:t>、行业趋势波动的风险对于移动互联网营销行业，由于优质媒体资源相对</w:t>
      </w:r>
      <w:r>
        <w:rPr>
          <w:rFonts w:ascii="宋体" w:hAnsi="宋体" w:cs="宋体" w:eastAsia="宋体" w:hint="default"/>
          <w:b/>
          <w:bCs/>
          <w:w w:val="99"/>
          <w:sz w:val="28"/>
          <w:szCs w:val="28"/>
        </w:rPr>
        <w:t> </w:t>
      </w:r>
      <w:r>
        <w:rPr>
          <w:rFonts w:ascii="宋体" w:hAnsi="宋体" w:cs="宋体" w:eastAsia="宋体" w:hint="default"/>
          <w:b/>
          <w:bCs/>
          <w:spacing w:val="2"/>
          <w:sz w:val="28"/>
          <w:szCs w:val="28"/>
        </w:rPr>
        <w:t>稀缺，媒体资源价格总体逐步上升。若媒体资源价格未来上涨过快，将导致采</w:t>
      </w:r>
      <w:r>
        <w:rPr>
          <w:rFonts w:ascii="宋体" w:hAnsi="宋体" w:cs="宋体" w:eastAsia="宋体" w:hint="default"/>
          <w:b/>
          <w:bCs/>
          <w:w w:val="99"/>
          <w:sz w:val="28"/>
          <w:szCs w:val="28"/>
        </w:rPr>
        <w:t> </w:t>
      </w:r>
      <w:r>
        <w:rPr>
          <w:rFonts w:ascii="宋体" w:hAnsi="宋体" w:cs="宋体" w:eastAsia="宋体" w:hint="default"/>
          <w:b/>
          <w:bCs/>
          <w:sz w:val="28"/>
          <w:szCs w:val="28"/>
        </w:rPr>
        <w:t>购媒体资源的成本逐步抬升。</w:t>
      </w:r>
      <w:r>
        <w:rPr>
          <w:rFonts w:ascii="宋体" w:hAnsi="宋体" w:cs="宋体" w:eastAsia="宋体" w:hint="default"/>
          <w:sz w:val="28"/>
          <w:szCs w:val="28"/>
        </w:rPr>
      </w:r>
    </w:p>
    <w:p>
      <w:pPr>
        <w:spacing w:line="400" w:lineRule="auto" w:before="171"/>
        <w:ind w:left="152" w:right="991" w:firstLine="562"/>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2</w:t>
      </w:r>
      <w:r>
        <w:rPr>
          <w:rFonts w:ascii="宋体" w:hAnsi="宋体" w:cs="宋体" w:eastAsia="宋体" w:hint="default"/>
          <w:b/>
          <w:bCs/>
          <w:spacing w:val="2"/>
          <w:sz w:val="28"/>
          <w:szCs w:val="28"/>
        </w:rPr>
        <w:t>、法律、法规及产业政策变化的风险移动互联网营销行业属于新兴行业，</w:t>
      </w:r>
      <w:r>
        <w:rPr>
          <w:rFonts w:ascii="宋体" w:hAnsi="宋体" w:cs="宋体" w:eastAsia="宋体" w:hint="default"/>
          <w:b/>
          <w:bCs/>
          <w:w w:val="99"/>
          <w:sz w:val="28"/>
          <w:szCs w:val="28"/>
        </w:rPr>
        <w:t> </w:t>
      </w:r>
      <w:r>
        <w:rPr>
          <w:rFonts w:ascii="宋体" w:hAnsi="宋体" w:cs="宋体" w:eastAsia="宋体" w:hint="default"/>
          <w:b/>
          <w:bCs/>
          <w:spacing w:val="2"/>
          <w:sz w:val="28"/>
          <w:szCs w:val="28"/>
        </w:rPr>
        <w:t>法律、法规及产业政策相对较新且不完善，对行业法律、法规及产业政策的诠</w:t>
      </w:r>
      <w:r>
        <w:rPr>
          <w:rFonts w:ascii="宋体" w:hAnsi="宋体" w:cs="宋体" w:eastAsia="宋体" w:hint="default"/>
          <w:b/>
          <w:bCs/>
          <w:w w:val="99"/>
          <w:sz w:val="28"/>
          <w:szCs w:val="28"/>
        </w:rPr>
        <w:t> </w:t>
      </w:r>
      <w:r>
        <w:rPr>
          <w:rFonts w:ascii="宋体" w:hAnsi="宋体" w:cs="宋体" w:eastAsia="宋体" w:hint="default"/>
          <w:b/>
          <w:bCs/>
          <w:spacing w:val="2"/>
          <w:sz w:val="28"/>
          <w:szCs w:val="28"/>
        </w:rPr>
        <w:t>释和执行有不确定性，随着国家陆续颁布相关监管互联网活动的法律及规例，</w:t>
      </w:r>
      <w:r>
        <w:rPr>
          <w:rFonts w:ascii="宋体" w:hAnsi="宋体" w:cs="宋体" w:eastAsia="宋体" w:hint="default"/>
          <w:b/>
          <w:bCs/>
          <w:w w:val="99"/>
          <w:sz w:val="28"/>
          <w:szCs w:val="28"/>
        </w:rPr>
        <w:t> </w:t>
      </w:r>
      <w:r>
        <w:rPr>
          <w:rFonts w:ascii="宋体" w:hAnsi="宋体" w:cs="宋体" w:eastAsia="宋体" w:hint="default"/>
          <w:b/>
          <w:bCs/>
          <w:sz w:val="28"/>
          <w:szCs w:val="28"/>
        </w:rPr>
        <w:t>适用法律、法规及规则的变更可能使公司运营受到阻碍或增加公司运营成本。</w:t>
      </w:r>
      <w:r>
        <w:rPr>
          <w:rFonts w:ascii="宋体" w:hAnsi="宋体" w:cs="宋体" w:eastAsia="宋体" w:hint="default"/>
          <w:sz w:val="28"/>
          <w:szCs w:val="28"/>
        </w:rPr>
      </w:r>
    </w:p>
    <w:p>
      <w:pPr>
        <w:spacing w:line="400" w:lineRule="auto" w:before="170"/>
        <w:ind w:left="152" w:right="1131" w:firstLine="55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3</w:t>
      </w:r>
      <w:r>
        <w:rPr>
          <w:rFonts w:ascii="宋体" w:hAnsi="宋体" w:cs="宋体" w:eastAsia="宋体" w:hint="default"/>
          <w:b/>
          <w:bCs/>
          <w:spacing w:val="-2"/>
          <w:sz w:val="28"/>
          <w:szCs w:val="28"/>
        </w:rPr>
        <w:t>、媒体采购成本不断上升的风险随着互联网普及率的不断提高和数据分析</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技术的逐渐成熟，越来越多的广告主意识到互联网营销的重要性，逐渐加大对</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互联网营销尤其是移动互联网营销的投入，从而使得互联网媒体的价值不断增</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加。目前，虽然互联网媒体资源众多，但是优质资源仍旧相对稀缺，其价格必</w:t>
      </w:r>
      <w:r>
        <w:rPr>
          <w:rFonts w:ascii="宋体" w:hAnsi="宋体" w:cs="宋体" w:eastAsia="宋体" w:hint="default"/>
          <w:sz w:val="28"/>
          <w:szCs w:val="28"/>
        </w:rPr>
      </w:r>
    </w:p>
    <w:p>
      <w:pPr>
        <w:spacing w:after="0" w:line="400" w:lineRule="auto"/>
        <w:jc w:val="both"/>
        <w:rPr>
          <w:rFonts w:ascii="宋体" w:hAnsi="宋体" w:cs="宋体" w:eastAsia="宋体" w:hint="default"/>
          <w:sz w:val="28"/>
          <w:szCs w:val="28"/>
        </w:rPr>
        <w:sectPr>
          <w:footerReference w:type="default" r:id="rId8"/>
          <w:pgSz w:w="11910" w:h="16840"/>
          <w:pgMar w:footer="1267" w:header="786" w:top="1100" w:bottom="14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6"/>
          <w:szCs w:val="26"/>
        </w:rPr>
      </w:pPr>
    </w:p>
    <w:p>
      <w:pPr>
        <w:spacing w:line="408" w:lineRule="auto" w:before="14"/>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将随着需求量的不断增加而呈现上涨趋势。媒体采购成本的上升将会直接影响</w:t>
      </w:r>
      <w:r>
        <w:rPr>
          <w:rFonts w:ascii="宋体" w:hAnsi="宋体" w:cs="宋体" w:eastAsia="宋体" w:hint="default"/>
          <w:b/>
          <w:bCs/>
          <w:w w:val="99"/>
          <w:sz w:val="28"/>
          <w:szCs w:val="28"/>
        </w:rPr>
        <w:t> </w:t>
      </w:r>
      <w:r>
        <w:rPr>
          <w:rFonts w:ascii="宋体" w:hAnsi="宋体" w:cs="宋体" w:eastAsia="宋体" w:hint="default"/>
          <w:b/>
          <w:bCs/>
          <w:sz w:val="28"/>
          <w:szCs w:val="28"/>
        </w:rPr>
        <w:t>公司客户的投放需求，从而影响公司的经营业绩。</w:t>
      </w:r>
      <w:r>
        <w:rPr>
          <w:rFonts w:ascii="宋体" w:hAnsi="宋体" w:cs="宋体" w:eastAsia="宋体" w:hint="default"/>
          <w:sz w:val="28"/>
          <w:szCs w:val="28"/>
        </w:rPr>
      </w:r>
    </w:p>
    <w:p>
      <w:pPr>
        <w:spacing w:line="400" w:lineRule="auto" w:before="162"/>
        <w:ind w:left="152" w:right="113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4</w:t>
      </w:r>
      <w:r>
        <w:rPr>
          <w:rFonts w:ascii="宋体" w:hAnsi="宋体" w:cs="宋体" w:eastAsia="宋体" w:hint="default"/>
          <w:b/>
          <w:bCs/>
          <w:spacing w:val="-2"/>
          <w:sz w:val="28"/>
          <w:szCs w:val="28"/>
        </w:rPr>
        <w:t>、人才流失风险互联网营销行业属于人才较密集型行业，对于互联网营销</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公司而言，专业的营销、技术等人才是企业的核心资源，是保持和提升公司核</w:t>
      </w:r>
      <w:r>
        <w:rPr>
          <w:rFonts w:ascii="宋体" w:hAnsi="宋体" w:cs="宋体" w:eastAsia="宋体" w:hint="default"/>
          <w:b/>
          <w:bCs/>
          <w:w w:val="99"/>
          <w:sz w:val="28"/>
          <w:szCs w:val="28"/>
        </w:rPr>
        <w:t> </w:t>
      </w:r>
      <w:r>
        <w:rPr>
          <w:rFonts w:ascii="宋体" w:hAnsi="宋体" w:cs="宋体" w:eastAsia="宋体" w:hint="default"/>
          <w:b/>
          <w:bCs/>
          <w:spacing w:val="-6"/>
          <w:sz w:val="28"/>
          <w:szCs w:val="28"/>
        </w:rPr>
        <w:t>心竞争力的关键要素，随着企业业务规模的扩大，对专业人才的需求日益增强。</w:t>
      </w:r>
      <w:r>
        <w:rPr>
          <w:rFonts w:ascii="宋体" w:hAnsi="宋体" w:cs="宋体" w:eastAsia="宋体" w:hint="default"/>
          <w:b/>
          <w:bCs/>
          <w:spacing w:val="-136"/>
          <w:sz w:val="28"/>
          <w:szCs w:val="28"/>
        </w:rPr>
        <w:t> </w:t>
      </w:r>
      <w:r>
        <w:rPr>
          <w:rFonts w:ascii="宋体" w:hAnsi="宋体" w:cs="宋体" w:eastAsia="宋体" w:hint="default"/>
          <w:b/>
          <w:bCs/>
          <w:spacing w:val="-136"/>
          <w:sz w:val="28"/>
          <w:szCs w:val="28"/>
        </w:rPr>
      </w:r>
      <w:r>
        <w:rPr>
          <w:rFonts w:ascii="宋体" w:hAnsi="宋体" w:cs="宋体" w:eastAsia="宋体" w:hint="default"/>
          <w:b/>
          <w:bCs/>
          <w:sz w:val="28"/>
          <w:szCs w:val="28"/>
        </w:rPr>
        <w:t>由于专业人才的需求比较紧张，竞争力较强，人才流动性相对较高。</w:t>
      </w:r>
      <w:r>
        <w:rPr>
          <w:rFonts w:ascii="宋体" w:hAnsi="宋体" w:cs="宋体" w:eastAsia="宋体" w:hint="default"/>
          <w:sz w:val="28"/>
          <w:szCs w:val="28"/>
        </w:rPr>
      </w:r>
    </w:p>
    <w:p>
      <w:pPr>
        <w:spacing w:line="405" w:lineRule="auto" w:before="168"/>
        <w:ind w:left="152" w:right="985" w:firstLine="562"/>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、市场竞争激烈导致行业内业务毛利水平下滑，从而可能对公司造成影响</w:t>
      </w:r>
      <w:r>
        <w:rPr>
          <w:rFonts w:ascii="宋体" w:hAnsi="宋体" w:cs="宋体" w:eastAsia="宋体" w:hint="default"/>
          <w:b/>
          <w:bCs/>
          <w:w w:val="99"/>
          <w:sz w:val="28"/>
          <w:szCs w:val="28"/>
        </w:rPr>
        <w:t> </w:t>
      </w:r>
      <w:r>
        <w:rPr>
          <w:rFonts w:ascii="宋体" w:hAnsi="宋体" w:cs="宋体" w:eastAsia="宋体" w:hint="default"/>
          <w:b/>
          <w:bCs/>
          <w:sz w:val="28"/>
          <w:szCs w:val="28"/>
        </w:rPr>
        <w:t>的风险</w:t>
      </w:r>
      <w:r>
        <w:rPr>
          <w:rFonts w:ascii="宋体" w:hAnsi="宋体" w:cs="宋体" w:eastAsia="宋体" w:hint="default"/>
          <w:b/>
          <w:bCs/>
          <w:spacing w:val="9"/>
          <w:sz w:val="28"/>
          <w:szCs w:val="28"/>
        </w:rPr>
        <w:t> </w:t>
      </w:r>
      <w:r>
        <w:rPr>
          <w:rFonts w:ascii="宋体" w:hAnsi="宋体" w:cs="宋体" w:eastAsia="宋体" w:hint="default"/>
          <w:b/>
          <w:bCs/>
          <w:spacing w:val="2"/>
          <w:sz w:val="28"/>
          <w:szCs w:val="28"/>
        </w:rPr>
        <w:t>由于移动大数据营销业务领域广阔的市场前景，大量企业进入该行业，</w:t>
      </w:r>
      <w:r>
        <w:rPr>
          <w:rFonts w:ascii="宋体" w:hAnsi="宋体" w:cs="宋体" w:eastAsia="宋体" w:hint="default"/>
          <w:b/>
          <w:bCs/>
          <w:w w:val="99"/>
          <w:sz w:val="28"/>
          <w:szCs w:val="28"/>
        </w:rPr>
        <w:t> </w:t>
      </w:r>
      <w:r>
        <w:rPr>
          <w:rFonts w:ascii="宋体" w:hAnsi="宋体" w:cs="宋体" w:eastAsia="宋体" w:hint="default"/>
          <w:b/>
          <w:bCs/>
          <w:spacing w:val="2"/>
          <w:sz w:val="28"/>
          <w:szCs w:val="28"/>
        </w:rPr>
        <w:t>行业竞争日趋激烈。随着大数据和互联网营销行业的不断发展，企业品牌意识</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的不断加强，移动互联网受众的不断增加，将会有越来越多的新进入者参与竞</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争，市场竞争将越加激烈。在日新月异不断升级的市场竞争态势中，公司如果</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不能持续拓展优质客户、开发媒体渠道资源、引进优秀人才、强化自身技术优</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势、扩大业务规模、增强资本实力和抗风险能力、准确把握移动互联网营销行</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业的发展趋势和客户需求的变化并不断强化公司的核心竞争力，将难以保持对</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客户的吸引力，导致行业内业务毛利水平下滑，进而对公司经营业绩产生重大</w:t>
      </w:r>
      <w:r>
        <w:rPr>
          <w:rFonts w:ascii="宋体" w:hAnsi="宋体" w:cs="宋体" w:eastAsia="宋体" w:hint="default"/>
          <w:b/>
          <w:bCs/>
          <w:w w:val="99"/>
          <w:sz w:val="28"/>
          <w:szCs w:val="28"/>
        </w:rPr>
        <w:t> </w:t>
      </w:r>
      <w:r>
        <w:rPr>
          <w:rFonts w:ascii="宋体" w:hAnsi="宋体" w:cs="宋体" w:eastAsia="宋体" w:hint="default"/>
          <w:b/>
          <w:bCs/>
          <w:sz w:val="28"/>
          <w:szCs w:val="28"/>
        </w:rPr>
        <w:t>不利影响。</w:t>
      </w:r>
      <w:r>
        <w:rPr>
          <w:rFonts w:ascii="宋体" w:hAnsi="宋体" w:cs="宋体" w:eastAsia="宋体" w:hint="default"/>
          <w:sz w:val="28"/>
          <w:szCs w:val="28"/>
        </w:rPr>
      </w:r>
    </w:p>
    <w:p>
      <w:pPr>
        <w:spacing w:line="386" w:lineRule="auto" w:before="165"/>
        <w:ind w:left="152" w:right="1117" w:firstLine="562"/>
        <w:jc w:val="left"/>
        <w:rPr>
          <w:rFonts w:ascii="宋体" w:hAnsi="宋体" w:cs="宋体" w:eastAsia="宋体" w:hint="default"/>
          <w:sz w:val="28"/>
          <w:szCs w:val="28"/>
        </w:rPr>
      </w:pPr>
      <w:r>
        <w:rPr>
          <w:rFonts w:ascii="宋体" w:hAnsi="宋体" w:cs="宋体" w:eastAsia="宋体" w:hint="default"/>
          <w:b/>
          <w:bCs/>
          <w:spacing w:val="-3"/>
          <w:sz w:val="28"/>
          <w:szCs w:val="28"/>
        </w:rPr>
        <w:t>公司需遵守《深圳证券交易所行业信息披露指引第</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号</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上市公司从事</w:t>
      </w:r>
      <w:r>
        <w:rPr>
          <w:rFonts w:ascii="宋体" w:hAnsi="宋体" w:cs="宋体" w:eastAsia="宋体" w:hint="default"/>
          <w:b/>
          <w:bCs/>
          <w:w w:val="99"/>
          <w:sz w:val="28"/>
          <w:szCs w:val="28"/>
        </w:rPr>
        <w:t> </w:t>
      </w:r>
      <w:r>
        <w:rPr>
          <w:rFonts w:ascii="宋体" w:hAnsi="宋体" w:cs="宋体" w:eastAsia="宋体" w:hint="default"/>
          <w:b/>
          <w:bCs/>
          <w:sz w:val="28"/>
          <w:szCs w:val="28"/>
        </w:rPr>
        <w:t>软件与信息技术服务业务》的披露要求</w:t>
      </w:r>
      <w:r>
        <w:rPr>
          <w:rFonts w:ascii="宋体" w:hAnsi="宋体" w:cs="宋体" w:eastAsia="宋体" w:hint="default"/>
          <w:sz w:val="28"/>
          <w:szCs w:val="28"/>
        </w:rPr>
      </w:r>
    </w:p>
    <w:p>
      <w:pPr>
        <w:spacing w:line="386" w:lineRule="auto" w:before="187"/>
        <w:ind w:left="152" w:right="1123" w:firstLine="562"/>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1</w:t>
      </w:r>
      <w:r>
        <w:rPr>
          <w:rFonts w:ascii="宋体" w:hAnsi="宋体" w:cs="宋体" w:eastAsia="宋体" w:hint="default"/>
          <w:b/>
          <w:bCs/>
          <w:spacing w:val="-2"/>
          <w:sz w:val="28"/>
          <w:szCs w:val="28"/>
        </w:rPr>
        <w:t>、行业趋势波动的风险对于金融信息服务行业，金融机构受到行业发展趋</w:t>
      </w:r>
      <w:r>
        <w:rPr>
          <w:rFonts w:ascii="宋体" w:hAnsi="宋体" w:cs="宋体" w:eastAsia="宋体" w:hint="default"/>
          <w:b/>
          <w:bCs/>
          <w:w w:val="99"/>
          <w:sz w:val="28"/>
          <w:szCs w:val="28"/>
        </w:rPr>
        <w:t> </w:t>
      </w:r>
      <w:r>
        <w:rPr>
          <w:rFonts w:ascii="宋体" w:hAnsi="宋体" w:cs="宋体" w:eastAsia="宋体" w:hint="default"/>
          <w:b/>
          <w:bCs/>
          <w:sz w:val="28"/>
          <w:szCs w:val="28"/>
        </w:rPr>
        <w:t>势和行业政策变化的影响，削减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投入，将会对公司经营产生不利影响。</w:t>
      </w:r>
      <w:r>
        <w:rPr>
          <w:rFonts w:ascii="宋体" w:hAnsi="宋体" w:cs="宋体" w:eastAsia="宋体" w:hint="default"/>
          <w:sz w:val="28"/>
          <w:szCs w:val="28"/>
        </w:rPr>
      </w:r>
    </w:p>
    <w:p>
      <w:pPr>
        <w:spacing w:before="146"/>
        <w:ind w:left="714" w:right="991"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、公司对外扩张和并购带来的风险随着并购、对外投资等外延式扩张，公</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86" w:footer="1267" w:top="1100" w:bottom="1460" w:left="980" w:right="0"/>
        </w:sectPr>
      </w:pPr>
    </w:p>
    <w:p>
      <w:pPr>
        <w:spacing w:line="240" w:lineRule="auto" w:before="0"/>
        <w:rPr>
          <w:rFonts w:ascii="宋体" w:hAnsi="宋体" w:cs="宋体" w:eastAsia="宋体" w:hint="default"/>
          <w:b/>
          <w:bCs/>
          <w:sz w:val="20"/>
          <w:szCs w:val="20"/>
        </w:rPr>
      </w:pPr>
    </w:p>
    <w:p>
      <w:pPr>
        <w:spacing w:line="408" w:lineRule="auto" w:before="156"/>
        <w:ind w:left="152" w:right="1131" w:firstLine="0"/>
        <w:jc w:val="both"/>
        <w:rPr>
          <w:rFonts w:ascii="宋体" w:hAnsi="宋体" w:cs="宋体" w:eastAsia="宋体" w:hint="default"/>
          <w:sz w:val="28"/>
          <w:szCs w:val="28"/>
        </w:rPr>
      </w:pPr>
      <w:r>
        <w:rPr>
          <w:rFonts w:ascii="宋体" w:hAnsi="宋体" w:cs="宋体" w:eastAsia="宋体" w:hint="default"/>
          <w:b/>
          <w:bCs/>
          <w:spacing w:val="2"/>
          <w:sz w:val="28"/>
          <w:szCs w:val="28"/>
        </w:rPr>
        <w:t>司的资产规模将不断提高，公司管理层的管理与协调能力，以及公司在资源整</w:t>
      </w:r>
      <w:r>
        <w:rPr>
          <w:rFonts w:ascii="宋体" w:hAnsi="宋体" w:cs="宋体" w:eastAsia="宋体" w:hint="default"/>
          <w:b/>
          <w:bCs/>
          <w:w w:val="99"/>
          <w:sz w:val="28"/>
          <w:szCs w:val="28"/>
        </w:rPr>
        <w:t> </w:t>
      </w:r>
      <w:r>
        <w:rPr>
          <w:rFonts w:ascii="宋体" w:hAnsi="宋体" w:cs="宋体" w:eastAsia="宋体" w:hint="default"/>
          <w:b/>
          <w:bCs/>
          <w:spacing w:val="2"/>
          <w:sz w:val="28"/>
          <w:szCs w:val="28"/>
        </w:rPr>
        <w:t>合、市场开拓、质量管理、内部控制等方面都面临考验。如果公司的高级管理</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人员对市场发展判断不准确，不能在现有基础上有效应对在规模扩张过程中出</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pacing w:val="2"/>
          <w:sz w:val="28"/>
          <w:szCs w:val="28"/>
        </w:rPr>
        <w:t>现的问题，不能在人力资源及财务管理上进一步完善和改善现有模式，公司的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管理体系将无法适应经营规模的快速增长，这将对公司的未来经营产生不利影</w:t>
      </w:r>
      <w:r>
        <w:rPr>
          <w:rFonts w:ascii="宋体" w:hAnsi="宋体" w:cs="宋体" w:eastAsia="宋体" w:hint="default"/>
          <w:b/>
          <w:bCs/>
          <w:w w:val="99"/>
          <w:sz w:val="28"/>
          <w:szCs w:val="28"/>
        </w:rPr>
        <w:t> </w:t>
      </w:r>
      <w:r>
        <w:rPr>
          <w:rFonts w:ascii="宋体" w:hAnsi="宋体" w:cs="宋体" w:eastAsia="宋体" w:hint="default"/>
          <w:b/>
          <w:bCs/>
          <w:sz w:val="28"/>
          <w:szCs w:val="28"/>
        </w:rPr>
        <w:t>响。</w:t>
      </w:r>
      <w:r>
        <w:rPr>
          <w:rFonts w:ascii="宋体" w:hAnsi="宋体" w:cs="宋体" w:eastAsia="宋体" w:hint="default"/>
          <w:sz w:val="28"/>
          <w:szCs w:val="28"/>
        </w:rPr>
      </w:r>
    </w:p>
    <w:p>
      <w:pPr>
        <w:spacing w:line="398" w:lineRule="auto" w:before="162"/>
        <w:ind w:left="152" w:right="113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3</w:t>
      </w:r>
      <w:r>
        <w:rPr>
          <w:rFonts w:ascii="宋体" w:hAnsi="宋体" w:cs="宋体" w:eastAsia="宋体" w:hint="default"/>
          <w:b/>
          <w:bCs/>
          <w:spacing w:val="-2"/>
          <w:sz w:val="28"/>
          <w:szCs w:val="28"/>
        </w:rPr>
        <w:t>、核心技术团队流失的风险公司所在的行业为人才驱动型的行业，人才在</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公司业务发展过程中至关重要。核心人员的流失将会对企业经营发展带来不利</w:t>
      </w:r>
      <w:r>
        <w:rPr>
          <w:rFonts w:ascii="宋体" w:hAnsi="宋体" w:cs="宋体" w:eastAsia="宋体" w:hint="default"/>
          <w:b/>
          <w:bCs/>
          <w:w w:val="99"/>
          <w:sz w:val="28"/>
          <w:szCs w:val="28"/>
        </w:rPr>
        <w:t> </w:t>
      </w:r>
      <w:r>
        <w:rPr>
          <w:rFonts w:ascii="宋体" w:hAnsi="宋体" w:cs="宋体" w:eastAsia="宋体" w:hint="default"/>
          <w:b/>
          <w:bCs/>
          <w:sz w:val="28"/>
          <w:szCs w:val="28"/>
        </w:rPr>
        <w:t>影响。如何用好人才，留住人才，发展人才，是对公司经营提出的重要挑战。</w:t>
      </w:r>
      <w:r>
        <w:rPr>
          <w:rFonts w:ascii="宋体" w:hAnsi="宋体" w:cs="宋体" w:eastAsia="宋体" w:hint="default"/>
          <w:sz w:val="28"/>
          <w:szCs w:val="28"/>
        </w:rPr>
      </w:r>
    </w:p>
    <w:p>
      <w:pPr>
        <w:spacing w:line="405" w:lineRule="auto" w:before="171"/>
        <w:ind w:left="152" w:right="980" w:firstLine="562"/>
        <w:jc w:val="left"/>
        <w:rPr>
          <w:rFonts w:ascii="宋体" w:hAnsi="宋体" w:cs="宋体" w:eastAsia="宋体" w:hint="default"/>
          <w:sz w:val="28"/>
          <w:szCs w:val="28"/>
        </w:rPr>
      </w:pPr>
      <w:r>
        <w:rPr>
          <w:rFonts w:ascii="Times New Roman" w:hAnsi="Times New Roman" w:cs="Times New Roman" w:eastAsia="Times New Roman" w:hint="default"/>
          <w:b/>
          <w:bCs/>
          <w:spacing w:val="-6"/>
          <w:sz w:val="28"/>
          <w:szCs w:val="28"/>
        </w:rPr>
        <w:t>4</w:t>
      </w:r>
      <w:r>
        <w:rPr>
          <w:rFonts w:ascii="宋体" w:hAnsi="宋体" w:cs="宋体" w:eastAsia="宋体" w:hint="default"/>
          <w:b/>
          <w:bCs/>
          <w:spacing w:val="-6"/>
          <w:sz w:val="28"/>
          <w:szCs w:val="28"/>
        </w:rPr>
        <w:t>、商誉减值的风险公司在进行资产收购的过程中，根据企业会计准则要求，</w:t>
      </w:r>
      <w:r>
        <w:rPr>
          <w:rFonts w:ascii="宋体" w:hAnsi="宋体" w:cs="宋体" w:eastAsia="宋体" w:hint="default"/>
          <w:b/>
          <w:bCs/>
          <w:w w:val="99"/>
          <w:sz w:val="28"/>
          <w:szCs w:val="28"/>
        </w:rPr>
        <w:t> </w:t>
      </w:r>
      <w:r>
        <w:rPr>
          <w:rFonts w:ascii="宋体" w:hAnsi="宋体" w:cs="宋体" w:eastAsia="宋体" w:hint="default"/>
          <w:b/>
          <w:bCs/>
          <w:spacing w:val="2"/>
          <w:sz w:val="28"/>
          <w:szCs w:val="28"/>
        </w:rPr>
        <w:t>非同一控制下的企业合并，合并成本大于合并中取得的被购买方可辨认净资产</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公允价值份额的差额，确认为商誉，商誉不做摊销处理，但需在未来年度每年</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年终进行减值测试。如果未来被收购资产所处行业不景气、自身业务下降或者</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其他因素导致未来经营状况和盈利能力未达预期，则上市公司存在商誉减值的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风险，从而对上市公司当期损益造成不利影响，若一旦集中计提大额的商誉减</w:t>
      </w:r>
      <w:r>
        <w:rPr>
          <w:rFonts w:ascii="宋体" w:hAnsi="宋体" w:cs="宋体" w:eastAsia="宋体" w:hint="default"/>
          <w:b/>
          <w:bCs/>
          <w:w w:val="99"/>
          <w:sz w:val="28"/>
          <w:szCs w:val="28"/>
        </w:rPr>
        <w:t> </w:t>
      </w:r>
      <w:r>
        <w:rPr>
          <w:rFonts w:ascii="宋体" w:hAnsi="宋体" w:cs="宋体" w:eastAsia="宋体" w:hint="default"/>
          <w:b/>
          <w:bCs/>
          <w:spacing w:val="2"/>
          <w:sz w:val="28"/>
          <w:szCs w:val="28"/>
        </w:rPr>
        <w:t>值，将对上市公司盈利水平产生较大的不利影响，提请投资者注意相应风险。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公司建立了相应的内控管理制度，并每年对商誉进行减值测试。此外公司将通</w:t>
      </w:r>
      <w:r>
        <w:rPr>
          <w:rFonts w:ascii="宋体" w:hAnsi="宋体" w:cs="宋体" w:eastAsia="宋体" w:hint="default"/>
          <w:b/>
          <w:bCs/>
          <w:w w:val="99"/>
          <w:sz w:val="28"/>
          <w:szCs w:val="28"/>
        </w:rPr>
        <w:t> </w:t>
      </w:r>
      <w:r>
        <w:rPr>
          <w:rFonts w:ascii="宋体" w:hAnsi="宋体" w:cs="宋体" w:eastAsia="宋体" w:hint="default"/>
          <w:b/>
          <w:bCs/>
          <w:spacing w:val="2"/>
          <w:sz w:val="28"/>
          <w:szCs w:val="28"/>
        </w:rPr>
        <w:t>过加强和被收购资产在市场、人员、技术、管理等方面的整合，保持被收购资</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产的持续竞争力，将因企业合并形成的商誉对上市公司未来业绩的影响降到最</w:t>
      </w:r>
      <w:r>
        <w:rPr>
          <w:rFonts w:ascii="宋体" w:hAnsi="宋体" w:cs="宋体" w:eastAsia="宋体" w:hint="default"/>
          <w:b/>
          <w:bCs/>
          <w:w w:val="99"/>
          <w:sz w:val="28"/>
          <w:szCs w:val="28"/>
        </w:rPr>
        <w:t> </w:t>
      </w:r>
      <w:r>
        <w:rPr>
          <w:rFonts w:ascii="宋体" w:hAnsi="宋体" w:cs="宋体" w:eastAsia="宋体" w:hint="default"/>
          <w:b/>
          <w:bCs/>
          <w:sz w:val="28"/>
          <w:szCs w:val="28"/>
        </w:rPr>
        <w:t>低程度。</w:t>
      </w:r>
      <w:r>
        <w:rPr>
          <w:rFonts w:ascii="宋体" w:hAnsi="宋体" w:cs="宋体" w:eastAsia="宋体" w:hint="default"/>
          <w:sz w:val="28"/>
          <w:szCs w:val="28"/>
        </w:rPr>
      </w:r>
    </w:p>
    <w:p>
      <w:pPr>
        <w:spacing w:before="165"/>
        <w:ind w:left="714" w:right="991"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446,787,857</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after="0"/>
        <w:jc w:val="left"/>
        <w:rPr>
          <w:rFonts w:ascii="宋体" w:hAnsi="宋体" w:cs="宋体" w:eastAsia="宋体" w:hint="default"/>
          <w:sz w:val="28"/>
          <w:szCs w:val="28"/>
        </w:rPr>
        <w:sectPr>
          <w:pgSz w:w="11910" w:h="16840"/>
          <w:pgMar w:header="786" w:footer="1267" w:top="1100" w:bottom="1460" w:left="980" w:right="0"/>
        </w:sectPr>
      </w:pPr>
    </w:p>
    <w:p>
      <w:pPr>
        <w:spacing w:line="240" w:lineRule="auto" w:before="0"/>
        <w:rPr>
          <w:rFonts w:ascii="宋体" w:hAnsi="宋体" w:cs="宋体" w:eastAsia="宋体" w:hint="default"/>
          <w:b/>
          <w:bCs/>
          <w:sz w:val="20"/>
          <w:szCs w:val="20"/>
        </w:rPr>
      </w:pPr>
    </w:p>
    <w:p>
      <w:pPr>
        <w:spacing w:before="156"/>
        <w:ind w:left="152" w:right="991"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3</w:t>
      </w:r>
      <w:r>
        <w:rPr>
          <w:rFonts w:ascii="Times New Roman" w:hAnsi="Times New Roman" w:cs="Times New Roman" w:eastAsia="Times New Roman" w:hint="default"/>
          <w:b/>
          <w:bCs/>
          <w:w w:val="100"/>
          <w:sz w:val="28"/>
          <w:szCs w:val="28"/>
        </w:rPr>
        <w:t>6</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6"/>
        <w:ind w:left="152" w:right="1117"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86" w:footer="1267" w:top="1100" w:bottom="14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tabs>
          <w:tab w:pos="724" w:val="left" w:leader="none"/>
        </w:tabs>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8</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t>12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38</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63</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bookmark8">
            <w:r>
              <w:rPr/>
              <w:t>第九节</w:t>
            </w:r>
            <w:r>
              <w:rPr>
                <w:spacing w:val="-1"/>
              </w:rPr>
              <w:t> </w:t>
            </w:r>
            <w:r>
              <w:rPr/>
              <w:t>公司治理</w:t>
            </w:r>
            <w:r>
              <w:rPr>
                <w:rFonts w:ascii="Times New Roman" w:hAnsi="Times New Roman" w:cs="Times New Roman" w:eastAsia="Times New Roman" w:hint="default"/>
              </w:rPr>
              <w:tab/>
              <w:t>68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72</w:t>
            </w:r>
          </w:hyperlink>
        </w:p>
        <w:p>
          <w:pPr>
            <w:pStyle w:val="TOC1"/>
            <w:tabs>
              <w:tab w:pos="9785" w:val="right" w:leader="dot"/>
            </w:tabs>
            <w:spacing w:line="240" w:lineRule="auto" w:before="278"/>
            <w:ind w:right="0"/>
            <w:jc w:val="left"/>
            <w:rPr>
              <w:rFonts w:ascii="Times New Roman" w:hAnsi="Times New Roman" w:cs="Times New Roman" w:eastAsia="Times New Roman" w:hint="default"/>
            </w:rPr>
          </w:pPr>
          <w:hyperlink w:history="true" w:anchor="_bookmark10">
            <w:r>
              <w:rPr/>
              <w:t>第十一节</w:t>
            </w:r>
            <w:r>
              <w:rPr>
                <w:spacing w:val="-1"/>
              </w:rPr>
              <w:t> </w:t>
            </w:r>
            <w:r>
              <w:rPr/>
              <w:t>财务报告</w:t>
            </w:r>
            <w:r>
              <w:rPr>
                <w:rFonts w:ascii="Times New Roman" w:hAnsi="Times New Roman" w:cs="Times New Roman" w:eastAsia="Times New Roman" w:hint="default"/>
              </w:rPr>
              <w:tab/>
              <w:t>73</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207</w:t>
            </w:r>
          </w:hyperlink>
        </w:p>
        <w:p>
          <w:pPr/>
          <w:r>
            <w:fldChar w:fldCharType="end"/>
          </w:r>
        </w:p>
      </w:sdtContent>
    </w:sdt>
    <w:p>
      <w:pPr>
        <w:spacing w:after="0"/>
        <w:sectPr>
          <w:pgSz w:w="11910" w:h="16840"/>
          <w:pgMar w:header="786" w:footer="1267" w:top="1100" w:bottom="1460" w:left="980" w:right="0"/>
        </w:sectPr>
      </w:pPr>
    </w:p>
    <w:p>
      <w:pPr>
        <w:spacing w:before="904"/>
        <w:ind w:left="0" w:right="97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1"/>
        <w:gridCol w:w="614"/>
        <w:gridCol w:w="5424"/>
      </w:tblGrid>
      <w:tr>
        <w:trPr>
          <w:trHeight w:val="403"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高伟达</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高伟达软件股份有限公司</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鹰高投资</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鹰潭市鹰高投资咨询有限公司</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上海睿民</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上海睿民互联网科技有限公司</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坚果技术</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海南坚果创娱信息技术有限公司</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尚河科技</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喀什尚河信息科技有限公司</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快读科技</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深圳市快读科技有限公司</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盈达信息</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江苏盈达信息技术有限公司</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达保科技</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北京高伟达保科技有限责任公司</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蚂达软件</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北京蚂达软件信息技术有限责任公司</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伟达金科</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北京伟达金科科技有限公司</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磐世科技</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深圳市磐世科技有限公司</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翕振信息</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上海翕振信息技术有限公司</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本公司发行的人民币普通股</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w:t>
            </w:r>
            <w:r>
              <w:rPr>
                <w:rFonts w:ascii="Times New Roman" w:hAnsi="Times New Roman" w:cs="Times New Roman" w:eastAsia="Times New Roman" w:hint="default"/>
                <w:sz w:val="18"/>
                <w:szCs w:val="18"/>
              </w:rPr>
              <w:t>/</w:t>
            </w:r>
            <w:r>
              <w:rPr>
                <w:rFonts w:ascii="宋体" w:hAnsi="宋体" w:cs="宋体" w:eastAsia="宋体" w:hint="default"/>
                <w:sz w:val="18"/>
                <w:szCs w:val="18"/>
              </w:rPr>
              <w:t>会计师事务所</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4"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161" w:hRule="exact"/>
        </w:trPr>
        <w:tc>
          <w:tcPr>
            <w:tcW w:w="3521" w:type="dxa"/>
            <w:vMerge w:val="restart"/>
            <w:tcBorders>
              <w:top w:val="single" w:sz="4" w:space="0" w:color="000000"/>
              <w:left w:val="single" w:sz="4" w:space="0" w:color="000000"/>
              <w:right w:val="single" w:sz="9" w:space="0" w:color="D2D2D2"/>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《企业会计准则》</w:t>
            </w:r>
          </w:p>
        </w:tc>
        <w:tc>
          <w:tcPr>
            <w:tcW w:w="614"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shd w:val="clear" w:color="auto" w:fill="CCE8CF"/>
          </w:tcPr>
          <w:p>
            <w:pPr>
              <w:pStyle w:val="TableParagraph"/>
              <w:spacing w:line="300" w:lineRule="auto" w:before="49"/>
              <w:ind w:left="27" w:right="8"/>
              <w:jc w:val="left"/>
              <w:rPr>
                <w:rFonts w:ascii="宋体" w:hAnsi="宋体" w:cs="宋体" w:eastAsia="宋体" w:hint="default"/>
                <w:sz w:val="18"/>
                <w:szCs w:val="18"/>
              </w:rPr>
            </w:pPr>
            <w:r>
              <w:rPr>
                <w:rFonts w:ascii="宋体" w:hAnsi="宋体" w:cs="宋体" w:eastAsia="宋体" w:hint="default"/>
                <w:sz w:val="18"/>
                <w:szCs w:val="18"/>
              </w:rPr>
              <w:t>财政部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月颁布的并于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日起施行的《企业会计</w:t>
            </w:r>
            <w:r>
              <w:rPr>
                <w:rFonts w:ascii="宋体" w:hAnsi="宋体" w:cs="宋体" w:eastAsia="宋体" w:hint="default"/>
                <w:sz w:val="18"/>
                <w:szCs w:val="18"/>
              </w:rPr>
              <w:t> </w:t>
            </w:r>
            <w:r>
              <w:rPr>
                <w:rFonts w:ascii="宋体" w:hAnsi="宋体" w:cs="宋体" w:eastAsia="宋体" w:hint="default"/>
                <w:spacing w:val="-3"/>
                <w:sz w:val="18"/>
                <w:szCs w:val="18"/>
              </w:rPr>
              <w:t>准则》，包括基本准则、具体准则、应用指南、解释和其他相关规定</w:t>
            </w:r>
          </w:p>
        </w:tc>
      </w:tr>
      <w:tr>
        <w:trPr>
          <w:trHeight w:val="391" w:hRule="exact"/>
        </w:trPr>
        <w:tc>
          <w:tcPr>
            <w:tcW w:w="3521" w:type="dxa"/>
            <w:vMerge/>
            <w:tcBorders>
              <w:left w:val="single" w:sz="4" w:space="0" w:color="000000"/>
              <w:right w:val="single" w:sz="9" w:space="0" w:color="D2D2D2"/>
            </w:tcBorders>
            <w:shd w:val="clear" w:color="auto" w:fill="CCE8CF"/>
          </w:tcPr>
          <w:p>
            <w:pPr/>
          </w:p>
        </w:tc>
        <w:tc>
          <w:tcPr>
            <w:tcW w:w="6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shd w:val="clear" w:color="auto" w:fill="CCE8CF"/>
          </w:tcPr>
          <w:p>
            <w:pPr/>
          </w:p>
        </w:tc>
      </w:tr>
      <w:tr>
        <w:trPr>
          <w:trHeight w:val="161" w:hRule="exact"/>
        </w:trPr>
        <w:tc>
          <w:tcPr>
            <w:tcW w:w="3521" w:type="dxa"/>
            <w:vMerge/>
            <w:tcBorders>
              <w:left w:val="single" w:sz="4" w:space="0" w:color="000000"/>
              <w:bottom w:val="single" w:sz="4" w:space="0" w:color="000000"/>
              <w:right w:val="single" w:sz="9" w:space="0" w:color="D2D2D2"/>
            </w:tcBorders>
            <w:shd w:val="clear" w:color="auto" w:fill="CCE8CF"/>
          </w:tcPr>
          <w:p>
            <w:pPr/>
          </w:p>
        </w:tc>
        <w:tc>
          <w:tcPr>
            <w:tcW w:w="614"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shd w:val="clear" w:color="auto" w:fill="CCE8CF"/>
          </w:tcPr>
          <w:p>
            <w:pP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《高伟达软件股份有限公司公司章程》</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86" w:footer="1267" w:top="1100" w:bottom="14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1"/>
        <w:spacing w:line="240" w:lineRule="auto"/>
        <w:ind w:left="2642" w:right="1117"/>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7"/>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5"/>
        <w:gridCol w:w="2176"/>
      </w:tblGrid>
      <w:tr>
        <w:trPr>
          <w:trHeight w:val="403"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高伟达</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300465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高伟达软件股份有限公司</w:t>
            </w:r>
          </w:p>
        </w:tc>
      </w:tr>
      <w:tr>
        <w:trPr>
          <w:trHeight w:val="403"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高伟达</w:t>
            </w:r>
          </w:p>
        </w:tc>
      </w:tr>
      <w:tr>
        <w:trPr>
          <w:trHeight w:val="401"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GLOBAL INFOTECH CO.,</w:t>
            </w:r>
            <w:r>
              <w:rPr>
                <w:rFonts w:ascii="Times New Roman"/>
                <w:spacing w:val="-11"/>
                <w:sz w:val="18"/>
              </w:rPr>
              <w:t> </w:t>
            </w:r>
            <w:r>
              <w:rPr>
                <w:rFonts w:ascii="Times New Roman"/>
                <w:spacing w:val="-5"/>
                <w:sz w:val="18"/>
              </w:rPr>
              <w:t>LTD.</w:t>
            </w:r>
          </w:p>
        </w:tc>
      </w:tr>
      <w:tr>
        <w:trPr>
          <w:trHeight w:val="403"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GIT</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于伟</w:t>
            </w:r>
          </w:p>
        </w:tc>
      </w:tr>
      <w:tr>
        <w:trPr>
          <w:trHeight w:val="403"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北京市海淀区大慧寺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房间</w:t>
            </w:r>
          </w:p>
        </w:tc>
      </w:tr>
      <w:tr>
        <w:trPr>
          <w:trHeight w:val="401"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100081</w:t>
            </w:r>
          </w:p>
        </w:tc>
      </w:tr>
      <w:tr>
        <w:trPr>
          <w:trHeight w:val="403"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号高斓大厦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100016</w:t>
            </w:r>
          </w:p>
        </w:tc>
      </w:tr>
      <w:tr>
        <w:trPr>
          <w:trHeight w:val="403"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www.git.com.cn</w:t>
              </w:r>
            </w:hyperlink>
          </w:p>
        </w:tc>
      </w:tr>
      <w:tr>
        <w:trPr>
          <w:trHeight w:val="401"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securities@git.com.cn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17"/>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79"/>
      </w:tblGrid>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80"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9"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高源</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郑祥云</w:t>
            </w:r>
          </w:p>
        </w:tc>
      </w:tr>
      <w:tr>
        <w:trPr>
          <w:trHeight w:val="161" w:hRule="exact"/>
        </w:trPr>
        <w:tc>
          <w:tcPr>
            <w:tcW w:w="3180" w:type="dxa"/>
            <w:tcBorders>
              <w:top w:val="single" w:sz="4" w:space="0" w:color="000000"/>
              <w:left w:val="single" w:sz="4" w:space="0" w:color="000000"/>
              <w:bottom w:val="nil" w:sz="6" w:space="0" w:color="auto"/>
              <w:right w:val="single" w:sz="10" w:space="0" w:color="CCE8CF"/>
            </w:tcBorders>
            <w:shd w:val="clear" w:color="auto" w:fill="D2D2D2"/>
          </w:tcPr>
          <w:p>
            <w:pPr/>
          </w:p>
        </w:tc>
        <w:tc>
          <w:tcPr>
            <w:tcW w:w="3189" w:type="dxa"/>
            <w:vMerge w:val="restart"/>
            <w:tcBorders>
              <w:top w:val="single" w:sz="4" w:space="0" w:color="000000"/>
              <w:left w:val="single" w:sz="9" w:space="0" w:color="D2D2D2"/>
              <w:right w:val="single" w:sz="4" w:space="0" w:color="000000"/>
            </w:tcBorders>
            <w:shd w:val="clear" w:color="auto" w:fill="CCE8CF"/>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号高斓大厦</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3179"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号高斓大厦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391" w:hRule="exact"/>
        </w:trPr>
        <w:tc>
          <w:tcPr>
            <w:tcW w:w="3180" w:type="dxa"/>
            <w:tcBorders>
              <w:top w:val="nil" w:sz="6" w:space="0" w:color="auto"/>
              <w:left w:val="single" w:sz="4" w:space="0" w:color="000000"/>
              <w:bottom w:val="nil" w:sz="6" w:space="0" w:color="auto"/>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9" w:type="dxa"/>
            <w:vMerge/>
            <w:tcBorders>
              <w:left w:val="single" w:sz="9" w:space="0" w:color="D2D2D2"/>
              <w:right w:val="single" w:sz="4" w:space="0" w:color="000000"/>
            </w:tcBorders>
            <w:shd w:val="clear" w:color="auto" w:fill="CCE8CF"/>
          </w:tcPr>
          <w:p>
            <w:pPr/>
          </w:p>
        </w:tc>
        <w:tc>
          <w:tcPr>
            <w:tcW w:w="3179" w:type="dxa"/>
            <w:vMerge/>
            <w:tcBorders>
              <w:left w:val="single" w:sz="4" w:space="0" w:color="000000"/>
              <w:right w:val="single" w:sz="4" w:space="0" w:color="000000"/>
            </w:tcBorders>
            <w:shd w:val="clear" w:color="auto" w:fill="CCE8CF"/>
          </w:tcPr>
          <w:p>
            <w:pPr/>
          </w:p>
        </w:tc>
      </w:tr>
      <w:tr>
        <w:trPr>
          <w:trHeight w:val="161" w:hRule="exact"/>
        </w:trPr>
        <w:tc>
          <w:tcPr>
            <w:tcW w:w="3180" w:type="dxa"/>
            <w:tcBorders>
              <w:top w:val="nil" w:sz="6" w:space="0" w:color="auto"/>
              <w:left w:val="single" w:sz="4" w:space="0" w:color="000000"/>
              <w:bottom w:val="single" w:sz="4" w:space="0" w:color="000000"/>
              <w:right w:val="single" w:sz="10" w:space="0" w:color="CCE8CF"/>
            </w:tcBorders>
            <w:shd w:val="clear" w:color="auto" w:fill="D2D2D2"/>
          </w:tcPr>
          <w:p>
            <w:pPr/>
          </w:p>
        </w:tc>
        <w:tc>
          <w:tcPr>
            <w:tcW w:w="3189" w:type="dxa"/>
            <w:vMerge/>
            <w:tcBorders>
              <w:left w:val="single" w:sz="9" w:space="0" w:color="D2D2D2"/>
              <w:bottom w:val="single" w:sz="4" w:space="0" w:color="000000"/>
              <w:right w:val="single" w:sz="4" w:space="0" w:color="000000"/>
            </w:tcBorders>
            <w:shd w:val="clear" w:color="auto" w:fill="CCE8CF"/>
          </w:tcPr>
          <w:p>
            <w:pPr/>
          </w:p>
        </w:tc>
        <w:tc>
          <w:tcPr>
            <w:tcW w:w="3179" w:type="dxa"/>
            <w:vMerge/>
            <w:tcBorders>
              <w:left w:val="single" w:sz="4" w:space="0" w:color="000000"/>
              <w:bottom w:val="single" w:sz="4" w:space="0" w:color="000000"/>
              <w:right w:val="single" w:sz="4" w:space="0" w:color="000000"/>
            </w:tcBorders>
            <w:shd w:val="clear" w:color="auto" w:fill="CCE8CF"/>
          </w:tcPr>
          <w:p>
            <w:pPr/>
          </w:p>
        </w:tc>
      </w:tr>
      <w:tr>
        <w:trPr>
          <w:trHeight w:val="403" w:hRule="exact"/>
        </w:trPr>
        <w:tc>
          <w:tcPr>
            <w:tcW w:w="3180"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9"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010-57321010</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010-57321010</w:t>
            </w:r>
          </w:p>
        </w:tc>
      </w:tr>
      <w:tr>
        <w:trPr>
          <w:trHeight w:val="401" w:hRule="exact"/>
        </w:trPr>
        <w:tc>
          <w:tcPr>
            <w:tcW w:w="3180"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9"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010-57321000</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010-57321000</w:t>
            </w:r>
          </w:p>
        </w:tc>
      </w:tr>
      <w:tr>
        <w:trPr>
          <w:trHeight w:val="403" w:hRule="exact"/>
        </w:trPr>
        <w:tc>
          <w:tcPr>
            <w:tcW w:w="3180"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9"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0">
              <w:r>
                <w:rPr>
                  <w:rFonts w:ascii="Times New Roman"/>
                  <w:sz w:val="18"/>
                </w:rPr>
                <w:t>securities@git.com.cn</w:t>
              </w:r>
            </w:hyperlink>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securities@git.com.cn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17"/>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003"/>
        <w:gridCol w:w="5567"/>
      </w:tblGrid>
      <w:tr>
        <w:trPr>
          <w:trHeight w:val="401" w:hRule="exact"/>
        </w:trPr>
        <w:tc>
          <w:tcPr>
            <w:tcW w:w="400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400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400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号高斓大厦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117"/>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7"/>
        <w:jc w:val="left"/>
      </w:pPr>
      <w:r>
        <w:rPr/>
        <w:t>公司聘请的会计师事务所</w:t>
      </w:r>
    </w:p>
    <w:p>
      <w:pPr>
        <w:spacing w:after="0" w:line="240" w:lineRule="auto"/>
        <w:jc w:val="left"/>
        <w:sectPr>
          <w:pgSz w:w="11910" w:h="16840"/>
          <w:pgMar w:header="786" w:footer="1267" w:top="1100" w:bottom="146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663"/>
        <w:gridCol w:w="6907"/>
      </w:tblGrid>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北京市朝阳区东三环中路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号财富金融中心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层</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潘高峰、张军伟</w:t>
            </w:r>
          </w:p>
        </w:tc>
      </w:tr>
    </w:tbl>
    <w:p>
      <w:pPr>
        <w:pStyle w:val="BodyText"/>
        <w:spacing w:line="240" w:lineRule="auto" w:before="50"/>
        <w:ind w:right="1117"/>
        <w:jc w:val="left"/>
      </w:pPr>
      <w:r>
        <w:rPr/>
        <w:t>公司聘请的报告期内履行持续督导职责的保荐机构</w:t>
      </w:r>
    </w:p>
    <w:p>
      <w:pPr>
        <w:pStyle w:val="BodyText"/>
        <w:spacing w:line="240" w:lineRule="auto" w:before="115"/>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40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0"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4"/>
              <w:ind w:left="23" w:right="101"/>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丰铭国际大厦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贾鹏、吴学孔</w:t>
            </w:r>
          </w:p>
        </w:tc>
        <w:tc>
          <w:tcPr>
            <w:tcW w:w="23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1117"/>
        <w:jc w:val="left"/>
      </w:pPr>
      <w:r>
        <w:rPr/>
        <w:t>公司聘请的报告期内履行持续督导职责的财务顾问</w:t>
      </w:r>
    </w:p>
    <w:p>
      <w:pPr>
        <w:pStyle w:val="BodyText"/>
        <w:spacing w:line="240" w:lineRule="auto" w:before="115"/>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40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0"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4"/>
              <w:ind w:left="23" w:right="101"/>
              <w:jc w:val="left"/>
              <w:rPr>
                <w:rFonts w:ascii="宋体" w:hAnsi="宋体" w:cs="宋体" w:eastAsia="宋体" w:hint="default"/>
                <w:sz w:val="18"/>
                <w:szCs w:val="18"/>
              </w:rPr>
            </w:pPr>
            <w:r>
              <w:rPr>
                <w:rFonts w:ascii="宋体" w:hAnsi="宋体" w:cs="宋体" w:eastAsia="宋体" w:hint="default"/>
                <w:sz w:val="18"/>
                <w:szCs w:val="18"/>
              </w:rPr>
              <w:t>北京市西城区丰盛胡同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丰铭国际大厦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左宝祥、贾鹏</w:t>
            </w:r>
          </w:p>
        </w:tc>
        <w:tc>
          <w:tcPr>
            <w:tcW w:w="23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1117"/>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7"/>
        <w:jc w:val="left"/>
      </w:pPr>
      <w:r>
        <w:rPr/>
        <w:t>公司是否需追溯调整或重述以前年度会计数据</w:t>
      </w:r>
    </w:p>
    <w:p>
      <w:pPr>
        <w:pStyle w:val="BodyText"/>
        <w:spacing w:line="240" w:lineRule="auto" w:before="115"/>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1,591,919,566.49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1,319,908,536.31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972,683,347.16</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104,546,602.00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35,020,479.85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23,109,577.54</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60,356,466.24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34,251,376.41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23,810,143.47</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238,019,446.82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-80,447,949.20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52,930,225.58</w:t>
            </w:r>
          </w:p>
        </w:tc>
      </w:tr>
      <w:tr>
        <w:trPr>
          <w:trHeight w:val="40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3.06%</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2,388,498,304.67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2,237,414,688.65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1,699,676,083.84</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1,183,904,420.19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1,076,292,184.11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1,043,909,396.25</w:t>
            </w:r>
          </w:p>
        </w:tc>
      </w:tr>
    </w:tbl>
    <w:p>
      <w:pPr>
        <w:spacing w:line="240" w:lineRule="auto" w:before="1"/>
        <w:rPr>
          <w:rFonts w:ascii="宋体" w:hAnsi="宋体" w:cs="宋体" w:eastAsia="宋体" w:hint="default"/>
          <w:sz w:val="18"/>
          <w:szCs w:val="18"/>
        </w:rPr>
      </w:pPr>
    </w:p>
    <w:p>
      <w:pPr>
        <w:pStyle w:val="Heading2"/>
        <w:spacing w:line="240" w:lineRule="auto" w:before="26"/>
        <w:ind w:right="1117"/>
        <w:jc w:val="left"/>
        <w:rPr>
          <w:b w:val="0"/>
          <w:bCs w:val="0"/>
        </w:rPr>
      </w:pPr>
      <w:r>
        <w:rPr/>
        <w:t>六、分季度主要财务指标</w:t>
      </w:r>
      <w:r>
        <w:rPr>
          <w:b w:val="0"/>
          <w:bCs w:val="0"/>
        </w:rPr>
      </w:r>
    </w:p>
    <w:p>
      <w:pPr>
        <w:spacing w:after="0" w:line="240" w:lineRule="auto"/>
        <w:jc w:val="left"/>
        <w:sectPr>
          <w:pgSz w:w="11910" w:h="16840"/>
          <w:pgMar w:header="786" w:footer="1267" w:top="1100" w:bottom="1460" w:left="980" w:right="0"/>
        </w:sectPr>
      </w:pPr>
    </w:p>
    <w:p>
      <w:pPr>
        <w:spacing w:line="240" w:lineRule="auto" w:before="8"/>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291,559,211.70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355,741,389.94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379,582,777.54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565,036,187.31</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1,283,296.51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12,115,871.68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11,376,129.13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79,771,304.68</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1,315,920.26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11,750,000.03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10,917,483.15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36,373,062.80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-81,452,033.66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-23,327,522.21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60,084,375.54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282,714,627.15</w:t>
            </w:r>
            <w:r>
              <w:rPr>
                <w:rFonts w:ascii="Times New Roman"/>
                <w:sz w:val="18"/>
              </w:rPr>
            </w:r>
          </w:p>
        </w:tc>
      </w:tr>
    </w:tbl>
    <w:p>
      <w:pPr>
        <w:pStyle w:val="BodyText"/>
        <w:spacing w:line="240" w:lineRule="auto" w:before="49"/>
        <w:ind w:right="1117"/>
        <w:jc w:val="left"/>
      </w:pPr>
      <w:r>
        <w:rPr/>
        <w:t>上述财务指标或其加总数是否与公司已披露季度报告、半年度报告相关财务指标存在重大差异</w:t>
      </w:r>
    </w:p>
    <w:p>
      <w:pPr>
        <w:pStyle w:val="BodyText"/>
        <w:spacing w:line="240" w:lineRule="auto" w:before="117"/>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4"/>
          <w:szCs w:val="24"/>
        </w:rPr>
      </w:pPr>
    </w:p>
    <w:p>
      <w:pPr>
        <w:pStyle w:val="Heading2"/>
        <w:spacing w:line="240" w:lineRule="auto"/>
        <w:ind w:right="1117"/>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5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7"/>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17"/>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53,999,588.04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50,019.34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82,920.24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2,552,263.70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2,677,885.94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425,664.44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税收及财政扶持款</w:t>
            </w:r>
          </w:p>
        </w:tc>
      </w:tr>
      <w:tr>
        <w:trPr>
          <w:trHeight w:val="1649"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-3,492,314.27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-1,679,345.52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55"/>
              <w:jc w:val="both"/>
              <w:rPr>
                <w:rFonts w:ascii="宋体" w:hAnsi="宋体" w:cs="宋体" w:eastAsia="宋体" w:hint="default"/>
                <w:sz w:val="18"/>
                <w:szCs w:val="18"/>
              </w:rPr>
            </w:pPr>
            <w:r>
              <w:rPr>
                <w:rFonts w:ascii="宋体" w:hAnsi="宋体" w:cs="宋体" w:eastAsia="宋体" w:hint="default"/>
                <w:sz w:val="18"/>
                <w:szCs w:val="18"/>
              </w:rPr>
              <w:t>按照合同约定支付给 收购公司原股东的超 额业绩对价款</w:t>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-479,999.95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-277,804.37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-1,173,763.00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8,396,490.30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1,651.95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35,387.61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-7,088.54</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267" w:top="1100" w:bottom="146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34"/>
        <w:gridCol w:w="1699"/>
      </w:tblGrid>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3" w:right="0"/>
              <w:jc w:val="left"/>
              <w:rPr>
                <w:rFonts w:ascii="Times New Roman" w:hAnsi="Times New Roman" w:cs="Times New Roman" w:eastAsia="Times New Roman" w:hint="default"/>
                <w:sz w:val="18"/>
                <w:szCs w:val="18"/>
              </w:rPr>
            </w:pPr>
            <w:r>
              <w:rPr>
                <w:rFonts w:ascii="Times New Roman"/>
                <w:sz w:val="18"/>
              </w:rPr>
              <w:t>44,190,135.76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7" w:right="0"/>
              <w:jc w:val="left"/>
              <w:rPr>
                <w:rFonts w:ascii="Times New Roman" w:hAnsi="Times New Roman" w:cs="Times New Roman" w:eastAsia="Times New Roman" w:hint="default"/>
                <w:sz w:val="18"/>
                <w:szCs w:val="18"/>
              </w:rPr>
            </w:pPr>
            <w:r>
              <w:rPr>
                <w:rFonts w:ascii="Times New Roman"/>
                <w:sz w:val="18"/>
              </w:rPr>
              <w:t>769,103.44</w:t>
            </w:r>
          </w:p>
        </w:tc>
        <w:tc>
          <w:tcPr>
            <w:tcW w:w="153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-700,565.93</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91"/>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86" w:footer="1267" w:top="110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3446" w:right="1117"/>
        <w:jc w:val="left"/>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17"/>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 软件与信息技术服务业</w:t>
      </w:r>
      <w:r>
        <w:rPr>
          <w:rFonts w:ascii="Times New Roman" w:hAnsi="Times New Roman" w:cs="Times New Roman" w:eastAsia="Times New Roman" w:hint="default"/>
        </w:rPr>
        <w:t>;</w:t>
      </w:r>
      <w:r>
        <w:rPr/>
        <w:t>互联网营销业</w:t>
      </w:r>
    </w:p>
    <w:p>
      <w:pPr>
        <w:pStyle w:val="BodyText"/>
        <w:spacing w:line="240" w:lineRule="auto" w:before="6"/>
        <w:ind w:right="11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0" w:lineRule="auto" w:before="104"/>
        <w:ind w:right="1132" w:firstLine="360"/>
        <w:jc w:val="both"/>
      </w:pPr>
      <w:r>
        <w:rPr>
          <w:rFonts w:ascii="Times New Roman" w:hAnsi="Times New Roman" w:cs="Times New Roman" w:eastAsia="Times New Roman" w:hint="default"/>
          <w:spacing w:val="-2"/>
        </w:rPr>
        <w:t>2019</w:t>
      </w:r>
      <w:r>
        <w:rPr>
          <w:spacing w:val="-2"/>
        </w:rPr>
        <w:t>年，预计我国金融科技企业营业收入总规模同比呈上升趋势，客户需求保持稳定。目前金融科技服务于金融机构更</w:t>
      </w:r>
      <w:r>
        <w:rPr/>
        <w:t> 加偏向金融业务后端，行业潜在发展能力较大，营业收入规模或将保持现有增速稳定增长。</w:t>
      </w:r>
    </w:p>
    <w:p>
      <w:pPr>
        <w:pStyle w:val="BodyText"/>
        <w:spacing w:line="304" w:lineRule="auto" w:before="70"/>
        <w:ind w:right="1128" w:firstLine="360"/>
        <w:jc w:val="both"/>
      </w:pPr>
      <w:r>
        <w:rPr/>
        <w:t>公司成立于</w:t>
      </w:r>
      <w:r>
        <w:rPr>
          <w:rFonts w:ascii="Times New Roman" w:hAnsi="Times New Roman" w:cs="Times New Roman" w:eastAsia="Times New Roman" w:hint="default"/>
        </w:rPr>
        <w:t>1998</w:t>
      </w:r>
      <w:r>
        <w:rPr/>
        <w:t>年，近二十年来通过不断发展与创新，已成为国内领先的金融信息服务提供商。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月，公司成功 </w:t>
      </w:r>
      <w:r>
        <w:rPr>
          <w:spacing w:val="-2"/>
        </w:rPr>
        <w:t>登陆资本市场，进一步提升公司知名度，也使得公司未来的发展插上了资本的翅膀。公司在深耕主业的同时，于</w:t>
      </w:r>
      <w:r>
        <w:rPr>
          <w:rFonts w:ascii="Times New Roman" w:hAnsi="Times New Roman" w:cs="Times New Roman" w:eastAsia="Times New Roman" w:hint="default"/>
          <w:spacing w:val="-2"/>
        </w:rPr>
        <w:t>2016</w:t>
      </w:r>
      <w:r>
        <w:rPr>
          <w:spacing w:val="-2"/>
        </w:rPr>
        <w:t>年完成</w:t>
      </w:r>
      <w:r>
        <w:rPr>
          <w:spacing w:val="-63"/>
        </w:rPr>
        <w:t> </w:t>
      </w:r>
      <w:r>
        <w:rPr>
          <w:spacing w:val="-2"/>
        </w:rPr>
        <w:t>重大资产重组，收购上海睿民，夯实公司服务能力，丰富公司产业链条。同时为了更加丰富产品线，提升业绩，公司积极布</w:t>
      </w:r>
      <w:r>
        <w:rPr>
          <w:spacing w:val="-68"/>
        </w:rPr>
        <w:t> </w:t>
      </w:r>
      <w:r>
        <w:rPr>
          <w:spacing w:val="-68"/>
        </w:rPr>
      </w:r>
      <w:r>
        <w:rPr>
          <w:spacing w:val="-2"/>
        </w:rPr>
        <w:t>局移动互联网营销发展以及大数据技术，现金收购坚果技术、尚河科技两家公司。</w:t>
      </w:r>
      <w:r>
        <w:rPr>
          <w:rFonts w:ascii="Times New Roman" w:hAnsi="Times New Roman" w:cs="Times New Roman" w:eastAsia="Times New Roman" w:hint="default"/>
          <w:spacing w:val="-2"/>
        </w:rPr>
        <w:t>2017</w:t>
      </w:r>
      <w:r>
        <w:rPr>
          <w:spacing w:val="-2"/>
        </w:rPr>
        <w:t>年公司继续布局移动互联网领域，顺</w:t>
      </w:r>
      <w:r>
        <w:rPr>
          <w:spacing w:val="-61"/>
        </w:rPr>
        <w:t> </w:t>
      </w:r>
      <w:r>
        <w:rPr>
          <w:spacing w:val="-61"/>
        </w:rPr>
      </w:r>
      <w:r>
        <w:rPr>
          <w:spacing w:val="-2"/>
        </w:rPr>
        <w:t>利完成又一次重大资产重组，现金收购快读科技。</w:t>
      </w:r>
      <w:r>
        <w:rPr>
          <w:rFonts w:ascii="Times New Roman" w:hAnsi="Times New Roman" w:cs="Times New Roman" w:eastAsia="Times New Roman" w:hint="default"/>
          <w:spacing w:val="-2"/>
        </w:rPr>
        <w:t>2018</w:t>
      </w:r>
      <w:r>
        <w:rPr>
          <w:spacing w:val="-2"/>
        </w:rPr>
        <w:t>年，公司继续深耕主业，拓展客户，丰富产业化链条。公司主营业务</w:t>
      </w:r>
      <w:r>
        <w:rPr>
          <w:spacing w:val="-64"/>
        </w:rPr>
        <w:t> </w:t>
      </w:r>
      <w:r>
        <w:rPr>
          <w:spacing w:val="-64"/>
        </w:rPr>
      </w:r>
      <w:r>
        <w:rPr/>
        <w:t>情况如下：</w:t>
      </w:r>
    </w:p>
    <w:p>
      <w:pPr>
        <w:spacing w:line="357" w:lineRule="auto" w:before="150"/>
        <w:ind w:left="453" w:right="5413" w:firstLine="60"/>
        <w:jc w:val="left"/>
        <w:rPr>
          <w:rFonts w:ascii="宋体" w:hAnsi="宋体" w:cs="宋体" w:eastAsia="宋体" w:hint="default"/>
          <w:sz w:val="18"/>
          <w:szCs w:val="18"/>
        </w:rPr>
      </w:pPr>
      <w:r>
        <w:rPr>
          <w:rFonts w:ascii="宋体" w:hAnsi="宋体" w:cs="宋体" w:eastAsia="宋体" w:hint="default"/>
          <w:b/>
          <w:bCs/>
          <w:sz w:val="18"/>
          <w:szCs w:val="18"/>
        </w:rPr>
        <w:t>一、主营业务情况</w:t>
      </w:r>
      <w:r>
        <w:rPr>
          <w:rFonts w:ascii="宋体" w:hAnsi="宋体" w:cs="宋体" w:eastAsia="宋体" w:hint="default"/>
          <w:b/>
          <w:bCs/>
          <w:w w:val="99"/>
          <w:sz w:val="18"/>
          <w:szCs w:val="18"/>
        </w:rPr>
        <w:t> </w:t>
      </w:r>
      <w:r>
        <w:rPr>
          <w:rFonts w:ascii="宋体" w:hAnsi="宋体" w:cs="宋体" w:eastAsia="宋体" w:hint="default"/>
          <w:sz w:val="18"/>
          <w:szCs w:val="18"/>
        </w:rPr>
        <w:t>公司现有主营业务分为两大块：金融信息服务、移动互联网营销</w:t>
      </w:r>
    </w:p>
    <w:p>
      <w:pPr>
        <w:pStyle w:val="BodyText"/>
        <w:spacing w:line="357" w:lineRule="auto" w:before="110"/>
        <w:ind w:left="513" w:right="1117"/>
        <w:jc w:val="left"/>
      </w:pPr>
      <w:r>
        <w:rPr>
          <w:rFonts w:ascii="宋体" w:hAnsi="宋体" w:cs="宋体" w:eastAsia="宋体" w:hint="default"/>
          <w:b/>
          <w:bCs/>
        </w:rPr>
        <w:t>二、产品和业务用途</w:t>
      </w:r>
      <w:r>
        <w:rPr>
          <w:rFonts w:ascii="宋体" w:hAnsi="宋体" w:cs="宋体" w:eastAsia="宋体" w:hint="default"/>
          <w:b/>
          <w:bCs/>
          <w:w w:val="99"/>
        </w:rPr>
        <w:t> </w:t>
      </w:r>
      <w:r>
        <w:rPr>
          <w:spacing w:val="-2"/>
        </w:rPr>
        <w:t>金融信息服务是向以银行、保险、证券为主的金融企业客户提供</w:t>
      </w:r>
      <w:r>
        <w:rPr>
          <w:rFonts w:ascii="Times New Roman" w:hAnsi="Times New Roman" w:cs="Times New Roman" w:eastAsia="Times New Roman" w:hint="default"/>
          <w:spacing w:val="-2"/>
        </w:rPr>
        <w:t>IT</w:t>
      </w:r>
      <w:r>
        <w:rPr>
          <w:spacing w:val="-2"/>
        </w:rPr>
        <w:t>解决方案、</w:t>
      </w:r>
      <w:r>
        <w:rPr>
          <w:rFonts w:ascii="Times New Roman" w:hAnsi="Times New Roman" w:cs="Times New Roman" w:eastAsia="Times New Roman" w:hint="default"/>
          <w:spacing w:val="-2"/>
        </w:rPr>
        <w:t>IT</w:t>
      </w:r>
      <w:r>
        <w:rPr>
          <w:spacing w:val="-2"/>
        </w:rPr>
        <w:t>运维服务以及系统集成服务。具体可分</w:t>
      </w:r>
    </w:p>
    <w:p>
      <w:pPr>
        <w:pStyle w:val="BodyText"/>
        <w:spacing w:line="201" w:lineRule="exact"/>
        <w:ind w:right="1117"/>
        <w:jc w:val="left"/>
      </w:pPr>
      <w:r>
        <w:rPr/>
        <w:t>为：</w:t>
      </w:r>
    </w:p>
    <w:p>
      <w:pPr>
        <w:spacing w:line="240" w:lineRule="auto" w:before="8"/>
        <w:rPr>
          <w:rFonts w:ascii="宋体" w:hAnsi="宋体" w:cs="宋体" w:eastAsia="宋体" w:hint="default"/>
          <w:sz w:val="11"/>
          <w:szCs w:val="11"/>
        </w:rPr>
      </w:pPr>
    </w:p>
    <w:p>
      <w:pPr>
        <w:pStyle w:val="BodyText"/>
        <w:spacing w:line="300" w:lineRule="auto" w:before="44"/>
        <w:ind w:right="1132" w:firstLine="360"/>
        <w:jc w:val="both"/>
      </w:pPr>
      <w:r>
        <w:rPr>
          <w:rFonts w:ascii="宋体" w:hAnsi="宋体" w:cs="宋体" w:eastAsia="宋体" w:hint="default"/>
          <w:spacing w:val="-2"/>
        </w:rPr>
        <w:t>1.</w:t>
      </w:r>
      <w:r>
        <w:rPr>
          <w:rFonts w:ascii="Times New Roman" w:hAnsi="Times New Roman" w:cs="Times New Roman" w:eastAsia="Times New Roman" w:hint="default"/>
          <w:spacing w:val="-2"/>
        </w:rPr>
        <w:t>IT</w:t>
      </w:r>
      <w:r>
        <w:rPr>
          <w:spacing w:val="-2"/>
        </w:rPr>
        <w:t>解决方案是指由专业的</w:t>
      </w:r>
      <w:r>
        <w:rPr>
          <w:rFonts w:ascii="Times New Roman" w:hAnsi="Times New Roman" w:cs="Times New Roman" w:eastAsia="Times New Roman" w:hint="default"/>
          <w:spacing w:val="-2"/>
        </w:rPr>
        <w:t>IT</w:t>
      </w:r>
      <w:r>
        <w:rPr>
          <w:spacing w:val="-2"/>
        </w:rPr>
        <w:t>解决方案提供商为金融企业提供满足其渠道、业务、管理等需求的软件及相应服务。其中</w:t>
      </w:r>
      <w:r>
        <w:rPr/>
        <w:t> </w:t>
      </w:r>
      <w:r>
        <w:rPr>
          <w:rFonts w:ascii="Times New Roman" w:hAnsi="Times New Roman" w:cs="Times New Roman" w:eastAsia="Times New Roman" w:hint="default"/>
        </w:rPr>
        <w:t>IT</w:t>
      </w:r>
      <w:r>
        <w:rPr/>
        <w:t>解决方案软件包括解决方案供应商自有的应用软件，如银行核心业务系统、信贷管理系统、</w:t>
      </w:r>
      <w:r>
        <w:rPr>
          <w:rFonts w:ascii="Times New Roman" w:hAnsi="Times New Roman" w:cs="Times New Roman" w:eastAsia="Times New Roman" w:hint="default"/>
        </w:rPr>
        <w:t>CRM</w:t>
      </w:r>
      <w:r>
        <w:rPr/>
        <w:t>系统等；</w:t>
      </w:r>
      <w:r>
        <w:rPr>
          <w:rFonts w:ascii="Times New Roman" w:hAnsi="Times New Roman" w:cs="Times New Roman" w:eastAsia="Times New Roman" w:hint="default"/>
        </w:rPr>
        <w:t>IT</w:t>
      </w:r>
      <w:r>
        <w:rPr/>
        <w:t>解决方案服</w:t>
      </w:r>
      <w:r>
        <w:rPr>
          <w:spacing w:val="-23"/>
        </w:rPr>
        <w:t> </w:t>
      </w:r>
      <w:r>
        <w:rPr>
          <w:spacing w:val="-23"/>
        </w:rPr>
      </w:r>
      <w:r>
        <w:rPr/>
        <w:t>务包括咨询、实施、运行管理、支持和培训在内的与解决方案软件相关的</w:t>
      </w:r>
      <w:r>
        <w:rPr>
          <w:rFonts w:ascii="Times New Roman" w:hAnsi="Times New Roman" w:cs="Times New Roman" w:eastAsia="Times New Roman" w:hint="default"/>
        </w:rPr>
        <w:t>IT</w:t>
      </w:r>
      <w:r>
        <w:rPr/>
        <w:t>服务。</w:t>
      </w:r>
    </w:p>
    <w:p>
      <w:pPr>
        <w:pStyle w:val="BodyText"/>
        <w:spacing w:line="300" w:lineRule="auto" w:before="133"/>
        <w:ind w:right="1129" w:firstLine="360"/>
        <w:jc w:val="both"/>
      </w:pPr>
      <w:r>
        <w:rPr>
          <w:rFonts w:ascii="宋体" w:hAnsi="宋体" w:cs="宋体" w:eastAsia="宋体" w:hint="default"/>
          <w:spacing w:val="-2"/>
        </w:rPr>
        <w:t>2.</w:t>
      </w:r>
      <w:r>
        <w:rPr>
          <w:rFonts w:ascii="Times New Roman" w:hAnsi="Times New Roman" w:cs="Times New Roman" w:eastAsia="Times New Roman" w:hint="default"/>
          <w:spacing w:val="-2"/>
        </w:rPr>
        <w:t>IT</w:t>
      </w:r>
      <w:r>
        <w:rPr>
          <w:spacing w:val="-2"/>
        </w:rPr>
        <w:t>运维服务是为客户云数据中心提供从云基础规划，保障客户数据中心的稳定、安全、高效运行而提供的运营维护服</w:t>
      </w:r>
      <w:r>
        <w:rPr/>
        <w:t> 务，具体包括对</w:t>
      </w:r>
      <w:r>
        <w:rPr>
          <w:rFonts w:ascii="Times New Roman" w:hAnsi="Times New Roman" w:cs="Times New Roman" w:eastAsia="Times New Roman" w:hint="default"/>
        </w:rPr>
        <w:t>IT</w:t>
      </w:r>
      <w:r>
        <w:rPr/>
        <w:t>系统优化升级、日常变更操作、健康检查、故障分析及恢复、数据</w:t>
      </w:r>
      <w:r>
        <w:rPr>
          <w:rFonts w:ascii="Times New Roman" w:hAnsi="Times New Roman" w:cs="Times New Roman" w:eastAsia="Times New Roman" w:hint="default"/>
        </w:rPr>
        <w:t>/</w:t>
      </w:r>
      <w:r>
        <w:rPr/>
        <w:t>存储</w:t>
      </w:r>
      <w:r>
        <w:rPr>
          <w:rFonts w:ascii="Times New Roman" w:hAnsi="Times New Roman" w:cs="Times New Roman" w:eastAsia="Times New Roman" w:hint="default"/>
        </w:rPr>
        <w:t>/</w:t>
      </w:r>
      <w:r>
        <w:rPr/>
        <w:t>容灾管理、信息安全管理等技术</w:t>
      </w:r>
      <w:r>
        <w:rPr>
          <w:spacing w:val="-82"/>
        </w:rPr>
        <w:t> </w:t>
      </w:r>
      <w:r>
        <w:rPr>
          <w:spacing w:val="-82"/>
        </w:rPr>
      </w:r>
      <w:r>
        <w:rPr>
          <w:spacing w:val="-2"/>
        </w:rPr>
        <w:t>服务。随着云计算技术在数据中心建设中的逐步应用，</w:t>
      </w:r>
      <w:r>
        <w:rPr>
          <w:rFonts w:ascii="Times New Roman" w:hAnsi="Times New Roman" w:cs="Times New Roman" w:eastAsia="Times New Roman" w:hint="default"/>
          <w:spacing w:val="-2"/>
        </w:rPr>
        <w:t>IT</w:t>
      </w:r>
      <w:r>
        <w:rPr>
          <w:spacing w:val="-2"/>
        </w:rPr>
        <w:t>运维服务也包含了越来越多的云管理服务内容，虚拟化和自动化技</w:t>
      </w:r>
      <w:r>
        <w:rPr>
          <w:spacing w:val="-52"/>
        </w:rPr>
        <w:t> </w:t>
      </w:r>
      <w:r>
        <w:rPr>
          <w:spacing w:val="-52"/>
        </w:rPr>
      </w:r>
      <w:r>
        <w:rPr/>
        <w:t>术得到更多的应用。</w:t>
      </w:r>
    </w:p>
    <w:p>
      <w:pPr>
        <w:pStyle w:val="BodyText"/>
        <w:spacing w:line="300" w:lineRule="auto" w:before="151"/>
        <w:ind w:right="1132" w:firstLine="360"/>
        <w:jc w:val="both"/>
      </w:pPr>
      <w:r>
        <w:rPr>
          <w:rFonts w:ascii="宋体" w:hAnsi="宋体" w:cs="宋体" w:eastAsia="宋体" w:hint="default"/>
          <w:spacing w:val="-2"/>
        </w:rPr>
        <w:t>3.</w:t>
      </w:r>
      <w:r>
        <w:rPr>
          <w:spacing w:val="-2"/>
        </w:rPr>
        <w:t>系统集成服务是指应客户需求，提供</w:t>
      </w:r>
      <w:r>
        <w:rPr>
          <w:rFonts w:ascii="Times New Roman" w:hAnsi="Times New Roman" w:cs="Times New Roman" w:eastAsia="Times New Roman" w:hint="default"/>
          <w:spacing w:val="-2"/>
        </w:rPr>
        <w:t>IT</w:t>
      </w:r>
      <w:r>
        <w:rPr>
          <w:spacing w:val="-2"/>
        </w:rPr>
        <w:t>基础设施咨询及规划、数据中心集成设计、产品选型、软硬件详细配置、基础</w:t>
      </w:r>
      <w:r>
        <w:rPr/>
        <w:t> </w:t>
      </w:r>
      <w:r>
        <w:rPr>
          <w:spacing w:val="-5"/>
        </w:rPr>
        <w:t>软硬件供货、软硬件安装调试、</w:t>
      </w:r>
      <w:r>
        <w:rPr>
          <w:rFonts w:ascii="Times New Roman" w:hAnsi="Times New Roman" w:cs="Times New Roman" w:eastAsia="Times New Roman" w:hint="default"/>
          <w:spacing w:val="-5"/>
        </w:rPr>
        <w:t>IT</w:t>
      </w:r>
      <w:r>
        <w:rPr>
          <w:spacing w:val="-5"/>
        </w:rPr>
        <w:t>系统软硬件改造升级、技术咨询、售后服务等服务。其中基础软硬件设备主要包括服务器、</w:t>
      </w:r>
      <w:r>
        <w:rPr>
          <w:spacing w:val="-64"/>
        </w:rPr>
        <w:t> </w:t>
      </w:r>
      <w:r>
        <w:rPr>
          <w:spacing w:val="-64"/>
        </w:rPr>
      </w:r>
      <w:r>
        <w:rPr/>
        <w:t>存储、机房设备、网络设备等硬件设备以及中间件、数据库软件等基础软件。</w:t>
      </w:r>
    </w:p>
    <w:p>
      <w:pPr>
        <w:pStyle w:val="BodyText"/>
        <w:spacing w:line="316" w:lineRule="auto" w:before="151"/>
        <w:ind w:right="1132" w:firstLine="360"/>
        <w:jc w:val="both"/>
      </w:pPr>
      <w:r>
        <w:rPr>
          <w:spacing w:val="-2"/>
        </w:rPr>
        <w:t>移动互联网营销亦称为移动大数据精准营销，就是以国际移动互联网络为基础，利用数字化的信息和移动互联网络媒体</w:t>
      </w:r>
      <w:r>
        <w:rPr/>
        <w:t> 的交互性来实现营销目标的一种新型的市场营销方式。公司现有移动互联网营销业务具体内容如下：</w:t>
      </w:r>
    </w:p>
    <w:p>
      <w:pPr>
        <w:pStyle w:val="BodyText"/>
        <w:spacing w:line="432" w:lineRule="exact" w:before="3"/>
        <w:ind w:left="513" w:right="1117"/>
        <w:jc w:val="left"/>
      </w:pPr>
      <w:r>
        <w:rPr/>
        <w:t>坚果技术移动互联网营销业务： 坚果技术，是一家从事移动互联网营销的公司。该公司一方面依托于手机刷机商、</w:t>
      </w:r>
      <w:r>
        <w:rPr>
          <w:rFonts w:ascii="Times New Roman" w:hAnsi="Times New Roman" w:cs="Times New Roman" w:eastAsia="Times New Roman" w:hint="default"/>
        </w:rPr>
        <w:t>Launcher</w:t>
      </w:r>
      <w:r>
        <w:rPr/>
        <w:t>、</w:t>
      </w:r>
      <w:r>
        <w:rPr>
          <w:rFonts w:ascii="Times New Roman" w:hAnsi="Times New Roman" w:cs="Times New Roman" w:eastAsia="Times New Roman" w:hint="default"/>
        </w:rPr>
        <w:t>FOTA</w:t>
      </w:r>
      <w:r>
        <w:rPr/>
        <w:t>等中间商以及手机</w:t>
      </w:r>
    </w:p>
    <w:p>
      <w:pPr>
        <w:pStyle w:val="BodyText"/>
        <w:spacing w:line="309" w:lineRule="auto" w:before="15"/>
        <w:ind w:right="1128"/>
        <w:jc w:val="both"/>
      </w:pPr>
      <w:r>
        <w:rPr>
          <w:spacing w:val="-5"/>
        </w:rPr>
        <w:t>硬件厂商、方案商，持续获得下游充足的全球用户资源。另一方面，坚果技术凭借从上游广告联盟获取的广告订单（</w:t>
      </w:r>
      <w:r>
        <w:rPr>
          <w:rFonts w:ascii="Times New Roman" w:hAnsi="Times New Roman" w:cs="Times New Roman" w:eastAsia="Times New Roman" w:hint="default"/>
          <w:spacing w:val="-5"/>
        </w:rPr>
        <w:t>offer</w:t>
      </w:r>
      <w:r>
        <w:rPr>
          <w:spacing w:val="-5"/>
        </w:rPr>
        <w:t>），</w:t>
      </w:r>
      <w:r>
        <w:rPr>
          <w:spacing w:val="-39"/>
        </w:rPr>
        <w:t> </w:t>
      </w:r>
      <w:r>
        <w:rPr>
          <w:spacing w:val="-2"/>
        </w:rPr>
        <w:t>以及自己拓展的直客资源，持续获取广告业务机会。坚果技术拥有自己的大数据分析筛选和定位系统，将从下游渠道获得的</w:t>
      </w:r>
      <w:r>
        <w:rPr>
          <w:spacing w:val="-61"/>
        </w:rPr>
        <w:t> </w:t>
      </w:r>
      <w:r>
        <w:rPr>
          <w:spacing w:val="-61"/>
        </w:rPr>
      </w:r>
      <w:r>
        <w:rPr>
          <w:spacing w:val="-2"/>
        </w:rPr>
        <w:t>用户数据进行数据分析、用户画像，精准定位。通过大数据应用找到最具针对性的营销受众，进行精准的营销投放，从而从</w:t>
      </w:r>
    </w:p>
    <w:p>
      <w:pPr>
        <w:spacing w:after="0" w:line="309" w:lineRule="auto"/>
        <w:jc w:val="both"/>
        <w:sectPr>
          <w:pgSz w:w="11910" w:h="16840"/>
          <w:pgMar w:header="786" w:footer="1267" w:top="1100" w:bottom="1460" w:left="980" w:right="0"/>
        </w:sectPr>
      </w:pPr>
    </w:p>
    <w:p>
      <w:pPr>
        <w:spacing w:line="240" w:lineRule="auto" w:before="8"/>
        <w:rPr>
          <w:rFonts w:ascii="宋体" w:hAnsi="宋体" w:cs="宋体" w:eastAsia="宋体" w:hint="default"/>
          <w:sz w:val="22"/>
          <w:szCs w:val="22"/>
        </w:rPr>
      </w:pPr>
    </w:p>
    <w:p>
      <w:pPr>
        <w:pStyle w:val="BodyText"/>
        <w:spacing w:line="439" w:lineRule="auto" w:before="44"/>
        <w:ind w:left="513" w:right="7873" w:hanging="361"/>
        <w:jc w:val="left"/>
      </w:pPr>
      <w:r>
        <w:rPr/>
        <w:t>根本上提高广告主广告投放的效率。 尚河科技移动互联网营销业务：</w:t>
      </w:r>
    </w:p>
    <w:p>
      <w:pPr>
        <w:pStyle w:val="BodyText"/>
        <w:spacing w:line="316" w:lineRule="auto" w:before="47"/>
        <w:ind w:right="1130" w:firstLine="360"/>
        <w:jc w:val="both"/>
      </w:pPr>
      <w:r>
        <w:rPr>
          <w:spacing w:val="-2"/>
        </w:rPr>
        <w:t>尚河科技通过对优秀互联网企业旗下产品提供专有品牌推广业务，相应获得代理权，根据受托方推广产品的收入，按照</w:t>
      </w:r>
      <w:r>
        <w:rPr/>
        <w:t> </w:t>
      </w:r>
      <w:r>
        <w:rPr>
          <w:spacing w:val="-2"/>
        </w:rPr>
        <w:t>协议约定比例与受托方分成。通过对移动广告投放需求方进行营销方案设计，优化产品筛选，同时通过数据分析能力以及运</w:t>
      </w:r>
      <w:r>
        <w:rPr>
          <w:spacing w:val="-63"/>
        </w:rPr>
        <w:t> </w:t>
      </w:r>
      <w:r>
        <w:rPr>
          <w:spacing w:val="-63"/>
        </w:rPr>
      </w:r>
      <w:r>
        <w:rPr/>
        <w:t>营能力，对用户进行大数据分析，实现移动广告的精准投放。</w:t>
      </w:r>
    </w:p>
    <w:p>
      <w:pPr>
        <w:pStyle w:val="BodyText"/>
        <w:spacing w:line="360" w:lineRule="auto" w:before="139"/>
        <w:ind w:left="513" w:right="1117"/>
        <w:jc w:val="left"/>
      </w:pPr>
      <w:r>
        <w:rPr/>
        <w:t>快读科技移动互联网营销业务： </w:t>
      </w:r>
      <w:r>
        <w:rPr>
          <w:spacing w:val="-2"/>
        </w:rPr>
        <w:t>快读科技是一家致力于提供移动端广告营销的专业机构，通过与主流移动端媒体合作并积极整合各类长尾流量，广泛覆</w:t>
      </w:r>
    </w:p>
    <w:p>
      <w:pPr>
        <w:pStyle w:val="BodyText"/>
        <w:spacing w:line="236" w:lineRule="exact"/>
        <w:ind w:right="0"/>
        <w:jc w:val="both"/>
      </w:pPr>
      <w:r>
        <w:rPr/>
        <w:t>盖下游媒体资源，凭借着丰富的移动营销运营经验，深入挖掘客户核心需求。快读科技自</w:t>
      </w:r>
      <w:r>
        <w:rPr>
          <w:rFonts w:ascii="Times New Roman" w:hAnsi="Times New Roman" w:cs="Times New Roman" w:eastAsia="Times New Roman" w:hint="default"/>
        </w:rPr>
        <w:t>2014</w:t>
      </w:r>
      <w:r>
        <w:rPr/>
        <w:t>年成立以来，通过把握移动互</w:t>
      </w:r>
    </w:p>
    <w:p>
      <w:pPr>
        <w:pStyle w:val="BodyText"/>
        <w:spacing w:line="319" w:lineRule="auto" w:before="63"/>
        <w:ind w:right="1135"/>
        <w:jc w:val="both"/>
      </w:pPr>
      <w:r>
        <w:rPr>
          <w:spacing w:val="-2"/>
        </w:rPr>
        <w:t>联网高速发展契机，依托各类媒体资源，为广告主提供全方位的移动广告营销解决方案，高效、精准、广覆盖、高性价比地</w:t>
      </w:r>
      <w:r>
        <w:rPr>
          <w:spacing w:val="-70"/>
        </w:rPr>
        <w:t> </w:t>
      </w:r>
      <w:r>
        <w:rPr>
          <w:spacing w:val="-70"/>
        </w:rPr>
      </w:r>
      <w:r>
        <w:rPr/>
        <w:t>提供移动广告营销服务，逐步形成独特的竞争优势和品牌效应，是移动营销业务领域的优秀企业。</w:t>
      </w:r>
    </w:p>
    <w:p>
      <w:pPr>
        <w:pStyle w:val="BodyText"/>
        <w:spacing w:line="432" w:lineRule="exact" w:before="1"/>
        <w:ind w:left="513" w:right="1117"/>
        <w:jc w:val="left"/>
      </w:pPr>
      <w:r>
        <w:rPr>
          <w:rFonts w:ascii="宋体" w:hAnsi="宋体" w:cs="宋体" w:eastAsia="宋体" w:hint="default"/>
          <w:b/>
          <w:bCs/>
        </w:rPr>
        <w:t>三、经营模式</w:t>
      </w:r>
      <w:r>
        <w:rPr>
          <w:rFonts w:ascii="宋体" w:hAnsi="宋体" w:cs="宋体" w:eastAsia="宋体" w:hint="default"/>
          <w:b/>
          <w:bCs/>
          <w:w w:val="99"/>
        </w:rPr>
        <w:t> </w:t>
      </w:r>
      <w:r>
        <w:rPr/>
        <w:t>公司金融信息服务业务围绕着金融业客户的主要</w:t>
      </w:r>
      <w:r>
        <w:rPr>
          <w:rFonts w:ascii="Times New Roman" w:hAnsi="Times New Roman" w:cs="Times New Roman" w:eastAsia="Times New Roman" w:hint="default"/>
        </w:rPr>
        <w:t>IT</w:t>
      </w:r>
      <w:r>
        <w:rPr/>
        <w:t>需求展开，体现了公司</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的经营模式，满足了客户各个层</w:t>
      </w:r>
    </w:p>
    <w:p>
      <w:pPr>
        <w:pStyle w:val="BodyText"/>
        <w:spacing w:line="240" w:lineRule="auto" w:before="15"/>
        <w:ind w:right="0"/>
        <w:jc w:val="both"/>
      </w:pPr>
      <w:r>
        <w:rPr>
          <w:spacing w:val="-4"/>
        </w:rPr>
        <w:t>次、不同阶段的</w:t>
      </w:r>
      <w:r>
        <w:rPr>
          <w:rFonts w:ascii="Times New Roman" w:hAnsi="Times New Roman" w:cs="Times New Roman" w:eastAsia="Times New Roman" w:hint="default"/>
          <w:spacing w:val="-4"/>
        </w:rPr>
        <w:t>IT</w:t>
      </w:r>
      <w:r>
        <w:rPr>
          <w:spacing w:val="-4"/>
        </w:rPr>
        <w:t>需求，贯穿了企业</w:t>
      </w:r>
      <w:r>
        <w:rPr>
          <w:rFonts w:ascii="Times New Roman" w:hAnsi="Times New Roman" w:cs="Times New Roman" w:eastAsia="Times New Roman" w:hint="default"/>
          <w:spacing w:val="-4"/>
        </w:rPr>
        <w:t>IT</w:t>
      </w:r>
      <w:r>
        <w:rPr>
          <w:spacing w:val="-4"/>
        </w:rPr>
        <w:t>系统生命周期的全过程，能够为企业</w:t>
      </w:r>
      <w:r>
        <w:rPr>
          <w:rFonts w:ascii="Times New Roman" w:hAnsi="Times New Roman" w:cs="Times New Roman" w:eastAsia="Times New Roman" w:hint="default"/>
          <w:spacing w:val="-4"/>
        </w:rPr>
        <w:t>IT</w:t>
      </w:r>
      <w:r>
        <w:rPr>
          <w:spacing w:val="-4"/>
        </w:rPr>
        <w:t>系统的价值实现提供</w:t>
      </w:r>
      <w:r>
        <w:rPr>
          <w:rFonts w:ascii="Times New Roman" w:hAnsi="Times New Roman" w:cs="Times New Roman" w:eastAsia="Times New Roman" w:hint="default"/>
          <w:spacing w:val="-4"/>
        </w:rPr>
        <w:t>“</w:t>
      </w:r>
      <w:r>
        <w:rPr>
          <w:spacing w:val="-4"/>
        </w:rPr>
        <w:t>一站式</w:t>
      </w:r>
      <w:r>
        <w:rPr>
          <w:rFonts w:ascii="Times New Roman" w:hAnsi="Times New Roman" w:cs="Times New Roman" w:eastAsia="Times New Roman" w:hint="default"/>
          <w:spacing w:val="-4"/>
        </w:rPr>
        <w:t>”</w:t>
      </w:r>
      <w:r>
        <w:rPr>
          <w:spacing w:val="-4"/>
        </w:rPr>
        <w:t>的综合解决方案。</w:t>
      </w:r>
    </w:p>
    <w:p>
      <w:pPr>
        <w:spacing w:line="240" w:lineRule="auto" w:before="2"/>
        <w:rPr>
          <w:rFonts w:ascii="宋体" w:hAnsi="宋体" w:cs="宋体" w:eastAsia="宋体" w:hint="default"/>
          <w:sz w:val="14"/>
          <w:szCs w:val="14"/>
        </w:rPr>
      </w:pPr>
    </w:p>
    <w:p>
      <w:pPr>
        <w:spacing w:line="3663" w:lineRule="exact"/>
        <w:ind w:left="874"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315070" cy="2326386"/>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4315070" cy="2326386"/>
                    </a:xfrm>
                    <a:prstGeom prst="rect">
                      <a:avLst/>
                    </a:prstGeom>
                  </pic:spPr>
                </pic:pic>
              </a:graphicData>
            </a:graphic>
          </wp:inline>
        </w:drawing>
      </w:r>
      <w:r>
        <w:rPr>
          <w:rFonts w:ascii="宋体" w:hAnsi="宋体" w:cs="宋体" w:eastAsia="宋体" w:hint="default"/>
          <w:position w:val="-72"/>
          <w:sz w:val="20"/>
          <w:szCs w:val="20"/>
        </w:rPr>
      </w:r>
    </w:p>
    <w:p>
      <w:pPr>
        <w:pStyle w:val="BodyText"/>
        <w:spacing w:line="432" w:lineRule="exact" w:before="64"/>
        <w:ind w:left="513" w:right="1033"/>
        <w:jc w:val="left"/>
      </w:pPr>
      <w:r>
        <w:rPr/>
        <w:t>互联网营销业务通过自有流量或者购买流量，结合客户需求，通过大数据分析，对用户精准投放广告，获取相关收益。</w:t>
      </w:r>
      <w:r>
        <w:rPr>
          <w:spacing w:val="-86"/>
        </w:rPr>
        <w:t> </w:t>
      </w:r>
      <w:r>
        <w:rPr>
          <w:spacing w:val="-86"/>
        </w:rPr>
      </w:r>
      <w:r>
        <w:rPr>
          <w:rFonts w:ascii="宋体" w:hAnsi="宋体" w:cs="宋体" w:eastAsia="宋体" w:hint="default"/>
          <w:b/>
          <w:bCs/>
        </w:rPr>
        <w:t>四、本年度业绩驱动因素</w:t>
      </w:r>
      <w:r>
        <w:rPr>
          <w:rFonts w:ascii="宋体" w:hAnsi="宋体" w:cs="宋体" w:eastAsia="宋体" w:hint="default"/>
          <w:b/>
          <w:bCs/>
          <w:w w:val="99"/>
        </w:rPr>
        <w:t> </w:t>
      </w:r>
      <w:r>
        <w:rPr>
          <w:rFonts w:ascii="Times New Roman" w:hAnsi="Times New Roman" w:cs="Times New Roman" w:eastAsia="Times New Roman" w:hint="default"/>
        </w:rPr>
        <w:t>2018</w:t>
      </w:r>
      <w:r>
        <w:rPr/>
        <w:t>年，公司金融信息服务业客户业务需求呈整体回暖上升趋势，依托公司技术积累，良好的客户关系，公司积极拓</w:t>
      </w:r>
    </w:p>
    <w:p>
      <w:pPr>
        <w:pStyle w:val="BodyText"/>
        <w:spacing w:line="300" w:lineRule="auto" w:before="16"/>
        <w:ind w:right="1129"/>
        <w:jc w:val="both"/>
      </w:pPr>
      <w:r>
        <w:rPr>
          <w:spacing w:val="-2"/>
        </w:rPr>
        <w:t>展中小银行市场、证券业务市场，以及融资租赁业务为代表的新兴业务领域。</w:t>
      </w:r>
      <w:r>
        <w:rPr>
          <w:rFonts w:ascii="Times New Roman" w:hAnsi="Times New Roman" w:cs="Times New Roman" w:eastAsia="Times New Roman" w:hint="default"/>
          <w:spacing w:val="-2"/>
        </w:rPr>
        <w:t>2018</w:t>
      </w:r>
      <w:r>
        <w:rPr>
          <w:spacing w:val="-2"/>
        </w:rPr>
        <w:t>年公司经营业绩和经营效率取得了较快的</w:t>
      </w:r>
      <w:r>
        <w:rPr>
          <w:spacing w:val="-59"/>
        </w:rPr>
        <w:t> </w:t>
      </w:r>
      <w:r>
        <w:rPr>
          <w:spacing w:val="-59"/>
        </w:rPr>
      </w:r>
      <w:r>
        <w:rPr>
          <w:spacing w:val="-3"/>
        </w:rPr>
        <w:t>提升；公司</w:t>
      </w:r>
      <w:r>
        <w:rPr>
          <w:rFonts w:ascii="Times New Roman" w:hAnsi="Times New Roman" w:cs="Times New Roman" w:eastAsia="Times New Roman" w:hint="default"/>
          <w:spacing w:val="-3"/>
        </w:rPr>
        <w:t>2016-2017</w:t>
      </w:r>
      <w:r>
        <w:rPr>
          <w:spacing w:val="-3"/>
        </w:rPr>
        <w:t>年并购的几家经营实体经营稳定，业务发展迅速，在</w:t>
      </w:r>
      <w:r>
        <w:rPr>
          <w:rFonts w:ascii="Times New Roman" w:hAnsi="Times New Roman" w:cs="Times New Roman" w:eastAsia="Times New Roman" w:hint="default"/>
          <w:spacing w:val="-3"/>
        </w:rPr>
        <w:t>2018</w:t>
      </w:r>
      <w:r>
        <w:rPr>
          <w:spacing w:val="-3"/>
        </w:rPr>
        <w:t>年均已完成并购后至</w:t>
      </w:r>
      <w:r>
        <w:rPr>
          <w:rFonts w:ascii="Times New Roman" w:hAnsi="Times New Roman" w:cs="Times New Roman" w:eastAsia="Times New Roman" w:hint="default"/>
          <w:spacing w:val="-3"/>
        </w:rPr>
        <w:t>2018</w:t>
      </w:r>
      <w:r>
        <w:rPr>
          <w:spacing w:val="-3"/>
        </w:rPr>
        <w:t>年相关的业绩承诺，</w:t>
      </w:r>
      <w:r>
        <w:rPr>
          <w:spacing w:val="-55"/>
        </w:rPr>
        <w:t> </w:t>
      </w:r>
      <w:r>
        <w:rPr>
          <w:spacing w:val="-55"/>
        </w:rPr>
      </w:r>
      <w:r>
        <w:rPr/>
        <w:t>为公司贡献了稳定的投资收益。</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185"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714"/>
              <w:jc w:val="right"/>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right="2703"/>
              <w:jc w:val="right"/>
              <w:rPr>
                <w:rFonts w:ascii="宋体" w:hAnsi="宋体" w:cs="宋体" w:eastAsia="宋体" w:hint="default"/>
                <w:sz w:val="18"/>
                <w:szCs w:val="18"/>
              </w:rPr>
            </w:pPr>
            <w:r>
              <w:rPr>
                <w:rFonts w:ascii="宋体" w:hAnsi="宋体" w:cs="宋体" w:eastAsia="宋体" w:hint="default"/>
                <w:sz w:val="18"/>
                <w:szCs w:val="18"/>
              </w:rPr>
              <w:t>母公司当期增加对中信科技发展有限公司的投资</w:t>
            </w:r>
          </w:p>
        </w:tc>
      </w:tr>
    </w:tbl>
    <w:p>
      <w:pPr>
        <w:spacing w:after="0" w:line="240" w:lineRule="auto"/>
        <w:jc w:val="right"/>
        <w:rPr>
          <w:rFonts w:ascii="宋体" w:hAnsi="宋体" w:cs="宋体" w:eastAsia="宋体" w:hint="default"/>
          <w:sz w:val="18"/>
          <w:szCs w:val="18"/>
        </w:rPr>
        <w:sectPr>
          <w:pgSz w:w="11910" w:h="16840"/>
          <w:pgMar w:header="786" w:footer="1267" w:top="1100" w:bottom="1460" w:left="980" w:right="0"/>
        </w:sectPr>
      </w:pPr>
    </w:p>
    <w:p>
      <w:pPr>
        <w:spacing w:line="240" w:lineRule="auto" w:before="11"/>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3051"/>
        <w:gridCol w:w="6518"/>
      </w:tblGrid>
      <w:tr>
        <w:trPr>
          <w:trHeight w:val="293" w:hRule="exact"/>
        </w:trPr>
        <w:tc>
          <w:tcPr>
            <w:tcW w:w="3051" w:type="dxa"/>
            <w:tcBorders>
              <w:top w:val="single" w:sz="6" w:space="0" w:color="000000"/>
              <w:left w:val="nil" w:sz="6" w:space="0" w:color="auto"/>
              <w:bottom w:val="single" w:sz="4" w:space="0" w:color="000000"/>
              <w:right w:val="nil" w:sz="6" w:space="0" w:color="auto"/>
            </w:tcBorders>
          </w:tcPr>
          <w:p>
            <w:pPr/>
          </w:p>
        </w:tc>
        <w:tc>
          <w:tcPr>
            <w:tcW w:w="6518"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母公司当期处置高斓大厦房产</w:t>
            </w:r>
          </w:p>
        </w:tc>
      </w:tr>
    </w:tbl>
    <w:p>
      <w:pPr>
        <w:spacing w:line="240" w:lineRule="auto" w:before="4"/>
        <w:rPr>
          <w:rFonts w:ascii="宋体" w:hAnsi="宋体" w:cs="宋体" w:eastAsia="宋体" w:hint="default"/>
          <w:b/>
          <w:bCs/>
          <w:sz w:val="19"/>
          <w:szCs w:val="19"/>
        </w:rPr>
      </w:pPr>
    </w:p>
    <w:p>
      <w:pPr>
        <w:pStyle w:val="Heading3"/>
        <w:spacing w:line="240" w:lineRule="auto" w:before="36"/>
        <w:ind w:left="112" w:right="769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12"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12" w:right="769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112" w:right="7694"/>
        <w:jc w:val="left"/>
      </w:pPr>
      <w:r>
        <w:rPr/>
        <w:t>公司是否需要遵守特殊行业的披露要求 是 软件与信息技术服务业</w:t>
      </w:r>
      <w:r>
        <w:rPr>
          <w:rFonts w:ascii="Times New Roman" w:hAnsi="Times New Roman" w:cs="Times New Roman" w:eastAsia="Times New Roman" w:hint="default"/>
        </w:rPr>
        <w:t>;</w:t>
      </w:r>
      <w:r>
        <w:rPr/>
        <w:t>互联网营销业</w:t>
      </w:r>
    </w:p>
    <w:p>
      <w:pPr>
        <w:spacing w:line="338" w:lineRule="auto" w:before="6"/>
        <w:ind w:left="47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、持续的技术和业务创新能力</w:t>
      </w:r>
      <w:r>
        <w:rPr>
          <w:rFonts w:ascii="宋体" w:hAnsi="宋体" w:cs="宋体" w:eastAsia="宋体" w:hint="default"/>
          <w:b/>
          <w:bCs/>
          <w:w w:val="99"/>
          <w:sz w:val="18"/>
          <w:szCs w:val="18"/>
        </w:rPr>
        <w:t> </w:t>
      </w:r>
      <w:r>
        <w:rPr>
          <w:rFonts w:ascii="宋体" w:hAnsi="宋体" w:cs="宋体" w:eastAsia="宋体" w:hint="default"/>
          <w:sz w:val="18"/>
          <w:szCs w:val="18"/>
        </w:rPr>
        <w:t>公司高度重视技术研发和产品创新能力的建设，坚持走产品化的</w:t>
      </w:r>
      <w:r>
        <w:rPr>
          <w:rFonts w:ascii="Times New Roman" w:hAnsi="Times New Roman" w:cs="Times New Roman" w:eastAsia="Times New Roman" w:hint="default"/>
          <w:sz w:val="18"/>
          <w:szCs w:val="18"/>
        </w:rPr>
        <w:t>IT</w:t>
      </w:r>
      <w:r>
        <w:rPr>
          <w:rFonts w:ascii="宋体" w:hAnsi="宋体" w:cs="宋体" w:eastAsia="宋体" w:hint="default"/>
          <w:sz w:val="18"/>
          <w:szCs w:val="18"/>
        </w:rPr>
        <w:t>产业发展道路，通过技术创新引领产品和服务创新，</w:t>
      </w:r>
    </w:p>
    <w:p>
      <w:pPr>
        <w:pStyle w:val="BodyText"/>
        <w:spacing w:line="230" w:lineRule="exact"/>
        <w:ind w:left="112" w:right="0"/>
        <w:jc w:val="left"/>
      </w:pPr>
      <w:r>
        <w:rPr/>
        <w:t>不断丰富完善技术、产品和服务模式，持续打造公司核心竞争力。公司是北京市高新技术企业，拥有</w:t>
      </w:r>
      <w:r>
        <w:rPr>
          <w:rFonts w:ascii="Times New Roman" w:hAnsi="Times New Roman" w:cs="Times New Roman" w:eastAsia="Times New Roman" w:hint="default"/>
        </w:rPr>
        <w:t>CMMI3</w:t>
      </w:r>
      <w:r>
        <w:rPr/>
        <w:t>级资质和国家</w:t>
      </w:r>
    </w:p>
    <w:p>
      <w:pPr>
        <w:pStyle w:val="BodyText"/>
        <w:spacing w:line="360" w:lineRule="auto" w:before="63"/>
        <w:ind w:left="473" w:right="0" w:hanging="361"/>
        <w:jc w:val="left"/>
      </w:pPr>
      <w:r>
        <w:rPr/>
        <w:t>工业和信息化部颁发的系统集成一级资质。公司从研发理念、组织机构、创新机制和管理制度等方面进行了系统的构建。 </w:t>
      </w:r>
      <w:r>
        <w:rPr>
          <w:spacing w:val="-2"/>
        </w:rPr>
        <w:t>公司在不断提升研发能力的同时，在服务模式和服务内容上也坚持不断创新。在传统的金融</w:t>
      </w:r>
      <w:r>
        <w:rPr>
          <w:rFonts w:ascii="Times New Roman" w:hAnsi="Times New Roman" w:cs="Times New Roman" w:eastAsia="Times New Roman" w:hint="default"/>
          <w:spacing w:val="-2"/>
        </w:rPr>
        <w:t>IT</w:t>
      </w:r>
      <w:r>
        <w:rPr>
          <w:spacing w:val="-2"/>
        </w:rPr>
        <w:t>产品和服务的基础上，公</w:t>
      </w:r>
    </w:p>
    <w:p>
      <w:pPr>
        <w:pStyle w:val="BodyText"/>
        <w:spacing w:line="212" w:lineRule="exact"/>
        <w:ind w:left="112" w:right="0"/>
        <w:jc w:val="left"/>
      </w:pPr>
      <w:r>
        <w:rPr/>
        <w:t>司积极拓展</w:t>
      </w:r>
      <w:r>
        <w:rPr>
          <w:rFonts w:ascii="Times New Roman" w:hAnsi="Times New Roman" w:cs="Times New Roman" w:eastAsia="Times New Roman" w:hint="default"/>
        </w:rPr>
        <w:t>“</w:t>
      </w:r>
      <w:r>
        <w:rPr/>
        <w:t>云</w:t>
      </w:r>
      <w:r>
        <w:rPr>
          <w:rFonts w:ascii="Times New Roman" w:hAnsi="Times New Roman" w:cs="Times New Roman" w:eastAsia="Times New Roman" w:hint="default"/>
        </w:rPr>
        <w:t>”</w:t>
      </w:r>
      <w:r>
        <w:rPr/>
        <w:t>业务，开发金融云平台产品服务，以高效的，低成本化方式满足中小金融机构的</w:t>
      </w:r>
      <w:r>
        <w:rPr>
          <w:rFonts w:ascii="Times New Roman" w:hAnsi="Times New Roman" w:cs="Times New Roman" w:eastAsia="Times New Roman" w:hint="default"/>
        </w:rPr>
        <w:t>IT</w:t>
      </w:r>
      <w:r>
        <w:rPr/>
        <w:t>需求。同时顺应行业发展</w:t>
      </w:r>
    </w:p>
    <w:p>
      <w:pPr>
        <w:pStyle w:val="BodyText"/>
        <w:spacing w:line="240" w:lineRule="auto" w:before="63"/>
        <w:ind w:left="112" w:right="0"/>
        <w:jc w:val="left"/>
      </w:pPr>
      <w:r>
        <w:rPr/>
        <w:t>的需要，拓展智能金融解决方案，抢占行业技术应用的制高点。</w:t>
      </w:r>
    </w:p>
    <w:p>
      <w:pPr>
        <w:pStyle w:val="BodyText"/>
        <w:spacing w:line="338" w:lineRule="auto" w:before="117"/>
        <w:ind w:left="473" w:right="0"/>
        <w:jc w:val="left"/>
      </w:pPr>
      <w:r>
        <w:rPr>
          <w:rFonts w:ascii="Times New Roman" w:hAnsi="Times New Roman" w:cs="Times New Roman" w:eastAsia="Times New Roman" w:hint="default"/>
          <w:b/>
          <w:bCs/>
        </w:rPr>
        <w:t>2</w:t>
      </w:r>
      <w:r>
        <w:rPr>
          <w:rFonts w:ascii="宋体" w:hAnsi="宋体" w:cs="宋体" w:eastAsia="宋体" w:hint="default"/>
          <w:b/>
          <w:bCs/>
        </w:rPr>
        <w:t>、品牌与客户资源优势</w:t>
      </w:r>
      <w:r>
        <w:rPr>
          <w:rFonts w:ascii="宋体" w:hAnsi="宋体" w:cs="宋体" w:eastAsia="宋体" w:hint="default"/>
          <w:b/>
          <w:bCs/>
          <w:w w:val="99"/>
        </w:rPr>
        <w:t> </w:t>
      </w:r>
      <w:r>
        <w:rPr>
          <w:spacing w:val="-2"/>
        </w:rPr>
        <w:t>在多年的发展过程中，公司积累了一批以银行业为主，涉及保险、证券、基金、信托、融资租赁、支付和能源等行业大</w:t>
      </w:r>
    </w:p>
    <w:p>
      <w:pPr>
        <w:pStyle w:val="BodyText"/>
        <w:spacing w:line="309" w:lineRule="auto" w:before="3"/>
        <w:ind w:left="112" w:right="1133"/>
        <w:jc w:val="both"/>
      </w:pPr>
      <w:r>
        <w:rPr/>
        <w:t>中型企业的优质客户，形成了涵盖政策性银行、国有商业银行、股份制银行、城商行、农商行</w:t>
      </w:r>
      <w:r>
        <w:rPr>
          <w:rFonts w:ascii="Times New Roman" w:hAnsi="Times New Roman" w:cs="Times New Roman" w:eastAsia="Times New Roman" w:hint="default"/>
        </w:rPr>
        <w:t>/</w:t>
      </w:r>
      <w:r>
        <w:rPr/>
        <w:t>农村合作银行、农信社、外</w:t>
      </w:r>
      <w:r>
        <w:rPr>
          <w:spacing w:val="-46"/>
        </w:rPr>
        <w:t> </w:t>
      </w:r>
      <w:r>
        <w:rPr>
          <w:spacing w:val="-46"/>
        </w:rPr>
      </w:r>
      <w:r>
        <w:rPr>
          <w:spacing w:val="-2"/>
        </w:rPr>
        <w:t>资银行、证券公司、大中型保险机构、信托公司、消费金融公司、小贷公司、融资租赁公司、金融资产交易所等在内的完整</w:t>
      </w:r>
      <w:r>
        <w:rPr>
          <w:spacing w:val="-73"/>
        </w:rPr>
        <w:t> </w:t>
      </w:r>
      <w:r>
        <w:rPr>
          <w:spacing w:val="-73"/>
        </w:rPr>
      </w:r>
      <w:r>
        <w:rPr/>
        <w:t>的、有层次的金融行业客户谱系，通过优质、全面的软件及服务满足不同客户的各阶段、差异化的信息化需求。</w:t>
      </w:r>
    </w:p>
    <w:p>
      <w:pPr>
        <w:pStyle w:val="BodyText"/>
        <w:spacing w:line="316" w:lineRule="auto" w:before="65"/>
        <w:ind w:left="112" w:right="1130" w:firstLine="360"/>
        <w:jc w:val="both"/>
      </w:pPr>
      <w:r>
        <w:rPr>
          <w:spacing w:val="-2"/>
        </w:rPr>
        <w:t>公司与许多优质客户建立了长期稳定的合作关系，并伴随着客户信息化成长的各个阶段，成为了许多客户信息化进程的</w:t>
      </w:r>
      <w:r>
        <w:rPr/>
        <w:t> </w:t>
      </w:r>
      <w:r>
        <w:rPr>
          <w:spacing w:val="-2"/>
        </w:rPr>
        <w:t>主要参与者。在长期为银行业信息化提供服务的过程中，公司树立了良好的品牌形象。目前高伟达已成为业内拥有较高知名</w:t>
      </w:r>
      <w:r>
        <w:rPr>
          <w:spacing w:val="-63"/>
        </w:rPr>
        <w:t> </w:t>
      </w:r>
      <w:r>
        <w:rPr>
          <w:spacing w:val="-63"/>
        </w:rPr>
      </w:r>
      <w:r>
        <w:rPr/>
        <w:t>度和美誉度的品牌，服务质量和技术水平得到业界公认。</w:t>
      </w:r>
    </w:p>
    <w:p>
      <w:pPr>
        <w:pStyle w:val="BodyText"/>
        <w:spacing w:line="300" w:lineRule="auto" w:before="59"/>
        <w:ind w:left="112" w:right="1129" w:firstLine="360"/>
        <w:jc w:val="both"/>
      </w:pPr>
      <w:r>
        <w:rPr>
          <w:spacing w:val="-3"/>
        </w:rPr>
        <w:t>同时，作为为数不多的几家综合性解决方案提供商，依靠较强的品牌影响力，公司得以实现</w:t>
      </w:r>
      <w:r>
        <w:rPr>
          <w:rFonts w:ascii="Times New Roman" w:hAnsi="Times New Roman" w:cs="Times New Roman" w:eastAsia="Times New Roman" w:hint="default"/>
          <w:spacing w:val="-3"/>
        </w:rPr>
        <w:t>“</w:t>
      </w:r>
      <w:r>
        <w:rPr>
          <w:spacing w:val="-3"/>
        </w:rPr>
        <w:t>以系统集成带动解决方案，</w:t>
      </w:r>
      <w:r>
        <w:rPr/>
        <w:t> 以解决方案催生服务需求</w:t>
      </w:r>
      <w:r>
        <w:rPr>
          <w:rFonts w:ascii="Times New Roman" w:hAnsi="Times New Roman" w:cs="Times New Roman" w:eastAsia="Times New Roman" w:hint="default"/>
        </w:rPr>
        <w:t>”</w:t>
      </w:r>
      <w:r>
        <w:rPr/>
        <w:t>的战略，充分发挥产品和服务业务的协同效应，最大化客户价值。</w:t>
      </w:r>
    </w:p>
    <w:p>
      <w:pPr>
        <w:spacing w:line="340" w:lineRule="auto" w:before="51"/>
        <w:ind w:left="473"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、领先的行业地位和提供整体解决方案的能力</w:t>
      </w:r>
      <w:r>
        <w:rPr>
          <w:rFonts w:ascii="宋体" w:hAnsi="宋体" w:cs="宋体" w:eastAsia="宋体" w:hint="default"/>
          <w:b/>
          <w:bCs/>
          <w:w w:val="99"/>
          <w:sz w:val="18"/>
          <w:szCs w:val="18"/>
        </w:rPr>
        <w:t> </w:t>
      </w:r>
      <w:r>
        <w:rPr>
          <w:rFonts w:ascii="宋体" w:hAnsi="宋体" w:cs="宋体" w:eastAsia="宋体" w:hint="default"/>
          <w:spacing w:val="-2"/>
          <w:sz w:val="18"/>
          <w:szCs w:val="18"/>
        </w:rPr>
        <w:t>依托公司完备的产品线，丰富的项目管理能力和突出的研发实力，公司成为能够提供金融领域信息化完整解决方案的</w:t>
      </w:r>
      <w:r>
        <w:rPr>
          <w:rFonts w:ascii="Times New Roman" w:hAnsi="Times New Roman" w:cs="Times New Roman" w:eastAsia="Times New Roman" w:hint="default"/>
          <w:spacing w:val="-2"/>
          <w:sz w:val="18"/>
          <w:szCs w:val="18"/>
        </w:rPr>
        <w:t>IT</w:t>
      </w:r>
    </w:p>
    <w:p>
      <w:pPr>
        <w:pStyle w:val="BodyText"/>
        <w:spacing w:line="215" w:lineRule="exact"/>
        <w:ind w:left="112" w:right="7694"/>
        <w:jc w:val="left"/>
      </w:pPr>
      <w:r>
        <w:rPr/>
        <w:t>服务商之一。</w:t>
      </w:r>
    </w:p>
    <w:p>
      <w:pPr>
        <w:pStyle w:val="BodyText"/>
        <w:spacing w:line="309" w:lineRule="auto" w:before="117"/>
        <w:ind w:left="112" w:right="1134" w:firstLine="360"/>
        <w:jc w:val="both"/>
      </w:pPr>
      <w:r>
        <w:rPr/>
        <w:t>公司经过多年的技术研发和服务创新，形成了信贷管理系统、核心业务系统、</w:t>
      </w:r>
      <w:r>
        <w:rPr>
          <w:rFonts w:ascii="Times New Roman" w:hAnsi="Times New Roman" w:cs="Times New Roman" w:eastAsia="Times New Roman" w:hint="default"/>
        </w:rPr>
        <w:t>CRM</w:t>
      </w:r>
      <w:r>
        <w:rPr/>
        <w:t>及</w:t>
      </w:r>
      <w:r>
        <w:rPr>
          <w:rFonts w:ascii="Times New Roman" w:hAnsi="Times New Roman" w:cs="Times New Roman" w:eastAsia="Times New Roman" w:hint="default"/>
        </w:rPr>
        <w:t>ECIF</w:t>
      </w:r>
      <w:r>
        <w:rPr/>
        <w:t>等具有较强市场竞争力和较 </w:t>
      </w:r>
      <w:r>
        <w:rPr>
          <w:spacing w:val="-2"/>
        </w:rPr>
        <w:t>高市场占有率的解决方案，上述系统已经成功应用于政策性银行、国有商业银行、股份制银行、城商行及农信社，积累了丰</w:t>
      </w:r>
      <w:r>
        <w:rPr>
          <w:spacing w:val="-67"/>
        </w:rPr>
        <w:t> </w:t>
      </w:r>
      <w:r>
        <w:rPr>
          <w:spacing w:val="-67"/>
        </w:rPr>
      </w:r>
      <w:r>
        <w:rPr/>
        <w:t>富的应用案例和广泛的客户群，为公司产品升级和市场开拓建立了良好的基础。</w:t>
      </w:r>
    </w:p>
    <w:p>
      <w:pPr>
        <w:pStyle w:val="BodyText"/>
        <w:spacing w:line="340" w:lineRule="auto" w:before="62"/>
        <w:ind w:left="473" w:right="0"/>
        <w:jc w:val="left"/>
      </w:pPr>
      <w:r>
        <w:rPr>
          <w:rFonts w:ascii="Times New Roman" w:hAnsi="Times New Roman" w:cs="Times New Roman" w:eastAsia="Times New Roman" w:hint="default"/>
          <w:b/>
          <w:bCs/>
        </w:rPr>
        <w:t>4</w:t>
      </w:r>
      <w:r>
        <w:rPr>
          <w:rFonts w:ascii="宋体" w:hAnsi="宋体" w:cs="宋体" w:eastAsia="宋体" w:hint="default"/>
          <w:b/>
          <w:bCs/>
        </w:rPr>
        <w:t>、丰富的项目实施经验</w:t>
      </w:r>
      <w:r>
        <w:rPr>
          <w:rFonts w:ascii="宋体" w:hAnsi="宋体" w:cs="宋体" w:eastAsia="宋体" w:hint="default"/>
          <w:b/>
          <w:bCs/>
          <w:w w:val="99"/>
        </w:rPr>
        <w:t> </w:t>
      </w:r>
      <w:r>
        <w:rPr>
          <w:spacing w:val="-2"/>
        </w:rPr>
        <w:t>公司自设立以来，专注于以银行业为主的金融信息化领域，一直伴随客户信息化建设的成长，深刻理解行业需求，并在</w:t>
      </w:r>
    </w:p>
    <w:p>
      <w:pPr>
        <w:pStyle w:val="BodyText"/>
        <w:spacing w:line="240" w:lineRule="auto" w:before="1"/>
        <w:ind w:left="112" w:right="0"/>
        <w:jc w:val="left"/>
      </w:pPr>
      <w:r>
        <w:rPr/>
        <w:t>如何提升解决方案运行稳定性方面具备成熟的经验。</w:t>
      </w:r>
    </w:p>
    <w:p>
      <w:pPr>
        <w:spacing w:line="338" w:lineRule="auto" w:before="117"/>
        <w:ind w:left="47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、复合型人才储备和稳定的技术、管理团队</w:t>
      </w:r>
      <w:r>
        <w:rPr>
          <w:rFonts w:ascii="宋体" w:hAnsi="宋体" w:cs="宋体" w:eastAsia="宋体" w:hint="default"/>
          <w:b/>
          <w:bCs/>
          <w:w w:val="99"/>
          <w:sz w:val="18"/>
          <w:szCs w:val="18"/>
        </w:rPr>
        <w:t> </w:t>
      </w:r>
      <w:r>
        <w:rPr>
          <w:rFonts w:ascii="宋体" w:hAnsi="宋体" w:cs="宋体" w:eastAsia="宋体" w:hint="default"/>
          <w:spacing w:val="-2"/>
          <w:sz w:val="18"/>
          <w:szCs w:val="18"/>
        </w:rPr>
        <w:t>金融信息系统自身的复杂性和专业性以及其作为国民经济核心的行业特征，要求开发人员具备丰富的行业经验、复合的</w:t>
      </w:r>
    </w:p>
    <w:p>
      <w:pPr>
        <w:pStyle w:val="BodyText"/>
        <w:spacing w:line="300" w:lineRule="auto" w:before="2"/>
        <w:ind w:left="112" w:right="0"/>
        <w:jc w:val="left"/>
      </w:pPr>
      <w:r>
        <w:rPr>
          <w:spacing w:val="-2"/>
        </w:rPr>
        <w:t>知识结构以及技术积累。公司长期以来培养了一支融合了</w:t>
      </w:r>
      <w:r>
        <w:rPr>
          <w:rFonts w:ascii="Times New Roman" w:hAnsi="Times New Roman" w:cs="Times New Roman" w:eastAsia="Times New Roman" w:hint="default"/>
          <w:spacing w:val="-2"/>
        </w:rPr>
        <w:t>IT</w:t>
      </w:r>
      <w:r>
        <w:rPr>
          <w:spacing w:val="-2"/>
        </w:rPr>
        <w:t>技术、银行业务知识及行业管理经验的复合型人才队伍，对于高</w:t>
      </w:r>
      <w:r>
        <w:rPr>
          <w:spacing w:val="-52"/>
        </w:rPr>
        <w:t> </w:t>
      </w:r>
      <w:r>
        <w:rPr>
          <w:spacing w:val="-52"/>
        </w:rPr>
      </w:r>
      <w:r>
        <w:rPr/>
        <w:t>度复杂的银行信息系统开发具有独到的理解能力和丰富的实施经验，拥有多项核心技术和全部产品的自主知识产权。</w:t>
      </w:r>
    </w:p>
    <w:p>
      <w:pPr>
        <w:pStyle w:val="BodyText"/>
        <w:spacing w:line="240" w:lineRule="auto" w:before="72"/>
        <w:ind w:left="473" w:right="0"/>
        <w:jc w:val="left"/>
      </w:pPr>
      <w:r>
        <w:rPr/>
        <w:t>公司形成了一系列符合市场要求及公司实际的考核机制，使得团队成员的利益与公司的发展保持高度一致。公司高管深</w:t>
      </w:r>
    </w:p>
    <w:p>
      <w:pPr>
        <w:spacing w:after="0" w:line="240" w:lineRule="auto"/>
        <w:jc w:val="left"/>
        <w:sectPr>
          <w:pgSz w:w="11910" w:h="16840"/>
          <w:pgMar w:header="786" w:footer="1267" w:top="1100" w:bottom="14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pStyle w:val="BodyText"/>
        <w:spacing w:line="240" w:lineRule="auto" w:before="44"/>
        <w:ind w:right="0"/>
        <w:jc w:val="both"/>
      </w:pPr>
      <w:r>
        <w:rPr/>
        <w:t>刻认同公司的文化和经营管理理念，对金融信息化领域拥有敏感性和前瞻性。</w:t>
      </w:r>
    </w:p>
    <w:p>
      <w:pPr>
        <w:pStyle w:val="BodyText"/>
        <w:spacing w:line="338" w:lineRule="auto" w:before="117"/>
        <w:ind w:left="513" w:right="1117"/>
        <w:jc w:val="left"/>
      </w:pPr>
      <w:r>
        <w:rPr>
          <w:rFonts w:ascii="Times New Roman" w:hAnsi="Times New Roman" w:cs="Times New Roman" w:eastAsia="Times New Roman" w:hint="default"/>
          <w:b/>
          <w:bCs/>
        </w:rPr>
        <w:t>6</w:t>
      </w:r>
      <w:r>
        <w:rPr>
          <w:rFonts w:ascii="宋体" w:hAnsi="宋体" w:cs="宋体" w:eastAsia="宋体" w:hint="default"/>
          <w:b/>
          <w:bCs/>
        </w:rPr>
        <w:t>、先进的研发模式和理念</w:t>
      </w:r>
      <w:r>
        <w:rPr>
          <w:rFonts w:ascii="宋体" w:hAnsi="宋体" w:cs="宋体" w:eastAsia="宋体" w:hint="default"/>
          <w:b/>
          <w:bCs/>
          <w:w w:val="99"/>
        </w:rPr>
        <w:t> </w:t>
      </w:r>
      <w:r>
        <w:rPr>
          <w:spacing w:val="-2"/>
        </w:rPr>
        <w:t>公司在长期的项目实践中，深化了项目运作的内涵，建立了适应未来发展的</w:t>
      </w:r>
      <w:r>
        <w:rPr>
          <w:rFonts w:ascii="Times New Roman" w:hAnsi="Times New Roman" w:cs="Times New Roman" w:eastAsia="Times New Roman" w:hint="default"/>
          <w:spacing w:val="-2"/>
        </w:rPr>
        <w:t>“</w:t>
      </w:r>
      <w:r>
        <w:rPr>
          <w:spacing w:val="-2"/>
        </w:rPr>
        <w:t>基线式研发管理模式</w:t>
      </w:r>
      <w:r>
        <w:rPr>
          <w:rFonts w:ascii="Times New Roman" w:hAnsi="Times New Roman" w:cs="Times New Roman" w:eastAsia="Times New Roman" w:hint="default"/>
          <w:spacing w:val="-2"/>
        </w:rPr>
        <w:t>”</w:t>
      </w:r>
      <w:r>
        <w:rPr>
          <w:spacing w:val="-2"/>
        </w:rPr>
        <w:t>，建立了公司阶梯式</w:t>
      </w:r>
    </w:p>
    <w:p>
      <w:pPr>
        <w:pStyle w:val="BodyText"/>
        <w:spacing w:line="230" w:lineRule="exact"/>
        <w:ind w:right="0"/>
        <w:jc w:val="both"/>
      </w:pPr>
      <w:r>
        <w:rPr/>
        <w:t>上升的产品结构。</w:t>
      </w:r>
      <w:r>
        <w:rPr>
          <w:rFonts w:ascii="Times New Roman" w:hAnsi="Times New Roman" w:cs="Times New Roman" w:eastAsia="Times New Roman" w:hint="default"/>
        </w:rPr>
        <w:t>“</w:t>
      </w:r>
      <w:r>
        <w:rPr/>
        <w:t>基线式研发管理模式</w:t>
      </w:r>
      <w:r>
        <w:rPr>
          <w:rFonts w:ascii="Times New Roman" w:hAnsi="Times New Roman" w:cs="Times New Roman" w:eastAsia="Times New Roman" w:hint="default"/>
        </w:rPr>
        <w:t>”</w:t>
      </w:r>
      <w:r>
        <w:rPr/>
        <w:t>是结合客户项目化开发的需求，以建立完善的基线产品模块库为中心，建立统一的</w:t>
      </w:r>
    </w:p>
    <w:p>
      <w:pPr>
        <w:pStyle w:val="BodyText"/>
        <w:spacing w:line="316" w:lineRule="auto" w:before="63"/>
        <w:ind w:right="1131"/>
        <w:jc w:val="both"/>
      </w:pPr>
      <w:r>
        <w:rPr>
          <w:spacing w:val="-2"/>
        </w:rPr>
        <w:t>版本合并机制。首先，由公司研发部门建立各类产品的基线版本，在新项目启动时，从基线产品库中获取最新版本，并根据</w:t>
      </w:r>
      <w:r>
        <w:rPr>
          <w:spacing w:val="-67"/>
        </w:rPr>
        <w:t> </w:t>
      </w:r>
      <w:r>
        <w:rPr>
          <w:spacing w:val="-67"/>
        </w:rPr>
      </w:r>
      <w:r>
        <w:rPr>
          <w:spacing w:val="-2"/>
        </w:rPr>
        <w:t>客户个性化需求进行二次开发，满足新的功能和性能需求；在项目上线完成测试后，实施人员根据项目具备普遍适用性的新</w:t>
      </w:r>
      <w:r>
        <w:rPr>
          <w:spacing w:val="-65"/>
        </w:rPr>
        <w:t> </w:t>
      </w:r>
      <w:r>
        <w:rPr>
          <w:spacing w:val="-65"/>
        </w:rPr>
      </w:r>
      <w:r>
        <w:rPr>
          <w:spacing w:val="-2"/>
        </w:rPr>
        <w:t>增功能，提交公司研发部门并根据新的功能对统一版本进行合并，从而形成更新后的基线产品。目前，公司统一版本中已经</w:t>
      </w:r>
      <w:r>
        <w:rPr>
          <w:spacing w:val="-64"/>
        </w:rPr>
        <w:t> </w:t>
      </w:r>
      <w:r>
        <w:rPr>
          <w:spacing w:val="-64"/>
        </w:rPr>
      </w:r>
      <w:r>
        <w:rPr/>
        <w:t>形成了组件模块库，能够快速响应客户的各种复杂定制化开发需求。</w:t>
      </w:r>
    </w:p>
    <w:p>
      <w:pPr>
        <w:pStyle w:val="BodyText"/>
        <w:spacing w:line="300" w:lineRule="auto" w:before="59"/>
        <w:ind w:right="1117" w:firstLine="360"/>
        <w:jc w:val="left"/>
      </w:pPr>
      <w:r>
        <w:rPr>
          <w:spacing w:val="-2"/>
        </w:rPr>
        <w:t>公司依托模块化配置技术、统一版本融合的机制和自动化管理软件等核心技术支撑了</w:t>
      </w:r>
      <w:r>
        <w:rPr>
          <w:rFonts w:ascii="Times New Roman" w:hAnsi="Times New Roman" w:cs="Times New Roman" w:eastAsia="Times New Roman" w:hint="default"/>
          <w:spacing w:val="-2"/>
        </w:rPr>
        <w:t>“</w:t>
      </w:r>
      <w:r>
        <w:rPr>
          <w:spacing w:val="-2"/>
        </w:rPr>
        <w:t>基线式研发管理模式</w:t>
      </w:r>
      <w:r>
        <w:rPr>
          <w:rFonts w:ascii="Times New Roman" w:hAnsi="Times New Roman" w:cs="Times New Roman" w:eastAsia="Times New Roman" w:hint="default"/>
          <w:spacing w:val="-2"/>
        </w:rPr>
        <w:t>”</w:t>
      </w:r>
      <w:r>
        <w:rPr>
          <w:spacing w:val="-2"/>
        </w:rPr>
        <w:t>的实施。该</w:t>
      </w:r>
      <w:r>
        <w:rPr/>
        <w:t> 研发模式不但保持了项目化的灵活特性，并大大提高了项目实施效率。</w:t>
      </w:r>
    </w:p>
    <w:p>
      <w:pPr>
        <w:pStyle w:val="BodyText"/>
        <w:spacing w:line="338" w:lineRule="auto" w:before="73"/>
        <w:ind w:left="513" w:right="1117"/>
        <w:jc w:val="left"/>
      </w:pPr>
      <w:r>
        <w:rPr>
          <w:rFonts w:ascii="Times New Roman" w:hAnsi="Times New Roman" w:cs="Times New Roman" w:eastAsia="Times New Roman" w:hint="default"/>
          <w:b/>
          <w:bCs/>
        </w:rPr>
        <w:t>7</w:t>
      </w:r>
      <w:r>
        <w:rPr>
          <w:rFonts w:ascii="宋体" w:hAnsi="宋体" w:cs="宋体" w:eastAsia="宋体" w:hint="default"/>
          <w:b/>
          <w:bCs/>
        </w:rPr>
        <w:t>、全国性的战略布局</w:t>
      </w:r>
      <w:r>
        <w:rPr>
          <w:rFonts w:ascii="宋体" w:hAnsi="宋体" w:cs="宋体" w:eastAsia="宋体" w:hint="default"/>
          <w:b/>
          <w:bCs/>
          <w:w w:val="99"/>
        </w:rPr>
        <w:t> </w:t>
      </w:r>
      <w:r>
        <w:rPr>
          <w:spacing w:val="-2"/>
        </w:rPr>
        <w:t>公司建立了全国性的营销和服务网络。公司总部位于北京，拥有多家子公司和北京、深圳、成都、武汉、广州等五家分</w:t>
      </w:r>
    </w:p>
    <w:p>
      <w:pPr>
        <w:pStyle w:val="BodyText"/>
        <w:spacing w:line="316" w:lineRule="auto" w:before="2"/>
        <w:ind w:right="1133"/>
        <w:jc w:val="both"/>
      </w:pPr>
      <w:r>
        <w:rPr>
          <w:spacing w:val="-2"/>
        </w:rPr>
        <w:t>公司，同时公司下设若干地方业务团队，形成了覆盖华北、华东、华南、华中和西南地区的全国性营销及服务网络，公司的</w:t>
      </w:r>
      <w:r>
        <w:rPr>
          <w:spacing w:val="-68"/>
        </w:rPr>
        <w:t> </w:t>
      </w:r>
      <w:r>
        <w:rPr>
          <w:spacing w:val="-68"/>
        </w:rPr>
      </w:r>
      <w:r>
        <w:rPr/>
        <w:t>客户范围遍及全国除港、澳、台地区以外的所有省、市、自治区和直辖市。</w:t>
      </w:r>
    </w:p>
    <w:p>
      <w:pPr>
        <w:pStyle w:val="BodyText"/>
        <w:spacing w:line="268" w:lineRule="auto" w:before="59"/>
        <w:ind w:right="1117" w:firstLine="360"/>
        <w:jc w:val="left"/>
        <w:rPr>
          <w:sz w:val="24"/>
          <w:szCs w:val="24"/>
        </w:rPr>
      </w:pPr>
      <w:r>
        <w:rPr>
          <w:spacing w:val="-2"/>
        </w:rPr>
        <w:t>全国性的战略布局不仅提高了公司的客户响应速度，有效提高了客户服务质量，同时有利于公司对于区域性金融机构的</w:t>
      </w:r>
      <w:r>
        <w:rPr/>
        <w:t> 客户拓展，有利于公司把握未来城市商业银行和农村商业银行</w:t>
      </w:r>
      <w:r>
        <w:rPr>
          <w:rFonts w:ascii="Times New Roman" w:hAnsi="Times New Roman" w:cs="Times New Roman" w:eastAsia="Times New Roman" w:hint="default"/>
        </w:rPr>
        <w:t>IT</w:t>
      </w:r>
      <w:r>
        <w:rPr/>
        <w:t>系统建设及更新换代的良好机遇</w:t>
      </w:r>
      <w:r>
        <w:rPr>
          <w:sz w:val="24"/>
          <w:szCs w:val="24"/>
        </w:rPr>
        <w:t>。</w:t>
      </w:r>
    </w:p>
    <w:p>
      <w:pPr>
        <w:spacing w:line="338" w:lineRule="auto" w:before="52"/>
        <w:ind w:left="515" w:right="1117" w:hanging="3"/>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、在移动互联网营销领域的大数据技术能力和运营能力</w:t>
      </w:r>
      <w:r>
        <w:rPr>
          <w:rFonts w:ascii="宋体" w:hAnsi="宋体" w:cs="宋体" w:eastAsia="宋体" w:hint="default"/>
          <w:b/>
          <w:bCs/>
          <w:w w:val="99"/>
          <w:sz w:val="18"/>
          <w:szCs w:val="18"/>
        </w:rPr>
        <w:t> </w:t>
      </w:r>
      <w:r>
        <w:rPr>
          <w:rFonts w:ascii="宋体" w:hAnsi="宋体" w:cs="宋体" w:eastAsia="宋体" w:hint="default"/>
          <w:spacing w:val="-2"/>
          <w:sz w:val="18"/>
          <w:szCs w:val="18"/>
        </w:rPr>
        <w:t>公司全资子公司坚果技术、尚河科技和快读科技在大数据分析模型方面积累了较强的技术储备，并在移动营销平台的运</w:t>
      </w:r>
    </w:p>
    <w:p>
      <w:pPr>
        <w:pStyle w:val="BodyText"/>
        <w:spacing w:line="240" w:lineRule="auto" w:before="2"/>
        <w:ind w:right="0"/>
        <w:jc w:val="both"/>
      </w:pPr>
      <w:r>
        <w:rPr/>
        <w:t>营和管理方面储备了相应的人才和队伍，使之拥有了较强的平台运营能力。与国内主流互联网公司保持稳定的合作关系。</w:t>
      </w:r>
    </w:p>
    <w:p>
      <w:pPr>
        <w:spacing w:after="0" w:line="240" w:lineRule="auto"/>
        <w:jc w:val="both"/>
        <w:sectPr>
          <w:pgSz w:w="11910" w:h="16840"/>
          <w:pgMar w:header="786" w:footer="1267" w:top="110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1117"/>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17"/>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3" w:firstLine="360"/>
        <w:jc w:val="both"/>
      </w:pPr>
      <w:r>
        <w:rPr>
          <w:rFonts w:ascii="Times New Roman" w:hAnsi="Times New Roman" w:cs="Times New Roman" w:eastAsia="Times New Roman" w:hint="default"/>
          <w:spacing w:val="-2"/>
        </w:rPr>
        <w:t>2018</w:t>
      </w:r>
      <w:r>
        <w:rPr>
          <w:spacing w:val="-2"/>
        </w:rPr>
        <w:t>年度，公司金融信息服务业客户需求回暖，公司紧跟行业发展趋势，提升业务规模。同时，公司所在的互联网营销</w:t>
      </w:r>
      <w:r>
        <w:rPr/>
        <w:t> 行业发展态势良好。</w:t>
      </w:r>
    </w:p>
    <w:p>
      <w:pPr>
        <w:pStyle w:val="BodyText"/>
        <w:spacing w:line="300" w:lineRule="auto" w:before="151"/>
        <w:ind w:right="1124" w:firstLine="360"/>
        <w:jc w:val="both"/>
      </w:pPr>
      <w:r>
        <w:rPr/>
        <w:t>报告期内，公司实现营业总收入</w:t>
      </w:r>
      <w:r>
        <w:rPr>
          <w:rFonts w:ascii="Times New Roman" w:hAnsi="Times New Roman" w:cs="Times New Roman" w:eastAsia="Times New Roman" w:hint="default"/>
        </w:rPr>
        <w:t>159,191.96</w:t>
      </w:r>
      <w:r>
        <w:rPr/>
        <w:t>万元，同比增长</w:t>
      </w:r>
      <w:r>
        <w:rPr>
          <w:rFonts w:ascii="Times New Roman" w:hAnsi="Times New Roman" w:cs="Times New Roman" w:eastAsia="Times New Roman" w:hint="default"/>
        </w:rPr>
        <w:t>20.61%</w:t>
      </w:r>
      <w:r>
        <w:rPr/>
        <w:t>；利润总额</w:t>
      </w:r>
      <w:r>
        <w:rPr>
          <w:rFonts w:ascii="Times New Roman" w:hAnsi="Times New Roman" w:cs="Times New Roman" w:eastAsia="Times New Roman" w:hint="default"/>
        </w:rPr>
        <w:t>11,452.97</w:t>
      </w:r>
      <w:r>
        <w:rPr/>
        <w:t>万元，同比增长</w:t>
      </w:r>
      <w:r>
        <w:rPr>
          <w:rFonts w:ascii="Times New Roman" w:hAnsi="Times New Roman" w:cs="Times New Roman" w:eastAsia="Times New Roman" w:hint="default"/>
        </w:rPr>
        <w:t>297.13%</w:t>
      </w:r>
      <w:r>
        <w:rPr/>
        <w:t>；归属</w:t>
      </w:r>
      <w:r>
        <w:rPr>
          <w:spacing w:val="2"/>
        </w:rPr>
        <w:t> </w:t>
      </w:r>
      <w:r>
        <w:rPr/>
        <w:t>于上市公司股东的净利润</w:t>
      </w:r>
      <w:r>
        <w:rPr>
          <w:rFonts w:ascii="Times New Roman" w:hAnsi="Times New Roman" w:cs="Times New Roman" w:eastAsia="Times New Roman" w:hint="default"/>
        </w:rPr>
        <w:t>10,454.66</w:t>
      </w:r>
      <w:r>
        <w:rPr/>
        <w:t>万元，同比增长</w:t>
      </w:r>
      <w:r>
        <w:rPr>
          <w:rFonts w:ascii="Times New Roman" w:hAnsi="Times New Roman" w:cs="Times New Roman" w:eastAsia="Times New Roman" w:hint="default"/>
        </w:rPr>
        <w:t>198.53%</w:t>
      </w:r>
      <w:r>
        <w:rPr/>
        <w:t>，报告期内归属于上市公司股东的净利润增长主要由于公司收购 实体业绩并表，以及公司主营业务的收入增加所致。</w:t>
      </w:r>
    </w:p>
    <w:p>
      <w:pPr>
        <w:pStyle w:val="BodyText"/>
        <w:spacing w:line="432" w:lineRule="exact" w:before="16"/>
        <w:ind w:left="513" w:right="1033"/>
        <w:jc w:val="left"/>
      </w:pPr>
      <w:r>
        <w:rPr/>
        <w:t>一、金融信息服务行业经营状况 报告期内，收益于金融信息化行业市场需求的企稳回升，以及移动数字领域市场规模的稳定发展，公司抓住市场机会，</w:t>
      </w:r>
    </w:p>
    <w:p>
      <w:pPr>
        <w:pStyle w:val="BodyText"/>
        <w:spacing w:line="240" w:lineRule="auto" w:before="15"/>
        <w:ind w:right="1117"/>
        <w:jc w:val="left"/>
      </w:pPr>
      <w:r>
        <w:rPr/>
        <w:t>积极拓展商机，主动调整内部机制，完善预算、资金和成本管控，取得了较快的业绩增长。</w:t>
      </w:r>
    </w:p>
    <w:p>
      <w:pPr>
        <w:spacing w:line="240" w:lineRule="auto" w:before="0"/>
        <w:rPr>
          <w:rFonts w:ascii="宋体" w:hAnsi="宋体" w:cs="宋体" w:eastAsia="宋体" w:hint="default"/>
          <w:sz w:val="15"/>
          <w:szCs w:val="15"/>
        </w:rPr>
      </w:pPr>
    </w:p>
    <w:p>
      <w:pPr>
        <w:pStyle w:val="BodyText"/>
        <w:spacing w:line="240" w:lineRule="auto"/>
        <w:ind w:left="513" w:right="1117"/>
        <w:jc w:val="left"/>
      </w:pPr>
      <w:r>
        <w:rPr>
          <w:rFonts w:ascii="Times New Roman" w:hAnsi="Times New Roman" w:cs="Times New Roman" w:eastAsia="Times New Roman" w:hint="default"/>
        </w:rPr>
        <w:t>2018</w:t>
      </w:r>
      <w:r>
        <w:rPr/>
        <w:t>年公司金融信息服务各业务板块经营发展情况如下：</w:t>
      </w:r>
    </w:p>
    <w:p>
      <w:pPr>
        <w:spacing w:line="240" w:lineRule="auto" w:before="13"/>
        <w:rPr>
          <w:rFonts w:ascii="宋体" w:hAnsi="宋体" w:cs="宋体" w:eastAsia="宋体" w:hint="default"/>
          <w:sz w:val="13"/>
          <w:szCs w:val="13"/>
        </w:rPr>
      </w:pPr>
    </w:p>
    <w:p>
      <w:pPr>
        <w:pStyle w:val="BodyText"/>
        <w:spacing w:line="240" w:lineRule="auto"/>
        <w:ind w:left="513" w:right="1117"/>
        <w:jc w:val="left"/>
      </w:pPr>
      <w:r>
        <w:rPr>
          <w:rFonts w:ascii="Times New Roman" w:hAnsi="Times New Roman" w:cs="Times New Roman" w:eastAsia="Times New Roman" w:hint="default"/>
        </w:rPr>
        <w:t>1</w:t>
      </w:r>
      <w:r>
        <w:rPr/>
        <w:t>、银行金融业</w:t>
      </w:r>
    </w:p>
    <w:p>
      <w:pPr>
        <w:spacing w:line="240" w:lineRule="auto" w:before="13"/>
        <w:rPr>
          <w:rFonts w:ascii="宋体" w:hAnsi="宋体" w:cs="宋体" w:eastAsia="宋体" w:hint="default"/>
          <w:sz w:val="13"/>
          <w:szCs w:val="13"/>
        </w:rPr>
      </w:pPr>
    </w:p>
    <w:p>
      <w:pPr>
        <w:pStyle w:val="BodyText"/>
        <w:spacing w:line="304" w:lineRule="auto"/>
        <w:ind w:right="1126" w:firstLine="360"/>
        <w:jc w:val="both"/>
      </w:pPr>
      <w:r>
        <w:rPr>
          <w:rFonts w:ascii="Times New Roman" w:hAnsi="Times New Roman" w:cs="Times New Roman" w:eastAsia="Times New Roman" w:hint="default"/>
          <w:spacing w:val="-2"/>
        </w:rPr>
        <w:t>2018</w:t>
      </w:r>
      <w:r>
        <w:rPr>
          <w:spacing w:val="-2"/>
        </w:rPr>
        <w:t>年银行金融业客户订单量呈稳健上升趋势。特别是中小银行业的订单需求提升较快。公司在</w:t>
      </w:r>
      <w:r>
        <w:rPr>
          <w:rFonts w:ascii="Times New Roman" w:hAnsi="Times New Roman" w:cs="Times New Roman" w:eastAsia="Times New Roman" w:hint="default"/>
          <w:spacing w:val="-2"/>
        </w:rPr>
        <w:t>2016</w:t>
      </w:r>
      <w:r>
        <w:rPr>
          <w:spacing w:val="-2"/>
        </w:rPr>
        <w:t>年开始，逐渐将实</w:t>
      </w:r>
      <w:r>
        <w:rPr/>
        <w:t> </w:t>
      </w:r>
      <w:r>
        <w:rPr>
          <w:spacing w:val="-2"/>
        </w:rPr>
        <w:t>施团队进行结构调整，以适应中小银行业业务需求的变化。预计</w:t>
      </w:r>
      <w:r>
        <w:rPr>
          <w:rFonts w:ascii="Times New Roman" w:hAnsi="Times New Roman" w:cs="Times New Roman" w:eastAsia="Times New Roman" w:hint="default"/>
          <w:spacing w:val="-2"/>
        </w:rPr>
        <w:t>2019</w:t>
      </w:r>
      <w:r>
        <w:rPr>
          <w:spacing w:val="-2"/>
        </w:rPr>
        <w:t>年随着中小银行需求的继续提升，以及来自建设银行等</w:t>
      </w:r>
      <w:r>
        <w:rPr>
          <w:spacing w:val="-60"/>
        </w:rPr>
        <w:t> </w:t>
      </w:r>
      <w:r>
        <w:rPr>
          <w:spacing w:val="-60"/>
        </w:rPr>
      </w:r>
      <w:r>
        <w:rPr>
          <w:spacing w:val="-2"/>
        </w:rPr>
        <w:t>为代表大型银行的业务需求的快速回升，公司银行业客户订单将继续保持稳定增长。公司将继续积极重点布局解决方案中核</w:t>
      </w:r>
      <w:r>
        <w:rPr>
          <w:spacing w:val="-63"/>
        </w:rPr>
        <w:t> </w:t>
      </w:r>
      <w:r>
        <w:rPr>
          <w:spacing w:val="-63"/>
        </w:rPr>
      </w:r>
      <w:r>
        <w:rPr>
          <w:spacing w:val="-2"/>
        </w:rPr>
        <w:t>心系统业务、信贷系统业务和平台管理系统类业务。同时</w:t>
      </w:r>
      <w:r>
        <w:rPr>
          <w:rFonts w:ascii="Times New Roman" w:hAnsi="Times New Roman" w:cs="Times New Roman" w:eastAsia="Times New Roman" w:hint="default"/>
          <w:spacing w:val="-2"/>
        </w:rPr>
        <w:t>2019</w:t>
      </w:r>
      <w:r>
        <w:rPr>
          <w:spacing w:val="-2"/>
        </w:rPr>
        <w:t>年公司将继续积极布局金融云业务，在研发和销售方面对金融</w:t>
      </w:r>
      <w:r>
        <w:rPr>
          <w:spacing w:val="-60"/>
        </w:rPr>
        <w:t> </w:t>
      </w:r>
      <w:r>
        <w:rPr>
          <w:spacing w:val="-60"/>
        </w:rPr>
      </w:r>
      <w:r>
        <w:rPr/>
        <w:t>云业务进行倾斜。</w:t>
      </w:r>
    </w:p>
    <w:p>
      <w:pPr>
        <w:pStyle w:val="BodyText"/>
        <w:spacing w:line="432" w:lineRule="exact" w:before="12"/>
        <w:ind w:left="513" w:right="1117"/>
        <w:jc w:val="left"/>
      </w:pPr>
      <w:r>
        <w:rPr>
          <w:rFonts w:ascii="Times New Roman" w:hAnsi="Times New Roman" w:cs="Times New Roman" w:eastAsia="Times New Roman" w:hint="default"/>
        </w:rPr>
        <w:t>2</w:t>
      </w:r>
      <w:r>
        <w:rPr/>
        <w:t>、非银行金融业 </w:t>
      </w:r>
      <w:r>
        <w:rPr>
          <w:spacing w:val="-2"/>
        </w:rPr>
        <w:t>公司非银行金融业信息服务业务在</w:t>
      </w:r>
      <w:r>
        <w:rPr>
          <w:rFonts w:ascii="Times New Roman" w:hAnsi="Times New Roman" w:cs="Times New Roman" w:eastAsia="Times New Roman" w:hint="default"/>
          <w:spacing w:val="-2"/>
        </w:rPr>
        <w:t>2018</w:t>
      </w:r>
      <w:r>
        <w:rPr>
          <w:spacing w:val="-2"/>
        </w:rPr>
        <w:t>年取得长足的发展，客户扩展迎来重大进展。证券行业的市场规模稳步增长。融</w:t>
      </w:r>
    </w:p>
    <w:p>
      <w:pPr>
        <w:pStyle w:val="BodyText"/>
        <w:spacing w:line="300" w:lineRule="auto" w:before="15"/>
        <w:ind w:right="1117"/>
        <w:jc w:val="left"/>
      </w:pPr>
      <w:r>
        <w:rPr>
          <w:spacing w:val="-2"/>
        </w:rPr>
        <w:t>资租赁、支付、信托、小贷等领域的信息化服务业务也取得了较快发展。市场覆盖率和收入规模稳步提高。</w:t>
      </w:r>
      <w:r>
        <w:rPr>
          <w:rFonts w:ascii="Times New Roman" w:hAnsi="Times New Roman" w:cs="Times New Roman" w:eastAsia="Times New Roman" w:hint="default"/>
          <w:spacing w:val="-2"/>
        </w:rPr>
        <w:t>2019</w:t>
      </w:r>
      <w:r>
        <w:rPr>
          <w:spacing w:val="-2"/>
        </w:rPr>
        <w:t>年随着公司</w:t>
      </w:r>
      <w:r>
        <w:rPr>
          <w:spacing w:val="-61"/>
        </w:rPr>
        <w:t> </w:t>
      </w:r>
      <w:r>
        <w:rPr>
          <w:spacing w:val="-61"/>
        </w:rPr>
      </w:r>
      <w:r>
        <w:rPr/>
        <w:t>行业解决方案的能力日趋成熟，公司将加大该领域的业务合作，积极推动与战略合作伙伴的合作，继续拓展客户数量。</w:t>
      </w:r>
    </w:p>
    <w:p>
      <w:pPr>
        <w:pStyle w:val="BodyText"/>
        <w:spacing w:line="240" w:lineRule="auto" w:before="151"/>
        <w:ind w:left="513" w:right="1117"/>
        <w:jc w:val="left"/>
      </w:pPr>
      <w:r>
        <w:rPr/>
        <w:t>二、移动营销行业经营状况</w:t>
      </w:r>
    </w:p>
    <w:p>
      <w:pPr>
        <w:spacing w:line="240" w:lineRule="auto" w:before="0"/>
        <w:rPr>
          <w:rFonts w:ascii="宋体" w:hAnsi="宋体" w:cs="宋体" w:eastAsia="宋体" w:hint="default"/>
          <w:sz w:val="15"/>
          <w:szCs w:val="15"/>
        </w:rPr>
      </w:pPr>
    </w:p>
    <w:p>
      <w:pPr>
        <w:pStyle w:val="BodyText"/>
        <w:spacing w:line="300" w:lineRule="auto"/>
        <w:ind w:right="1130"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2017</w:t>
      </w:r>
      <w:r>
        <w:rPr>
          <w:spacing w:val="-2"/>
        </w:rPr>
        <w:t>年，公司先后收购了坚果技术、尚河科技和快读科技三家互联网营销行业公司，三家公司业务发展保持良</w:t>
      </w:r>
      <w:r>
        <w:rPr/>
        <w:t> 好态势，为公司持续贡献稳定的业绩。</w:t>
      </w:r>
    </w:p>
    <w:p>
      <w:pPr>
        <w:pStyle w:val="BodyText"/>
        <w:spacing w:line="240" w:lineRule="auto" w:before="72"/>
        <w:ind w:right="1117"/>
        <w:jc w:val="left"/>
      </w:pPr>
      <w:r>
        <w:rPr/>
        <w:t>公司需遵守《深圳证券交易所创业板行业信息披露指引第</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上市公司从事互联网营销业务》的披露要求：</w:t>
      </w:r>
    </w:p>
    <w:p>
      <w:pPr>
        <w:spacing w:line="240" w:lineRule="auto" w:before="13"/>
        <w:rPr>
          <w:rFonts w:ascii="宋体" w:hAnsi="宋体" w:cs="宋体" w:eastAsia="宋体" w:hint="default"/>
          <w:sz w:val="13"/>
          <w:szCs w:val="13"/>
        </w:rPr>
      </w:pPr>
    </w:p>
    <w:p>
      <w:pPr>
        <w:pStyle w:val="BodyText"/>
        <w:spacing w:line="309" w:lineRule="auto"/>
        <w:ind w:right="1130" w:firstLine="360"/>
        <w:jc w:val="both"/>
      </w:pPr>
      <w:r>
        <w:rPr/>
        <w:t>坚果技术，是一家从事移动互联网营销的公司。该公司一方面依托于手机刷机商、</w:t>
      </w:r>
      <w:r>
        <w:rPr>
          <w:rFonts w:ascii="Times New Roman" w:hAnsi="Times New Roman" w:cs="Times New Roman" w:eastAsia="Times New Roman" w:hint="default"/>
        </w:rPr>
        <w:t>Launcher</w:t>
      </w:r>
      <w:r>
        <w:rPr/>
        <w:t>、</w:t>
      </w:r>
      <w:r>
        <w:rPr>
          <w:rFonts w:ascii="Times New Roman" w:hAnsi="Times New Roman" w:cs="Times New Roman" w:eastAsia="Times New Roman" w:hint="default"/>
        </w:rPr>
        <w:t>FOTA</w:t>
      </w:r>
      <w:r>
        <w:rPr/>
        <w:t>等中间商以及手机 </w:t>
      </w:r>
      <w:r>
        <w:rPr>
          <w:spacing w:val="-5"/>
        </w:rPr>
        <w:t>硬件厂商、方案商，持续获得下游充足的全球用户资源。另一方面，坚果技术凭借从上游广告联盟获取的广告订单（</w:t>
      </w:r>
      <w:r>
        <w:rPr>
          <w:rFonts w:ascii="Times New Roman" w:hAnsi="Times New Roman" w:cs="Times New Roman" w:eastAsia="Times New Roman" w:hint="default"/>
          <w:spacing w:val="-5"/>
        </w:rPr>
        <w:t>offer</w:t>
      </w:r>
      <w:r>
        <w:rPr>
          <w:spacing w:val="-5"/>
        </w:rPr>
        <w:t>），</w:t>
      </w:r>
      <w:r>
        <w:rPr>
          <w:spacing w:val="-39"/>
        </w:rPr>
        <w:t> </w:t>
      </w:r>
      <w:r>
        <w:rPr>
          <w:spacing w:val="-2"/>
        </w:rPr>
        <w:t>以及自己拓展的直客资源，持续获取广告业务机会。坚果技术拥有自己的大数据分析筛选和定位系统，将从下游渠道获得的</w:t>
      </w:r>
      <w:r>
        <w:rPr>
          <w:spacing w:val="-63"/>
        </w:rPr>
        <w:t> </w:t>
      </w:r>
      <w:r>
        <w:rPr>
          <w:spacing w:val="-63"/>
        </w:rPr>
      </w:r>
      <w:r>
        <w:rPr>
          <w:spacing w:val="-2"/>
        </w:rPr>
        <w:t>用户数据进行数据分析、用户画像，精准定位。通过大数据应用找到最具针对性的营销受众，进行精准的营销投放，从而从</w:t>
      </w:r>
      <w:r>
        <w:rPr>
          <w:spacing w:val="-67"/>
        </w:rPr>
        <w:t> </w:t>
      </w:r>
      <w:r>
        <w:rPr>
          <w:spacing w:val="-67"/>
        </w:rPr>
      </w:r>
      <w:r>
        <w:rPr/>
        <w:t>根本上提高广告主广告投放的效率。</w:t>
      </w:r>
    </w:p>
    <w:p>
      <w:pPr>
        <w:pStyle w:val="BodyText"/>
        <w:spacing w:line="240" w:lineRule="auto" w:before="144"/>
        <w:ind w:right="111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公司流量的导入方式以及占比情况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tbl>
      <w:tblPr>
        <w:tblW w:w="0" w:type="auto"/>
        <w:jc w:val="left"/>
        <w:tblInd w:w="145" w:type="dxa"/>
        <w:tblLayout w:type="fixed"/>
        <w:tblCellMar>
          <w:top w:w="0" w:type="dxa"/>
          <w:left w:w="0" w:type="dxa"/>
          <w:bottom w:w="0" w:type="dxa"/>
          <w:right w:w="0" w:type="dxa"/>
        </w:tblCellMar>
        <w:tblLook w:val="01E0"/>
      </w:tblPr>
      <w:tblGrid>
        <w:gridCol w:w="2799"/>
        <w:gridCol w:w="2801"/>
        <w:gridCol w:w="2799"/>
      </w:tblGrid>
      <w:tr>
        <w:trPr>
          <w:trHeight w:val="34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流量导入方式</w:t>
            </w:r>
            <w:r>
              <w:rPr>
                <w:rFonts w:ascii="宋体" w:hAnsi="宋体" w:cs="宋体" w:eastAsia="宋体" w:hint="default"/>
                <w:sz w:val="18"/>
                <w:szCs w:val="18"/>
              </w:rPr>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年导入量</w:t>
            </w:r>
            <w:r>
              <w:rPr>
                <w:rFonts w:ascii="宋体" w:hAnsi="宋体" w:cs="宋体" w:eastAsia="宋体" w:hint="default"/>
                <w:sz w:val="18"/>
                <w:szCs w:val="18"/>
              </w:rPr>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导入占比（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自有平台导入</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10,561,632</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11.52%</w:t>
            </w:r>
          </w:p>
        </w:tc>
      </w:tr>
    </w:tbl>
    <w:p>
      <w:pPr>
        <w:spacing w:after="0" w:line="240" w:lineRule="auto"/>
        <w:jc w:val="center"/>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5"/>
        <w:rPr>
          <w:rFonts w:ascii="宋体" w:hAnsi="宋体" w:cs="宋体" w:eastAsia="宋体" w:hint="default"/>
          <w:sz w:val="25"/>
          <w:szCs w:val="25"/>
        </w:rPr>
      </w:pPr>
    </w:p>
    <w:tbl>
      <w:tblPr>
        <w:tblW w:w="0" w:type="auto"/>
        <w:jc w:val="left"/>
        <w:tblInd w:w="145" w:type="dxa"/>
        <w:tblLayout w:type="fixed"/>
        <w:tblCellMar>
          <w:top w:w="0" w:type="dxa"/>
          <w:left w:w="0" w:type="dxa"/>
          <w:bottom w:w="0" w:type="dxa"/>
          <w:right w:w="0" w:type="dxa"/>
        </w:tblCellMar>
        <w:tblLook w:val="01E0"/>
      </w:tblPr>
      <w:tblGrid>
        <w:gridCol w:w="2799"/>
        <w:gridCol w:w="2801"/>
        <w:gridCol w:w="2799"/>
      </w:tblGrid>
      <w:tr>
        <w:trPr>
          <w:trHeight w:val="428"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第三方导入</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4"/>
              <w:jc w:val="right"/>
              <w:rPr>
                <w:rFonts w:ascii="Times New Roman" w:hAnsi="Times New Roman" w:cs="Times New Roman" w:eastAsia="Times New Roman" w:hint="default"/>
                <w:sz w:val="18"/>
                <w:szCs w:val="18"/>
              </w:rPr>
            </w:pPr>
            <w:r>
              <w:rPr>
                <w:rFonts w:ascii="Times New Roman"/>
                <w:spacing w:val="-1"/>
                <w:sz w:val="18"/>
              </w:rPr>
              <w:t>81,116,330</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88.48%</w:t>
            </w:r>
          </w:p>
        </w:tc>
      </w:tr>
      <w:tr>
        <w:trPr>
          <w:trHeight w:val="427" w:hRule="exact"/>
        </w:trPr>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984"/>
              <w:jc w:val="right"/>
              <w:rPr>
                <w:rFonts w:ascii="Times New Roman" w:hAnsi="Times New Roman" w:cs="Times New Roman" w:eastAsia="Times New Roman" w:hint="default"/>
                <w:sz w:val="18"/>
                <w:szCs w:val="18"/>
              </w:rPr>
            </w:pPr>
            <w:r>
              <w:rPr>
                <w:rFonts w:ascii="Times New Roman"/>
                <w:spacing w:val="-1"/>
                <w:sz w:val="18"/>
              </w:rPr>
              <w:t>91,677,962</w:t>
            </w:r>
          </w:p>
        </w:tc>
        <w:tc>
          <w:tcPr>
            <w:tcW w:w="2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5"/>
        <w:rPr>
          <w:rFonts w:ascii="宋体" w:hAnsi="宋体" w:cs="宋体" w:eastAsia="宋体" w:hint="default"/>
          <w:sz w:val="6"/>
          <w:szCs w:val="6"/>
        </w:rPr>
      </w:pPr>
    </w:p>
    <w:p>
      <w:pPr>
        <w:pStyle w:val="BodyText"/>
        <w:spacing w:line="240" w:lineRule="auto" w:before="44"/>
        <w:ind w:right="1117"/>
        <w:jc w:val="left"/>
      </w:pPr>
      <w:r>
        <w:rPr/>
        <w:t>注：此处导入量的计量单位为用户数量</w:t>
      </w:r>
    </w:p>
    <w:p>
      <w:pPr>
        <w:spacing w:line="240" w:lineRule="auto" w:before="0"/>
        <w:rPr>
          <w:rFonts w:ascii="宋体" w:hAnsi="宋体" w:cs="宋体" w:eastAsia="宋体" w:hint="default"/>
          <w:sz w:val="15"/>
          <w:szCs w:val="15"/>
        </w:rPr>
      </w:pPr>
    </w:p>
    <w:p>
      <w:pPr>
        <w:pStyle w:val="BodyText"/>
        <w:spacing w:line="240" w:lineRule="auto"/>
        <w:ind w:right="1117"/>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反映公司主要业务的标准相关的技术指标</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664"/>
        <w:gridCol w:w="1757"/>
        <w:gridCol w:w="1668"/>
        <w:gridCol w:w="1668"/>
        <w:gridCol w:w="1666"/>
      </w:tblGrid>
      <w:tr>
        <w:trPr>
          <w:trHeight w:val="348"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业务技术指标</w:t>
            </w:r>
            <w:r>
              <w:rPr>
                <w:rFonts w:ascii="宋体" w:hAnsi="宋体" w:cs="宋体" w:eastAsia="宋体" w:hint="default"/>
                <w:sz w:val="18"/>
                <w:szCs w:val="18"/>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年第一季度</w:t>
            </w:r>
            <w:r>
              <w:rPr>
                <w:rFonts w:ascii="宋体" w:hAnsi="宋体" w:cs="宋体" w:eastAsia="宋体" w:hint="default"/>
                <w:sz w:val="18"/>
                <w:szCs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年第二季度</w:t>
            </w:r>
            <w:r>
              <w:rPr>
                <w:rFonts w:ascii="宋体" w:hAnsi="宋体" w:cs="宋体" w:eastAsia="宋体" w:hint="default"/>
                <w:sz w:val="18"/>
                <w:szCs w:val="18"/>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年第三季度</w:t>
            </w:r>
            <w:r>
              <w:rPr>
                <w:rFonts w:ascii="宋体" w:hAnsi="宋体" w:cs="宋体" w:eastAsia="宋体" w:hint="default"/>
                <w:sz w:val="18"/>
                <w:szCs w:val="18"/>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年第四季度</w:t>
            </w:r>
            <w:r>
              <w:rPr>
                <w:rFonts w:ascii="宋体" w:hAnsi="宋体" w:cs="宋体" w:eastAsia="宋体" w:hint="default"/>
                <w:sz w:val="18"/>
                <w:szCs w:val="18"/>
              </w:rPr>
            </w:r>
          </w:p>
        </w:tc>
      </w:tr>
      <w:tr>
        <w:trPr>
          <w:trHeight w:val="427"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转化率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48.50%</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48.06%</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37.17%</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39.38%</w:t>
            </w:r>
          </w:p>
        </w:tc>
      </w:tr>
      <w:tr>
        <w:trPr>
          <w:trHeight w:val="427" w:hRule="exact"/>
        </w:trPr>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点击率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18.37%</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17.80%</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22.26%</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21.23%</w:t>
            </w:r>
          </w:p>
        </w:tc>
      </w:tr>
    </w:tbl>
    <w:p>
      <w:pPr>
        <w:spacing w:line="240" w:lineRule="auto" w:before="5"/>
        <w:rPr>
          <w:rFonts w:ascii="宋体" w:hAnsi="宋体" w:cs="宋体" w:eastAsia="宋体" w:hint="default"/>
          <w:sz w:val="6"/>
          <w:szCs w:val="6"/>
        </w:rPr>
      </w:pPr>
    </w:p>
    <w:p>
      <w:pPr>
        <w:pStyle w:val="BodyText"/>
        <w:spacing w:line="240" w:lineRule="auto" w:before="44"/>
        <w:ind w:right="1117"/>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按照直接类客户和代理类客户分别披露客户数量、收入金额及客户留存率</w:t>
      </w:r>
    </w:p>
    <w:p>
      <w:pPr>
        <w:spacing w:line="240" w:lineRule="auto" w:before="3"/>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547"/>
        <w:gridCol w:w="2960"/>
        <w:gridCol w:w="2835"/>
      </w:tblGrid>
      <w:tr>
        <w:trPr>
          <w:trHeight w:val="346" w:hRule="exact"/>
        </w:trPr>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客户数量</w:t>
            </w:r>
            <w:r>
              <w:rPr>
                <w:rFonts w:ascii="宋体" w:hAnsi="宋体" w:cs="宋体" w:eastAsia="宋体" w:hint="default"/>
                <w:sz w:val="18"/>
                <w:szCs w:val="18"/>
              </w:rPr>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收入金额（万元）</w:t>
            </w:r>
            <w:r>
              <w:rPr>
                <w:rFonts w:ascii="宋体" w:hAnsi="宋体" w:cs="宋体" w:eastAsia="宋体" w:hint="default"/>
                <w:sz w:val="18"/>
                <w:szCs w:val="18"/>
              </w:rPr>
            </w:r>
          </w:p>
        </w:tc>
      </w:tr>
      <w:tr>
        <w:trPr>
          <w:trHeight w:val="427" w:hRule="exact"/>
        </w:trPr>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直接类客户</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6.00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1,209.31</w:t>
            </w:r>
          </w:p>
        </w:tc>
      </w:tr>
      <w:tr>
        <w:trPr>
          <w:trHeight w:val="427" w:hRule="exact"/>
        </w:trPr>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代理类</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45.00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7,380.56</w:t>
            </w:r>
          </w:p>
        </w:tc>
      </w:tr>
      <w:tr>
        <w:trPr>
          <w:trHeight w:val="427" w:hRule="exact"/>
        </w:trPr>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 w:right="0"/>
              <w:jc w:val="center"/>
              <w:rPr>
                <w:rFonts w:ascii="Times New Roman" w:hAnsi="Times New Roman" w:cs="Times New Roman" w:eastAsia="Times New Roman" w:hint="default"/>
                <w:sz w:val="18"/>
                <w:szCs w:val="18"/>
              </w:rPr>
            </w:pPr>
            <w:r>
              <w:rPr>
                <w:rFonts w:ascii="Times New Roman"/>
                <w:sz w:val="18"/>
              </w:rPr>
              <w:t>51.00</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8,589.87</w:t>
            </w:r>
          </w:p>
        </w:tc>
      </w:tr>
    </w:tbl>
    <w:p>
      <w:pPr>
        <w:spacing w:line="240" w:lineRule="auto" w:before="5"/>
        <w:rPr>
          <w:rFonts w:ascii="宋体" w:hAnsi="宋体" w:cs="宋体" w:eastAsia="宋体" w:hint="default"/>
          <w:sz w:val="6"/>
          <w:szCs w:val="6"/>
        </w:rPr>
      </w:pPr>
    </w:p>
    <w:p>
      <w:pPr>
        <w:pStyle w:val="BodyText"/>
        <w:spacing w:line="240" w:lineRule="auto" w:before="44"/>
        <w:ind w:right="1117"/>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按照终端类型披露不同业务类别的收入金额</w:t>
      </w:r>
    </w:p>
    <w:p>
      <w:pPr>
        <w:spacing w:line="240" w:lineRule="auto" w:before="8"/>
        <w:rPr>
          <w:rFonts w:ascii="宋体" w:hAnsi="宋体" w:cs="宋体" w:eastAsia="宋体" w:hint="default"/>
          <w:sz w:val="10"/>
          <w:szCs w:val="10"/>
        </w:rPr>
      </w:pPr>
    </w:p>
    <w:p>
      <w:pPr>
        <w:pStyle w:val="BodyText"/>
        <w:spacing w:line="240" w:lineRule="auto" w:before="44"/>
        <w:ind w:left="0" w:right="2303"/>
        <w:jc w:val="right"/>
      </w:pPr>
      <w:r>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014"/>
        <w:gridCol w:w="3219"/>
        <w:gridCol w:w="3219"/>
      </w:tblGrid>
      <w:tr>
        <w:trPr>
          <w:trHeight w:val="348"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广告平台推广</w:t>
            </w:r>
            <w:r>
              <w:rPr>
                <w:rFonts w:ascii="宋体" w:hAnsi="宋体" w:cs="宋体" w:eastAsia="宋体" w:hint="default"/>
                <w:b/>
                <w:bCs/>
                <w:spacing w:val="-2"/>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单包推广</w:t>
            </w:r>
            <w:r>
              <w:rPr>
                <w:rFonts w:ascii="宋体" w:hAnsi="宋体" w:cs="宋体" w:eastAsia="宋体" w:hint="default"/>
                <w:b/>
                <w:bCs/>
                <w:spacing w:val="-2"/>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r>
      <w:tr>
        <w:trPr>
          <w:trHeight w:val="428" w:hRule="exact"/>
        </w:trPr>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移动端</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5,119.08</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3,470.79</w:t>
            </w:r>
          </w:p>
        </w:tc>
      </w:tr>
    </w:tbl>
    <w:p>
      <w:pPr>
        <w:spacing w:line="240" w:lineRule="auto" w:before="5"/>
        <w:rPr>
          <w:rFonts w:ascii="宋体" w:hAnsi="宋体" w:cs="宋体" w:eastAsia="宋体" w:hint="default"/>
          <w:sz w:val="6"/>
          <w:szCs w:val="6"/>
        </w:rPr>
      </w:pPr>
    </w:p>
    <w:p>
      <w:pPr>
        <w:pStyle w:val="BodyText"/>
        <w:spacing w:line="240" w:lineRule="auto" w:before="44"/>
        <w:ind w:right="1117"/>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按照合作媒体的类别汇总披露采购金额</w:t>
      </w:r>
    </w:p>
    <w:p>
      <w:pPr>
        <w:spacing w:line="240" w:lineRule="auto" w:before="8"/>
        <w:rPr>
          <w:rFonts w:ascii="宋体" w:hAnsi="宋体" w:cs="宋体" w:eastAsia="宋体" w:hint="default"/>
          <w:sz w:val="10"/>
          <w:szCs w:val="10"/>
        </w:rPr>
      </w:pPr>
    </w:p>
    <w:p>
      <w:pPr>
        <w:pStyle w:val="BodyText"/>
        <w:spacing w:line="240" w:lineRule="auto" w:before="44"/>
        <w:ind w:left="0" w:right="2216"/>
        <w:jc w:val="right"/>
      </w:pPr>
      <w:r>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858"/>
        <w:gridCol w:w="2218"/>
        <w:gridCol w:w="2216"/>
        <w:gridCol w:w="2216"/>
      </w:tblGrid>
      <w:tr>
        <w:trPr>
          <w:trHeight w:val="660"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742" w:right="737"/>
              <w:jc w:val="center"/>
              <w:rPr>
                <w:rFonts w:ascii="宋体" w:hAnsi="宋体" w:cs="宋体" w:eastAsia="宋体" w:hint="default"/>
                <w:sz w:val="18"/>
                <w:szCs w:val="18"/>
              </w:rPr>
            </w:pPr>
            <w:r>
              <w:rPr>
                <w:rFonts w:ascii="宋体" w:hAnsi="宋体" w:cs="宋体" w:eastAsia="宋体" w:hint="default"/>
                <w:b/>
                <w:bCs/>
                <w:sz w:val="18"/>
                <w:szCs w:val="18"/>
              </w:rPr>
              <w:t>分成计费</w:t>
            </w:r>
            <w:r>
              <w:rPr>
                <w:rFonts w:ascii="宋体" w:hAnsi="宋体" w:cs="宋体" w:eastAsia="宋体" w:hint="default"/>
                <w:b/>
                <w:bCs/>
                <w:w w:val="99"/>
                <w:sz w:val="18"/>
                <w:szCs w:val="18"/>
              </w:rPr>
              <w:t> </w:t>
            </w:r>
            <w:r>
              <w:rPr>
                <w:rFonts w:ascii="宋体" w:hAnsi="宋体" w:cs="宋体" w:eastAsia="宋体" w:hint="default"/>
                <w:b/>
                <w:bCs/>
                <w:sz w:val="18"/>
                <w:szCs w:val="18"/>
              </w:rPr>
              <w:t>采购金额</w:t>
            </w:r>
            <w:r>
              <w:rPr>
                <w:rFonts w:ascii="宋体" w:hAnsi="宋体" w:cs="宋体" w:eastAsia="宋体" w:hint="default"/>
                <w:sz w:val="18"/>
                <w:szCs w:val="18"/>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739" w:right="737"/>
              <w:jc w:val="center"/>
              <w:rPr>
                <w:rFonts w:ascii="宋体" w:hAnsi="宋体" w:cs="宋体" w:eastAsia="宋体" w:hint="default"/>
                <w:sz w:val="18"/>
                <w:szCs w:val="18"/>
              </w:rPr>
            </w:pPr>
            <w:r>
              <w:rPr>
                <w:rFonts w:ascii="宋体" w:hAnsi="宋体" w:cs="宋体" w:eastAsia="宋体" w:hint="default"/>
                <w:b/>
                <w:bCs/>
                <w:sz w:val="18"/>
                <w:szCs w:val="18"/>
              </w:rPr>
              <w:t>流量计费</w:t>
            </w:r>
            <w:r>
              <w:rPr>
                <w:rFonts w:ascii="宋体" w:hAnsi="宋体" w:cs="宋体" w:eastAsia="宋体" w:hint="default"/>
                <w:b/>
                <w:bCs/>
                <w:w w:val="99"/>
                <w:sz w:val="18"/>
                <w:szCs w:val="18"/>
              </w:rPr>
              <w:t> </w:t>
            </w:r>
            <w:r>
              <w:rPr>
                <w:rFonts w:ascii="宋体" w:hAnsi="宋体" w:cs="宋体" w:eastAsia="宋体" w:hint="default"/>
                <w:b/>
                <w:bCs/>
                <w:sz w:val="18"/>
                <w:szCs w:val="18"/>
              </w:rPr>
              <w:t>采购金额</w:t>
            </w:r>
            <w:r>
              <w:rPr>
                <w:rFonts w:ascii="宋体" w:hAnsi="宋体" w:cs="宋体" w:eastAsia="宋体" w:hint="default"/>
                <w:sz w:val="18"/>
                <w:szCs w:val="18"/>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合计采购金额</w:t>
            </w:r>
            <w:r>
              <w:rPr>
                <w:rFonts w:ascii="宋体" w:hAnsi="宋体" w:cs="宋体" w:eastAsia="宋体" w:hint="default"/>
                <w:sz w:val="18"/>
                <w:szCs w:val="18"/>
              </w:rPr>
            </w:r>
          </w:p>
        </w:tc>
      </w:tr>
      <w:tr>
        <w:trPr>
          <w:trHeight w:val="427"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桌面提供商</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1,553.74</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1,553.74</w:t>
            </w:r>
          </w:p>
        </w:tc>
      </w:tr>
      <w:tr>
        <w:trPr>
          <w:trHeight w:val="425"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软件预装商</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253.68</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253.68</w:t>
            </w:r>
          </w:p>
        </w:tc>
      </w:tr>
      <w:tr>
        <w:trPr>
          <w:trHeight w:val="427"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软件开发商</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3,703.02</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3,703.02</w:t>
            </w:r>
          </w:p>
        </w:tc>
      </w:tr>
      <w:tr>
        <w:trPr>
          <w:trHeight w:val="428"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手机方案商</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32.92</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32.92</w:t>
            </w:r>
          </w:p>
        </w:tc>
      </w:tr>
      <w:tr>
        <w:trPr>
          <w:trHeight w:val="427" w:hRule="exact"/>
        </w:trPr>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5,543.36</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5,543.36</w:t>
            </w:r>
          </w:p>
        </w:tc>
      </w:tr>
    </w:tbl>
    <w:p>
      <w:pPr>
        <w:spacing w:line="240" w:lineRule="auto" w:before="5"/>
        <w:rPr>
          <w:rFonts w:ascii="宋体" w:hAnsi="宋体" w:cs="宋体" w:eastAsia="宋体" w:hint="default"/>
          <w:sz w:val="6"/>
          <w:szCs w:val="6"/>
        </w:rPr>
      </w:pPr>
    </w:p>
    <w:p>
      <w:pPr>
        <w:pStyle w:val="BodyText"/>
        <w:spacing w:line="316" w:lineRule="auto" w:before="44"/>
        <w:ind w:right="1130" w:firstLine="360"/>
        <w:jc w:val="both"/>
      </w:pPr>
      <w:r>
        <w:rPr>
          <w:spacing w:val="-2"/>
        </w:rPr>
        <w:t>尚河科技通过对优秀互联网企业旗下产品提供移动广告推广业务，相应获得代理权，根据受托方推广产品的收入，按照</w:t>
      </w:r>
      <w:r>
        <w:rPr/>
        <w:t> </w:t>
      </w:r>
      <w:r>
        <w:rPr>
          <w:spacing w:val="-2"/>
        </w:rPr>
        <w:t>协议约定比例与受托方分成。通过对移动广告投放需求方进行营销方案设计，优化产品筛选，同时通过数据分析能力以及运</w:t>
      </w:r>
      <w:r>
        <w:rPr>
          <w:spacing w:val="-63"/>
        </w:rPr>
        <w:t> </w:t>
      </w:r>
      <w:r>
        <w:rPr>
          <w:spacing w:val="-63"/>
        </w:rPr>
      </w:r>
      <w:r>
        <w:rPr/>
        <w:t>营能力，对用户进行大数据分析，实现移动广告的精准投放。</w:t>
      </w:r>
    </w:p>
    <w:p>
      <w:pPr>
        <w:pStyle w:val="BodyText"/>
        <w:spacing w:line="240" w:lineRule="auto" w:before="139"/>
        <w:ind w:right="111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公司数据或者流量的导入方式以及占比情况</w:t>
      </w:r>
    </w:p>
    <w:p>
      <w:pPr>
        <w:spacing w:line="240" w:lineRule="auto" w:before="13"/>
        <w:rPr>
          <w:rFonts w:ascii="宋体" w:hAnsi="宋体" w:cs="宋体" w:eastAsia="宋体" w:hint="default"/>
          <w:sz w:val="13"/>
          <w:szCs w:val="13"/>
        </w:rPr>
      </w:pPr>
    </w:p>
    <w:p>
      <w:pPr>
        <w:pStyle w:val="BodyText"/>
        <w:spacing w:line="240" w:lineRule="auto"/>
        <w:ind w:left="0" w:right="2219"/>
        <w:jc w:val="right"/>
      </w:pPr>
      <w:r>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451"/>
        <w:gridCol w:w="3493"/>
        <w:gridCol w:w="2705"/>
      </w:tblGrid>
      <w:tr>
        <w:trPr>
          <w:trHeight w:val="3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流量导入方式</w:t>
            </w:r>
            <w:r>
              <w:rPr>
                <w:rFonts w:ascii="宋体" w:hAnsi="宋体" w:cs="宋体" w:eastAsia="宋体" w:hint="default"/>
                <w:sz w:val="18"/>
                <w:szCs w:val="18"/>
              </w:rPr>
            </w:r>
          </w:p>
        </w:tc>
        <w:tc>
          <w:tcPr>
            <w:tcW w:w="3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年导入量</w:t>
            </w:r>
            <w:r>
              <w:rPr>
                <w:rFonts w:ascii="宋体" w:hAnsi="宋体" w:cs="宋体" w:eastAsia="宋体" w:hint="default"/>
                <w:sz w:val="18"/>
                <w:szCs w:val="18"/>
              </w:rPr>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导入占比（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自有平台导入</w:t>
            </w:r>
          </w:p>
        </w:tc>
        <w:tc>
          <w:tcPr>
            <w:tcW w:w="3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sz w:val="18"/>
                <w:szCs w:val="18"/>
              </w:rPr>
              <w:t>第三方导入</w:t>
            </w:r>
          </w:p>
        </w:tc>
        <w:tc>
          <w:tcPr>
            <w:tcW w:w="3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2,129.92</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5"/>
        <w:rPr>
          <w:rFonts w:ascii="宋体" w:hAnsi="宋体" w:cs="宋体" w:eastAsia="宋体" w:hint="default"/>
          <w:sz w:val="25"/>
          <w:szCs w:val="25"/>
        </w:rPr>
      </w:pPr>
    </w:p>
    <w:tbl>
      <w:tblPr>
        <w:tblW w:w="0" w:type="auto"/>
        <w:jc w:val="left"/>
        <w:tblInd w:w="145" w:type="dxa"/>
        <w:tblLayout w:type="fixed"/>
        <w:tblCellMar>
          <w:top w:w="0" w:type="dxa"/>
          <w:left w:w="0" w:type="dxa"/>
          <w:bottom w:w="0" w:type="dxa"/>
          <w:right w:w="0" w:type="dxa"/>
        </w:tblCellMar>
        <w:tblLook w:val="01E0"/>
      </w:tblPr>
      <w:tblGrid>
        <w:gridCol w:w="2451"/>
        <w:gridCol w:w="3493"/>
        <w:gridCol w:w="2705"/>
      </w:tblGrid>
      <w:tr>
        <w:trPr>
          <w:trHeight w:val="42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2,129.92</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5"/>
        <w:rPr>
          <w:rFonts w:ascii="宋体" w:hAnsi="宋体" w:cs="宋体" w:eastAsia="宋体" w:hint="default"/>
          <w:sz w:val="6"/>
          <w:szCs w:val="6"/>
        </w:rPr>
      </w:pPr>
    </w:p>
    <w:p>
      <w:pPr>
        <w:pStyle w:val="BodyText"/>
        <w:spacing w:line="240" w:lineRule="auto" w:before="44"/>
        <w:ind w:right="1117"/>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按照客户类别分别披露客户数量、收入金额及客户留存率</w:t>
      </w:r>
    </w:p>
    <w:p>
      <w:pPr>
        <w:spacing w:line="240" w:lineRule="auto" w:before="8"/>
        <w:rPr>
          <w:rFonts w:ascii="宋体" w:hAnsi="宋体" w:cs="宋体" w:eastAsia="宋体" w:hint="default"/>
          <w:sz w:val="10"/>
          <w:szCs w:val="10"/>
        </w:rPr>
      </w:pPr>
    </w:p>
    <w:p>
      <w:pPr>
        <w:pStyle w:val="BodyText"/>
        <w:spacing w:line="240" w:lineRule="auto" w:before="44"/>
        <w:ind w:left="0" w:right="2127"/>
        <w:jc w:val="right"/>
      </w:pPr>
      <w:r>
        <w:rPr>
          <w:spacing w:val="-1"/>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520"/>
        <w:gridCol w:w="1897"/>
        <w:gridCol w:w="2211"/>
        <w:gridCol w:w="2055"/>
      </w:tblGrid>
      <w:tr>
        <w:trPr>
          <w:trHeight w:val="348"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客户数量</w:t>
            </w:r>
            <w:r>
              <w:rPr>
                <w:rFonts w:ascii="宋体" w:hAnsi="宋体" w:cs="宋体" w:eastAsia="宋体" w:hint="default"/>
                <w:sz w:val="18"/>
                <w:szCs w:val="18"/>
              </w:rPr>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收入金额</w:t>
            </w:r>
            <w:r>
              <w:rPr>
                <w:rFonts w:ascii="宋体" w:hAnsi="宋体" w:cs="宋体" w:eastAsia="宋体" w:hint="default"/>
                <w:sz w:val="18"/>
                <w:szCs w:val="18"/>
              </w:rPr>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客户留存率（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直接类客户</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3,951.63</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40%</w:t>
            </w:r>
          </w:p>
        </w:tc>
      </w:tr>
      <w:tr>
        <w:trPr>
          <w:trHeight w:val="427"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代理类客户</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74.25</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71%</w:t>
            </w:r>
          </w:p>
        </w:tc>
      </w:tr>
      <w:tr>
        <w:trPr>
          <w:trHeight w:val="427" w:hRule="exact"/>
        </w:trPr>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13</w:t>
            </w:r>
          </w:p>
        </w:tc>
        <w:tc>
          <w:tcPr>
            <w:tcW w:w="2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4,025.88</w:t>
            </w:r>
          </w:p>
        </w:tc>
        <w:tc>
          <w:tcPr>
            <w:tcW w:w="2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sz w:val="6"/>
          <w:szCs w:val="6"/>
        </w:rPr>
      </w:pPr>
    </w:p>
    <w:p>
      <w:pPr>
        <w:pStyle w:val="BodyText"/>
        <w:spacing w:line="240" w:lineRule="auto" w:before="44"/>
        <w:ind w:right="1117"/>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按照终端类型披露不同业务类别的收入金额</w:t>
      </w:r>
    </w:p>
    <w:p>
      <w:pPr>
        <w:spacing w:line="240" w:lineRule="auto" w:before="8"/>
        <w:rPr>
          <w:rFonts w:ascii="宋体" w:hAnsi="宋体" w:cs="宋体" w:eastAsia="宋体" w:hint="default"/>
          <w:sz w:val="10"/>
          <w:szCs w:val="10"/>
        </w:rPr>
      </w:pPr>
    </w:p>
    <w:p>
      <w:pPr>
        <w:pStyle w:val="BodyText"/>
        <w:spacing w:line="240" w:lineRule="auto" w:before="44"/>
        <w:ind w:left="0" w:right="2216"/>
        <w:jc w:val="right"/>
      </w:pPr>
      <w:r>
        <w:rPr>
          <w:spacing w:val="-1"/>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440"/>
        <w:gridCol w:w="1868"/>
        <w:gridCol w:w="1781"/>
        <w:gridCol w:w="1748"/>
        <w:gridCol w:w="1904"/>
      </w:tblGrid>
      <w:tr>
        <w:trPr>
          <w:trHeight w:val="65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66" w:right="383" w:hanging="183"/>
              <w:jc w:val="left"/>
              <w:rPr>
                <w:rFonts w:ascii="宋体" w:hAnsi="宋体" w:cs="宋体" w:eastAsia="宋体" w:hint="default"/>
                <w:sz w:val="18"/>
                <w:szCs w:val="18"/>
              </w:rPr>
            </w:pPr>
            <w:r>
              <w:rPr>
                <w:rFonts w:ascii="宋体" w:hAnsi="宋体" w:cs="宋体" w:eastAsia="宋体" w:hint="default"/>
                <w:b/>
                <w:bCs/>
                <w:sz w:val="18"/>
                <w:szCs w:val="18"/>
              </w:rPr>
              <w:t>电商推广业务</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20" w:right="250" w:hanging="272"/>
              <w:jc w:val="left"/>
              <w:rPr>
                <w:rFonts w:ascii="宋体" w:hAnsi="宋体" w:cs="宋体" w:eastAsia="宋体" w:hint="default"/>
                <w:sz w:val="18"/>
                <w:szCs w:val="18"/>
              </w:rPr>
            </w:pPr>
            <w:r>
              <w:rPr>
                <w:rFonts w:ascii="宋体" w:hAnsi="宋体" w:cs="宋体" w:eastAsia="宋体" w:hint="default"/>
                <w:b/>
                <w:bCs/>
                <w:sz w:val="18"/>
                <w:szCs w:val="18"/>
              </w:rPr>
              <w:t>第三方平台业务</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06" w:right="140" w:hanging="360"/>
              <w:jc w:val="left"/>
              <w:rPr>
                <w:rFonts w:ascii="宋体" w:hAnsi="宋体" w:cs="宋体" w:eastAsia="宋体" w:hint="default"/>
                <w:sz w:val="18"/>
                <w:szCs w:val="18"/>
              </w:rPr>
            </w:pPr>
            <w:r>
              <w:rPr>
                <w:rFonts w:ascii="宋体" w:hAnsi="宋体" w:cs="宋体" w:eastAsia="宋体" w:hint="default"/>
                <w:b/>
                <w:bCs/>
                <w:sz w:val="18"/>
                <w:szCs w:val="18"/>
              </w:rPr>
              <w:t>专有品牌广告业务</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85" w:right="399" w:hanging="183"/>
              <w:jc w:val="left"/>
              <w:rPr>
                <w:rFonts w:ascii="宋体" w:hAnsi="宋体" w:cs="宋体" w:eastAsia="宋体" w:hint="default"/>
                <w:sz w:val="18"/>
                <w:szCs w:val="18"/>
              </w:rPr>
            </w:pPr>
            <w:r>
              <w:rPr>
                <w:rFonts w:ascii="宋体" w:hAnsi="宋体" w:cs="宋体" w:eastAsia="宋体" w:hint="default"/>
                <w:b/>
                <w:bCs/>
                <w:sz w:val="18"/>
                <w:szCs w:val="18"/>
              </w:rPr>
              <w:t>小说代理业务</w:t>
            </w:r>
            <w:r>
              <w:rPr>
                <w:rFonts w:ascii="宋体" w:hAnsi="宋体" w:cs="宋体" w:eastAsia="宋体" w:hint="default"/>
                <w:b/>
                <w:bCs/>
                <w:w w:val="99"/>
                <w:sz w:val="18"/>
                <w:szCs w:val="18"/>
              </w:rPr>
              <w:t> </w:t>
            </w:r>
            <w:r>
              <w:rPr>
                <w:rFonts w:ascii="宋体" w:hAnsi="宋体" w:cs="宋体" w:eastAsia="宋体" w:hint="default"/>
                <w:b/>
                <w:bCs/>
                <w:sz w:val="18"/>
                <w:szCs w:val="18"/>
              </w:rPr>
              <w:t>收入金额</w:t>
            </w:r>
            <w:r>
              <w:rPr>
                <w:rFonts w:ascii="宋体" w:hAnsi="宋体" w:cs="宋体" w:eastAsia="宋体" w:hint="default"/>
                <w:sz w:val="18"/>
                <w:szCs w:val="18"/>
              </w:rPr>
            </w:r>
          </w:p>
        </w:tc>
      </w:tr>
      <w:tr>
        <w:trPr>
          <w:trHeight w:val="427"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移动端</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78" w:right="0"/>
              <w:jc w:val="left"/>
              <w:rPr>
                <w:rFonts w:ascii="Times New Roman" w:hAnsi="Times New Roman" w:cs="Times New Roman" w:eastAsia="Times New Roman" w:hint="default"/>
                <w:sz w:val="18"/>
                <w:szCs w:val="18"/>
              </w:rPr>
            </w:pPr>
            <w:r>
              <w:rPr>
                <w:rFonts w:ascii="Times New Roman"/>
                <w:sz w:val="18"/>
              </w:rPr>
              <w:t>1,734.12</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4"/>
              <w:jc w:val="center"/>
              <w:rPr>
                <w:rFonts w:ascii="Times New Roman" w:hAnsi="Times New Roman" w:cs="Times New Roman" w:eastAsia="Times New Roman" w:hint="default"/>
                <w:sz w:val="18"/>
                <w:szCs w:val="18"/>
              </w:rPr>
            </w:pPr>
            <w:r>
              <w:rPr>
                <w:rFonts w:ascii="Times New Roman"/>
                <w:sz w:val="18"/>
              </w:rPr>
              <w:t>147.77</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9"/>
              <w:jc w:val="center"/>
              <w:rPr>
                <w:rFonts w:ascii="Times New Roman" w:hAnsi="Times New Roman" w:cs="Times New Roman" w:eastAsia="Times New Roman" w:hint="default"/>
                <w:sz w:val="18"/>
                <w:szCs w:val="18"/>
              </w:rPr>
            </w:pPr>
            <w:r>
              <w:rPr>
                <w:rFonts w:ascii="Times New Roman"/>
                <w:sz w:val="18"/>
              </w:rPr>
              <w:t>753.16</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97" w:right="0"/>
              <w:jc w:val="left"/>
              <w:rPr>
                <w:rFonts w:ascii="Times New Roman" w:hAnsi="Times New Roman" w:cs="Times New Roman" w:eastAsia="Times New Roman" w:hint="default"/>
                <w:sz w:val="18"/>
                <w:szCs w:val="18"/>
              </w:rPr>
            </w:pPr>
            <w:r>
              <w:rPr>
                <w:rFonts w:ascii="Times New Roman"/>
                <w:sz w:val="18"/>
              </w:rPr>
              <w:t>1,390.83</w:t>
            </w:r>
          </w:p>
        </w:tc>
      </w:tr>
    </w:tbl>
    <w:p>
      <w:pPr>
        <w:spacing w:line="240" w:lineRule="auto" w:before="5"/>
        <w:rPr>
          <w:rFonts w:ascii="宋体" w:hAnsi="宋体" w:cs="宋体" w:eastAsia="宋体" w:hint="default"/>
          <w:sz w:val="6"/>
          <w:szCs w:val="6"/>
        </w:rPr>
      </w:pPr>
    </w:p>
    <w:p>
      <w:pPr>
        <w:pStyle w:val="BodyText"/>
        <w:spacing w:line="240" w:lineRule="auto" w:before="44"/>
        <w:ind w:right="1117"/>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按照合作媒体的类别汇总披露采购金额</w:t>
      </w:r>
    </w:p>
    <w:p>
      <w:pPr>
        <w:spacing w:line="240" w:lineRule="auto" w:before="8"/>
        <w:rPr>
          <w:rFonts w:ascii="宋体" w:hAnsi="宋体" w:cs="宋体" w:eastAsia="宋体" w:hint="default"/>
          <w:sz w:val="10"/>
          <w:szCs w:val="10"/>
        </w:rPr>
      </w:pPr>
    </w:p>
    <w:p>
      <w:pPr>
        <w:pStyle w:val="BodyText"/>
        <w:spacing w:line="240" w:lineRule="auto" w:before="44"/>
        <w:ind w:left="0" w:right="2127"/>
        <w:jc w:val="right"/>
      </w:pPr>
      <w:r>
        <w:rPr>
          <w:spacing w:val="-1"/>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428"/>
        <w:gridCol w:w="2391"/>
        <w:gridCol w:w="2710"/>
        <w:gridCol w:w="2233"/>
      </w:tblGrid>
      <w:tr>
        <w:trPr>
          <w:trHeight w:val="348"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68" w:right="0"/>
              <w:jc w:val="left"/>
              <w:rPr>
                <w:rFonts w:ascii="宋体" w:hAnsi="宋体" w:cs="宋体" w:eastAsia="宋体" w:hint="default"/>
                <w:sz w:val="18"/>
                <w:szCs w:val="18"/>
              </w:rPr>
            </w:pPr>
            <w:r>
              <w:rPr>
                <w:rFonts w:ascii="宋体" w:hAnsi="宋体" w:cs="宋体" w:eastAsia="宋体" w:hint="default"/>
                <w:b/>
                <w:bCs/>
                <w:sz w:val="18"/>
                <w:szCs w:val="18"/>
              </w:rPr>
              <w:t>包断计费采购金额</w:t>
            </w:r>
            <w:r>
              <w:rPr>
                <w:rFonts w:ascii="宋体" w:hAnsi="宋体" w:cs="宋体" w:eastAsia="宋体" w:hint="default"/>
                <w:sz w:val="18"/>
                <w:szCs w:val="18"/>
              </w:rPr>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流量计费采购金额</w:t>
            </w:r>
            <w:r>
              <w:rPr>
                <w:rFonts w:ascii="宋体" w:hAnsi="宋体" w:cs="宋体" w:eastAsia="宋体" w:hint="default"/>
                <w:sz w:val="18"/>
                <w:szCs w:val="18"/>
              </w:rPr>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8" w:right="0"/>
              <w:jc w:val="left"/>
              <w:rPr>
                <w:rFonts w:ascii="宋体" w:hAnsi="宋体" w:cs="宋体" w:eastAsia="宋体" w:hint="default"/>
                <w:sz w:val="18"/>
                <w:szCs w:val="18"/>
              </w:rPr>
            </w:pPr>
            <w:r>
              <w:rPr>
                <w:rFonts w:ascii="宋体" w:hAnsi="宋体" w:cs="宋体" w:eastAsia="宋体" w:hint="default"/>
                <w:b/>
                <w:bCs/>
                <w:sz w:val="18"/>
                <w:szCs w:val="18"/>
              </w:rPr>
              <w:t>合计采购金额</w:t>
            </w:r>
            <w:r>
              <w:rPr>
                <w:rFonts w:ascii="宋体" w:hAnsi="宋体" w:cs="宋体" w:eastAsia="宋体" w:hint="default"/>
                <w:sz w:val="18"/>
                <w:szCs w:val="18"/>
              </w:rPr>
            </w:r>
          </w:p>
        </w:tc>
      </w:tr>
      <w:tr>
        <w:trPr>
          <w:trHeight w:val="427" w:hRule="exact"/>
        </w:trPr>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总采购</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6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2,129.92</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94" w:right="0"/>
              <w:jc w:val="left"/>
              <w:rPr>
                <w:rFonts w:ascii="Times New Roman" w:hAnsi="Times New Roman" w:cs="Times New Roman" w:eastAsia="Times New Roman" w:hint="default"/>
                <w:sz w:val="18"/>
                <w:szCs w:val="18"/>
              </w:rPr>
            </w:pPr>
            <w:r>
              <w:rPr>
                <w:rFonts w:ascii="Times New Roman"/>
                <w:sz w:val="18"/>
              </w:rPr>
              <w:t>2,129.92</w:t>
            </w:r>
          </w:p>
        </w:tc>
      </w:tr>
    </w:tbl>
    <w:p>
      <w:pPr>
        <w:spacing w:line="240" w:lineRule="auto" w:before="6"/>
        <w:rPr>
          <w:rFonts w:ascii="宋体" w:hAnsi="宋体" w:cs="宋体" w:eastAsia="宋体" w:hint="default"/>
          <w:sz w:val="6"/>
          <w:szCs w:val="6"/>
        </w:rPr>
      </w:pPr>
    </w:p>
    <w:p>
      <w:pPr>
        <w:pStyle w:val="BodyText"/>
        <w:spacing w:line="240" w:lineRule="auto" w:before="44"/>
        <w:ind w:right="1117"/>
        <w:jc w:val="left"/>
      </w:pPr>
      <w:r>
        <w:rPr/>
        <w:pict>
          <v:group style="position:absolute;margin-left:57pt;margin-top:17.151705pt;width:103.5pt;height:33pt;mso-position-horizontal-relative:page;mso-position-vertical-relative:paragraph;z-index:-1029184" coordorigin="1140,343" coordsize="2070,660">
            <v:shape style="position:absolute;left:1140;top:343;width:2070;height:660" coordorigin="1140,343" coordsize="2070,660" path="m1140,343l3210,1003e" filled="false" stroked="true" strokeweight=".75pt" strokecolor="#000000">
              <v:path arrowok="t"/>
            </v:shape>
            <w10:wrap type="none"/>
          </v:group>
        </w:pict>
      </w: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按业务类型的各项业务指标</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127"/>
        <w:gridCol w:w="1834"/>
        <w:gridCol w:w="1700"/>
        <w:gridCol w:w="1702"/>
        <w:gridCol w:w="1561"/>
      </w:tblGrid>
      <w:tr>
        <w:trPr>
          <w:trHeight w:val="348" w:hRule="exact"/>
        </w:trPr>
        <w:tc>
          <w:tcPr>
            <w:tcW w:w="2127" w:type="dxa"/>
            <w:vMerge w:val="restart"/>
            <w:tcBorders>
              <w:top w:val="single" w:sz="6" w:space="0" w:color="000000"/>
              <w:left w:val="single" w:sz="6" w:space="0" w:color="000000"/>
              <w:right w:val="single" w:sz="6" w:space="0" w:color="000000"/>
            </w:tcBorders>
          </w:tcPr>
          <w:p>
            <w:pPr>
              <w:pStyle w:val="TableParagraph"/>
              <w:spacing w:line="240" w:lineRule="auto" w:before="20"/>
              <w:ind w:left="1358" w:right="0"/>
              <w:jc w:val="left"/>
              <w:rPr>
                <w:rFonts w:ascii="宋体" w:hAnsi="宋体" w:cs="宋体" w:eastAsia="宋体" w:hint="default"/>
                <w:sz w:val="18"/>
                <w:szCs w:val="18"/>
              </w:rPr>
            </w:pPr>
            <w:r>
              <w:rPr>
                <w:rFonts w:ascii="宋体" w:hAnsi="宋体" w:cs="宋体" w:eastAsia="宋体" w:hint="default"/>
                <w:sz w:val="18"/>
                <w:szCs w:val="18"/>
              </w:rPr>
              <w:t>业务指标</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6796"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0" w:right="0"/>
              <w:jc w:val="center"/>
              <w:rPr>
                <w:rFonts w:ascii="宋体" w:hAnsi="宋体" w:cs="宋体" w:eastAsia="宋体" w:hint="default"/>
                <w:sz w:val="18"/>
                <w:szCs w:val="18"/>
              </w:rPr>
            </w:pPr>
            <w:r>
              <w:rPr>
                <w:rFonts w:ascii="宋体" w:hAnsi="宋体" w:cs="宋体" w:eastAsia="宋体" w:hint="default"/>
                <w:sz w:val="18"/>
                <w:szCs w:val="18"/>
              </w:rPr>
              <w:t>用户点击量</w:t>
            </w:r>
          </w:p>
        </w:tc>
      </w:tr>
      <w:tr>
        <w:trPr>
          <w:trHeight w:val="346" w:hRule="exact"/>
        </w:trPr>
        <w:tc>
          <w:tcPr>
            <w:tcW w:w="2127" w:type="dxa"/>
            <w:vMerge/>
            <w:tcBorders>
              <w:left w:val="single" w:sz="6" w:space="0" w:color="000000"/>
              <w:bottom w:val="single" w:sz="6" w:space="0" w:color="000000"/>
              <w:right w:val="single" w:sz="6" w:space="0" w:color="000000"/>
            </w:tcBorders>
          </w:tcPr>
          <w:p>
            <w:pP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年第一季度</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年第二季度</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年第三季度</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年第四季度</w:t>
            </w:r>
          </w:p>
        </w:tc>
      </w:tr>
      <w:tr>
        <w:trPr>
          <w:trHeight w:val="34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第三方平台业务</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652,145.00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880,386.00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专有品牌推广业务</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337,690.00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388,021.00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284,390.00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144,470.00</w:t>
            </w:r>
          </w:p>
        </w:tc>
      </w:tr>
    </w:tbl>
    <w:p>
      <w:pPr>
        <w:pStyle w:val="BodyText"/>
        <w:spacing w:line="240" w:lineRule="auto" w:before="49"/>
        <w:ind w:right="1117"/>
        <w:jc w:val="left"/>
      </w:pPr>
      <w:r>
        <w:rPr/>
        <w:pict>
          <v:group style="position:absolute;margin-left:57pt;margin-top:19.561708pt;width:96.75pt;height:33pt;mso-position-horizontal-relative:page;mso-position-vertical-relative:paragraph;z-index:-1029136" coordorigin="1140,391" coordsize="1935,660">
            <v:shape style="position:absolute;left:1140;top:391;width:1935;height:660" coordorigin="1140,391" coordsize="1935,660" path="m1140,391l3075,1051e" filled="false" stroked="true" strokeweight=".75pt" strokecolor="#000000">
              <v:path arrowok="t"/>
            </v:shape>
            <w10:wrap type="none"/>
          </v:group>
        </w:pict>
      </w:r>
      <w:r>
        <w:rPr/>
        <w:t>注：此处用户点击量的计量单位为点击次数。</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76"/>
        <w:gridCol w:w="1561"/>
        <w:gridCol w:w="1700"/>
        <w:gridCol w:w="1843"/>
        <w:gridCol w:w="1844"/>
      </w:tblGrid>
      <w:tr>
        <w:trPr>
          <w:trHeight w:val="348" w:hRule="exact"/>
        </w:trPr>
        <w:tc>
          <w:tcPr>
            <w:tcW w:w="1976" w:type="dxa"/>
            <w:vMerge w:val="restart"/>
            <w:tcBorders>
              <w:top w:val="single" w:sz="6" w:space="0" w:color="000000"/>
              <w:left w:val="single" w:sz="6" w:space="0" w:color="000000"/>
              <w:right w:val="single" w:sz="6" w:space="0" w:color="000000"/>
            </w:tcBorders>
          </w:tcPr>
          <w:p>
            <w:pPr>
              <w:pStyle w:val="TableParagraph"/>
              <w:spacing w:line="240" w:lineRule="auto" w:before="20"/>
              <w:ind w:left="1135" w:right="0"/>
              <w:jc w:val="left"/>
              <w:rPr>
                <w:rFonts w:ascii="宋体" w:hAnsi="宋体" w:cs="宋体" w:eastAsia="宋体" w:hint="default"/>
                <w:sz w:val="18"/>
                <w:szCs w:val="18"/>
              </w:rPr>
            </w:pPr>
            <w:r>
              <w:rPr>
                <w:rFonts w:ascii="宋体" w:hAnsi="宋体" w:cs="宋体" w:eastAsia="宋体" w:hint="default"/>
                <w:sz w:val="18"/>
                <w:szCs w:val="18"/>
              </w:rPr>
              <w:t>业务指标</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694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3" w:right="0"/>
              <w:jc w:val="center"/>
              <w:rPr>
                <w:rFonts w:ascii="宋体" w:hAnsi="宋体" w:cs="宋体" w:eastAsia="宋体" w:hint="default"/>
                <w:sz w:val="18"/>
                <w:szCs w:val="18"/>
              </w:rPr>
            </w:pPr>
            <w:r>
              <w:rPr>
                <w:rFonts w:ascii="宋体" w:hAnsi="宋体" w:cs="宋体" w:eastAsia="宋体" w:hint="default"/>
                <w:sz w:val="18"/>
                <w:szCs w:val="18"/>
              </w:rPr>
              <w:t>用户有效注册量</w:t>
            </w:r>
          </w:p>
        </w:tc>
      </w:tr>
      <w:tr>
        <w:trPr>
          <w:trHeight w:val="346" w:hRule="exact"/>
        </w:trPr>
        <w:tc>
          <w:tcPr>
            <w:tcW w:w="1976" w:type="dxa"/>
            <w:vMerge/>
            <w:tcBorders>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年第一季度</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年第二季度</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年第三季度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年第四季度</w:t>
            </w:r>
          </w:p>
        </w:tc>
      </w:tr>
      <w:tr>
        <w:trPr>
          <w:trHeight w:val="348" w:hRule="exact"/>
        </w:trPr>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电商推广业务</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6,756,489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8,246,711</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8,146,642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8,579,078</w:t>
            </w:r>
          </w:p>
        </w:tc>
      </w:tr>
      <w:tr>
        <w:trPr>
          <w:trHeight w:val="346" w:hRule="exact"/>
        </w:trPr>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小说代理业务</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1,392,594</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1,527,637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1,805,253</w:t>
            </w:r>
          </w:p>
        </w:tc>
      </w:tr>
      <w:tr>
        <w:trPr>
          <w:trHeight w:val="348" w:hRule="exact"/>
        </w:trPr>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专有品牌推广业务</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248,849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302,419</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215,661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101,375</w:t>
            </w:r>
          </w:p>
        </w:tc>
      </w:tr>
    </w:tbl>
    <w:p>
      <w:pPr>
        <w:pStyle w:val="BodyText"/>
        <w:spacing w:line="240" w:lineRule="auto" w:before="49"/>
        <w:ind w:right="1117"/>
        <w:jc w:val="left"/>
      </w:pPr>
      <w:r>
        <w:rPr/>
        <w:pict>
          <v:group style="position:absolute;margin-left:57pt;margin-top:21.241716pt;width:96.75pt;height:33pt;mso-position-horizontal-relative:page;mso-position-vertical-relative:paragraph;z-index:-1029160" coordorigin="1140,425" coordsize="1935,660">
            <v:shape style="position:absolute;left:1140;top:425;width:1935;height:660" coordorigin="1140,425" coordsize="1935,660" path="m1140,425l3075,1085e" filled="false" stroked="true" strokeweight=".75pt" strokecolor="#000000">
              <v:path arrowok="t"/>
            </v:shape>
            <w10:wrap type="none"/>
          </v:group>
        </w:pict>
      </w:r>
      <w:r>
        <w:rPr/>
        <w:t>注：此处用户有效注册量的计量单位为有效注册人数。</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76"/>
        <w:gridCol w:w="1417"/>
        <w:gridCol w:w="1985"/>
        <w:gridCol w:w="1702"/>
        <w:gridCol w:w="1844"/>
      </w:tblGrid>
      <w:tr>
        <w:trPr>
          <w:trHeight w:val="346" w:hRule="exact"/>
        </w:trPr>
        <w:tc>
          <w:tcPr>
            <w:tcW w:w="1976" w:type="dxa"/>
            <w:vMerge w:val="restart"/>
            <w:tcBorders>
              <w:top w:val="single" w:sz="6" w:space="0" w:color="000000"/>
              <w:left w:val="single" w:sz="6" w:space="0" w:color="000000"/>
              <w:right w:val="single" w:sz="6" w:space="0" w:color="000000"/>
            </w:tcBorders>
          </w:tcPr>
          <w:p>
            <w:pPr>
              <w:pStyle w:val="TableParagraph"/>
              <w:spacing w:line="240" w:lineRule="auto" w:before="17"/>
              <w:ind w:left="1121" w:right="0"/>
              <w:jc w:val="left"/>
              <w:rPr>
                <w:rFonts w:ascii="宋体" w:hAnsi="宋体" w:cs="宋体" w:eastAsia="宋体" w:hint="default"/>
                <w:sz w:val="18"/>
                <w:szCs w:val="18"/>
              </w:rPr>
            </w:pPr>
            <w:r>
              <w:rPr>
                <w:rFonts w:ascii="宋体" w:hAnsi="宋体" w:cs="宋体" w:eastAsia="宋体" w:hint="default"/>
                <w:sz w:val="18"/>
                <w:szCs w:val="18"/>
              </w:rPr>
              <w:t>业务指标</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6947"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3" w:right="0"/>
              <w:jc w:val="center"/>
              <w:rPr>
                <w:rFonts w:ascii="宋体" w:hAnsi="宋体" w:cs="宋体" w:eastAsia="宋体" w:hint="default"/>
                <w:sz w:val="18"/>
                <w:szCs w:val="18"/>
              </w:rPr>
            </w:pPr>
            <w:r>
              <w:rPr>
                <w:rFonts w:ascii="宋体" w:hAnsi="宋体" w:cs="宋体" w:eastAsia="宋体" w:hint="default"/>
                <w:sz w:val="18"/>
                <w:szCs w:val="18"/>
              </w:rPr>
              <w:t>千次曝光量</w:t>
            </w:r>
          </w:p>
        </w:tc>
      </w:tr>
      <w:tr>
        <w:trPr>
          <w:trHeight w:val="348" w:hRule="exact"/>
        </w:trPr>
        <w:tc>
          <w:tcPr>
            <w:tcW w:w="1976"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5"/>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年第一季度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年第二季度</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年第三季度</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年第四季度</w:t>
            </w:r>
          </w:p>
        </w:tc>
      </w:tr>
      <w:tr>
        <w:trPr>
          <w:trHeight w:val="348" w:hRule="exact"/>
        </w:trPr>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3" w:right="0"/>
              <w:jc w:val="left"/>
              <w:rPr>
                <w:rFonts w:ascii="宋体" w:hAnsi="宋体" w:cs="宋体" w:eastAsia="宋体" w:hint="default"/>
                <w:sz w:val="18"/>
                <w:szCs w:val="18"/>
              </w:rPr>
            </w:pPr>
            <w:r>
              <w:rPr>
                <w:rFonts w:ascii="宋体" w:hAnsi="宋体" w:cs="宋体" w:eastAsia="宋体" w:hint="default"/>
                <w:sz w:val="18"/>
                <w:szCs w:val="18"/>
              </w:rPr>
              <w:t>第三方平台业务</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67"/>
              <w:jc w:val="right"/>
              <w:rPr>
                <w:rFonts w:ascii="Times New Roman" w:hAnsi="Times New Roman" w:cs="Times New Roman" w:eastAsia="Times New Roman" w:hint="default"/>
                <w:sz w:val="18"/>
                <w:szCs w:val="18"/>
              </w:rPr>
            </w:pPr>
            <w:r>
              <w:rPr>
                <w:rFonts w:ascii="Times New Roman"/>
                <w:spacing w:val="-1"/>
                <w:sz w:val="18"/>
              </w:rPr>
              <w:t>24,256.71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05"/>
              <w:jc w:val="right"/>
              <w:rPr>
                <w:rFonts w:ascii="Times New Roman" w:hAnsi="Times New Roman" w:cs="Times New Roman" w:eastAsia="Times New Roman" w:hint="default"/>
                <w:sz w:val="18"/>
                <w:szCs w:val="18"/>
              </w:rPr>
            </w:pPr>
            <w:r>
              <w:rPr>
                <w:rFonts w:ascii="Times New Roman"/>
                <w:spacing w:val="-1"/>
                <w:sz w:val="18"/>
              </w:rPr>
              <w:t>27,533.00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49"/>
        <w:ind w:right="1117"/>
        <w:jc w:val="left"/>
      </w:pPr>
      <w:r>
        <w:rPr/>
        <w:t>注：此处的千次曝光量的计量单位为曝光的千次。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09" w:lineRule="auto"/>
        <w:ind w:right="1129" w:firstLine="360"/>
        <w:jc w:val="both"/>
      </w:pPr>
      <w:r>
        <w:rPr>
          <w:spacing w:val="-2"/>
        </w:rPr>
        <w:t>快读科技是一家致力于提供移动端广告营销的专业机构，通过与主流移动端媒体合作并积极整合各类长尾流量，广泛覆</w:t>
      </w:r>
      <w:r>
        <w:rPr/>
        <w:t> </w:t>
      </w:r>
      <w:r>
        <w:rPr>
          <w:spacing w:val="-2"/>
        </w:rPr>
        <w:t>盖下游媒体资源，凭借着丰富的移动营销运营经验，深入挖掘客户核心需求。快读科技自</w:t>
      </w:r>
      <w:r>
        <w:rPr>
          <w:rFonts w:ascii="Times New Roman" w:hAnsi="Times New Roman" w:cs="Times New Roman" w:eastAsia="Times New Roman" w:hint="default"/>
          <w:spacing w:val="-2"/>
        </w:rPr>
        <w:t>2014</w:t>
      </w:r>
      <w:r>
        <w:rPr>
          <w:spacing w:val="-2"/>
        </w:rPr>
        <w:t>年成立以来，通过把握移动互</w:t>
      </w:r>
      <w:r>
        <w:rPr>
          <w:spacing w:val="-60"/>
        </w:rPr>
        <w:t> </w:t>
      </w:r>
      <w:r>
        <w:rPr>
          <w:spacing w:val="-60"/>
        </w:rPr>
      </w:r>
      <w:r>
        <w:rPr>
          <w:spacing w:val="-2"/>
        </w:rPr>
        <w:t>联网高速发展契机，依托各类媒体资源，为广告主提供全方位的移动广告营销解决方案，高效、精准、广覆盖、高性价比地</w:t>
      </w:r>
    </w:p>
    <w:p>
      <w:pPr>
        <w:spacing w:after="0" w:line="309" w:lineRule="auto"/>
        <w:jc w:val="both"/>
        <w:sectPr>
          <w:pgSz w:w="11910" w:h="16840"/>
          <w:pgMar w:header="786" w:footer="1267" w:top="1100" w:bottom="146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1117"/>
        <w:jc w:val="left"/>
      </w:pPr>
      <w:r>
        <w:rPr/>
        <w:t>提供移动广告营销服务，逐步形成独特的竞争优势和品牌效应，是移动营销业务领域的优秀企业。</w:t>
      </w:r>
    </w:p>
    <w:p>
      <w:pPr>
        <w:spacing w:line="240" w:lineRule="auto" w:before="3"/>
        <w:rPr>
          <w:rFonts w:ascii="宋体" w:hAnsi="宋体" w:cs="宋体" w:eastAsia="宋体" w:hint="default"/>
          <w:sz w:val="15"/>
          <w:szCs w:val="15"/>
        </w:rPr>
      </w:pPr>
    </w:p>
    <w:p>
      <w:pPr>
        <w:pStyle w:val="BodyText"/>
        <w:spacing w:line="240" w:lineRule="auto"/>
        <w:ind w:right="111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公司流量的导入方式以及占比情况</w:t>
      </w:r>
    </w:p>
    <w:p>
      <w:pPr>
        <w:spacing w:line="240" w:lineRule="auto" w:before="5"/>
        <w:rPr>
          <w:rFonts w:ascii="宋体" w:hAnsi="宋体" w:cs="宋体" w:eastAsia="宋体" w:hint="default"/>
          <w:sz w:val="10"/>
          <w:szCs w:val="10"/>
        </w:rPr>
      </w:pPr>
    </w:p>
    <w:p>
      <w:pPr>
        <w:pStyle w:val="BodyText"/>
        <w:spacing w:line="240" w:lineRule="auto" w:before="44"/>
        <w:ind w:left="0" w:right="1769"/>
        <w:jc w:val="right"/>
      </w:pPr>
      <w:r>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761"/>
        <w:gridCol w:w="3528"/>
        <w:gridCol w:w="2816"/>
      </w:tblGrid>
      <w:tr>
        <w:trPr>
          <w:trHeight w:val="348" w:hRule="exact"/>
        </w:trPr>
        <w:tc>
          <w:tcPr>
            <w:tcW w:w="2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流量导入方式</w:t>
            </w:r>
            <w:r>
              <w:rPr>
                <w:rFonts w:ascii="宋体" w:hAnsi="宋体" w:cs="宋体" w:eastAsia="宋体" w:hint="default"/>
                <w:sz w:val="18"/>
                <w:szCs w:val="18"/>
              </w:rPr>
            </w:r>
          </w:p>
        </w:tc>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年导入量</w:t>
            </w:r>
            <w:r>
              <w:rPr>
                <w:rFonts w:ascii="宋体" w:hAnsi="宋体" w:cs="宋体" w:eastAsia="宋体" w:hint="default"/>
                <w:sz w:val="18"/>
                <w:szCs w:val="18"/>
              </w:rPr>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导入占比（</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5" w:hRule="exact"/>
        </w:trPr>
        <w:tc>
          <w:tcPr>
            <w:tcW w:w="2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自有平台导入</w:t>
            </w:r>
          </w:p>
        </w:tc>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7,390.65</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63%</w:t>
            </w:r>
          </w:p>
        </w:tc>
      </w:tr>
      <w:tr>
        <w:trPr>
          <w:trHeight w:val="427" w:hRule="exact"/>
        </w:trPr>
        <w:tc>
          <w:tcPr>
            <w:tcW w:w="2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第三方导入</w:t>
            </w:r>
          </w:p>
        </w:tc>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4,330.77</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37%</w:t>
            </w:r>
          </w:p>
        </w:tc>
      </w:tr>
      <w:tr>
        <w:trPr>
          <w:trHeight w:val="430" w:hRule="exact"/>
        </w:trPr>
        <w:tc>
          <w:tcPr>
            <w:tcW w:w="27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11,721.42</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5"/>
        <w:rPr>
          <w:rFonts w:ascii="宋体" w:hAnsi="宋体" w:cs="宋体" w:eastAsia="宋体" w:hint="default"/>
          <w:sz w:val="6"/>
          <w:szCs w:val="6"/>
        </w:rPr>
      </w:pPr>
    </w:p>
    <w:p>
      <w:pPr>
        <w:pStyle w:val="BodyText"/>
        <w:spacing w:line="240" w:lineRule="auto" w:before="44"/>
        <w:ind w:right="1117"/>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按照直接类客户和代理类客户分别披露客户数量、收入金额及客户留存率</w:t>
      </w:r>
    </w:p>
    <w:p>
      <w:pPr>
        <w:spacing w:line="240" w:lineRule="auto" w:before="8"/>
        <w:rPr>
          <w:rFonts w:ascii="宋体" w:hAnsi="宋体" w:cs="宋体" w:eastAsia="宋体" w:hint="default"/>
          <w:sz w:val="10"/>
          <w:szCs w:val="10"/>
        </w:rPr>
      </w:pPr>
    </w:p>
    <w:p>
      <w:pPr>
        <w:pStyle w:val="BodyText"/>
        <w:spacing w:line="240" w:lineRule="auto" w:before="44"/>
        <w:ind w:left="0" w:right="1676"/>
        <w:jc w:val="right"/>
      </w:pPr>
      <w:r>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844"/>
        <w:gridCol w:w="2487"/>
        <w:gridCol w:w="2655"/>
        <w:gridCol w:w="2156"/>
      </w:tblGrid>
      <w:tr>
        <w:trPr>
          <w:trHeight w:val="346"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客户数量</w:t>
            </w:r>
            <w:r>
              <w:rPr>
                <w:rFonts w:ascii="宋体" w:hAnsi="宋体" w:cs="宋体" w:eastAsia="宋体" w:hint="default"/>
                <w:sz w:val="18"/>
                <w:szCs w:val="18"/>
              </w:rPr>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收入金额</w:t>
            </w:r>
            <w:r>
              <w:rPr>
                <w:rFonts w:ascii="宋体" w:hAnsi="宋体" w:cs="宋体" w:eastAsia="宋体" w:hint="default"/>
                <w:sz w:val="18"/>
                <w:szCs w:val="18"/>
              </w:rPr>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客户留存率（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直接类客户</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69.00</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9,657.96</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代理类客户</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87.00</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6,933.72</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 w:right="0"/>
              <w:jc w:val="center"/>
              <w:rPr>
                <w:rFonts w:ascii="Times New Roman" w:hAnsi="Times New Roman" w:cs="Times New Roman" w:eastAsia="Times New Roman" w:hint="default"/>
                <w:sz w:val="18"/>
                <w:szCs w:val="18"/>
              </w:rPr>
            </w:pPr>
            <w:r>
              <w:rPr>
                <w:rFonts w:ascii="Times New Roman"/>
                <w:sz w:val="18"/>
              </w:rPr>
              <w:t>156.00</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16,591.69</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sz w:val="6"/>
          <w:szCs w:val="6"/>
        </w:rPr>
      </w:pPr>
    </w:p>
    <w:p>
      <w:pPr>
        <w:pStyle w:val="BodyText"/>
        <w:spacing w:line="240" w:lineRule="auto" w:before="44"/>
        <w:ind w:right="1117"/>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按照终端类型披露不同业务类别的收入金额</w:t>
      </w:r>
    </w:p>
    <w:p>
      <w:pPr>
        <w:spacing w:line="240" w:lineRule="auto" w:before="8"/>
        <w:rPr>
          <w:rFonts w:ascii="宋体" w:hAnsi="宋体" w:cs="宋体" w:eastAsia="宋体" w:hint="default"/>
          <w:sz w:val="10"/>
          <w:szCs w:val="10"/>
        </w:rPr>
      </w:pPr>
    </w:p>
    <w:p>
      <w:pPr>
        <w:pStyle w:val="BodyText"/>
        <w:spacing w:line="240" w:lineRule="auto" w:before="44"/>
        <w:ind w:left="0" w:right="1769"/>
        <w:jc w:val="right"/>
      </w:pPr>
      <w:r>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227"/>
        <w:gridCol w:w="1885"/>
        <w:gridCol w:w="1884"/>
        <w:gridCol w:w="1380"/>
        <w:gridCol w:w="1378"/>
        <w:gridCol w:w="1375"/>
      </w:tblGrid>
      <w:tr>
        <w:trPr>
          <w:trHeight w:val="660" w:hRule="exact"/>
        </w:trPr>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b/>
                <w:bCs/>
                <w:sz w:val="18"/>
                <w:szCs w:val="18"/>
              </w:rPr>
              <w:t>自有平台业务广告业务</w:t>
            </w:r>
            <w:r>
              <w:rPr>
                <w:rFonts w:ascii="宋体" w:hAnsi="宋体" w:cs="宋体" w:eastAsia="宋体" w:hint="default"/>
                <w:sz w:val="18"/>
                <w:szCs w:val="18"/>
              </w:rPr>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第三方平台业务</w:t>
            </w:r>
            <w:r>
              <w:rPr>
                <w:rFonts w:ascii="宋体" w:hAnsi="宋体" w:cs="宋体" w:eastAsia="宋体" w:hint="default"/>
                <w:sz w:val="18"/>
                <w:szCs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电商推广业务</w:t>
            </w:r>
            <w:r>
              <w:rPr>
                <w:rFonts w:ascii="宋体" w:hAnsi="宋体" w:cs="宋体" w:eastAsia="宋体" w:hint="default"/>
                <w:sz w:val="18"/>
                <w:szCs w:val="18"/>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592" w:right="47" w:hanging="543"/>
              <w:jc w:val="left"/>
              <w:rPr>
                <w:rFonts w:ascii="宋体" w:hAnsi="宋体" w:cs="宋体" w:eastAsia="宋体" w:hint="default"/>
                <w:sz w:val="18"/>
                <w:szCs w:val="18"/>
              </w:rPr>
            </w:pPr>
            <w:r>
              <w:rPr>
                <w:rFonts w:ascii="宋体" w:hAnsi="宋体" w:cs="宋体" w:eastAsia="宋体" w:hint="default"/>
                <w:b/>
                <w:bCs/>
                <w:sz w:val="18"/>
                <w:szCs w:val="18"/>
              </w:rPr>
              <w:t>专有品牌广告业</w:t>
            </w:r>
            <w:r>
              <w:rPr>
                <w:rFonts w:ascii="宋体" w:hAnsi="宋体" w:cs="宋体" w:eastAsia="宋体" w:hint="default"/>
                <w:b/>
                <w:bCs/>
                <w:w w:val="99"/>
                <w:sz w:val="18"/>
                <w:szCs w:val="18"/>
              </w:rPr>
              <w:t> </w:t>
            </w:r>
            <w:r>
              <w:rPr>
                <w:rFonts w:ascii="宋体" w:hAnsi="宋体" w:cs="宋体" w:eastAsia="宋体" w:hint="default"/>
                <w:b/>
                <w:bCs/>
                <w:sz w:val="18"/>
                <w:szCs w:val="18"/>
              </w:rPr>
              <w:t>务</w:t>
            </w:r>
            <w:r>
              <w:rPr>
                <w:rFonts w:ascii="宋体" w:hAnsi="宋体" w:cs="宋体" w:eastAsia="宋体" w:hint="default"/>
                <w:sz w:val="18"/>
                <w:szCs w:val="18"/>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小说代理业务</w:t>
            </w:r>
            <w:r>
              <w:rPr>
                <w:rFonts w:ascii="宋体" w:hAnsi="宋体" w:cs="宋体" w:eastAsia="宋体" w:hint="default"/>
                <w:sz w:val="18"/>
                <w:szCs w:val="18"/>
              </w:rPr>
            </w:r>
          </w:p>
        </w:tc>
      </w:tr>
      <w:tr>
        <w:trPr>
          <w:trHeight w:val="427" w:hRule="exact"/>
        </w:trPr>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移动端</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10,055.66</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2,264.22</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2,914.05</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929.93</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427.83</w:t>
            </w:r>
          </w:p>
        </w:tc>
      </w:tr>
      <w:tr>
        <w:trPr>
          <w:trHeight w:val="427" w:hRule="exact"/>
        </w:trPr>
        <w:tc>
          <w:tcPr>
            <w:tcW w:w="1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非移动端</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65"/>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sz w:val="6"/>
          <w:szCs w:val="6"/>
        </w:rPr>
      </w:pPr>
    </w:p>
    <w:p>
      <w:pPr>
        <w:pStyle w:val="BodyText"/>
        <w:spacing w:line="240" w:lineRule="auto" w:before="44"/>
        <w:ind w:right="1117"/>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按照合作媒体的类别汇总披露采购金额</w:t>
      </w:r>
    </w:p>
    <w:p>
      <w:pPr>
        <w:spacing w:line="240" w:lineRule="auto" w:before="8"/>
        <w:rPr>
          <w:rFonts w:ascii="宋体" w:hAnsi="宋体" w:cs="宋体" w:eastAsia="宋体" w:hint="default"/>
          <w:sz w:val="10"/>
          <w:szCs w:val="10"/>
        </w:rPr>
      </w:pPr>
    </w:p>
    <w:p>
      <w:pPr>
        <w:pStyle w:val="BodyText"/>
        <w:spacing w:line="240" w:lineRule="auto" w:before="44"/>
        <w:ind w:left="0" w:right="1584"/>
        <w:jc w:val="right"/>
      </w:pPr>
      <w:r>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961"/>
        <w:gridCol w:w="2509"/>
        <w:gridCol w:w="2710"/>
        <w:gridCol w:w="1983"/>
      </w:tblGrid>
      <w:tr>
        <w:trPr>
          <w:trHeight w:val="658"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86" w:right="883"/>
              <w:jc w:val="center"/>
              <w:rPr>
                <w:rFonts w:ascii="宋体" w:hAnsi="宋体" w:cs="宋体" w:eastAsia="宋体" w:hint="default"/>
                <w:sz w:val="18"/>
                <w:szCs w:val="18"/>
              </w:rPr>
            </w:pPr>
            <w:r>
              <w:rPr>
                <w:rFonts w:ascii="宋体" w:hAnsi="宋体" w:cs="宋体" w:eastAsia="宋体" w:hint="default"/>
                <w:b/>
                <w:bCs/>
                <w:sz w:val="18"/>
                <w:szCs w:val="18"/>
              </w:rPr>
              <w:t>包断计费</w:t>
            </w:r>
            <w:r>
              <w:rPr>
                <w:rFonts w:ascii="宋体" w:hAnsi="宋体" w:cs="宋体" w:eastAsia="宋体" w:hint="default"/>
                <w:b/>
                <w:bCs/>
                <w:w w:val="99"/>
                <w:sz w:val="18"/>
                <w:szCs w:val="18"/>
              </w:rPr>
              <w:t> </w:t>
            </w:r>
            <w:r>
              <w:rPr>
                <w:rFonts w:ascii="宋体" w:hAnsi="宋体" w:cs="宋体" w:eastAsia="宋体" w:hint="default"/>
                <w:b/>
                <w:bCs/>
                <w:sz w:val="18"/>
                <w:szCs w:val="18"/>
              </w:rPr>
              <w:t>采购金额</w:t>
            </w:r>
            <w:r>
              <w:rPr>
                <w:rFonts w:ascii="宋体" w:hAnsi="宋体" w:cs="宋体" w:eastAsia="宋体" w:hint="default"/>
                <w:sz w:val="18"/>
                <w:szCs w:val="18"/>
              </w:rPr>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986" w:right="984"/>
              <w:jc w:val="center"/>
              <w:rPr>
                <w:rFonts w:ascii="宋体" w:hAnsi="宋体" w:cs="宋体" w:eastAsia="宋体" w:hint="default"/>
                <w:sz w:val="18"/>
                <w:szCs w:val="18"/>
              </w:rPr>
            </w:pPr>
            <w:r>
              <w:rPr>
                <w:rFonts w:ascii="宋体" w:hAnsi="宋体" w:cs="宋体" w:eastAsia="宋体" w:hint="default"/>
                <w:b/>
                <w:bCs/>
                <w:sz w:val="18"/>
                <w:szCs w:val="18"/>
              </w:rPr>
              <w:t>流量计费</w:t>
            </w:r>
            <w:r>
              <w:rPr>
                <w:rFonts w:ascii="宋体" w:hAnsi="宋体" w:cs="宋体" w:eastAsia="宋体" w:hint="default"/>
                <w:b/>
                <w:bCs/>
                <w:w w:val="99"/>
                <w:sz w:val="18"/>
                <w:szCs w:val="18"/>
              </w:rPr>
              <w:t> </w:t>
            </w:r>
            <w:r>
              <w:rPr>
                <w:rFonts w:ascii="宋体" w:hAnsi="宋体" w:cs="宋体" w:eastAsia="宋体" w:hint="default"/>
                <w:b/>
                <w:bCs/>
                <w:sz w:val="18"/>
                <w:szCs w:val="18"/>
              </w:rPr>
              <w:t>采购金额</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合计采购金额</w:t>
            </w:r>
            <w:r>
              <w:rPr>
                <w:rFonts w:ascii="宋体" w:hAnsi="宋体" w:cs="宋体" w:eastAsia="宋体" w:hint="default"/>
                <w:sz w:val="18"/>
                <w:szCs w:val="18"/>
              </w:rPr>
            </w:r>
          </w:p>
        </w:tc>
      </w:tr>
      <w:tr>
        <w:trPr>
          <w:trHeight w:val="430"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应用开发商</w:t>
            </w:r>
          </w:p>
        </w:tc>
        <w:tc>
          <w:tcPr>
            <w:tcW w:w="2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6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11,721.42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11,721.42</w:t>
            </w:r>
          </w:p>
        </w:tc>
      </w:tr>
    </w:tbl>
    <w:p>
      <w:pPr>
        <w:spacing w:line="240" w:lineRule="auto" w:before="6"/>
        <w:rPr>
          <w:rFonts w:ascii="宋体" w:hAnsi="宋体" w:cs="宋体" w:eastAsia="宋体" w:hint="default"/>
          <w:sz w:val="6"/>
          <w:szCs w:val="6"/>
        </w:rPr>
      </w:pPr>
    </w:p>
    <w:p>
      <w:pPr>
        <w:pStyle w:val="BodyText"/>
        <w:spacing w:line="240" w:lineRule="auto" w:before="44"/>
        <w:ind w:right="1117"/>
        <w:jc w:val="left"/>
      </w:pPr>
      <w:r>
        <w:rPr/>
        <w:pict>
          <v:group style="position:absolute;margin-left:57pt;margin-top:17.94173pt;width:102.75pt;height:33pt;mso-position-horizontal-relative:page;mso-position-vertical-relative:paragraph;z-index:-1029112" coordorigin="1140,359" coordsize="2055,660">
            <v:shape style="position:absolute;left:1140;top:359;width:2055;height:660" coordorigin="1140,359" coordsize="2055,660" path="m1140,359l3195,1019e" filled="false" stroked="true" strokeweight=".75pt" strokecolor="#000000">
              <v:path arrowok="t"/>
            </v:shape>
            <w10:wrap type="none"/>
          </v:group>
        </w:pict>
      </w: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t>按照业务类型的各项业务指标</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040"/>
        <w:gridCol w:w="1904"/>
        <w:gridCol w:w="1755"/>
        <w:gridCol w:w="1610"/>
        <w:gridCol w:w="1904"/>
      </w:tblGrid>
      <w:tr>
        <w:trPr>
          <w:trHeight w:val="346" w:hRule="exact"/>
        </w:trPr>
        <w:tc>
          <w:tcPr>
            <w:tcW w:w="2040" w:type="dxa"/>
            <w:vMerge w:val="restart"/>
            <w:tcBorders>
              <w:top w:val="single" w:sz="6" w:space="0" w:color="000000"/>
              <w:left w:val="single" w:sz="6" w:space="0" w:color="000000"/>
              <w:right w:val="single" w:sz="6" w:space="0" w:color="000000"/>
            </w:tcBorders>
          </w:tcPr>
          <w:p>
            <w:pPr>
              <w:pStyle w:val="TableParagraph"/>
              <w:spacing w:line="240" w:lineRule="auto" w:before="17"/>
              <w:ind w:left="1286" w:right="0"/>
              <w:jc w:val="left"/>
              <w:rPr>
                <w:rFonts w:ascii="宋体" w:hAnsi="宋体" w:cs="宋体" w:eastAsia="宋体" w:hint="default"/>
                <w:sz w:val="18"/>
                <w:szCs w:val="18"/>
              </w:rPr>
            </w:pPr>
            <w:r>
              <w:rPr>
                <w:rFonts w:ascii="宋体" w:hAnsi="宋体" w:cs="宋体" w:eastAsia="宋体" w:hint="default"/>
                <w:sz w:val="18"/>
                <w:szCs w:val="18"/>
              </w:rPr>
              <w:t>业务指标</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717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用户点击量</w:t>
            </w:r>
          </w:p>
        </w:tc>
      </w:tr>
      <w:tr>
        <w:trPr>
          <w:trHeight w:val="348" w:hRule="exact"/>
        </w:trPr>
        <w:tc>
          <w:tcPr>
            <w:tcW w:w="2040" w:type="dxa"/>
            <w:vMerge/>
            <w:tcBorders>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年第一季度</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年第二季度</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年第三季度</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年第四季度</w:t>
            </w:r>
          </w:p>
        </w:tc>
      </w:tr>
      <w:tr>
        <w:trPr>
          <w:trHeight w:val="346"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自有平台广告业务</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263,076,682.00</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38,009,943.00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289,474,753.00</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212,268,987.00</w:t>
            </w:r>
          </w:p>
        </w:tc>
      </w:tr>
      <w:tr>
        <w:trPr>
          <w:trHeight w:val="348"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第三方平台业务</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3,990,813.00</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2,516,718.00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3,969,521.00</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3,254.00</w:t>
            </w:r>
          </w:p>
        </w:tc>
      </w:tr>
    </w:tbl>
    <w:p>
      <w:pPr>
        <w:pStyle w:val="BodyText"/>
        <w:spacing w:line="240" w:lineRule="auto" w:before="49"/>
        <w:ind w:right="1117"/>
        <w:jc w:val="left"/>
      </w:pPr>
      <w:r>
        <w:rPr/>
        <w:pict>
          <v:group style="position:absolute;margin-left:55.5pt;margin-top:20.071714pt;width:104.25pt;height:33pt;mso-position-horizontal-relative:page;mso-position-vertical-relative:paragraph;z-index:-1029088" coordorigin="1110,401" coordsize="2085,660">
            <v:shape style="position:absolute;left:1110;top:401;width:2085;height:660" coordorigin="1110,401" coordsize="2085,660" path="m1110,401l3195,1061e" filled="false" stroked="true" strokeweight=".75pt" strokecolor="#000000">
              <v:path arrowok="t"/>
            </v:shape>
            <w10:wrap type="none"/>
          </v:group>
        </w:pict>
      </w:r>
      <w:r>
        <w:rPr/>
        <w:t>注：此处用户点击量的计量单位为点击次数。</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040"/>
        <w:gridCol w:w="1904"/>
        <w:gridCol w:w="1755"/>
        <w:gridCol w:w="1610"/>
        <w:gridCol w:w="1904"/>
      </w:tblGrid>
      <w:tr>
        <w:trPr>
          <w:trHeight w:val="348" w:hRule="exact"/>
        </w:trPr>
        <w:tc>
          <w:tcPr>
            <w:tcW w:w="2040" w:type="dxa"/>
            <w:vMerge w:val="restart"/>
            <w:tcBorders>
              <w:top w:val="single" w:sz="6" w:space="0" w:color="000000"/>
              <w:left w:val="single" w:sz="6" w:space="0" w:color="000000"/>
              <w:right w:val="single" w:sz="6" w:space="0" w:color="000000"/>
            </w:tcBorders>
          </w:tcPr>
          <w:p>
            <w:pPr>
              <w:pStyle w:val="TableParagraph"/>
              <w:spacing w:line="240" w:lineRule="auto" w:before="20"/>
              <w:ind w:left="1241" w:right="0"/>
              <w:jc w:val="left"/>
              <w:rPr>
                <w:rFonts w:ascii="宋体" w:hAnsi="宋体" w:cs="宋体" w:eastAsia="宋体" w:hint="default"/>
                <w:sz w:val="18"/>
                <w:szCs w:val="18"/>
              </w:rPr>
            </w:pPr>
            <w:r>
              <w:rPr>
                <w:rFonts w:ascii="宋体" w:hAnsi="宋体" w:cs="宋体" w:eastAsia="宋体" w:hint="default"/>
                <w:sz w:val="18"/>
                <w:szCs w:val="18"/>
              </w:rPr>
              <w:t>业务指标</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717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用户有效注册量</w:t>
            </w:r>
          </w:p>
        </w:tc>
      </w:tr>
      <w:tr>
        <w:trPr>
          <w:trHeight w:val="348" w:hRule="exact"/>
        </w:trPr>
        <w:tc>
          <w:tcPr>
            <w:tcW w:w="2040" w:type="dxa"/>
            <w:vMerge/>
            <w:tcBorders>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年第一季度</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年第二季度</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年第三季度</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年第四季度</w:t>
            </w:r>
          </w:p>
        </w:tc>
      </w:tr>
      <w:tr>
        <w:trPr>
          <w:trHeight w:val="346"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电商推广业务</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5,794,214</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7,543,120</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7,200,561</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7,394,256</w:t>
            </w:r>
          </w:p>
        </w:tc>
      </w:tr>
      <w:tr>
        <w:trPr>
          <w:trHeight w:val="348"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小说代理业务</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1,017,543</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专有品牌广告业务</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61,939</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66,240</w:t>
            </w:r>
          </w:p>
        </w:tc>
      </w:tr>
    </w:tbl>
    <w:p>
      <w:pPr>
        <w:spacing w:after="0" w:line="240" w:lineRule="auto"/>
        <w:jc w:val="center"/>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8"/>
        <w:rPr>
          <w:rFonts w:ascii="宋体" w:hAnsi="宋体" w:cs="宋体" w:eastAsia="宋体" w:hint="default"/>
          <w:sz w:val="22"/>
          <w:szCs w:val="22"/>
        </w:rPr>
      </w:pPr>
    </w:p>
    <w:p>
      <w:pPr>
        <w:pStyle w:val="BodyText"/>
        <w:spacing w:line="300" w:lineRule="auto" w:before="44"/>
        <w:ind w:right="1117"/>
        <w:jc w:val="left"/>
      </w:pPr>
      <w:r>
        <w:rPr/>
        <w:pict>
          <v:group style="position:absolute;margin-left:55.5pt;margin-top:36.571701pt;width:104.25pt;height:33pt;mso-position-horizontal-relative:page;mso-position-vertical-relative:paragraph;z-index:-1029064" coordorigin="1110,731" coordsize="2085,660">
            <v:shape style="position:absolute;left:1110;top:731;width:2085;height:660" coordorigin="1110,731" coordsize="2085,660" path="m1110,731l3195,1391e" filled="false" stroked="true" strokeweight=".75pt" strokecolor="#000000">
              <v:path arrowok="t"/>
            </v:shape>
            <w10:wrap type="none"/>
          </v:group>
        </w:pict>
      </w:r>
      <w:r>
        <w:rPr>
          <w:spacing w:val="-2"/>
        </w:rPr>
        <w:t>注：此处用户有效注册量的计量单位为有效注册人数；小说代理业务</w:t>
      </w:r>
      <w:r>
        <w:rPr>
          <w:rFonts w:ascii="Times New Roman" w:hAnsi="Times New Roman" w:cs="Times New Roman" w:eastAsia="Times New Roman" w:hint="default"/>
          <w:spacing w:val="-2"/>
        </w:rPr>
        <w:t>2018</w:t>
      </w:r>
      <w:r>
        <w:rPr>
          <w:spacing w:val="-2"/>
        </w:rPr>
        <w:t>年第二季度由快读科技转入尚河技术；专有品牌广</w:t>
      </w:r>
      <w:r>
        <w:rPr>
          <w:spacing w:val="-60"/>
        </w:rPr>
        <w:t> </w:t>
      </w:r>
      <w:r>
        <w:rPr>
          <w:spacing w:val="-60"/>
        </w:rPr>
      </w:r>
      <w:r>
        <w:rPr/>
        <w:t>告业务为</w:t>
      </w:r>
      <w:r>
        <w:rPr>
          <w:rFonts w:ascii="Times New Roman" w:hAnsi="Times New Roman" w:cs="Times New Roman" w:eastAsia="Times New Roman" w:hint="default"/>
        </w:rPr>
        <w:t>2018</w:t>
      </w:r>
      <w:r>
        <w:rPr/>
        <w:t>年第三季度新开展的游戏推广业务。</w:t>
      </w:r>
    </w:p>
    <w:p>
      <w:pPr>
        <w:spacing w:line="240" w:lineRule="auto" w:before="6"/>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052"/>
        <w:gridCol w:w="1916"/>
        <w:gridCol w:w="1767"/>
        <w:gridCol w:w="1766"/>
        <w:gridCol w:w="1769"/>
      </w:tblGrid>
      <w:tr>
        <w:trPr>
          <w:trHeight w:val="346" w:hRule="exact"/>
        </w:trPr>
        <w:tc>
          <w:tcPr>
            <w:tcW w:w="2052" w:type="dxa"/>
            <w:vMerge w:val="restart"/>
            <w:tcBorders>
              <w:top w:val="single" w:sz="6" w:space="0" w:color="000000"/>
              <w:left w:val="single" w:sz="6" w:space="0" w:color="000000"/>
              <w:right w:val="single" w:sz="6" w:space="0" w:color="000000"/>
            </w:tcBorders>
          </w:tcPr>
          <w:p>
            <w:pPr>
              <w:pStyle w:val="TableParagraph"/>
              <w:spacing w:line="240" w:lineRule="auto" w:before="17"/>
              <w:ind w:left="1202" w:right="0"/>
              <w:jc w:val="left"/>
              <w:rPr>
                <w:rFonts w:ascii="宋体" w:hAnsi="宋体" w:cs="宋体" w:eastAsia="宋体" w:hint="default"/>
                <w:sz w:val="18"/>
                <w:szCs w:val="18"/>
              </w:rPr>
            </w:pPr>
            <w:r>
              <w:rPr>
                <w:rFonts w:ascii="宋体" w:hAnsi="宋体" w:cs="宋体" w:eastAsia="宋体" w:hint="default"/>
                <w:sz w:val="18"/>
                <w:szCs w:val="18"/>
              </w:rPr>
              <w:t>业务指标</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721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千次曝光量</w:t>
            </w:r>
          </w:p>
        </w:tc>
      </w:tr>
      <w:tr>
        <w:trPr>
          <w:trHeight w:val="348" w:hRule="exact"/>
        </w:trPr>
        <w:tc>
          <w:tcPr>
            <w:tcW w:w="2052" w:type="dxa"/>
            <w:vMerge/>
            <w:tcBorders>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14"/>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年第一季度</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年第二季度</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4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年第三季度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4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年第四季度</w:t>
            </w:r>
          </w:p>
        </w:tc>
      </w:tr>
      <w:tr>
        <w:trPr>
          <w:trHeight w:val="346" w:hRule="exact"/>
        </w:trPr>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自有平台业务</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19"/>
              <w:jc w:val="right"/>
              <w:rPr>
                <w:rFonts w:ascii="Times New Roman" w:hAnsi="Times New Roman" w:cs="Times New Roman" w:eastAsia="Times New Roman" w:hint="default"/>
                <w:sz w:val="18"/>
                <w:szCs w:val="18"/>
              </w:rPr>
            </w:pPr>
            <w:r>
              <w:rPr>
                <w:rFonts w:ascii="Times New Roman"/>
                <w:spacing w:val="-1"/>
                <w:sz w:val="18"/>
              </w:rPr>
              <w:t>29,262,211.16</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47" w:right="0"/>
              <w:jc w:val="left"/>
              <w:rPr>
                <w:rFonts w:ascii="Times New Roman" w:hAnsi="Times New Roman" w:cs="Times New Roman" w:eastAsia="Times New Roman" w:hint="default"/>
                <w:sz w:val="18"/>
                <w:szCs w:val="18"/>
              </w:rPr>
            </w:pPr>
            <w:r>
              <w:rPr>
                <w:rFonts w:ascii="Times New Roman"/>
                <w:sz w:val="18"/>
              </w:rPr>
              <w:t>4,267,089.33</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59"/>
              <w:jc w:val="right"/>
              <w:rPr>
                <w:rFonts w:ascii="Times New Roman" w:hAnsi="Times New Roman" w:cs="Times New Roman" w:eastAsia="Times New Roman" w:hint="default"/>
                <w:sz w:val="18"/>
                <w:szCs w:val="18"/>
              </w:rPr>
            </w:pPr>
            <w:r>
              <w:rPr>
                <w:rFonts w:ascii="Times New Roman"/>
                <w:spacing w:val="-1"/>
                <w:sz w:val="18"/>
              </w:rPr>
              <w:t>26,659,497.09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61"/>
              <w:jc w:val="right"/>
              <w:rPr>
                <w:rFonts w:ascii="Times New Roman" w:hAnsi="Times New Roman" w:cs="Times New Roman" w:eastAsia="Times New Roman" w:hint="default"/>
                <w:sz w:val="18"/>
                <w:szCs w:val="18"/>
              </w:rPr>
            </w:pPr>
            <w:r>
              <w:rPr>
                <w:rFonts w:ascii="Times New Roman"/>
                <w:spacing w:val="-1"/>
                <w:sz w:val="18"/>
              </w:rPr>
              <w:t>16,516,176.24</w:t>
            </w:r>
          </w:p>
        </w:tc>
      </w:tr>
      <w:tr>
        <w:trPr>
          <w:trHeight w:val="348" w:hRule="exact"/>
        </w:trPr>
        <w:tc>
          <w:tcPr>
            <w:tcW w:w="2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第三方平台业务</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73"/>
              <w:jc w:val="right"/>
              <w:rPr>
                <w:rFonts w:ascii="Times New Roman" w:hAnsi="Times New Roman" w:cs="Times New Roman" w:eastAsia="Times New Roman" w:hint="default"/>
                <w:sz w:val="18"/>
                <w:szCs w:val="18"/>
              </w:rPr>
            </w:pPr>
            <w:r>
              <w:rPr>
                <w:rFonts w:ascii="Times New Roman"/>
                <w:spacing w:val="-1"/>
                <w:sz w:val="18"/>
              </w:rPr>
              <w:t>250,514.91</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4"/>
              <w:jc w:val="right"/>
              <w:rPr>
                <w:rFonts w:ascii="Times New Roman" w:hAnsi="Times New Roman" w:cs="Times New Roman" w:eastAsia="Times New Roman" w:hint="default"/>
                <w:sz w:val="18"/>
                <w:szCs w:val="18"/>
              </w:rPr>
            </w:pPr>
            <w:r>
              <w:rPr>
                <w:rFonts w:ascii="Times New Roman"/>
                <w:spacing w:val="-1"/>
                <w:sz w:val="18"/>
              </w:rPr>
              <w:t>98,239.48</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3"/>
              <w:jc w:val="right"/>
              <w:rPr>
                <w:rFonts w:ascii="Times New Roman" w:hAnsi="Times New Roman" w:cs="Times New Roman" w:eastAsia="Times New Roman" w:hint="default"/>
                <w:sz w:val="18"/>
                <w:szCs w:val="18"/>
              </w:rPr>
            </w:pPr>
            <w:r>
              <w:rPr>
                <w:rFonts w:ascii="Times New Roman"/>
                <w:spacing w:val="-1"/>
                <w:sz w:val="18"/>
              </w:rPr>
              <w:t>259,784.99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5"/>
              <w:jc w:val="right"/>
              <w:rPr>
                <w:rFonts w:ascii="Times New Roman" w:hAnsi="Times New Roman" w:cs="Times New Roman" w:eastAsia="Times New Roman" w:hint="default"/>
                <w:sz w:val="18"/>
                <w:szCs w:val="18"/>
              </w:rPr>
            </w:pPr>
            <w:r>
              <w:rPr>
                <w:rFonts w:ascii="Times New Roman"/>
                <w:spacing w:val="-1"/>
                <w:sz w:val="18"/>
              </w:rPr>
              <w:t>1,820.83</w:t>
            </w:r>
          </w:p>
        </w:tc>
      </w:tr>
    </w:tbl>
    <w:p>
      <w:pPr>
        <w:spacing w:before="67"/>
        <w:ind w:left="152" w:right="1117" w:firstLine="0"/>
        <w:jc w:val="left"/>
        <w:rPr>
          <w:rFonts w:ascii="宋体" w:hAnsi="宋体" w:cs="宋体" w:eastAsia="宋体" w:hint="default"/>
          <w:sz w:val="16"/>
          <w:szCs w:val="16"/>
        </w:rPr>
      </w:pPr>
      <w:r>
        <w:rPr>
          <w:rFonts w:ascii="宋体" w:hAnsi="宋体" w:cs="宋体" w:eastAsia="宋体" w:hint="default"/>
          <w:sz w:val="16"/>
          <w:szCs w:val="16"/>
        </w:rPr>
        <w:t>注：此处的千次曝光量的计量单位为曝光的千次。</w:t>
      </w:r>
    </w:p>
    <w:p>
      <w:pPr>
        <w:pStyle w:val="BodyText"/>
        <w:spacing w:line="316" w:lineRule="auto" w:before="125"/>
        <w:ind w:left="513" w:right="6433"/>
        <w:jc w:val="left"/>
      </w:pPr>
      <w:r>
        <w:rPr/>
        <w:t>业务指标的数据口径、数据来源 关于坚果技术的数据口径和数据来源，说明如下：</w:t>
      </w:r>
    </w:p>
    <w:p>
      <w:pPr>
        <w:pStyle w:val="BodyText"/>
        <w:spacing w:line="319" w:lineRule="auto" w:before="19"/>
        <w:ind w:right="1132" w:firstLine="360"/>
        <w:jc w:val="both"/>
      </w:pPr>
      <w:r>
        <w:rPr>
          <w:spacing w:val="-2"/>
        </w:rPr>
        <w:t>公司业务指标的统计口径统一来源于平台数据，海外为上游广告主自身平台数据同步到企业自有平台，国内为百度代理</w:t>
      </w:r>
      <w:r>
        <w:rPr/>
        <w:t> 商自身平台，百度广点通平台等提供的平台数据。</w:t>
      </w:r>
    </w:p>
    <w:p>
      <w:pPr>
        <w:pStyle w:val="BodyText"/>
        <w:spacing w:line="316" w:lineRule="auto" w:before="17"/>
        <w:ind w:right="1130" w:firstLine="360"/>
        <w:jc w:val="both"/>
      </w:pPr>
      <w:r>
        <w:rPr>
          <w:spacing w:val="-2"/>
        </w:rPr>
        <w:t>收入等数据来源如下：以国内和海外业务平台数据为基础依据，同时根据不同业务的实际收入（如存在核减等收入变化</w:t>
      </w:r>
      <w:r>
        <w:rPr/>
        <w:t> 因素）为进一步依据所生成。</w:t>
      </w:r>
    </w:p>
    <w:p>
      <w:pPr>
        <w:pStyle w:val="BodyText"/>
        <w:spacing w:line="240" w:lineRule="auto" w:before="19"/>
        <w:ind w:left="513" w:right="1117"/>
        <w:jc w:val="left"/>
      </w:pPr>
      <w:r>
        <w:rPr/>
        <w:t>（一）公司流量的导入：</w:t>
      </w:r>
    </w:p>
    <w:p>
      <w:pPr>
        <w:pStyle w:val="BodyText"/>
        <w:spacing w:line="240" w:lineRule="auto" w:before="76"/>
        <w:ind w:left="513" w:right="1117"/>
        <w:jc w:val="left"/>
      </w:pPr>
      <w:r>
        <w:rPr>
          <w:rFonts w:ascii="Times New Roman" w:hAnsi="Times New Roman" w:cs="Times New Roman" w:eastAsia="Times New Roman" w:hint="default"/>
        </w:rPr>
        <w:t>1</w:t>
      </w:r>
      <w:r>
        <w:rPr/>
        <w:t>、自有平台导入：通过坚果自有流量获得收益的用户数之和（排重计算）（即不参与任何下游进行分成的流量）；</w:t>
      </w:r>
    </w:p>
    <w:p>
      <w:pPr>
        <w:pStyle w:val="BodyText"/>
        <w:spacing w:line="300" w:lineRule="auto" w:before="63"/>
        <w:ind w:right="1139" w:firstLine="360"/>
        <w:jc w:val="both"/>
      </w:pPr>
      <w:r>
        <w:rPr>
          <w:rFonts w:ascii="Times New Roman" w:hAnsi="Times New Roman" w:cs="Times New Roman" w:eastAsia="Times New Roman" w:hint="default"/>
        </w:rPr>
        <w:t>2</w:t>
      </w:r>
      <w:r>
        <w:rPr/>
        <w:t>、第三方导入：通过合作方获得收益的用户数之和（排重计算）（即通过合作方获得的流量，需要与合作方进行收益 的分成）；</w:t>
      </w:r>
    </w:p>
    <w:p>
      <w:pPr>
        <w:pStyle w:val="BodyText"/>
        <w:spacing w:line="309" w:lineRule="auto" w:before="31"/>
        <w:ind w:left="513" w:right="6923"/>
        <w:jc w:val="left"/>
      </w:pPr>
      <w:r>
        <w:rPr/>
        <w:t>（二）转化率 国内转化率为：展示成功数据</w:t>
      </w:r>
      <w:r>
        <w:rPr>
          <w:rFonts w:ascii="Times New Roman" w:hAnsi="Times New Roman" w:cs="Times New Roman" w:eastAsia="Times New Roman" w:hint="default"/>
        </w:rPr>
        <w:t>/</w:t>
      </w:r>
      <w:r>
        <w:rPr/>
        <w:t>请求数据 海外转化率为：转化成功数据</w:t>
      </w:r>
      <w:r>
        <w:rPr>
          <w:rFonts w:ascii="Times New Roman" w:hAnsi="Times New Roman" w:cs="Times New Roman" w:eastAsia="Times New Roman" w:hint="default"/>
        </w:rPr>
        <w:t>/</w:t>
      </w:r>
      <w:r>
        <w:rPr/>
        <w:t>点击成功数据</w:t>
      </w:r>
    </w:p>
    <w:p>
      <w:pPr>
        <w:pStyle w:val="BodyText"/>
        <w:spacing w:line="316" w:lineRule="auto" w:before="5"/>
        <w:ind w:left="513" w:right="6023"/>
        <w:jc w:val="left"/>
      </w:pPr>
      <w:r>
        <w:rPr/>
        <w:t>（三）点击率 国内与海外点击率均使用：点击成功数据</w:t>
      </w:r>
      <w:r>
        <w:rPr>
          <w:rFonts w:ascii="Times New Roman" w:hAnsi="Times New Roman" w:cs="Times New Roman" w:eastAsia="Times New Roman" w:hint="default"/>
        </w:rPr>
        <w:t>/</w:t>
      </w:r>
      <w:r>
        <w:rPr/>
        <w:t>展示成功数据</w:t>
      </w:r>
    </w:p>
    <w:p>
      <w:pPr>
        <w:pStyle w:val="BodyText"/>
        <w:spacing w:line="316" w:lineRule="auto"/>
        <w:ind w:left="513" w:right="3553"/>
        <w:jc w:val="left"/>
      </w:pPr>
      <w:r>
        <w:rPr/>
        <w:t>（四）按合作媒体的类别汇总采购金额 按流量来源方分别统计，包括桌面提供商、软件预装商、软件开发商、手机方案商。 尚河科技和快读科技的数据口径和数据来源，说明如下： 尚河科技和快读科技业务指标的数据口径为按业务类型分别进行统计。数据来源如下：</w:t>
      </w:r>
    </w:p>
    <w:p>
      <w:pPr>
        <w:pStyle w:val="BodyText"/>
        <w:spacing w:line="240" w:lineRule="auto" w:before="19"/>
        <w:ind w:left="513" w:right="1117"/>
        <w:jc w:val="left"/>
      </w:pPr>
      <w:r>
        <w:rPr/>
        <w:t>（</w:t>
      </w:r>
      <w:r>
        <w:rPr>
          <w:rFonts w:ascii="Times New Roman" w:hAnsi="Times New Roman" w:cs="Times New Roman" w:eastAsia="Times New Roman" w:hint="default"/>
        </w:rPr>
        <w:t>1</w:t>
      </w:r>
      <w:r>
        <w:rPr/>
        <w:t>）导入量：按照客户每天在自有平台和第三方平台中导入的</w:t>
      </w:r>
      <w:r>
        <w:rPr>
          <w:rFonts w:ascii="Times New Roman" w:hAnsi="Times New Roman" w:cs="Times New Roman" w:eastAsia="Times New Roman" w:hint="default"/>
        </w:rPr>
        <w:t>cpm</w:t>
      </w:r>
      <w:r>
        <w:rPr/>
        <w:t>量来确定。</w:t>
      </w:r>
    </w:p>
    <w:p>
      <w:pPr>
        <w:pStyle w:val="BodyText"/>
        <w:spacing w:line="240" w:lineRule="auto" w:before="63"/>
        <w:ind w:left="513" w:right="1117"/>
        <w:jc w:val="left"/>
      </w:pPr>
      <w:r>
        <w:rPr/>
        <w:t>（</w:t>
      </w:r>
      <w:r>
        <w:rPr>
          <w:rFonts w:ascii="Times New Roman" w:hAnsi="Times New Roman" w:cs="Times New Roman" w:eastAsia="Times New Roman" w:hint="default"/>
        </w:rPr>
        <w:t>2</w:t>
      </w:r>
      <w:r>
        <w:rPr/>
        <w:t>）导入占比：每种业务业型合作客户的采购量占全部客户采购流量数据的比例。</w:t>
      </w:r>
    </w:p>
    <w:p>
      <w:pPr>
        <w:pStyle w:val="BodyText"/>
        <w:spacing w:line="240" w:lineRule="auto" w:before="63"/>
        <w:ind w:left="513" w:right="1117"/>
        <w:jc w:val="left"/>
      </w:pPr>
      <w:r>
        <w:rPr/>
        <w:t>（</w:t>
      </w:r>
      <w:r>
        <w:rPr>
          <w:rFonts w:ascii="Times New Roman" w:hAnsi="Times New Roman" w:cs="Times New Roman" w:eastAsia="Times New Roman" w:hint="default"/>
        </w:rPr>
        <w:t>3</w:t>
      </w:r>
      <w:r>
        <w:rPr/>
        <w:t>）客户留存率：分别按照当年各直接类客户和代理类客户一年来的最终客户数占去年相同客户数的比例。</w:t>
      </w:r>
    </w:p>
    <w:p>
      <w:pPr>
        <w:pStyle w:val="BodyText"/>
        <w:spacing w:line="307" w:lineRule="auto" w:before="63"/>
        <w:ind w:right="1132" w:firstLine="360"/>
        <w:jc w:val="both"/>
      </w:pPr>
      <w:r>
        <w:rPr/>
        <w:t>（</w:t>
      </w:r>
      <w:r>
        <w:rPr>
          <w:rFonts w:ascii="Times New Roman" w:hAnsi="Times New Roman" w:cs="Times New Roman" w:eastAsia="Times New Roman" w:hint="default"/>
        </w:rPr>
        <w:t>4</w:t>
      </w:r>
      <w:r>
        <w:rPr/>
        <w:t>）用户点击量：在互联网广告推广结果展现时，用户对推广结果感兴趣，希望进一步地了解产品或服务，将会点击 </w:t>
      </w:r>
      <w:r>
        <w:rPr>
          <w:spacing w:val="-2"/>
        </w:rPr>
        <w:t>访问相关的推广。一段时间内点击次数称之为</w:t>
      </w:r>
      <w:r>
        <w:rPr>
          <w:rFonts w:ascii="Times New Roman" w:hAnsi="Times New Roman" w:cs="Times New Roman" w:eastAsia="Times New Roman" w:hint="default"/>
          <w:spacing w:val="-2"/>
        </w:rPr>
        <w:t>“</w:t>
      </w:r>
      <w:r>
        <w:rPr>
          <w:spacing w:val="-2"/>
        </w:rPr>
        <w:t>点击量</w:t>
      </w:r>
      <w:r>
        <w:rPr>
          <w:rFonts w:ascii="Times New Roman" w:hAnsi="Times New Roman" w:cs="Times New Roman" w:eastAsia="Times New Roman" w:hint="default"/>
          <w:spacing w:val="-2"/>
        </w:rPr>
        <w:t>”</w:t>
      </w:r>
      <w:r>
        <w:rPr>
          <w:spacing w:val="-2"/>
        </w:rPr>
        <w:t>，尚河科技和快读科技的专有品牌推广业务、自有平台业务、第三方</w:t>
      </w:r>
      <w:r>
        <w:rPr>
          <w:spacing w:val="-44"/>
        </w:rPr>
        <w:t> </w:t>
      </w:r>
      <w:r>
        <w:rPr>
          <w:spacing w:val="-44"/>
        </w:rPr>
      </w:r>
      <w:r>
        <w:rPr>
          <w:spacing w:val="-2"/>
        </w:rPr>
        <w:t>平台业务的用户点击量是根据腾讯广点通平台和微信推广平台、上游广告主、企业自有平台及下游各媒介平台后台系统下载</w:t>
      </w:r>
      <w:r>
        <w:rPr>
          <w:spacing w:val="-64"/>
        </w:rPr>
        <w:t> </w:t>
      </w:r>
      <w:r>
        <w:rPr>
          <w:spacing w:val="-64"/>
        </w:rPr>
      </w:r>
      <w:r>
        <w:rPr/>
        <w:t>原始数据并与上游客户、下游供应商进行核对后确定的。</w:t>
      </w:r>
    </w:p>
    <w:p>
      <w:pPr>
        <w:pStyle w:val="BodyText"/>
        <w:spacing w:line="309" w:lineRule="auto" w:before="26"/>
        <w:ind w:right="1133" w:firstLine="360"/>
        <w:jc w:val="both"/>
      </w:pPr>
      <w:r>
        <w:rPr/>
        <w:t>（</w:t>
      </w:r>
      <w:r>
        <w:rPr>
          <w:rFonts w:ascii="Times New Roman" w:hAnsi="Times New Roman" w:cs="Times New Roman" w:eastAsia="Times New Roman" w:hint="default"/>
        </w:rPr>
        <w:t>5</w:t>
      </w:r>
      <w:r>
        <w:rPr/>
        <w:t>）用户有效注册量：是网络广告推广过程中通过</w:t>
      </w:r>
      <w:r>
        <w:rPr>
          <w:rFonts w:ascii="Times New Roman" w:hAnsi="Times New Roman" w:cs="Times New Roman" w:eastAsia="Times New Roman" w:hint="default"/>
        </w:rPr>
        <w:t>CPA</w:t>
      </w:r>
      <w:r>
        <w:rPr/>
        <w:t>方式计量中用的相关指标。是全部注册用户中产生广告收益行 </w:t>
      </w:r>
      <w:r>
        <w:rPr>
          <w:spacing w:val="-2"/>
        </w:rPr>
        <w:t>为的注册用户量。尚河科技和快读科技的电商推广业务、小说代理业务和专有品牌推广业务中的用户点击量是根据上游广告</w:t>
      </w:r>
      <w:r>
        <w:rPr>
          <w:spacing w:val="-64"/>
        </w:rPr>
        <w:t> </w:t>
      </w:r>
      <w:r>
        <w:rPr>
          <w:spacing w:val="-64"/>
        </w:rPr>
      </w:r>
      <w:r>
        <w:rPr/>
        <w:t>代理商自身平台及下游各媒介平台后台系统下载原始数据并与上游客户、下游供应商进行核对后确定的。</w:t>
      </w:r>
    </w:p>
    <w:p>
      <w:pPr>
        <w:pStyle w:val="BodyText"/>
        <w:spacing w:line="309" w:lineRule="auto" w:before="24"/>
        <w:ind w:right="1132" w:firstLine="360"/>
        <w:jc w:val="both"/>
      </w:pPr>
      <w:r>
        <w:rPr>
          <w:spacing w:val="-4"/>
        </w:rPr>
        <w:t>（</w:t>
      </w:r>
      <w:r>
        <w:rPr>
          <w:rFonts w:ascii="Times New Roman" w:hAnsi="Times New Roman" w:cs="Times New Roman" w:eastAsia="Times New Roman" w:hint="default"/>
          <w:spacing w:val="-4"/>
        </w:rPr>
        <w:t>6</w:t>
      </w:r>
      <w:r>
        <w:rPr>
          <w:spacing w:val="-4"/>
        </w:rPr>
        <w:t>）千次曝光量：在广告推广过程中在推广媒介上的一个展示计为一次曝光量，尚河科技和快读科技的自有平台业务、</w:t>
      </w:r>
      <w:r>
        <w:rPr/>
        <w:t> </w:t>
      </w:r>
      <w:r>
        <w:rPr>
          <w:spacing w:val="-2"/>
        </w:rPr>
        <w:t>第三方平台业务的千次曝光量是根据腾讯广点通平台和微信推广平台、自有平台及下游各媒介平台后台系统下载原始数据并</w:t>
      </w:r>
      <w:r>
        <w:rPr>
          <w:spacing w:val="-64"/>
        </w:rPr>
        <w:t> </w:t>
      </w:r>
      <w:r>
        <w:rPr>
          <w:spacing w:val="-64"/>
        </w:rPr>
      </w:r>
      <w:r>
        <w:rPr/>
        <w:t>与上游客户、下游供应商进行核对后确定的。</w:t>
      </w:r>
    </w:p>
    <w:p>
      <w:pPr>
        <w:spacing w:after="0" w:line="309" w:lineRule="auto"/>
        <w:jc w:val="both"/>
        <w:sectPr>
          <w:pgSz w:w="11910" w:h="16840"/>
          <w:pgMar w:header="786" w:footer="1267" w:top="1100" w:bottom="146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1117"/>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17"/>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974"/>
        <w:jc w:val="left"/>
      </w:pPr>
      <w:r>
        <w:rPr/>
        <w:t>公司是否需要遵守光伏产业链相关业的披露要求 否</w:t>
      </w:r>
    </w:p>
    <w:p>
      <w:pPr>
        <w:pStyle w:val="BodyText"/>
        <w:spacing w:line="340" w:lineRule="auto" w:before="25"/>
        <w:ind w:right="13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13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2"/>
        <w:ind w:right="1664"/>
        <w:jc w:val="left"/>
      </w:pPr>
      <w:r>
        <w:rPr/>
        <w:t>公司是否需遵守《深圳证券交易所行业信息披露指引第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0"/>
        <w:gridCol w:w="1008"/>
        <w:gridCol w:w="1009"/>
        <w:gridCol w:w="1013"/>
        <w:gridCol w:w="1011"/>
        <w:gridCol w:w="1003"/>
        <w:gridCol w:w="1006"/>
        <w:gridCol w:w="1001"/>
        <w:gridCol w:w="1003"/>
      </w:tblGrid>
      <w:tr>
        <w:trPr>
          <w:trHeight w:val="206" w:hRule="exact"/>
        </w:trPr>
        <w:tc>
          <w:tcPr>
            <w:tcW w:w="1520"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0" w:hRule="exact"/>
        </w:trPr>
        <w:tc>
          <w:tcPr>
            <w:tcW w:w="1520" w:type="dxa"/>
            <w:vMerge w:val="restart"/>
            <w:tcBorders>
              <w:top w:val="nil" w:sz="6" w:space="0" w:color="auto"/>
              <w:left w:val="single" w:sz="4" w:space="0" w:color="000000"/>
              <w:right w:val="single" w:sz="4" w:space="0" w:color="000000"/>
            </w:tcBorders>
            <w:shd w:val="clear" w:color="auto" w:fill="D2D2D2"/>
          </w:tcPr>
          <w:p>
            <w:pPr/>
          </w:p>
        </w:tc>
        <w:tc>
          <w:tcPr>
            <w:tcW w:w="4040"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20"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w w:val="80"/>
                <w:sz w:val="18"/>
              </w:rPr>
              <w:t>291,559,211.70</w:t>
            </w:r>
            <w:r>
              <w:rPr>
                <w:rFonts w:ascii="Times New Roman"/>
                <w:spacing w:val="-1"/>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75"/>
                <w:sz w:val="18"/>
              </w:rPr>
              <w:t>355,741,389.94</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75"/>
                <w:sz w:val="18"/>
              </w:rPr>
              <w:t>379,582,777.54</w:t>
            </w:r>
            <w:r>
              <w:rPr>
                <w:rFonts w:ascii="Times New Roman"/>
                <w:sz w:val="18"/>
              </w:rPr>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w w:val="80"/>
                <w:sz w:val="18"/>
              </w:rPr>
              <w:t>565,036,187.32</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w w:val="80"/>
                <w:sz w:val="18"/>
              </w:rPr>
              <w:t>224,860,205.52</w:t>
            </w:r>
            <w:r>
              <w:rPr>
                <w:rFonts w:ascii="Times New Roman"/>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w w:val="80"/>
                <w:sz w:val="18"/>
              </w:rPr>
              <w:t>303,214,299.56</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w w:val="80"/>
                <w:sz w:val="18"/>
              </w:rPr>
              <w:t>311,320,509.73</w:t>
            </w:r>
            <w:r>
              <w:rPr>
                <w:rFonts w:ascii="Times New Roman"/>
                <w:spacing w:val="-1"/>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w w:val="80"/>
                <w:sz w:val="18"/>
              </w:rPr>
              <w:t>480,513,521.50</w:t>
            </w:r>
            <w:r>
              <w:rPr>
                <w:rFonts w:ascii="Times New Roman"/>
                <w:sz w:val="18"/>
              </w:rPr>
            </w:r>
          </w:p>
        </w:tc>
      </w:tr>
      <w:tr>
        <w:trPr>
          <w:trHeight w:val="715"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1,283,296.51</w:t>
            </w:r>
            <w:r>
              <w:rPr>
                <w:rFonts w:ascii="Times New Roman"/>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80"/>
                <w:sz w:val="18"/>
              </w:rPr>
              <w:t>12,115,871.68</w:t>
            </w:r>
            <w:r>
              <w:rPr>
                <w:rFonts w:ascii="Times New Roman"/>
                <w:spacing w:val="-1"/>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80"/>
                <w:sz w:val="18"/>
              </w:rPr>
              <w:t>11,376,129.13</w:t>
            </w:r>
            <w:r>
              <w:rPr>
                <w:rFonts w:ascii="Times New Roman"/>
                <w:spacing w:val="-1"/>
                <w:sz w:val="18"/>
              </w:rPr>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w w:val="80"/>
                <w:sz w:val="18"/>
              </w:rPr>
              <w:t>79,771,304.68</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w w:val="80"/>
                <w:sz w:val="18"/>
              </w:rPr>
              <w:t>-14,511,339.99</w:t>
            </w:r>
            <w:r>
              <w:rPr>
                <w:rFonts w:ascii="Times New Roman"/>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w w:val="80"/>
                <w:sz w:val="18"/>
              </w:rPr>
              <w:t>18,974,340.76</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6,885,999.65</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w w:val="80"/>
                <w:sz w:val="18"/>
              </w:rPr>
              <w:t>23,671,479.43</w:t>
            </w:r>
            <w:r>
              <w:rPr>
                <w:rFonts w:ascii="Times New Roman"/>
                <w:sz w:val="18"/>
              </w:rPr>
            </w:r>
          </w:p>
        </w:tc>
      </w:tr>
      <w:tr>
        <w:trPr>
          <w:trHeight w:val="1025" w:hRule="exact"/>
        </w:trPr>
        <w:tc>
          <w:tcPr>
            <w:tcW w:w="152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4" w:right="45"/>
              <w:jc w:val="both"/>
              <w:rPr>
                <w:rFonts w:ascii="宋体" w:hAnsi="宋体" w:cs="宋体" w:eastAsia="宋体" w:hint="default"/>
                <w:sz w:val="18"/>
                <w:szCs w:val="18"/>
              </w:rPr>
            </w:pPr>
            <w:r>
              <w:rPr>
                <w:rFonts w:ascii="宋体" w:hAnsi="宋体" w:cs="宋体" w:eastAsia="宋体" w:hint="default"/>
                <w:sz w:val="18"/>
                <w:szCs w:val="18"/>
              </w:rPr>
              <w:t>归属于上市公司股 东的扣除非经常性 损益的净利润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1,315,920.26</w:t>
            </w:r>
            <w:r>
              <w:rPr>
                <w:rFonts w:ascii="Times New Roman"/>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80"/>
                <w:sz w:val="18"/>
              </w:rPr>
              <w:t>11,750,000.03</w:t>
            </w:r>
            <w:r>
              <w:rPr>
                <w:rFonts w:ascii="Times New Roman"/>
                <w:spacing w:val="-1"/>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10,917,483.15</w:t>
            </w:r>
            <w:r>
              <w:rPr>
                <w:rFonts w:ascii="Times New Roman"/>
                <w:sz w:val="18"/>
              </w:rPr>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w w:val="80"/>
                <w:sz w:val="18"/>
              </w:rPr>
              <w:t>36,373,062.80</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w w:val="80"/>
                <w:sz w:val="18"/>
              </w:rPr>
              <w:t>-14,646,585.22</w:t>
            </w:r>
            <w:r>
              <w:rPr>
                <w:rFonts w:ascii="Times New Roman"/>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w w:val="80"/>
                <w:sz w:val="18"/>
              </w:rPr>
              <w:t>16,464,745.90</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6,944,763.89</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w w:val="80"/>
                <w:sz w:val="18"/>
              </w:rPr>
              <w:t>25,488,451.84</w:t>
            </w:r>
            <w:r>
              <w:rPr>
                <w:rFonts w:ascii="Times New Roman"/>
                <w:sz w:val="18"/>
              </w:rPr>
            </w:r>
          </w:p>
        </w:tc>
      </w:tr>
      <w:tr>
        <w:trPr>
          <w:trHeight w:val="715" w:hRule="exact"/>
        </w:trPr>
        <w:tc>
          <w:tcPr>
            <w:tcW w:w="152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经营活动产生的现 金流量净额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75"/>
                <w:sz w:val="18"/>
              </w:rPr>
              <w:t>-81,452,033.66</w:t>
            </w:r>
            <w:r>
              <w:rPr>
                <w:rFonts w:ascii="Times New Roman"/>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75"/>
                <w:sz w:val="18"/>
              </w:rPr>
              <w:t>-23,327,522.21</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60,084,375.54</w:t>
            </w:r>
            <w:r>
              <w:rPr>
                <w:rFonts w:ascii="Times New Roman"/>
                <w:sz w:val="18"/>
              </w:rPr>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w w:val="80"/>
                <w:sz w:val="18"/>
              </w:rPr>
              <w:t>282,714,627.15</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w w:val="80"/>
                <w:sz w:val="18"/>
              </w:rPr>
              <w:t>-155,169,807.31</w:t>
            </w:r>
            <w:r>
              <w:rPr>
                <w:rFonts w:ascii="Times New Roman"/>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w w:val="80"/>
                <w:sz w:val="18"/>
              </w:rPr>
              <w:t>-54,367,249.19</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75"/>
                <w:sz w:val="18"/>
              </w:rPr>
              <w:t>-15,463,099.25</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w w:val="80"/>
                <w:sz w:val="18"/>
              </w:rPr>
              <w:t>144,552,206.55</w:t>
            </w:r>
            <w:r>
              <w:rPr>
                <w:rFonts w:ascii="Times New Roman"/>
                <w:sz w:val="18"/>
              </w:rPr>
            </w:r>
          </w:p>
        </w:tc>
      </w:tr>
    </w:tbl>
    <w:p>
      <w:pPr>
        <w:pStyle w:val="BodyText"/>
        <w:spacing w:line="357" w:lineRule="auto" w:before="49"/>
        <w:ind w:left="513" w:right="1117" w:hanging="361"/>
        <w:jc w:val="left"/>
      </w:pPr>
      <w:r>
        <w:rPr/>
        <w:t>说明经营季节性（或周期性）发生的原因及波动风险 </w:t>
      </w:r>
      <w:r>
        <w:rPr>
          <w:spacing w:val="-2"/>
        </w:rPr>
        <w:t>金融企业客户通常遵照预算决算体制，在年初完成预算的制定工作，年底进行决算，其预算、立项和采购均有明显的季</w:t>
      </w:r>
    </w:p>
    <w:p>
      <w:pPr>
        <w:pStyle w:val="BodyText"/>
        <w:spacing w:line="237" w:lineRule="exact"/>
        <w:ind w:right="1117"/>
        <w:jc w:val="left"/>
      </w:pPr>
      <w:r>
        <w:rPr/>
        <w:t>节性特征，因此金融业</w:t>
      </w:r>
      <w:r>
        <w:rPr>
          <w:rFonts w:ascii="Times New Roman" w:hAnsi="Times New Roman" w:cs="Times New Roman" w:eastAsia="Times New Roman" w:hint="default"/>
        </w:rPr>
        <w:t>IT</w:t>
      </w:r>
      <w:r>
        <w:rPr/>
        <w:t>企业的收入通常呈现出第四季度业务收入高于前三季度的情况。</w:t>
      </w:r>
    </w:p>
    <w:p>
      <w:pPr>
        <w:pStyle w:val="BodyText"/>
        <w:spacing w:line="240" w:lineRule="auto" w:before="103"/>
        <w:ind w:right="1117"/>
        <w:jc w:val="left"/>
      </w:pPr>
      <w:r>
        <w:rPr/>
        <w:t>营业收入整体情况</w:t>
      </w:r>
    </w:p>
    <w:p>
      <w:pPr>
        <w:spacing w:after="0" w:line="240" w:lineRule="auto"/>
        <w:jc w:val="left"/>
        <w:sectPr>
          <w:pgSz w:w="11910" w:h="16840"/>
          <w:pgMar w:header="786" w:footer="1267" w:top="1100" w:bottom="1460" w:left="980" w:right="0"/>
        </w:sectPr>
      </w:pPr>
    </w:p>
    <w:p>
      <w:pPr>
        <w:spacing w:line="240" w:lineRule="auto" w:before="8"/>
        <w:rPr>
          <w:rFonts w:ascii="宋体" w:hAnsi="宋体" w:cs="宋体" w:eastAsia="宋体" w:hint="default"/>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1"/>
        <w:gridCol w:w="1599"/>
        <w:gridCol w:w="1588"/>
        <w:gridCol w:w="1597"/>
      </w:tblGrid>
      <w:tr>
        <w:trPr>
          <w:trHeight w:val="206"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8"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8"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1,591,919,566.49</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1,319,908,536.31</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20.61%</w:t>
            </w:r>
          </w:p>
        </w:tc>
      </w:tr>
      <w:tr>
        <w:trPr>
          <w:trHeight w:val="398"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银行金融业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1,079,698,627.26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67.82%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822,688,331.15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62.33%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31.24%</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非银行金融业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148,059,484.16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161,371,128.53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292,074,381.35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280,124,885.97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w:t>
            </w:r>
          </w:p>
        </w:tc>
      </w:tr>
      <w:tr>
        <w:trPr>
          <w:trHeight w:val="404"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72,087,073.72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55,724,190.66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29.36%</w:t>
            </w:r>
          </w:p>
        </w:tc>
      </w:tr>
      <w:tr>
        <w:trPr>
          <w:trHeight w:val="401"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477,050,355.15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462,949,730.90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651,915,349.32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401,548,958.30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62.35%</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96,181,456.61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104,683,185.00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74,698,024.03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70,601,776.16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移动数据推广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85,898,734.33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61,572,403.13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39.51%</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专有品牌推广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16,830,948.66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80,272,874.99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-79.03%</w:t>
            </w:r>
          </w:p>
        </w:tc>
      </w:tr>
      <w:tr>
        <w:trPr>
          <w:trHeight w:val="404"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自有平台广告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100,556,621.86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55,144,758.30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82.35%</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电商推广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46,481,613.56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14,168,430.00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228.06%</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第三方平台业务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24,119,928.06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62,000,576.12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-61.10%</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小说代理业务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18,186,534.91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6,965,843.41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161.08%</w:t>
            </w:r>
          </w:p>
        </w:tc>
      </w:tr>
      <w:tr>
        <w:trPr>
          <w:trHeight w:val="403"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16,239,646.83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16,045,374.51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842,292,072.22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604,482,654.64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45.80%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39.34%</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338,677,759.34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21.27%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279,701,376.95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21.09%</w:t>
            </w:r>
          </w:p>
        </w:tc>
      </w:tr>
      <w:tr>
        <w:trPr>
          <w:trHeight w:val="404"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165,960,398.31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152,815,146.74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华中区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75,318,175.30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152,937,215.68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-50.75%</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29,796,959.24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37,886,640.24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-21.35%</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98,335,725.74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50,016,138.88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96.61%</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25,298,829.51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26,023,988.67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-2.79%</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6"/>
          <w:szCs w:val="26"/>
        </w:rPr>
      </w:pPr>
    </w:p>
    <w:p>
      <w:pPr>
        <w:pStyle w:val="BodyText"/>
        <w:spacing w:line="35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是</w:t>
      </w:r>
    </w:p>
    <w:p>
      <w:pPr>
        <w:pStyle w:val="BodyText"/>
        <w:spacing w:line="240" w:lineRule="auto" w:before="32"/>
        <w:ind w:right="1117"/>
        <w:jc w:val="left"/>
      </w:pPr>
      <w:r>
        <w:rPr/>
        <w:t>软件与信息技术服务业</w:t>
      </w:r>
      <w:r>
        <w:rPr>
          <w:rFonts w:ascii="Times New Roman" w:hAnsi="Times New Roman" w:cs="Times New Roman" w:eastAsia="Times New Roman" w:hint="default"/>
        </w:rPr>
        <w:t>;</w:t>
      </w:r>
      <w:r>
        <w:rPr/>
        <w:t>互联网营销业</w:t>
      </w:r>
    </w:p>
    <w:p>
      <w:pPr>
        <w:spacing w:after="0" w:line="240" w:lineRule="auto"/>
        <w:jc w:val="left"/>
        <w:sectPr>
          <w:pgSz w:w="11910" w:h="16840"/>
          <w:pgMar w:header="786" w:footer="1267" w:top="1100" w:bottom="146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11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银行金融业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1,079,698,627.26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872,095,922.74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解决方案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477,050,355.15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313,651,214.34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651,915,349.32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601,780,659.97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729,687,045.80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606,211,733.54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268,510,612.61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197,898,361.16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67" w:top="1100" w:bottom="1460" w:left="980" w:right="0"/>
        </w:sectPr>
      </w:pPr>
    </w:p>
    <w:p>
      <w:pPr>
        <w:pStyle w:val="BodyText"/>
        <w:spacing w:line="240" w:lineRule="auto" w:before="49"/>
        <w:ind w:right="-17"/>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700" w:left="980" w:right="0"/>
          <w:cols w:num="2" w:equalWidth="0">
            <w:col w:w="8795" w:space="126"/>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银行金融业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822,688,331.15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629,746,313.83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非银行金融业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161,371,128.53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125,843,626.17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line="240" w:lineRule="auto" w:before="2"/>
        <w:rPr>
          <w:rFonts w:ascii="宋体" w:hAnsi="宋体" w:cs="宋体" w:eastAsia="宋体" w:hint="default"/>
          <w:sz w:val="27"/>
          <w:szCs w:val="27"/>
        </w:rPr>
      </w:pPr>
    </w:p>
    <w:p>
      <w:pPr>
        <w:pStyle w:val="BodyText"/>
        <w:spacing w:line="240" w:lineRule="auto" w:before="44"/>
        <w:ind w:right="1117"/>
        <w:jc w:val="left"/>
      </w:pPr>
      <w:r>
        <w:rPr/>
        <w:t>公司需遵守《深圳证券交易所创业板行业信息披露指引第</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上市公司从事互联网营销业务》的披露要求：</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292,074,381.35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 w:right="0"/>
              <w:jc w:val="left"/>
              <w:rPr>
                <w:rFonts w:ascii="Times New Roman" w:hAnsi="Times New Roman" w:cs="Times New Roman" w:eastAsia="Times New Roman" w:hint="default"/>
                <w:sz w:val="18"/>
                <w:szCs w:val="18"/>
              </w:rPr>
            </w:pPr>
            <w:r>
              <w:rPr>
                <w:rFonts w:ascii="Times New Roman"/>
                <w:sz w:val="18"/>
              </w:rPr>
              <w:t>193,811,578.55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33.64%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4.27%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7" w:right="0"/>
              <w:jc w:val="left"/>
              <w:rPr>
                <w:rFonts w:ascii="Times New Roman" w:hAnsi="Times New Roman" w:cs="Times New Roman" w:eastAsia="Times New Roman" w:hint="default"/>
                <w:sz w:val="18"/>
                <w:szCs w:val="18"/>
              </w:rPr>
            </w:pPr>
            <w:r>
              <w:rPr>
                <w:rFonts w:ascii="Times New Roman"/>
                <w:sz w:val="18"/>
              </w:rPr>
              <w:t>-11.26%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2" w:right="0"/>
              <w:jc w:val="left"/>
              <w:rPr>
                <w:rFonts w:ascii="Times New Roman" w:hAnsi="Times New Roman" w:cs="Times New Roman" w:eastAsia="Times New Roman" w:hint="default"/>
                <w:sz w:val="18"/>
                <w:szCs w:val="18"/>
              </w:rPr>
            </w:pPr>
            <w:r>
              <w:rPr>
                <w:rFonts w:ascii="Times New Roman"/>
                <w:sz w:val="18"/>
              </w:rPr>
              <w:t>11.61%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pStyle w:val="BodyText"/>
        <w:spacing w:line="240" w:lineRule="auto" w:before="49"/>
        <w:ind w:right="1117"/>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100" w:bottom="70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86" w:footer="1267" w:top="1100" w:bottom="1460" w:left="980" w:right="0"/>
        </w:sectPr>
      </w:pPr>
    </w:p>
    <w:p>
      <w:pPr>
        <w:pStyle w:val="BodyText"/>
        <w:spacing w:line="338" w:lineRule="auto" w:before="44"/>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100" w:bottom="70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变动成本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24,761,600.56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32,172,101.76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658,529,815.03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430,932,147.50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350,565,964.96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333,386,323.34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w:t>
            </w:r>
          </w:p>
        </w:tc>
      </w:tr>
    </w:tbl>
    <w:p>
      <w:pPr>
        <w:spacing w:line="240" w:lineRule="auto" w:before="4"/>
        <w:rPr>
          <w:rFonts w:ascii="宋体" w:hAnsi="宋体" w:cs="宋体" w:eastAsia="宋体" w:hint="default"/>
          <w:sz w:val="27"/>
          <w:szCs w:val="27"/>
        </w:rPr>
      </w:pPr>
    </w:p>
    <w:p>
      <w:pPr>
        <w:pStyle w:val="BodyText"/>
        <w:spacing w:line="240" w:lineRule="auto" w:before="44"/>
        <w:ind w:right="1117"/>
        <w:jc w:val="left"/>
      </w:pPr>
      <w:r>
        <w:rPr/>
        <w:t>公司需遵守《深圳证券交易所创业板行业信息披露指引第</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上市公司从事互联网营销业务》的披露要求：</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9"/>
              <w:jc w:val="right"/>
              <w:rPr>
                <w:rFonts w:ascii="宋体" w:hAnsi="宋体" w:cs="宋体" w:eastAsia="宋体" w:hint="default"/>
                <w:sz w:val="18"/>
                <w:szCs w:val="18"/>
              </w:rPr>
            </w:pPr>
            <w:r>
              <w:rPr>
                <w:rFonts w:ascii="宋体" w:hAnsi="宋体" w:cs="宋体" w:eastAsia="宋体" w:hint="default"/>
                <w:sz w:val="18"/>
                <w:szCs w:val="18"/>
              </w:rPr>
              <w:t>变动成本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663,683.64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652,194.62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29"/>
              <w:jc w:val="right"/>
              <w:rPr>
                <w:rFonts w:ascii="宋体" w:hAnsi="宋体" w:cs="宋体" w:eastAsia="宋体" w:hint="default"/>
                <w:sz w:val="18"/>
                <w:szCs w:val="18"/>
              </w:rPr>
            </w:pPr>
            <w:r>
              <w:rPr>
                <w:rFonts w:ascii="宋体" w:hAnsi="宋体" w:cs="宋体" w:eastAsia="宋体" w:hint="default"/>
                <w:sz w:val="18"/>
                <w:szCs w:val="18"/>
              </w:rPr>
              <w:t>外购成本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192,433,786.94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216,713,959.96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9"/>
              <w:jc w:val="righ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714,107.96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1,026,952.90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r>
    </w:tbl>
    <w:p>
      <w:pPr>
        <w:spacing w:line="240" w:lineRule="auto" w:before="2"/>
        <w:rPr>
          <w:rFonts w:ascii="宋体" w:hAnsi="宋体" w:cs="宋体" w:eastAsia="宋体" w:hint="default"/>
          <w:sz w:val="27"/>
          <w:szCs w:val="27"/>
        </w:rPr>
      </w:pPr>
    </w:p>
    <w:p>
      <w:pPr>
        <w:pStyle w:val="BodyText"/>
        <w:spacing w:line="240" w:lineRule="auto" w:before="44"/>
        <w:ind w:right="1117"/>
        <w:jc w:val="left"/>
      </w:pPr>
      <w:r>
        <w:rPr/>
        <w:t>产品分类</w:t>
      </w:r>
    </w:p>
    <w:p>
      <w:pPr>
        <w:pStyle w:val="BodyText"/>
        <w:spacing w:line="240" w:lineRule="auto" w:before="118"/>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58"/>
        <w:gridCol w:w="1379"/>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58"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解决方案</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275,023,087.30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267,186,864.05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解决方案</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变动成本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21,750,250.06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28,748,146.88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解决方案</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17,009,019.23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9,247,015.40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运维服务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31,973,002.73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23,232,493.19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运维服务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变动成本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1,441,549.99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1,873,204.10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运维服务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38,814,428.63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54,267,357.68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7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58"/>
        <w:gridCol w:w="1379"/>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601,781,838.87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366,947,769.03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移动数据推广</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714,107.96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1,026,952.90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移动数据推广</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变动成本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663,683.64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652,194.62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移动数据推广</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53,920,363.83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36,218,745.79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0.82%</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专有品牌推广</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10,593,940.44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71,110,656.39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自有平台广告</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73,906,529.07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40,282,650.18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43,569,874.92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42,966,966.10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变动成本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1,569,800.51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1,550,750.78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924,528.30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470,005.39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电商推广</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23,622,114.48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6,328,761.81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第三方平台业务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19,729,222.24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57,078,898.34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小说代理业务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10,661,616.88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5,694,247.45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0.31%</w:t>
            </w:r>
          </w:p>
        </w:tc>
      </w:tr>
    </w:tbl>
    <w:p>
      <w:pPr>
        <w:pStyle w:val="BodyText"/>
        <w:spacing w:line="240" w:lineRule="auto" w:before="49"/>
        <w:ind w:right="1117"/>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16" w:lineRule="auto" w:before="104"/>
        <w:ind w:left="215" w:right="1151" w:firstLine="360"/>
        <w:jc w:val="left"/>
      </w:pPr>
      <w:r>
        <w:rPr>
          <w:rFonts w:ascii="宋体" w:hAnsi="宋体" w:cs="宋体" w:eastAsia="宋体" w:hint="default"/>
        </w:rPr>
        <w:t>1.</w:t>
      </w:r>
      <w:r>
        <w:rPr/>
        <w:t>本公司之子公司上海翕振信息技术有限公司出资设立全资子公司苏州伟达融创信息技术有限公司，自该公司成立之 日起，将其纳入合并财务报表范围。</w:t>
      </w:r>
    </w:p>
    <w:p>
      <w:pPr>
        <w:pStyle w:val="BodyText"/>
        <w:spacing w:line="316" w:lineRule="auto" w:before="19"/>
        <w:ind w:left="215" w:right="1151" w:firstLine="360"/>
        <w:jc w:val="left"/>
      </w:pPr>
      <w:r>
        <w:rPr>
          <w:rFonts w:ascii="宋体" w:hAnsi="宋体" w:cs="宋体" w:eastAsia="宋体" w:hint="default"/>
        </w:rPr>
        <w:t>2.</w:t>
      </w:r>
      <w:r>
        <w:rPr/>
        <w:t>本公司之子公司海南坚果创娱信息技术有限公司出资设立其全资子公司上海魔力果信息技术有限公司，自该公司成 立之日起，将其纳入合并财务报表范围。</w:t>
      </w:r>
    </w:p>
    <w:p>
      <w:pPr>
        <w:pStyle w:val="BodyText"/>
        <w:spacing w:line="316" w:lineRule="auto" w:before="19"/>
        <w:ind w:left="215" w:right="1151" w:firstLine="360"/>
        <w:jc w:val="left"/>
      </w:pPr>
      <w:r>
        <w:rPr>
          <w:rFonts w:ascii="宋体" w:hAnsi="宋体" w:cs="宋体" w:eastAsia="宋体" w:hint="default"/>
        </w:rPr>
        <w:t>3.</w:t>
      </w:r>
      <w:r>
        <w:rPr/>
        <w:t>本公司与成都伟达融创企业管理中心（有限合伙）、成都伟达融鑫企业管理中心（有限合伙）共同出资设立成都高 伟达信息技术有限公司，自该公司成立之日起，将其纳入合并财务报表范围。</w:t>
      </w:r>
    </w:p>
    <w:p>
      <w:pPr>
        <w:pStyle w:val="BodyText"/>
        <w:spacing w:line="316" w:lineRule="auto" w:before="19"/>
        <w:ind w:left="215" w:right="1151" w:firstLine="360"/>
        <w:jc w:val="left"/>
      </w:pPr>
      <w:r>
        <w:rPr>
          <w:rFonts w:ascii="宋体" w:hAnsi="宋体" w:cs="宋体" w:eastAsia="宋体" w:hint="default"/>
        </w:rPr>
        <w:t>4.</w:t>
      </w:r>
      <w:r>
        <w:rPr/>
        <w:t>本公司之子公司深圳市快读科技有限公司出资设立喀什腾娱信息科技有限公司，自该公司成立之日起，将其纳入合 并财务报表范围。</w:t>
      </w:r>
    </w:p>
    <w:p>
      <w:pPr>
        <w:pStyle w:val="BodyText"/>
        <w:spacing w:line="316" w:lineRule="auto" w:before="19"/>
        <w:ind w:left="215" w:right="1151" w:firstLine="360"/>
        <w:jc w:val="left"/>
      </w:pPr>
      <w:r>
        <w:rPr>
          <w:rFonts w:ascii="宋体" w:hAnsi="宋体" w:cs="宋体" w:eastAsia="宋体" w:hint="default"/>
        </w:rPr>
        <w:t>5.</w:t>
      </w:r>
      <w:r>
        <w:rPr/>
        <w:t>本公司与北京睿拓弘盛科技发展有限公司共同出资设立北京伟达金科科技有限公司，自该公司成立之日起，将其纳 入合并财务报表范围。</w:t>
      </w:r>
    </w:p>
    <w:p>
      <w:pPr>
        <w:pStyle w:val="BodyText"/>
        <w:spacing w:line="240" w:lineRule="auto" w:before="19"/>
        <w:ind w:left="575" w:right="1117"/>
        <w:jc w:val="left"/>
      </w:pPr>
      <w:r>
        <w:rPr>
          <w:rFonts w:ascii="宋体" w:hAnsi="宋体" w:cs="宋体" w:eastAsia="宋体" w:hint="default"/>
        </w:rPr>
        <w:t>6.</w:t>
      </w:r>
      <w:r>
        <w:rPr/>
        <w:t>本公司出资设立北京蚂达软件信息技术有限责任公司，自该公司成立之日起，将其纳入合并财务报表范围。</w:t>
      </w:r>
    </w:p>
    <w:p>
      <w:pPr>
        <w:spacing w:line="240" w:lineRule="auto" w:before="0"/>
        <w:rPr>
          <w:rFonts w:ascii="宋体" w:hAnsi="宋体" w:cs="宋体" w:eastAsia="宋体" w:hint="default"/>
          <w:sz w:val="18"/>
          <w:szCs w:val="18"/>
        </w:rPr>
      </w:pPr>
    </w:p>
    <w:p>
      <w:pPr>
        <w:pStyle w:val="Heading3"/>
        <w:spacing w:line="240" w:lineRule="auto" w:before="121"/>
        <w:ind w:right="1117"/>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754,506,755.69</w:t>
            </w:r>
          </w:p>
        </w:tc>
      </w:tr>
      <w:tr>
        <w:trPr>
          <w:trHeight w:val="4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47.39%</w:t>
            </w:r>
          </w:p>
        </w:tc>
      </w:tr>
      <w:tr>
        <w:trPr>
          <w:trHeight w:val="38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0"/>
        <w:rPr>
          <w:rFonts w:ascii="宋体" w:hAnsi="宋体" w:cs="宋体" w:eastAsia="宋体" w:hint="default"/>
          <w:sz w:val="25"/>
          <w:szCs w:val="25"/>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23;top:14;width:2;height:354" coordorigin="23,14" coordsize="2,354">
              <v:shape style="position:absolute;left:23;top:14;width:2;height:354" coordorigin="23,14" coordsize="0,354" path="m23,14l23,368e" filled="false" stroked="true" strokeweight="1.08pt" strokecolor="#d2d2d2">
                <v:path arrowok="t"/>
              </v:shape>
            </v:group>
            <v:group style="position:absolute;left:4248;top:14;width:2;height:354" coordorigin="4248,14" coordsize="2,354">
              <v:shape style="position:absolute;left:4248;top:14;width:2;height:354" coordorigin="4248,14" coordsize="0,354" path="m4248,14l4248,368e" filled="false" stroked="true" strokeweight="1.08pt" strokecolor="#d2d2d2">
                <v:path arrowok="t"/>
              </v:shape>
            </v:group>
            <v:group style="position:absolute;left:34;top:14;width:4204;height:354" coordorigin="34,14" coordsize="4204,354">
              <v:shape style="position:absolute;left:34;top:14;width:4204;height:354" coordorigin="34,14" coordsize="4204,354" path="m34,368l4237,368,4237,14,34,14,34,368xe" filled="true" fillcolor="#d2d2d2" stroked="false">
                <v:path arrowok="t"/>
                <v:fill type="solid"/>
              </v:shape>
            </v:group>
            <v:group style="position:absolute;left:10;top:10;width:4249;height:2" coordorigin="10,10" coordsize="4249,2">
              <v:shape style="position:absolute;left:10;top:10;width:4249;height:2" coordorigin="10,10" coordsize="4249,0" path="m10,10l4259,10e" filled="false" stroked="true" strokeweight=".48pt" strokecolor="#000000">
                <v:path arrowok="t"/>
              </v:shape>
            </v:group>
            <v:group style="position:absolute;left:4268;top:10;width:5303;height:2" coordorigin="4268,10" coordsize="5303,2">
              <v:shape style="position:absolute;left:4268;top:10;width:5303;height:2" coordorigin="4268,10" coordsize="5303,0" path="m4268,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4249;height:2" coordorigin="10,372" coordsize="4249,2">
              <v:shape style="position:absolute;left:10;top:372;width:4249;height:2" coordorigin="10,372" coordsize="4249,0" path="m10,372l4259,372e" filled="false" stroked="true" strokeweight=".48pt" strokecolor="#000000">
                <v:path arrowok="t"/>
              </v:shape>
            </v:group>
            <v:group style="position:absolute;left:4263;top:5;width:2;height:373" coordorigin="4263,5" coordsize="2,373">
              <v:shape style="position:absolute;left:4263;top:5;width:2;height:373" coordorigin="4263,5" coordsize="0,373" path="m4263,5l4263,377e" filled="false" stroked="true" strokeweight=".48001pt" strokecolor="#000000">
                <v:path arrowok="t"/>
              </v:shape>
            </v:group>
            <v:group style="position:absolute;left:4268;top:372;width:5303;height:2" coordorigin="4268,372" coordsize="5303,2">
              <v:shape style="position:absolute;left:4268;top:372;width:5303;height:2" coordorigin="4268,372" coordsize="5303,0" path="m4268,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34;top:7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例</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1117"/>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80"/>
        <w:gridCol w:w="3300"/>
        <w:gridCol w:w="2333"/>
        <w:gridCol w:w="3145"/>
      </w:tblGrid>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00"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1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302,653,848.71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19.01%</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00"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1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296,231,124.00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18.61%</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00"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1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96,215,009.92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6.04%</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00"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1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29,935,933.38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00"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1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29,470,839.68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w:t>
            </w:r>
          </w:p>
        </w:tc>
      </w:tr>
      <w:tr>
        <w:trPr>
          <w:trHeight w:val="404"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754,506,755.69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47.39%</w:t>
            </w:r>
          </w:p>
        </w:tc>
      </w:tr>
    </w:tbl>
    <w:p>
      <w:pPr>
        <w:pStyle w:val="BodyText"/>
        <w:spacing w:line="240" w:lineRule="auto" w:before="49"/>
        <w:ind w:right="1117"/>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268,575,967.67</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24.50%</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17"/>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68"/>
        <w:gridCol w:w="2333"/>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49"/>
              <w:ind w:left="1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85,631,605.94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49"/>
              <w:ind w:left="1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60,975,779.00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49"/>
              <w:ind w:left="1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42,642,629.73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49"/>
              <w:ind w:left="1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40,465,183.00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49"/>
              <w:ind w:left="1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38,860,770.00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268,575,967.67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24.50%</w:t>
            </w:r>
          </w:p>
        </w:tc>
      </w:tr>
    </w:tbl>
    <w:p>
      <w:pPr>
        <w:pStyle w:val="BodyText"/>
        <w:spacing w:line="240" w:lineRule="auto" w:before="49"/>
        <w:ind w:right="1117"/>
        <w:jc w:val="left"/>
      </w:pPr>
      <w:r>
        <w:rPr/>
        <w:t>主要供应商其他情况说明</w:t>
      </w:r>
    </w:p>
    <w:p>
      <w:pPr>
        <w:pStyle w:val="BodyText"/>
        <w:spacing w:line="240" w:lineRule="auto" w:before="118"/>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44"/>
        <w:ind w:left="0" w:right="1138"/>
        <w:jc w:val="right"/>
      </w:pPr>
      <w:r>
        <w:rPr/>
        <w:pict>
          <v:shape style="position:absolute;margin-left:57pt;margin-top:-96.74826pt;width:478.1pt;height:114.6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93"/>
                    <w:gridCol w:w="1648"/>
                    <w:gridCol w:w="1411"/>
                    <w:gridCol w:w="1287"/>
                    <w:gridCol w:w="3308"/>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95,645,541.31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106,377,667.88</w:t>
                        </w:r>
                      </w:p>
                    </w:tc>
                    <w:tc>
                      <w:tcPr>
                        <w:tcW w:w="1287" w:type="dxa"/>
                        <w:tcBorders>
                          <w:top w:val="single" w:sz="4" w:space="0" w:color="000000"/>
                          <w:left w:val="single" w:sz="4" w:space="0" w:color="000000"/>
                          <w:bottom w:val="single" w:sz="4" w:space="0" w:color="000000"/>
                          <w:right w:val="single" w:sz="10" w:space="0" w:color="CCE8C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-10.09%</w:t>
                        </w:r>
                      </w:p>
                    </w:tc>
                    <w:tc>
                      <w:tcPr>
                        <w:tcW w:w="330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主要系差旅费、业务推广费减少所致</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103,807,473.53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89,405,576.61</w:t>
                        </w:r>
                      </w:p>
                    </w:tc>
                    <w:tc>
                      <w:tcPr>
                        <w:tcW w:w="1287" w:type="dxa"/>
                        <w:tcBorders>
                          <w:top w:val="single" w:sz="4" w:space="0" w:color="000000"/>
                          <w:left w:val="single" w:sz="4" w:space="0" w:color="000000"/>
                          <w:bottom w:val="single" w:sz="4" w:space="0" w:color="000000"/>
                          <w:right w:val="single" w:sz="10" w:space="0" w:color="CCE8C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w:t>
                        </w:r>
                      </w:p>
                    </w:tc>
                    <w:tc>
                      <w:tcPr>
                        <w:tcW w:w="330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主要系无形资产摊销增加所致</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32,209,531.54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25,194,255.87</w:t>
                        </w:r>
                      </w:p>
                    </w:tc>
                    <w:tc>
                      <w:tcPr>
                        <w:tcW w:w="1287" w:type="dxa"/>
                        <w:tcBorders>
                          <w:top w:val="single" w:sz="4" w:space="0" w:color="000000"/>
                          <w:left w:val="single" w:sz="4" w:space="0" w:color="000000"/>
                          <w:bottom w:val="single" w:sz="4" w:space="0" w:color="000000"/>
                          <w:right w:val="single" w:sz="10" w:space="0" w:color="CCE8C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27.84%</w:t>
                        </w:r>
                      </w:p>
                    </w:tc>
                    <w:tc>
                      <w:tcPr>
                        <w:tcW w:w="330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主要系贷款利息增加所致</w:t>
                        </w:r>
                      </w:p>
                    </w:tc>
                  </w:tr>
                  <w:tr>
                    <w:trPr>
                      <w:trHeight w:val="142"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12" w:space="0" w:color="D2D2D2"/>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40,577,377.11</w:t>
                        </w:r>
                      </w:p>
                    </w:tc>
                    <w:tc>
                      <w:tcPr>
                        <w:tcW w:w="1411" w:type="dxa"/>
                        <w:vMerge w:val="restart"/>
                        <w:tcBorders>
                          <w:top w:val="single" w:sz="4" w:space="0" w:color="000000"/>
                          <w:left w:val="single" w:sz="4" w:space="0" w:color="000000"/>
                          <w:right w:val="single" w:sz="10" w:space="0" w:color="CCE8CF"/>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41,617,264.60</w:t>
                        </w:r>
                      </w:p>
                    </w:tc>
                    <w:tc>
                      <w:tcPr>
                        <w:tcW w:w="1287" w:type="dxa"/>
                        <w:tcBorders>
                          <w:top w:val="single" w:sz="4" w:space="0" w:color="000000"/>
                          <w:left w:val="single" w:sz="4" w:space="0" w:color="000000"/>
                          <w:bottom w:val="nil" w:sz="6" w:space="0" w:color="auto"/>
                          <w:right w:val="single" w:sz="4" w:space="0" w:color="000000"/>
                        </w:tcBorders>
                        <w:shd w:val="clear" w:color="auto" w:fill="CCE8CF"/>
                      </w:tcPr>
                      <w:p>
                        <w:pPr/>
                      </w:p>
                    </w:tc>
                    <w:tc>
                      <w:tcPr>
                        <w:tcW w:w="3308"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49"/>
                          <w:ind w:left="11" w:right="99"/>
                          <w:jc w:val="left"/>
                          <w:rPr>
                            <w:rFonts w:ascii="宋体" w:hAnsi="宋体" w:cs="宋体" w:eastAsia="宋体" w:hint="default"/>
                            <w:sz w:val="18"/>
                            <w:szCs w:val="18"/>
                          </w:rPr>
                        </w:pPr>
                        <w:r>
                          <w:rPr>
                            <w:rFonts w:ascii="宋体" w:hAnsi="宋体" w:cs="宋体" w:eastAsia="宋体" w:hint="default"/>
                            <w:sz w:val="18"/>
                            <w:szCs w:val="18"/>
                          </w:rPr>
                          <w:t>主要系在经历上市以来对研发持续投入 </w:t>
                        </w:r>
                        <w:r>
                          <w:rPr>
                            <w:rFonts w:ascii="宋体" w:hAnsi="宋体" w:cs="宋体" w:eastAsia="宋体" w:hint="default"/>
                            <w:spacing w:val="-16"/>
                            <w:sz w:val="18"/>
                            <w:szCs w:val="18"/>
                          </w:rPr>
                          <w:t>后，</w:t>
                        </w:r>
                        <w:r>
                          <w:rPr>
                            <w:rFonts w:ascii="Times New Roman" w:hAnsi="Times New Roman" w:cs="Times New Roman" w:eastAsia="Times New Roman" w:hint="default"/>
                            <w:spacing w:val="-16"/>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年公司对研发的投入进入平稳期</w:t>
                        </w:r>
                      </w:p>
                    </w:tc>
                  </w:tr>
                  <w:tr>
                    <w:trPr>
                      <w:trHeight w:val="392"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8" w:type="dxa"/>
                        <w:vMerge/>
                        <w:tcBorders>
                          <w:left w:val="single" w:sz="12" w:space="0" w:color="D2D2D2"/>
                          <w:right w:val="single" w:sz="4" w:space="0" w:color="000000"/>
                        </w:tcBorders>
                      </w:tcPr>
                      <w:p>
                        <w:pPr/>
                      </w:p>
                    </w:tc>
                    <w:tc>
                      <w:tcPr>
                        <w:tcW w:w="1411" w:type="dxa"/>
                        <w:vMerge/>
                        <w:tcBorders>
                          <w:left w:val="single" w:sz="4" w:space="0" w:color="000000"/>
                          <w:right w:val="single" w:sz="10" w:space="0" w:color="CCE8CF"/>
                        </w:tcBorders>
                      </w:tcPr>
                      <w:p>
                        <w:pPr/>
                      </w:p>
                    </w:tc>
                    <w:tc>
                      <w:tcPr>
                        <w:tcW w:w="128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-2.50%</w:t>
                        </w:r>
                      </w:p>
                    </w:tc>
                    <w:tc>
                      <w:tcPr>
                        <w:tcW w:w="3308" w:type="dxa"/>
                        <w:vMerge/>
                        <w:tcBorders>
                          <w:left w:val="single" w:sz="4" w:space="0" w:color="000000"/>
                          <w:right w:val="single" w:sz="4" w:space="0" w:color="000000"/>
                        </w:tcBorders>
                        <w:shd w:val="clear" w:color="auto" w:fill="CCE8CF"/>
                      </w:tcPr>
                      <w:p>
                        <w:pPr/>
                      </w:p>
                    </w:tc>
                  </w:tr>
                  <w:tr>
                    <w:trPr>
                      <w:trHeight w:val="14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12" w:space="0" w:color="D2D2D2"/>
                          <w:bottom w:val="single" w:sz="4" w:space="0" w:color="000000"/>
                          <w:right w:val="single" w:sz="4" w:space="0" w:color="000000"/>
                        </w:tcBorders>
                      </w:tcPr>
                      <w:p>
                        <w:pPr/>
                      </w:p>
                    </w:tc>
                    <w:tc>
                      <w:tcPr>
                        <w:tcW w:w="1411" w:type="dxa"/>
                        <w:vMerge/>
                        <w:tcBorders>
                          <w:left w:val="single" w:sz="4" w:space="0" w:color="000000"/>
                          <w:bottom w:val="single" w:sz="4" w:space="0" w:color="000000"/>
                          <w:right w:val="single" w:sz="10" w:space="0" w:color="CCE8CF"/>
                        </w:tcBorders>
                      </w:tcPr>
                      <w:p>
                        <w:pPr/>
                      </w:p>
                    </w:tc>
                    <w:tc>
                      <w:tcPr>
                        <w:tcW w:w="1287" w:type="dxa"/>
                        <w:tcBorders>
                          <w:top w:val="nil" w:sz="6" w:space="0" w:color="auto"/>
                          <w:left w:val="single" w:sz="4" w:space="0" w:color="000000"/>
                          <w:bottom w:val="single" w:sz="4" w:space="0" w:color="000000"/>
                          <w:right w:val="single" w:sz="4" w:space="0" w:color="000000"/>
                        </w:tcBorders>
                        <w:shd w:val="clear" w:color="auto" w:fill="CCE8CF"/>
                      </w:tcPr>
                      <w:p>
                        <w:pPr/>
                      </w:p>
                    </w:tc>
                    <w:tc>
                      <w:tcPr>
                        <w:tcW w:w="3308" w:type="dxa"/>
                        <w:vMerge/>
                        <w:tcBorders>
                          <w:left w:val="single" w:sz="4" w:space="0" w:color="000000"/>
                          <w:bottom w:val="single" w:sz="4" w:space="0" w:color="000000"/>
                          <w:right w:val="single" w:sz="4" w:space="0" w:color="000000"/>
                        </w:tcBorders>
                        <w:shd w:val="clear" w:color="auto" w:fill="CCE8CF"/>
                      </w:tcPr>
                      <w:p>
                        <w:pPr/>
                      </w:p>
                    </w:tc>
                  </w:tr>
                </w:tbl>
                <w:p>
                  <w:pPr/>
                </w:p>
              </w:txbxContent>
            </v:textbox>
            <w10:wrap type="none"/>
          </v:shape>
        </w:pict>
      </w:r>
      <w:r>
        <w:rPr/>
        <w:t>，</w:t>
      </w:r>
    </w:p>
    <w:p>
      <w:pPr>
        <w:spacing w:after="0" w:line="240" w:lineRule="auto"/>
        <w:jc w:val="right"/>
        <w:sectPr>
          <w:pgSz w:w="11910" w:h="16840"/>
          <w:pgMar w:header="786" w:footer="1267" w:top="1100" w:bottom="146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411"/>
        <w:gridCol w:w="1275"/>
        <w:gridCol w:w="3320"/>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32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变化幅度较小</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line="338" w:lineRule="auto" w:before="0"/>
        <w:ind w:left="506" w:right="6967" w:hanging="354"/>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报告期已完成研发工作的主要有以下项目：</w:t>
      </w:r>
      <w:r>
        <w:rPr>
          <w:rFonts w:ascii="宋体" w:hAnsi="宋体" w:cs="宋体" w:eastAsia="宋体" w:hint="default"/>
          <w:sz w:val="18"/>
          <w:szCs w:val="18"/>
        </w:rPr>
      </w:r>
    </w:p>
    <w:p>
      <w:pPr>
        <w:pStyle w:val="BodyText"/>
        <w:spacing w:line="240" w:lineRule="auto" w:before="125"/>
        <w:ind w:left="513" w:right="1117"/>
        <w:jc w:val="left"/>
      </w:pPr>
      <w:r>
        <w:rPr>
          <w:rFonts w:ascii="Times New Roman" w:hAnsi="Times New Roman" w:cs="Times New Roman" w:eastAsia="Times New Roman" w:hint="default"/>
        </w:rPr>
        <w:t>1</w:t>
      </w:r>
      <w:r>
        <w:rPr/>
        <w:t>、高伟达核心业务系统</w:t>
      </w:r>
    </w:p>
    <w:p>
      <w:pPr>
        <w:spacing w:line="240" w:lineRule="auto" w:before="10"/>
        <w:rPr>
          <w:rFonts w:ascii="宋体" w:hAnsi="宋体" w:cs="宋体" w:eastAsia="宋体" w:hint="default"/>
          <w:sz w:val="13"/>
          <w:szCs w:val="13"/>
        </w:rPr>
      </w:pPr>
    </w:p>
    <w:p>
      <w:pPr>
        <w:pStyle w:val="BodyText"/>
        <w:spacing w:line="309" w:lineRule="auto"/>
        <w:ind w:right="1129" w:firstLine="360"/>
        <w:jc w:val="both"/>
      </w:pPr>
      <w:r>
        <w:rPr>
          <w:rFonts w:ascii="Times New Roman" w:hAnsi="Times New Roman" w:cs="Times New Roman" w:eastAsia="Times New Roman" w:hint="default"/>
          <w:spacing w:val="-2"/>
        </w:rPr>
        <w:t>2018</w:t>
      </w:r>
      <w:r>
        <w:rPr>
          <w:spacing w:val="-2"/>
        </w:rPr>
        <w:t>年核心系统完成以下方面的提升优化：完成核心系统前、中、后台开发工具的一体化集成，简化开发难度、缩短培</w:t>
      </w:r>
      <w:r>
        <w:rPr/>
        <w:t> </w:t>
      </w:r>
      <w:r>
        <w:rPr>
          <w:spacing w:val="-2"/>
        </w:rPr>
        <w:t>训周期、提高开发质量；实现完全主数据驱动的规范化开发模式；批处理调度模块进行了根本改造，形成独立批处理调度平</w:t>
      </w:r>
      <w:r>
        <w:rPr>
          <w:spacing w:val="-64"/>
        </w:rPr>
        <w:t> </w:t>
      </w:r>
      <w:r>
        <w:rPr>
          <w:spacing w:val="-64"/>
        </w:rPr>
      </w:r>
      <w:r>
        <w:rPr>
          <w:spacing w:val="-1"/>
        </w:rPr>
        <w:t>台；实现分布式任务调度能力，实现参数化灵活配置批处理任务的并发模式，集成</w:t>
      </w:r>
      <w:r>
        <w:rPr>
          <w:rFonts w:ascii="Times New Roman" w:hAnsi="Times New Roman" w:cs="Times New Roman" w:eastAsia="Times New Roman" w:hint="default"/>
          <w:spacing w:val="-1"/>
        </w:rPr>
        <w:t>DataX</w:t>
      </w:r>
      <w:r>
        <w:rPr>
          <w:spacing w:val="-1"/>
        </w:rPr>
        <w:t>数据库处理工具，提升数据库处理</w:t>
      </w:r>
      <w:r>
        <w:rPr>
          <w:spacing w:val="-47"/>
        </w:rPr>
        <w:t> </w:t>
      </w:r>
      <w:r>
        <w:rPr>
          <w:spacing w:val="-47"/>
        </w:rPr>
      </w:r>
      <w:r>
        <w:rPr>
          <w:spacing w:val="-2"/>
        </w:rPr>
        <w:t>能力；贷款核算平台的版本整合，可对接信管、国结、电票、网贷等系统，实现独立部署的全行级贷款核算平台；同时后端</w:t>
      </w:r>
      <w:r>
        <w:rPr>
          <w:spacing w:val="-73"/>
        </w:rPr>
        <w:t> </w:t>
      </w:r>
      <w:r>
        <w:rPr>
          <w:spacing w:val="-73"/>
        </w:rPr>
      </w:r>
      <w:r>
        <w:rPr/>
        <w:t>集成会计核算平台，实现从贷款核算与会计核算的灵活松耦合系统架构。</w:t>
      </w:r>
    </w:p>
    <w:p>
      <w:pPr>
        <w:pStyle w:val="BodyText"/>
        <w:spacing w:line="240" w:lineRule="auto" w:before="144"/>
        <w:ind w:left="513" w:right="1117"/>
        <w:jc w:val="left"/>
      </w:pPr>
      <w:r>
        <w:rPr/>
        <w:t>目前该平台已经在华融湘江银行等客户上线运行。</w:t>
      </w:r>
    </w:p>
    <w:p>
      <w:pPr>
        <w:pStyle w:val="BodyText"/>
        <w:spacing w:line="430" w:lineRule="atLeast" w:before="15"/>
        <w:ind w:left="513" w:right="1117"/>
        <w:jc w:val="left"/>
      </w:pPr>
      <w:r>
        <w:rPr>
          <w:rFonts w:ascii="Times New Roman" w:hAnsi="Times New Roman" w:cs="Times New Roman" w:eastAsia="Times New Roman" w:hint="default"/>
        </w:rPr>
        <w:t>2</w:t>
      </w:r>
      <w:r>
        <w:rPr/>
        <w:t>、高伟达新信贷业务系统（对公信贷） </w:t>
      </w:r>
      <w:r>
        <w:rPr>
          <w:spacing w:val="-2"/>
        </w:rPr>
        <w:t>在</w:t>
      </w:r>
      <w:r>
        <w:rPr>
          <w:rFonts w:ascii="Times New Roman" w:hAnsi="Times New Roman" w:cs="Times New Roman" w:eastAsia="Times New Roman" w:hint="default"/>
          <w:spacing w:val="-2"/>
        </w:rPr>
        <w:t>2018</w:t>
      </w:r>
      <w:r>
        <w:rPr>
          <w:spacing w:val="-2"/>
        </w:rPr>
        <w:t>年，监管对金融科技提出了更高的要求，在此背景下，本项目紧跟监管当局的要求，适应业务的发展需要，完成</w:t>
      </w:r>
    </w:p>
    <w:p>
      <w:pPr>
        <w:pStyle w:val="BodyText"/>
        <w:spacing w:line="316" w:lineRule="auto" w:before="63"/>
        <w:ind w:right="1117"/>
        <w:jc w:val="left"/>
      </w:pPr>
      <w:r>
        <w:rPr>
          <w:spacing w:val="-2"/>
        </w:rPr>
        <w:t>了适应监管要求的统一授信、担保品管理等功能的开发，同时，将分布式技术应用于基础平台，使高伟达新信贷系统能够适</w:t>
      </w:r>
      <w:r>
        <w:rPr>
          <w:spacing w:val="-65"/>
        </w:rPr>
        <w:t> </w:t>
      </w:r>
      <w:r>
        <w:rPr>
          <w:spacing w:val="-65"/>
        </w:rPr>
      </w:r>
      <w:r>
        <w:rPr/>
        <w:t>应未来几年技术发展的要求。</w:t>
      </w:r>
    </w:p>
    <w:p>
      <w:pPr>
        <w:pStyle w:val="BodyText"/>
        <w:spacing w:line="300" w:lineRule="auto" w:before="139"/>
        <w:ind w:right="1132" w:firstLine="360"/>
        <w:jc w:val="both"/>
      </w:pPr>
      <w:r>
        <w:rPr>
          <w:spacing w:val="-2"/>
        </w:rPr>
        <w:t>在</w:t>
      </w:r>
      <w:r>
        <w:rPr>
          <w:rFonts w:ascii="Times New Roman" w:hAnsi="Times New Roman" w:cs="Times New Roman" w:eastAsia="Times New Roman" w:hint="default"/>
          <w:spacing w:val="-2"/>
        </w:rPr>
        <w:t>2018</w:t>
      </w:r>
      <w:r>
        <w:rPr>
          <w:spacing w:val="-2"/>
        </w:rPr>
        <w:t>年完成产品研发的基础上，研发成果在柳州银行信贷二期、邮储银行担保系统、重庆农商行信贷系统等项目中得</w:t>
      </w:r>
      <w:r>
        <w:rPr/>
        <w:t> 到应用。预期在未来三年能够为公司带来市场效益。</w:t>
      </w:r>
    </w:p>
    <w:p>
      <w:pPr>
        <w:pStyle w:val="BodyText"/>
        <w:spacing w:line="415" w:lineRule="auto" w:before="151"/>
        <w:ind w:left="513" w:right="1117"/>
        <w:jc w:val="left"/>
      </w:pPr>
      <w:r>
        <w:rPr>
          <w:rFonts w:ascii="Times New Roman" w:hAnsi="Times New Roman" w:cs="Times New Roman" w:eastAsia="Times New Roman" w:hint="default"/>
        </w:rPr>
        <w:t>3</w:t>
      </w:r>
      <w:r>
        <w:rPr/>
        <w:t>、高伟达资产交易平台（二期）： </w:t>
      </w:r>
      <w:r>
        <w:rPr>
          <w:spacing w:val="-2"/>
        </w:rPr>
        <w:t>该票据平台为中小企业解决小散票据融资问题，符合国家扶持供应链中小企业的政策方向。在商票及银票业务领域开拓</w:t>
      </w:r>
    </w:p>
    <w:p>
      <w:pPr>
        <w:pStyle w:val="BodyText"/>
        <w:spacing w:line="194" w:lineRule="exact"/>
        <w:ind w:right="1117"/>
        <w:jc w:val="left"/>
      </w:pPr>
      <w:r>
        <w:rPr/>
        <w:t>不同类型的</w:t>
      </w:r>
      <w:r>
        <w:rPr>
          <w:rFonts w:ascii="Times New Roman" w:hAnsi="Times New Roman" w:cs="Times New Roman" w:eastAsia="Times New Roman" w:hint="default"/>
        </w:rPr>
        <w:t>“</w:t>
      </w:r>
      <w:r>
        <w:rPr/>
        <w:t>生产线</w:t>
      </w:r>
      <w:r>
        <w:rPr>
          <w:rFonts w:ascii="Times New Roman" w:hAnsi="Times New Roman" w:cs="Times New Roman" w:eastAsia="Times New Roman" w:hint="default"/>
        </w:rPr>
        <w:t>”</w:t>
      </w:r>
      <w:r>
        <w:rPr/>
        <w:t>，为资金方及资产方提供了多层次的技术手段及平台资源。</w:t>
      </w:r>
    </w:p>
    <w:p>
      <w:pPr>
        <w:spacing w:line="240" w:lineRule="auto" w:before="13"/>
        <w:rPr>
          <w:rFonts w:ascii="宋体" w:hAnsi="宋体" w:cs="宋体" w:eastAsia="宋体" w:hint="default"/>
          <w:sz w:val="13"/>
          <w:szCs w:val="13"/>
        </w:rPr>
      </w:pPr>
    </w:p>
    <w:p>
      <w:pPr>
        <w:pStyle w:val="BodyText"/>
        <w:spacing w:line="309" w:lineRule="auto"/>
        <w:ind w:right="1128" w:firstLine="360"/>
        <w:jc w:val="both"/>
      </w:pPr>
      <w:r>
        <w:rPr>
          <w:rFonts w:ascii="Times New Roman" w:hAnsi="Times New Roman" w:cs="Times New Roman" w:eastAsia="Times New Roman" w:hint="default"/>
          <w:spacing w:val="-1"/>
        </w:rPr>
        <w:t>2018</w:t>
      </w:r>
      <w:r>
        <w:rPr>
          <w:spacing w:val="-1"/>
        </w:rPr>
        <w:t>年，平台主要从如下几方面进行了技术服务升级，提高了产品竞争力：拓展了银行、</w:t>
      </w:r>
      <w:r>
        <w:rPr>
          <w:rFonts w:ascii="Times New Roman" w:hAnsi="Times New Roman" w:cs="Times New Roman" w:eastAsia="Times New Roman" w:hint="default"/>
          <w:spacing w:val="-1"/>
        </w:rPr>
        <w:t>B2B</w:t>
      </w:r>
      <w:r>
        <w:rPr>
          <w:spacing w:val="-1"/>
        </w:rPr>
        <w:t>平台、保理公司类型的客</w:t>
      </w:r>
      <w:r>
        <w:rPr/>
        <w:t> </w:t>
      </w:r>
      <w:r>
        <w:rPr>
          <w:spacing w:val="-5"/>
        </w:rPr>
        <w:t>户；在一般商票模式基础上，新增保理投资模式，拓展交易途径；并且，平台设置银行直贴引流渠道展示页，增强引流功能；</w:t>
      </w:r>
      <w:r>
        <w:rPr>
          <w:spacing w:val="-79"/>
        </w:rPr>
        <w:t> </w:t>
      </w:r>
      <w:r>
        <w:rPr>
          <w:spacing w:val="-79"/>
        </w:rPr>
      </w:r>
      <w:r>
        <w:rPr>
          <w:spacing w:val="-2"/>
        </w:rPr>
        <w:t>上架买方子系统，支持所有平台合作角色使用买卖方角色进行操作，搭建了技术运维团队及业务运营团队，更好的服务既有</w:t>
      </w:r>
      <w:r>
        <w:rPr>
          <w:spacing w:val="-63"/>
        </w:rPr>
        <w:t> </w:t>
      </w:r>
      <w:r>
        <w:rPr>
          <w:spacing w:val="-63"/>
        </w:rPr>
      </w:r>
      <w:r>
        <w:rPr/>
        <w:t>客户；进行系统安全升级，加强代码质量内控力度。</w:t>
      </w:r>
      <w:r>
        <w:rPr>
          <w:rFonts w:ascii="Times New Roman" w:hAnsi="Times New Roman" w:cs="Times New Roman" w:eastAsia="Times New Roman" w:hint="default"/>
        </w:rPr>
        <w:t>2018</w:t>
      </w:r>
      <w:r>
        <w:rPr/>
        <w:t>年第三季度，平台进行了架构升级，将单用户架构升级为多租户</w:t>
      </w:r>
      <w:r>
        <w:rPr>
          <w:spacing w:val="-8"/>
        </w:rPr>
        <w:t> </w:t>
      </w:r>
      <w:r>
        <w:rPr>
          <w:spacing w:val="-8"/>
        </w:rPr>
      </w:r>
      <w:r>
        <w:rPr>
          <w:rFonts w:ascii="Times New Roman" w:hAnsi="Times New Roman" w:cs="Times New Roman" w:eastAsia="Times New Roman" w:hint="default"/>
        </w:rPr>
        <w:t>SAAS</w:t>
      </w:r>
      <w:r>
        <w:rPr/>
        <w:t>架构，架构升级带来了配置化服务能力的提升，且有利于节约服务器软、硬件成本。</w:t>
      </w:r>
    </w:p>
    <w:p>
      <w:pPr>
        <w:pStyle w:val="BodyText"/>
        <w:spacing w:line="240" w:lineRule="auto" w:before="125"/>
        <w:ind w:left="513" w:right="1117"/>
        <w:jc w:val="left"/>
      </w:pPr>
      <w:r>
        <w:rPr/>
        <w:t>由该项目延伸的聚票盈项目，已拓展了更多银行客户以及深耕供应链的</w:t>
      </w:r>
      <w:r>
        <w:rPr>
          <w:rFonts w:ascii="Times New Roman" w:hAnsi="Times New Roman" w:cs="Times New Roman" w:eastAsia="Times New Roman" w:hint="default"/>
        </w:rPr>
        <w:t>B2B</w:t>
      </w:r>
      <w:r>
        <w:rPr/>
        <w:t>平台类企业客户和保理公司客户。</w:t>
      </w:r>
    </w:p>
    <w:p>
      <w:pPr>
        <w:spacing w:line="240" w:lineRule="auto" w:before="13"/>
        <w:rPr>
          <w:rFonts w:ascii="宋体" w:hAnsi="宋体" w:cs="宋体" w:eastAsia="宋体" w:hint="default"/>
          <w:sz w:val="13"/>
          <w:szCs w:val="13"/>
        </w:rPr>
      </w:pPr>
    </w:p>
    <w:p>
      <w:pPr>
        <w:pStyle w:val="BodyText"/>
        <w:spacing w:line="240" w:lineRule="auto"/>
        <w:ind w:left="513" w:right="1117"/>
        <w:jc w:val="left"/>
      </w:pPr>
      <w:r>
        <w:rPr>
          <w:rFonts w:ascii="Times New Roman" w:hAnsi="Times New Roman" w:cs="Times New Roman" w:eastAsia="Times New Roman" w:hint="default"/>
        </w:rPr>
        <w:t>4</w:t>
      </w:r>
      <w:r>
        <w:rPr/>
        <w:t>、高伟达新信贷业务系统（零售信贷移动端）：</w:t>
      </w:r>
    </w:p>
    <w:p>
      <w:pPr>
        <w:spacing w:line="240" w:lineRule="auto" w:before="13"/>
        <w:rPr>
          <w:rFonts w:ascii="宋体" w:hAnsi="宋体" w:cs="宋体" w:eastAsia="宋体" w:hint="default"/>
          <w:sz w:val="13"/>
          <w:szCs w:val="13"/>
        </w:rPr>
      </w:pPr>
    </w:p>
    <w:p>
      <w:pPr>
        <w:pStyle w:val="BodyText"/>
        <w:spacing w:line="309" w:lineRule="auto"/>
        <w:ind w:right="1132" w:firstLine="451"/>
        <w:jc w:val="both"/>
      </w:pPr>
      <w:r>
        <w:rPr>
          <w:rFonts w:ascii="Times New Roman" w:hAnsi="Times New Roman" w:cs="Times New Roman" w:eastAsia="Times New Roman" w:hint="default"/>
        </w:rPr>
        <w:t>2018</w:t>
      </w:r>
      <w:r>
        <w:rPr/>
        <w:t>年，积极响应金融服务实业、服务小微的监管要求，完成了小微企业信贷决策引擎的研发，包括了规则引擎、模 </w:t>
      </w:r>
      <w:r>
        <w:rPr>
          <w:spacing w:val="-5"/>
        </w:rPr>
        <w:t>型库、模型验证等功能，支持客户预筛选、客户信用评分、行为评分、催收评分、反欺诈、风险分类、风险预警等多类模型，</w:t>
      </w:r>
      <w:r>
        <w:rPr>
          <w:spacing w:val="-79"/>
        </w:rPr>
        <w:t> </w:t>
      </w:r>
      <w:r>
        <w:rPr>
          <w:spacing w:val="-79"/>
        </w:rPr>
      </w:r>
      <w:r>
        <w:rPr/>
        <w:t>实现了本项目立项目标。</w:t>
      </w:r>
    </w:p>
    <w:p>
      <w:pPr>
        <w:pStyle w:val="BodyText"/>
        <w:spacing w:line="240" w:lineRule="auto" w:before="144"/>
        <w:ind w:left="695" w:right="1117"/>
        <w:jc w:val="left"/>
      </w:pPr>
      <w:r>
        <w:rPr/>
        <w:t>新的研发成果已经在河北银行得到应用。预计在未来三年能够为高伟达公司带来市场效益。</w:t>
      </w:r>
    </w:p>
    <w:p>
      <w:pPr>
        <w:spacing w:line="240" w:lineRule="auto" w:before="0"/>
        <w:rPr>
          <w:rFonts w:ascii="宋体" w:hAnsi="宋体" w:cs="宋体" w:eastAsia="宋体" w:hint="default"/>
          <w:sz w:val="15"/>
          <w:szCs w:val="15"/>
        </w:rPr>
      </w:pPr>
    </w:p>
    <w:p>
      <w:pPr>
        <w:pStyle w:val="BodyText"/>
        <w:spacing w:line="240" w:lineRule="auto"/>
        <w:ind w:left="513" w:right="1117"/>
        <w:jc w:val="left"/>
      </w:pPr>
      <w:r>
        <w:rPr>
          <w:rFonts w:ascii="Times New Roman" w:hAnsi="Times New Roman" w:cs="Times New Roman" w:eastAsia="Times New Roman" w:hint="default"/>
        </w:rPr>
        <w:t>5</w:t>
      </w:r>
      <w:r>
        <w:rPr/>
        <w:t>、钽云场景化自动运维管理平台产品迭代：</w:t>
      </w:r>
    </w:p>
    <w:p>
      <w:pPr>
        <w:spacing w:line="240" w:lineRule="auto" w:before="13"/>
        <w:rPr>
          <w:rFonts w:ascii="宋体" w:hAnsi="宋体" w:cs="宋体" w:eastAsia="宋体" w:hint="default"/>
          <w:sz w:val="13"/>
          <w:szCs w:val="13"/>
        </w:rPr>
      </w:pPr>
    </w:p>
    <w:p>
      <w:pPr>
        <w:pStyle w:val="BodyText"/>
        <w:spacing w:line="309" w:lineRule="auto"/>
        <w:ind w:right="1131" w:firstLine="360"/>
        <w:jc w:val="both"/>
      </w:pPr>
      <w:r>
        <w:rPr>
          <w:rFonts w:ascii="Times New Roman" w:hAnsi="Times New Roman" w:cs="Times New Roman" w:eastAsia="Times New Roman" w:hint="default"/>
          <w:spacing w:val="-2"/>
        </w:rPr>
        <w:t>2018</w:t>
      </w:r>
      <w:r>
        <w:rPr>
          <w:spacing w:val="-2"/>
        </w:rPr>
        <w:t>年公司对自动化运维平台进行全面测试，进一步增强了产品的稳定性，并提升了产品的人机交互。对</w:t>
      </w:r>
      <w:r>
        <w:rPr>
          <w:rFonts w:ascii="Times New Roman" w:hAnsi="Times New Roman" w:cs="Times New Roman" w:eastAsia="Times New Roman" w:hint="default"/>
          <w:spacing w:val="-2"/>
        </w:rPr>
        <w:t>IT</w:t>
      </w:r>
      <w:r>
        <w:rPr>
          <w:spacing w:val="-2"/>
        </w:rPr>
        <w:t>自动化运维</w:t>
      </w:r>
      <w:r>
        <w:rPr/>
        <w:t> </w:t>
      </w:r>
      <w:r>
        <w:rPr>
          <w:spacing w:val="-2"/>
        </w:rPr>
        <w:t>场景进行抽象，基于服务化的设计理念，将系统运维常用场景以服务化方式封装并发布，实现一键式自动运维，并提供服务</w:t>
      </w:r>
      <w:r>
        <w:rPr>
          <w:spacing w:val="-65"/>
        </w:rPr>
        <w:t> </w:t>
      </w:r>
      <w:r>
        <w:rPr>
          <w:spacing w:val="-65"/>
        </w:rPr>
      </w:r>
      <w:r>
        <w:rPr/>
        <w:t>编排功能。支持可视化的服务编排、定义、发布，等生命周期管理。</w:t>
      </w:r>
    </w:p>
    <w:p>
      <w:pPr>
        <w:pStyle w:val="BodyText"/>
        <w:spacing w:line="240" w:lineRule="auto" w:before="144"/>
        <w:ind w:left="513" w:right="991"/>
        <w:jc w:val="left"/>
      </w:pPr>
      <w:r>
        <w:rPr/>
        <w:t>该产品适用于云化数据中心的运维场景。采用服务化的设计理念，通过将运维操作进行标准化和自动化，能够极大提升</w:t>
      </w:r>
    </w:p>
    <w:p>
      <w:pPr>
        <w:spacing w:after="0" w:line="240" w:lineRule="auto"/>
        <w:jc w:val="left"/>
        <w:sectPr>
          <w:pgSz w:w="11910" w:h="16840"/>
          <w:pgMar w:header="786" w:footer="1267" w:top="1100" w:bottom="146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0"/>
        <w:jc w:val="both"/>
      </w:pPr>
      <w:r>
        <w:rPr/>
        <w:t>数据中心运维效率并有效降低运维风险，具有广阔的市场前景。</w:t>
      </w:r>
    </w:p>
    <w:p>
      <w:pPr>
        <w:spacing w:line="240" w:lineRule="auto" w:before="0"/>
        <w:rPr>
          <w:rFonts w:ascii="宋体" w:hAnsi="宋体" w:cs="宋体" w:eastAsia="宋体" w:hint="default"/>
          <w:sz w:val="15"/>
          <w:szCs w:val="15"/>
        </w:rPr>
      </w:pPr>
    </w:p>
    <w:p>
      <w:pPr>
        <w:pStyle w:val="BodyText"/>
        <w:spacing w:line="316" w:lineRule="auto"/>
        <w:ind w:right="1130" w:firstLine="360"/>
        <w:jc w:val="both"/>
      </w:pPr>
      <w:r>
        <w:rPr>
          <w:spacing w:val="-5"/>
        </w:rPr>
        <w:t>本产品已经投入市场，并成功落地实施，为多家客户解决了运维中的棘手问题。应用的典型场景包括：自动化巡检服务、</w:t>
      </w:r>
      <w:r>
        <w:rPr/>
        <w:t> </w:t>
      </w:r>
      <w:r>
        <w:rPr>
          <w:spacing w:val="-2"/>
        </w:rPr>
        <w:t>自动化应用发布服务、自动化灾备切换服务、自动化配置采集服务等。本产品的研发和成功实施，增强了本公司在数据中心</w:t>
      </w:r>
      <w:r>
        <w:rPr>
          <w:spacing w:val="-65"/>
        </w:rPr>
        <w:t> </w:t>
      </w:r>
      <w:r>
        <w:rPr>
          <w:spacing w:val="-65"/>
        </w:rPr>
      </w:r>
      <w:r>
        <w:rPr/>
        <w:t>运维服务领域的竞争力，充实了公司产品解决方案产品线。</w:t>
      </w:r>
    </w:p>
    <w:p>
      <w:pPr>
        <w:pStyle w:val="BodyText"/>
        <w:spacing w:line="240" w:lineRule="auto" w:before="139"/>
        <w:ind w:left="513" w:right="1117"/>
        <w:jc w:val="left"/>
      </w:pPr>
      <w:r>
        <w:rPr>
          <w:rFonts w:ascii="Times New Roman" w:hAnsi="Times New Roman" w:cs="Times New Roman" w:eastAsia="Times New Roman" w:hint="default"/>
        </w:rPr>
        <w:t>6</w:t>
      </w:r>
      <w:r>
        <w:rPr/>
        <w:t>、钽云双态云管理平台产品迭代：</w:t>
      </w:r>
    </w:p>
    <w:p>
      <w:pPr>
        <w:spacing w:line="240" w:lineRule="auto" w:before="13"/>
        <w:rPr>
          <w:rFonts w:ascii="宋体" w:hAnsi="宋体" w:cs="宋体" w:eastAsia="宋体" w:hint="default"/>
          <w:sz w:val="13"/>
          <w:szCs w:val="13"/>
        </w:rPr>
      </w:pPr>
    </w:p>
    <w:p>
      <w:pPr>
        <w:pStyle w:val="BodyText"/>
        <w:spacing w:line="309" w:lineRule="auto"/>
        <w:ind w:right="1126" w:firstLine="451"/>
        <w:jc w:val="both"/>
      </w:pPr>
      <w:r>
        <w:rPr>
          <w:rFonts w:ascii="Times New Roman" w:hAnsi="Times New Roman" w:cs="Times New Roman" w:eastAsia="Times New Roman" w:hint="default"/>
          <w:spacing w:val="-1"/>
        </w:rPr>
        <w:t>2018</w:t>
      </w:r>
      <w:r>
        <w:rPr>
          <w:spacing w:val="-1"/>
        </w:rPr>
        <w:t>年公司对云管平台进行全面测试，进一步增强了产品的稳定性，并提升了产品的人机交互，采用</w:t>
      </w:r>
      <w:r>
        <w:rPr>
          <w:rFonts w:ascii="Times New Roman" w:hAnsi="Times New Roman" w:cs="Times New Roman" w:eastAsia="Times New Roman" w:hint="default"/>
          <w:spacing w:val="-1"/>
        </w:rPr>
        <w:t>MVVM</w:t>
      </w:r>
      <w:r>
        <w:rPr>
          <w:spacing w:val="-1"/>
        </w:rPr>
        <w:t>前端技术</w:t>
      </w:r>
      <w:r>
        <w:rPr/>
        <w:t> </w:t>
      </w:r>
      <w:r>
        <w:rPr>
          <w:spacing w:val="-2"/>
        </w:rPr>
        <w:t>优化产品前端页面，增强用户体验，增强前端展示性能。提升产品对异构资源的对接能力，使云管平台能够同时支持多种底</w:t>
      </w:r>
      <w:r>
        <w:rPr>
          <w:spacing w:val="-64"/>
        </w:rPr>
        <w:t> </w:t>
      </w:r>
      <w:r>
        <w:rPr>
          <w:spacing w:val="-64"/>
        </w:rPr>
      </w:r>
      <w:r>
        <w:rPr/>
        <w:t>层虚拟计算资源、存储资源和网络资源。</w:t>
      </w:r>
    </w:p>
    <w:p>
      <w:pPr>
        <w:pStyle w:val="BodyText"/>
        <w:spacing w:line="319" w:lineRule="auto" w:before="144"/>
        <w:ind w:right="1133" w:firstLine="360"/>
        <w:jc w:val="both"/>
      </w:pPr>
      <w:r>
        <w:rPr>
          <w:spacing w:val="-2"/>
        </w:rPr>
        <w:t>当前，企业数据中心云化转型正在全面展开，云化数据中心建设需要使用多厂商、多种技术路线的基础设施资源，所以</w:t>
      </w:r>
      <w:r>
        <w:rPr/>
        <w:t> 迫切需要通过云管平台来统一管理各种基础设施资源。本产品具有广阔的市场前景。</w:t>
      </w:r>
    </w:p>
    <w:p>
      <w:pPr>
        <w:pStyle w:val="BodyText"/>
        <w:spacing w:line="309" w:lineRule="auto" w:before="137"/>
        <w:ind w:right="1131" w:firstLine="360"/>
        <w:jc w:val="both"/>
      </w:pPr>
      <w:r>
        <w:rPr>
          <w:rFonts w:ascii="Times New Roman" w:hAnsi="Times New Roman" w:cs="Times New Roman" w:eastAsia="Times New Roman" w:hint="default"/>
          <w:spacing w:val="-2"/>
        </w:rPr>
        <w:t>2018</w:t>
      </w:r>
      <w:r>
        <w:rPr>
          <w:spacing w:val="-2"/>
        </w:rPr>
        <w:t>年本产品已经投入市场，并成功落地实施，为客户实现了租户自服务、异构资源统一管理、云服务一键交付、云服</w:t>
      </w:r>
      <w:r>
        <w:rPr/>
        <w:t> </w:t>
      </w:r>
      <w:r>
        <w:rPr>
          <w:spacing w:val="-2"/>
        </w:rPr>
        <w:t>务可视化编排等能力，帮助客户传统数据中心转型为云化数据中心。本产品的研发和成功实施使公司充实了软件解决方案产</w:t>
      </w:r>
      <w:r>
        <w:rPr>
          <w:spacing w:val="-63"/>
        </w:rPr>
        <w:t> </w:t>
      </w:r>
      <w:r>
        <w:rPr>
          <w:spacing w:val="-63"/>
        </w:rPr>
      </w:r>
      <w:r>
        <w:rPr/>
        <w:t>品线，增强数据中心运维领域竞争能力。</w:t>
      </w:r>
    </w:p>
    <w:p>
      <w:pPr>
        <w:pStyle w:val="Heading5"/>
        <w:spacing w:line="240" w:lineRule="auto" w:before="144"/>
        <w:ind w:left="513" w:right="1117"/>
        <w:jc w:val="left"/>
        <w:rPr>
          <w:b w:val="0"/>
          <w:bCs w:val="0"/>
        </w:rPr>
      </w:pPr>
      <w:r>
        <w:rPr/>
        <w:t>报告期末尚在开发中的主要项目如下：</w:t>
      </w:r>
      <w:r>
        <w:rPr>
          <w:b w:val="0"/>
          <w:bCs w:val="0"/>
        </w:rPr>
      </w:r>
    </w:p>
    <w:p>
      <w:pPr>
        <w:spacing w:line="240" w:lineRule="auto" w:before="0"/>
        <w:rPr>
          <w:rFonts w:ascii="宋体" w:hAnsi="宋体" w:cs="宋体" w:eastAsia="宋体" w:hint="default"/>
          <w:b/>
          <w:bCs/>
          <w:sz w:val="15"/>
          <w:szCs w:val="15"/>
        </w:rPr>
      </w:pPr>
    </w:p>
    <w:p>
      <w:pPr>
        <w:pStyle w:val="BodyText"/>
        <w:spacing w:line="240" w:lineRule="auto"/>
        <w:ind w:left="513" w:right="1117"/>
        <w:jc w:val="left"/>
      </w:pPr>
      <w:r>
        <w:rPr>
          <w:rFonts w:ascii="Times New Roman" w:hAnsi="Times New Roman" w:cs="Times New Roman" w:eastAsia="Times New Roman" w:hint="default"/>
        </w:rPr>
        <w:t>1.</w:t>
      </w:r>
      <w:r>
        <w:rPr/>
        <w:t>高伟达信息管理发布平台（三期）优化项目：</w:t>
      </w:r>
    </w:p>
    <w:p>
      <w:pPr>
        <w:spacing w:line="240" w:lineRule="auto" w:before="13"/>
        <w:rPr>
          <w:rFonts w:ascii="宋体" w:hAnsi="宋体" w:cs="宋体" w:eastAsia="宋体" w:hint="default"/>
          <w:sz w:val="13"/>
          <w:szCs w:val="13"/>
        </w:rPr>
      </w:pPr>
    </w:p>
    <w:p>
      <w:pPr>
        <w:pStyle w:val="BodyText"/>
        <w:spacing w:line="300" w:lineRule="auto"/>
        <w:ind w:right="1130" w:firstLine="360"/>
        <w:jc w:val="both"/>
      </w:pPr>
      <w:r>
        <w:rPr>
          <w:rFonts w:ascii="Times New Roman" w:hAnsi="Times New Roman" w:cs="Times New Roman" w:eastAsia="Times New Roman" w:hint="default"/>
          <w:spacing w:val="-2"/>
        </w:rPr>
        <w:t>2018</w:t>
      </w:r>
      <w:r>
        <w:rPr>
          <w:spacing w:val="-2"/>
        </w:rPr>
        <w:t>年该项目根据项目目标，完善了系统权限、实现合同数据与项目的对照拆分以及优化经营指标的计算，并根据业务</w:t>
      </w:r>
      <w:r>
        <w:rPr/>
        <w:t> 部门和公司对经营管理上的需要对平台报表的完善、改造和建设，为公司经营决策起到支持作用；</w:t>
      </w:r>
    </w:p>
    <w:p>
      <w:pPr>
        <w:pStyle w:val="BodyText"/>
        <w:spacing w:line="300" w:lineRule="auto" w:before="151"/>
        <w:ind w:right="1134" w:firstLine="360"/>
        <w:jc w:val="both"/>
      </w:pPr>
      <w:r>
        <w:rPr>
          <w:rFonts w:ascii="Times New Roman" w:hAnsi="Times New Roman" w:cs="Times New Roman" w:eastAsia="Times New Roman" w:hint="default"/>
          <w:spacing w:val="-2"/>
        </w:rPr>
        <w:t>2019</w:t>
      </w:r>
      <w:r>
        <w:rPr>
          <w:spacing w:val="-2"/>
        </w:rPr>
        <w:t>年将继续验证测试算法、改造后台设计，完善部分统计分析报表，定期邮件自动发送到各分、子公司及事业部，移</w:t>
      </w:r>
      <w:r>
        <w:rPr/>
        <w:t> 动端数据展示等功能。</w:t>
      </w:r>
    </w:p>
    <w:p>
      <w:pPr>
        <w:pStyle w:val="BodyText"/>
        <w:spacing w:line="432" w:lineRule="exact" w:before="16"/>
        <w:ind w:left="513" w:right="1117"/>
        <w:jc w:val="left"/>
      </w:pPr>
      <w:r>
        <w:rPr>
          <w:rFonts w:ascii="Times New Roman" w:hAnsi="Times New Roman" w:cs="Times New Roman" w:eastAsia="Times New Roman" w:hint="default"/>
        </w:rPr>
        <w:t>2.</w:t>
      </w:r>
      <w:r>
        <w:rPr/>
        <w:t>高伟达聚票盈平台业务： </w:t>
      </w:r>
      <w:r>
        <w:rPr>
          <w:spacing w:val="-2"/>
        </w:rPr>
        <w:t>电子商业汇票市场是一个高速增长万亿级的市场，当前，企业使用电票作为应付款支付工具的趋势日益增加，票面金额</w:t>
      </w:r>
    </w:p>
    <w:p>
      <w:pPr>
        <w:pStyle w:val="BodyText"/>
        <w:spacing w:line="309" w:lineRule="auto" w:before="15"/>
        <w:ind w:right="1132"/>
        <w:jc w:val="both"/>
      </w:pPr>
      <w:r>
        <w:rPr>
          <w:spacing w:val="-2"/>
        </w:rPr>
        <w:t>逐渐小额化，同时企业将票据变现需求也在日益增强。票据因其期限短、金额灵活、风险可控，是解决民营企业、小微企业</w:t>
      </w:r>
      <w:r>
        <w:rPr>
          <w:spacing w:val="-68"/>
        </w:rPr>
        <w:t> </w:t>
      </w:r>
      <w:r>
        <w:rPr>
          <w:spacing w:val="-68"/>
        </w:rPr>
      </w:r>
      <w:r>
        <w:rPr>
          <w:spacing w:val="-6"/>
        </w:rPr>
        <w:t>融资难题的重要途径。因此，</w:t>
      </w:r>
      <w:r>
        <w:rPr>
          <w:rFonts w:ascii="Times New Roman" w:hAnsi="Times New Roman" w:cs="Times New Roman" w:eastAsia="Times New Roman" w:hint="default"/>
          <w:spacing w:val="-6"/>
        </w:rPr>
        <w:t>2019</w:t>
      </w:r>
      <w:r>
        <w:rPr>
          <w:rFonts w:ascii="Times New Roman" w:hAnsi="Times New Roman" w:cs="Times New Roman" w:eastAsia="Times New Roman" w:hint="default"/>
          <w:spacing w:val="6"/>
        </w:rPr>
        <w:t> </w:t>
      </w:r>
      <w:r>
        <w:rPr>
          <w:spacing w:val="-3"/>
        </w:rPr>
        <w:t>年聚票盈平台各项票据业务有望呈现增长势头。票据作为民营企业、小微企业支付结算、</w:t>
      </w:r>
      <w:r>
        <w:rPr>
          <w:spacing w:val="-86"/>
        </w:rPr>
        <w:t> </w:t>
      </w:r>
      <w:r>
        <w:rPr>
          <w:spacing w:val="-86"/>
        </w:rPr>
      </w:r>
      <w:r>
        <w:rPr/>
        <w:t>减少流动资金占用、获得短期融资的重要方式，有望延续增长趋势。</w:t>
      </w:r>
    </w:p>
    <w:p>
      <w:pPr>
        <w:pStyle w:val="BodyText"/>
        <w:spacing w:line="319" w:lineRule="auto" w:before="144"/>
        <w:ind w:right="1034" w:firstLine="360"/>
        <w:jc w:val="left"/>
      </w:pPr>
      <w:r>
        <w:rPr>
          <w:rFonts w:ascii="Times New Roman" w:hAnsi="Times New Roman" w:cs="Times New Roman" w:eastAsia="Times New Roman" w:hint="default"/>
        </w:rPr>
        <w:t>2018</w:t>
      </w:r>
      <w:r>
        <w:rPr/>
        <w:t>年，聚票盈平台主要从如下几方面进行了技术服务升级，加强产品竞争力：拓展了股份制银行、供应链管理公司、 </w:t>
      </w:r>
      <w:r>
        <w:rPr>
          <w:rFonts w:ascii="Times New Roman" w:hAnsi="Times New Roman" w:cs="Times New Roman" w:eastAsia="Times New Roman" w:hint="default"/>
        </w:rPr>
        <w:t>B2B</w:t>
      </w:r>
      <w:r>
        <w:rPr/>
        <w:t>电商平台等客户；拓宽票据交易渠道；增加平台功能及服务条线；增强平台系统安全性及质量；实现平台架构升级。 </w:t>
      </w:r>
      <w:r>
        <w:rPr>
          <w:rFonts w:ascii="Times New Roman" w:hAnsi="Times New Roman" w:cs="Times New Roman" w:eastAsia="Times New Roman" w:hint="default"/>
        </w:rPr>
        <w:t>2019</w:t>
      </w:r>
      <w:r>
        <w:rPr/>
        <w:t>年，平台将结合业务推进计划进行系统功能提升，尤其重视以</w:t>
      </w:r>
      <w:r>
        <w:rPr>
          <w:rFonts w:ascii="Times New Roman" w:hAnsi="Times New Roman" w:cs="Times New Roman" w:eastAsia="Times New Roman" w:hint="default"/>
        </w:rPr>
        <w:t>“</w:t>
      </w:r>
      <w:r>
        <w:rPr/>
        <w:t>资管计划为代表的商票资金方</w:t>
      </w:r>
      <w:r>
        <w:rPr>
          <w:rFonts w:ascii="Times New Roman" w:hAnsi="Times New Roman" w:cs="Times New Roman" w:eastAsia="Times New Roman" w:hint="default"/>
        </w:rPr>
        <w:t>”</w:t>
      </w:r>
      <w:r>
        <w:rPr/>
        <w:t>、以</w:t>
      </w:r>
      <w:r>
        <w:rPr>
          <w:rFonts w:ascii="Times New Roman" w:hAnsi="Times New Roman" w:cs="Times New Roman" w:eastAsia="Times New Roman" w:hint="default"/>
        </w:rPr>
        <w:t>“</w:t>
      </w:r>
      <w:r>
        <w:rPr/>
        <w:t>民营银行及股份制</w:t>
      </w:r>
    </w:p>
    <w:p>
      <w:pPr>
        <w:pStyle w:val="BodyText"/>
        <w:spacing w:line="676" w:lineRule="auto"/>
        <w:ind w:right="1854"/>
        <w:jc w:val="left"/>
      </w:pPr>
      <w:r>
        <w:rPr/>
        <w:pict>
          <v:shape style="position:absolute;margin-left:57pt;margin-top:52.391682pt;width:478.7pt;height:141.1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4"/>
                    <w:gridCol w:w="1818"/>
                    <w:gridCol w:w="2393"/>
                    <w:gridCol w:w="2393"/>
                  </w:tblGrid>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8.71%</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48,110,165.19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65,053,129.30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78,632,865.96</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8.08%</w:t>
                        </w:r>
                      </w:p>
                    </w:tc>
                  </w:tr>
                  <w:tr>
                    <w:trPr>
                      <w:trHeight w:val="40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7,532,788.08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23,519,404.70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36,822,349.85</w:t>
                        </w:r>
                      </w:p>
                    </w:tc>
                  </w:tr>
                  <w:tr>
                    <w:trPr>
                      <w:trHeight w:val="401"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18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46.83%</w:t>
                        </w:r>
                      </w:p>
                    </w:tc>
                  </w:tr>
                </w:tbl>
                <w:p>
                  <w:pPr/>
                </w:p>
              </w:txbxContent>
            </v:textbox>
            <w10:wrap type="none"/>
          </v:shape>
        </w:pict>
      </w:r>
      <w:r>
        <w:rPr/>
        <w:t>银行为代表的银票资金方</w:t>
      </w:r>
      <w:r>
        <w:rPr>
          <w:rFonts w:ascii="Times New Roman" w:hAnsi="Times New Roman" w:cs="Times New Roman" w:eastAsia="Times New Roman" w:hint="default"/>
        </w:rPr>
        <w:t>”</w:t>
      </w:r>
      <w:r>
        <w:rPr/>
        <w:t>进行聚焦。在原有基础上进行系统提升，以更好的科技服务实力服务银行、企业客户。 近三年公司研发投入金额及占营业收入的比例</w:t>
      </w:r>
    </w:p>
    <w:p>
      <w:pPr>
        <w:spacing w:after="0" w:line="676" w:lineRule="auto"/>
        <w:jc w:val="left"/>
        <w:sectPr>
          <w:pgSz w:w="11910" w:h="16840"/>
          <w:pgMar w:header="786" w:footer="1267" w:top="1100" w:bottom="146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976"/>
        <w:gridCol w:w="1807"/>
        <w:gridCol w:w="2393"/>
        <w:gridCol w:w="2393"/>
      </w:tblGrid>
      <w:tr>
        <w:trPr>
          <w:trHeight w:val="404"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159.34%</w:t>
            </w:r>
          </w:p>
        </w:tc>
      </w:tr>
    </w:tbl>
    <w:p>
      <w:pPr>
        <w:pStyle w:val="BodyText"/>
        <w:spacing w:line="240" w:lineRule="auto" w:before="49"/>
        <w:ind w:right="1117"/>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14"/>
          <w:szCs w:val="14"/>
        </w:rPr>
      </w:pPr>
    </w:p>
    <w:p>
      <w:pPr>
        <w:pStyle w:val="BodyText"/>
        <w:spacing w:line="297" w:lineRule="auto"/>
        <w:ind w:right="1128" w:firstLine="360"/>
        <w:jc w:val="both"/>
      </w:pPr>
      <w:r>
        <w:rPr>
          <w:spacing w:val="-1"/>
        </w:rPr>
        <w:t>本报告期研发投入资本化金额为</w:t>
      </w:r>
      <w:r>
        <w:rPr>
          <w:rFonts w:ascii="Times New Roman" w:hAnsi="Times New Roman" w:cs="Times New Roman" w:eastAsia="Times New Roman" w:hint="default"/>
          <w:spacing w:val="-1"/>
        </w:rPr>
        <w:t>7,532,788.08</w:t>
      </w:r>
      <w:r>
        <w:rPr>
          <w:spacing w:val="-1"/>
        </w:rPr>
        <w:t>元，相较</w:t>
      </w:r>
      <w:r>
        <w:rPr>
          <w:rFonts w:ascii="Times New Roman" w:hAnsi="Times New Roman" w:cs="Times New Roman" w:eastAsia="Times New Roman" w:hint="default"/>
          <w:spacing w:val="-1"/>
        </w:rPr>
        <w:t>2017</w:t>
      </w:r>
      <w:r>
        <w:rPr>
          <w:spacing w:val="-1"/>
        </w:rPr>
        <w:t>年的</w:t>
      </w:r>
      <w:r>
        <w:rPr>
          <w:rFonts w:ascii="Times New Roman" w:hAnsi="Times New Roman" w:cs="Times New Roman" w:eastAsia="Times New Roman" w:hint="default"/>
          <w:spacing w:val="-1"/>
        </w:rPr>
        <w:t>23,519,404.70</w:t>
      </w:r>
      <w:r>
        <w:rPr>
          <w:spacing w:val="-1"/>
        </w:rPr>
        <w:t>元减少</w:t>
      </w:r>
      <w:r>
        <w:rPr>
          <w:rFonts w:ascii="Times New Roman" w:hAnsi="Times New Roman" w:cs="Times New Roman" w:eastAsia="Times New Roman" w:hint="default"/>
          <w:spacing w:val="-1"/>
        </w:rPr>
        <w:t>15,986,616.62</w:t>
      </w:r>
      <w:r>
        <w:rPr>
          <w:spacing w:val="-1"/>
        </w:rPr>
        <w:t>元；本报告期资本化研</w:t>
      </w:r>
      <w:r>
        <w:rPr/>
        <w:t> 发支出占研发投入的比例为</w:t>
      </w:r>
      <w:r>
        <w:rPr>
          <w:rFonts w:ascii="Times New Roman" w:hAnsi="Times New Roman" w:cs="Times New Roman" w:eastAsia="Times New Roman" w:hint="default"/>
        </w:rPr>
        <w:t>15.66%</w:t>
      </w:r>
      <w:r>
        <w:rPr/>
        <w:t>，相较</w:t>
      </w:r>
      <w:r>
        <w:rPr>
          <w:rFonts w:ascii="Times New Roman" w:hAnsi="Times New Roman" w:cs="Times New Roman" w:eastAsia="Times New Roman" w:hint="default"/>
        </w:rPr>
        <w:t>2017</w:t>
      </w:r>
      <w:r>
        <w:rPr/>
        <w:t>年的占比</w:t>
      </w:r>
      <w:r>
        <w:rPr>
          <w:rFonts w:ascii="Times New Roman" w:hAnsi="Times New Roman" w:cs="Times New Roman" w:eastAsia="Times New Roman" w:hint="default"/>
        </w:rPr>
        <w:t>36.15%</w:t>
      </w:r>
      <w:r>
        <w:rPr/>
        <w:t>下降</w:t>
      </w:r>
      <w:r>
        <w:rPr>
          <w:rFonts w:ascii="Times New Roman" w:hAnsi="Times New Roman" w:cs="Times New Roman" w:eastAsia="Times New Roman" w:hint="default"/>
        </w:rPr>
        <w:t>20.49%</w:t>
      </w:r>
      <w:r>
        <w:rPr/>
        <w:t>。</w:t>
      </w:r>
    </w:p>
    <w:p>
      <w:pPr>
        <w:pStyle w:val="BodyText"/>
        <w:spacing w:line="300" w:lineRule="auto" w:before="135"/>
        <w:ind w:right="1133" w:firstLine="360"/>
        <w:jc w:val="both"/>
      </w:pPr>
      <w:r>
        <w:rPr/>
        <w:t>公司自上市以后，集中投入研发力量提升金融科技服务的产品化率及技术先进性，经过</w:t>
      </w:r>
      <w:r>
        <w:rPr>
          <w:rFonts w:ascii="Times New Roman" w:hAnsi="Times New Roman" w:cs="Times New Roman" w:eastAsia="Times New Roman" w:hint="default"/>
        </w:rPr>
        <w:t>2-3</w:t>
      </w:r>
      <w:r>
        <w:rPr/>
        <w:t>年的投入，</w:t>
      </w:r>
      <w:r>
        <w:rPr>
          <w:rFonts w:ascii="Times New Roman" w:hAnsi="Times New Roman" w:cs="Times New Roman" w:eastAsia="Times New Roman" w:hint="default"/>
        </w:rPr>
        <w:t>2018</w:t>
      </w:r>
      <w:r>
        <w:rPr/>
        <w:t>年前期的研 发工作逐渐实现了公司研发计划的目标。</w:t>
      </w:r>
    </w:p>
    <w:p>
      <w:pPr>
        <w:pStyle w:val="BodyText"/>
        <w:spacing w:line="309" w:lineRule="auto" w:before="152"/>
        <w:ind w:right="1133" w:firstLine="360"/>
        <w:jc w:val="both"/>
      </w:pPr>
      <w:r>
        <w:rPr>
          <w:rFonts w:ascii="Times New Roman" w:hAnsi="Times New Roman" w:cs="Times New Roman" w:eastAsia="Times New Roman" w:hint="default"/>
          <w:spacing w:val="-2"/>
        </w:rPr>
        <w:t>2018</w:t>
      </w:r>
      <w:r>
        <w:rPr>
          <w:spacing w:val="-2"/>
        </w:rPr>
        <w:t>年，随着公司年研发产品的逐步交付，例如：高伟达核心业务系统、高伟达新信贷业务系统（对公信贷）、高伟达</w:t>
      </w:r>
      <w:r>
        <w:rPr/>
        <w:t> </w:t>
      </w:r>
      <w:r>
        <w:rPr>
          <w:spacing w:val="-2"/>
        </w:rPr>
        <w:t>资产交易平台（二期）等，公司解决方案产品成熟度得到了提高，研发成果陆续进入推广阶段，投入规模逐渐降低，资本化</w:t>
      </w:r>
      <w:r>
        <w:rPr>
          <w:spacing w:val="-68"/>
        </w:rPr>
        <w:t> </w:t>
      </w:r>
      <w:r>
        <w:rPr>
          <w:spacing w:val="-68"/>
        </w:rPr>
      </w:r>
      <w:r>
        <w:rPr/>
        <w:t>率逐渐降低。</w:t>
      </w:r>
    </w:p>
    <w:p>
      <w:pPr>
        <w:pStyle w:val="BodyText"/>
        <w:spacing w:line="316" w:lineRule="auto" w:before="65"/>
        <w:ind w:right="1130" w:firstLine="360"/>
        <w:jc w:val="both"/>
      </w:pPr>
      <w:r>
        <w:rPr>
          <w:spacing w:val="-5"/>
        </w:rPr>
        <w:t>同时，公司为保持技术上的持续创新，以及在金融行业解决方案供应商中的领先优势，对前沿产品和技术趋势进行预研。</w:t>
      </w:r>
      <w:r>
        <w:rPr/>
        <w:t> 涉及的前期探索性投入未进行资本化确认。</w:t>
      </w:r>
    </w:p>
    <w:p>
      <w:pPr>
        <w:pStyle w:val="BodyText"/>
        <w:spacing w:line="240" w:lineRule="auto" w:before="59"/>
        <w:ind w:right="11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3"/>
        <w:gridCol w:w="1428"/>
        <w:gridCol w:w="3392"/>
        <w:gridCol w:w="1346"/>
      </w:tblGrid>
      <w:tr>
        <w:trPr>
          <w:trHeight w:val="402"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3"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714"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高伟达核心业务系统</w:t>
            </w:r>
          </w:p>
        </w:tc>
        <w:tc>
          <w:tcPr>
            <w:tcW w:w="1428"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470,927.58</w:t>
            </w:r>
          </w:p>
        </w:tc>
        <w:tc>
          <w:tcPr>
            <w:tcW w:w="3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97" w:lineRule="auto" w:before="50"/>
              <w:ind w:left="11"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年立项，</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已投放华融湘江等商业 银行应用</w:t>
            </w:r>
          </w:p>
        </w:tc>
        <w:tc>
          <w:tcPr>
            <w:tcW w:w="13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已结项</w:t>
            </w:r>
          </w:p>
        </w:tc>
      </w:tr>
      <w:tr>
        <w:trPr>
          <w:trHeight w:val="714"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高伟达新信贷业务系统（对公信贷）</w:t>
            </w:r>
          </w:p>
        </w:tc>
        <w:tc>
          <w:tcPr>
            <w:tcW w:w="1428"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357,045.90</w:t>
            </w:r>
          </w:p>
        </w:tc>
        <w:tc>
          <w:tcPr>
            <w:tcW w:w="3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11"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年立项，</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已在重庆银行、柳州银 行等金融客户应用</w:t>
            </w:r>
          </w:p>
        </w:tc>
        <w:tc>
          <w:tcPr>
            <w:tcW w:w="13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已结项</w:t>
            </w:r>
          </w:p>
        </w:tc>
      </w:tr>
      <w:tr>
        <w:trPr>
          <w:trHeight w:val="714"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高伟达资产交易平台（二期）</w:t>
            </w:r>
          </w:p>
        </w:tc>
        <w:tc>
          <w:tcPr>
            <w:tcW w:w="1428"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152,420.57</w:t>
            </w:r>
          </w:p>
        </w:tc>
        <w:tc>
          <w:tcPr>
            <w:tcW w:w="3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97" w:lineRule="auto" w:before="50"/>
              <w:ind w:left="11"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年立项，</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已在兴业数金等机构投 入使用</w:t>
            </w:r>
          </w:p>
        </w:tc>
        <w:tc>
          <w:tcPr>
            <w:tcW w:w="13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已结项</w:t>
            </w:r>
          </w:p>
        </w:tc>
      </w:tr>
      <w:tr>
        <w:trPr>
          <w:trHeight w:val="714" w:hRule="exact"/>
        </w:trPr>
        <w:tc>
          <w:tcPr>
            <w:tcW w:w="3403" w:type="dxa"/>
            <w:tcBorders>
              <w:top w:val="single" w:sz="4" w:space="0" w:color="000000"/>
              <w:left w:val="single" w:sz="4" w:space="0" w:color="000000"/>
              <w:bottom w:val="single" w:sz="4" w:space="0" w:color="000000"/>
              <w:right w:val="single" w:sz="10" w:space="0" w:color="FFFFFF"/>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57"/>
              <w:jc w:val="left"/>
              <w:rPr>
                <w:rFonts w:ascii="宋体" w:hAnsi="宋体" w:cs="宋体" w:eastAsia="宋体" w:hint="default"/>
                <w:sz w:val="18"/>
                <w:szCs w:val="18"/>
              </w:rPr>
            </w:pPr>
            <w:r>
              <w:rPr>
                <w:rFonts w:ascii="宋体" w:hAnsi="宋体" w:cs="宋体" w:eastAsia="宋体" w:hint="default"/>
                <w:sz w:val="18"/>
                <w:szCs w:val="18"/>
              </w:rPr>
              <w:t>高伟达新信贷业务系统（零售信贷移动端）</w:t>
            </w:r>
          </w:p>
        </w:tc>
        <w:tc>
          <w:tcPr>
            <w:tcW w:w="1428" w:type="dxa"/>
            <w:tcBorders>
              <w:top w:val="single" w:sz="4" w:space="0" w:color="000000"/>
              <w:left w:val="single" w:sz="10" w:space="0" w:color="FFFFFF"/>
              <w:bottom w:val="single" w:sz="4" w:space="0" w:color="000000"/>
              <w:right w:val="single" w:sz="13" w:space="0" w:color="CCE8C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389,624.26</w:t>
            </w:r>
          </w:p>
        </w:tc>
        <w:tc>
          <w:tcPr>
            <w:tcW w:w="3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11"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年立项，</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已在河北银行等金融客 户应用</w:t>
            </w:r>
          </w:p>
        </w:tc>
        <w:tc>
          <w:tcPr>
            <w:tcW w:w="13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已结项</w:t>
            </w:r>
          </w:p>
        </w:tc>
      </w:tr>
      <w:tr>
        <w:trPr>
          <w:trHeight w:val="714"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高伟达分布式内存数据库系统</w:t>
            </w:r>
          </w:p>
        </w:tc>
        <w:tc>
          <w:tcPr>
            <w:tcW w:w="1428"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92,364.00</w:t>
            </w:r>
          </w:p>
        </w:tc>
        <w:tc>
          <w:tcPr>
            <w:tcW w:w="3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97" w:lineRule="auto" w:before="50"/>
              <w:ind w:left="11"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年立项，</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已应用在多个金融机构 的实施项目中</w:t>
            </w:r>
          </w:p>
        </w:tc>
        <w:tc>
          <w:tcPr>
            <w:tcW w:w="13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已结项</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高伟达业务管理集成系统（三期）</w:t>
            </w:r>
          </w:p>
        </w:tc>
        <w:tc>
          <w:tcPr>
            <w:tcW w:w="1428"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268,112.26</w:t>
            </w:r>
          </w:p>
        </w:tc>
        <w:tc>
          <w:tcPr>
            <w:tcW w:w="3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年立项，</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年供经营管理使用</w:t>
            </w:r>
          </w:p>
        </w:tc>
        <w:tc>
          <w:tcPr>
            <w:tcW w:w="13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已结项</w:t>
            </w:r>
          </w:p>
        </w:tc>
      </w:tr>
      <w:tr>
        <w:trPr>
          <w:trHeight w:val="714"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钽云数据中心一体化管理平台</w:t>
            </w:r>
          </w:p>
        </w:tc>
        <w:tc>
          <w:tcPr>
            <w:tcW w:w="1428"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20,815.48</w:t>
            </w:r>
          </w:p>
        </w:tc>
        <w:tc>
          <w:tcPr>
            <w:tcW w:w="3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97" w:lineRule="auto" w:before="50"/>
              <w:ind w:left="11"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年立项，</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年已应用多个金融客户 数据中心管理</w:t>
            </w:r>
          </w:p>
        </w:tc>
        <w:tc>
          <w:tcPr>
            <w:tcW w:w="13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已结项</w:t>
            </w:r>
          </w:p>
        </w:tc>
      </w:tr>
      <w:tr>
        <w:trPr>
          <w:trHeight w:val="714"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钽云计算资源部署管理平台</w:t>
            </w:r>
          </w:p>
        </w:tc>
        <w:tc>
          <w:tcPr>
            <w:tcW w:w="1428"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20,815.48</w:t>
            </w:r>
          </w:p>
        </w:tc>
        <w:tc>
          <w:tcPr>
            <w:tcW w:w="3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11"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年立项，</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年应用于多个金融客户 数据中心管理</w:t>
            </w:r>
          </w:p>
        </w:tc>
        <w:tc>
          <w:tcPr>
            <w:tcW w:w="13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已结项</w:t>
            </w:r>
          </w:p>
        </w:tc>
      </w:tr>
      <w:tr>
        <w:trPr>
          <w:trHeight w:val="714"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钽云场景化自动运维管理平台产品迭代</w:t>
            </w:r>
          </w:p>
        </w:tc>
        <w:tc>
          <w:tcPr>
            <w:tcW w:w="1428"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547,917.83</w:t>
            </w:r>
          </w:p>
        </w:tc>
        <w:tc>
          <w:tcPr>
            <w:tcW w:w="3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97" w:lineRule="auto" w:before="50"/>
              <w:ind w:left="11"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年立项，</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年成功落地，应用于多 个金融客户数据中心运维项目中</w:t>
            </w:r>
          </w:p>
        </w:tc>
        <w:tc>
          <w:tcPr>
            <w:tcW w:w="13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已结项</w:t>
            </w:r>
          </w:p>
        </w:tc>
      </w:tr>
      <w:tr>
        <w:trPr>
          <w:trHeight w:val="714"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钽云双态云管理平台产品迭代</w:t>
            </w:r>
          </w:p>
        </w:tc>
        <w:tc>
          <w:tcPr>
            <w:tcW w:w="1428"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741,684.16</w:t>
            </w:r>
          </w:p>
        </w:tc>
        <w:tc>
          <w:tcPr>
            <w:tcW w:w="3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11"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年立项，</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年应用在多个金融客户 数据中心云化建设</w:t>
            </w:r>
          </w:p>
        </w:tc>
        <w:tc>
          <w:tcPr>
            <w:tcW w:w="13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已结项</w:t>
            </w:r>
          </w:p>
        </w:tc>
      </w:tr>
      <w:tr>
        <w:trPr>
          <w:trHeight w:val="674"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高伟达信息管理发布平台（三期）优化</w:t>
            </w:r>
          </w:p>
        </w:tc>
        <w:tc>
          <w:tcPr>
            <w:tcW w:w="1428"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100,175.20</w:t>
            </w:r>
          </w:p>
        </w:tc>
        <w:tc>
          <w:tcPr>
            <w:tcW w:w="3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97" w:lineRule="auto" w:before="50"/>
              <w:ind w:left="11"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年立项，根据母公司管理需要增加了 </w:t>
            </w:r>
            <w:r>
              <w:rPr>
                <w:rFonts w:ascii="宋体" w:hAnsi="宋体" w:cs="宋体" w:eastAsia="宋体" w:hint="default"/>
                <w:spacing w:val="-4"/>
                <w:sz w:val="18"/>
                <w:szCs w:val="18"/>
              </w:rPr>
              <w:t>合同项目对照、收入预测、权限分级，客户</w:t>
            </w:r>
          </w:p>
        </w:tc>
        <w:tc>
          <w:tcPr>
            <w:tcW w:w="13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开发中</w:t>
            </w:r>
          </w:p>
        </w:tc>
      </w:tr>
    </w:tbl>
    <w:p>
      <w:pPr>
        <w:spacing w:after="0" w:line="240" w:lineRule="auto"/>
        <w:jc w:val="center"/>
        <w:rPr>
          <w:rFonts w:ascii="宋体" w:hAnsi="宋体" w:cs="宋体" w:eastAsia="宋体" w:hint="default"/>
          <w:sz w:val="18"/>
          <w:szCs w:val="18"/>
        </w:rPr>
        <w:sectPr>
          <w:pgSz w:w="11910" w:h="16840"/>
          <w:pgMar w:header="786" w:footer="1267" w:top="1100" w:bottom="146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403"/>
        <w:gridCol w:w="1428"/>
        <w:gridCol w:w="3392"/>
        <w:gridCol w:w="1346"/>
      </w:tblGrid>
      <w:tr>
        <w:trPr>
          <w:trHeight w:val="363"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428" w:type="dxa"/>
            <w:tcBorders>
              <w:top w:val="single" w:sz="4" w:space="0" w:color="000000"/>
              <w:left w:val="single" w:sz="4" w:space="0" w:color="000000"/>
              <w:bottom w:val="single" w:sz="4" w:space="0" w:color="000000"/>
              <w:right w:val="single" w:sz="13" w:space="0" w:color="CCE8CF"/>
            </w:tcBorders>
          </w:tcPr>
          <w:p>
            <w:pPr/>
          </w:p>
        </w:tc>
        <w:tc>
          <w:tcPr>
            <w:tcW w:w="3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端展示等功能，预计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月份结项</w:t>
            </w:r>
          </w:p>
        </w:tc>
        <w:tc>
          <w:tcPr>
            <w:tcW w:w="134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5"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高伟达聚票盈平台业务</w:t>
            </w:r>
          </w:p>
        </w:tc>
        <w:tc>
          <w:tcPr>
            <w:tcW w:w="1428"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4,370,885.36</w:t>
            </w:r>
          </w:p>
        </w:tc>
        <w:tc>
          <w:tcPr>
            <w:tcW w:w="3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49"/>
              <w:ind w:left="11"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年立项，预计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结项。分阶段实现</w:t>
            </w:r>
            <w:r>
              <w:rPr>
                <w:rFonts w:ascii="宋体" w:hAnsi="宋体" w:cs="宋体" w:eastAsia="宋体" w:hint="default"/>
                <w:sz w:val="18"/>
                <w:szCs w:val="18"/>
              </w:rPr>
              <w:t> 应对票据市场高速增长对缩短支付结算周 期、短期融资的技术和平台需求</w:t>
            </w:r>
          </w:p>
        </w:tc>
        <w:tc>
          <w:tcPr>
            <w:tcW w:w="13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8" w:right="0"/>
              <w:jc w:val="left"/>
              <w:rPr>
                <w:rFonts w:ascii="宋体" w:hAnsi="宋体" w:cs="宋体" w:eastAsia="宋体" w:hint="default"/>
                <w:sz w:val="18"/>
                <w:szCs w:val="18"/>
              </w:rPr>
            </w:pPr>
            <w:r>
              <w:rPr>
                <w:rFonts w:ascii="宋体" w:hAnsi="宋体" w:cs="宋体" w:eastAsia="宋体" w:hint="default"/>
                <w:sz w:val="18"/>
                <w:szCs w:val="18"/>
              </w:rPr>
              <w:t>开发中</w:t>
            </w:r>
          </w:p>
        </w:tc>
      </w:tr>
    </w:tbl>
    <w:p>
      <w:pPr>
        <w:pStyle w:val="BodyText"/>
        <w:spacing w:line="316" w:lineRule="auto" w:before="8"/>
        <w:ind w:right="1130" w:firstLine="360"/>
        <w:jc w:val="both"/>
      </w:pPr>
      <w:r>
        <w:rPr>
          <w:spacing w:val="-2"/>
        </w:rPr>
        <w:t>本公司有足够的相关资源进行研发活动，研究开发支出在开发阶段具有针对性，形成新产品或者新技术的基本条件已经</w:t>
      </w:r>
      <w:r>
        <w:rPr/>
        <w:t> </w:t>
      </w:r>
      <w:r>
        <w:rPr>
          <w:spacing w:val="-2"/>
        </w:rPr>
        <w:t>具备，且该阶段的支出能够可靠计量、未来经济利益流入能够可靠预计。此阶段由项目组负责申请立项，研发管理委员会负</w:t>
      </w:r>
      <w:r>
        <w:rPr>
          <w:spacing w:val="-65"/>
        </w:rPr>
        <w:t> </w:t>
      </w:r>
      <w:r>
        <w:rPr>
          <w:spacing w:val="-65"/>
        </w:rPr>
      </w:r>
      <w:r>
        <w:rPr>
          <w:spacing w:val="-2"/>
        </w:rPr>
        <w:t>责组织立项文档及各阶段产品评审，研发及业务部门负责人及以上领导负责立项终审。经立项审批后，项目研究进入开发阶</w:t>
      </w:r>
      <w:r>
        <w:rPr>
          <w:spacing w:val="-63"/>
        </w:rPr>
        <w:t> </w:t>
      </w:r>
      <w:r>
        <w:rPr>
          <w:spacing w:val="-63"/>
        </w:rPr>
      </w:r>
      <w:r>
        <w:rPr/>
        <w:t>段，有关支出于发生时予以资本化。</w:t>
      </w:r>
    </w:p>
    <w:p>
      <w:pPr>
        <w:spacing w:line="240" w:lineRule="auto" w:before="10"/>
        <w:rPr>
          <w:rFonts w:ascii="宋体" w:hAnsi="宋体" w:cs="宋体" w:eastAsia="宋体" w:hint="default"/>
          <w:sz w:val="22"/>
          <w:szCs w:val="22"/>
        </w:rPr>
      </w:pPr>
    </w:p>
    <w:p>
      <w:pPr>
        <w:pStyle w:val="Heading3"/>
        <w:spacing w:line="240" w:lineRule="auto"/>
        <w:ind w:right="1117"/>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72"/>
        <w:gridCol w:w="2100"/>
        <w:gridCol w:w="2393"/>
        <w:gridCol w:w="2393"/>
      </w:tblGrid>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1,794,661,836.04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1,386,916,820.54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29.40%</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1,556,642,389.22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1,467,364,769.74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238,019,446.82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-80,447,949.20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395.87%</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99,428,582.24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71,484,261.16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39.09%</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138,736,834.01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204,236,132.46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-32.07%</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-39,308,251.77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-132,751,871.30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70.39%</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405,371,050.00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353,645,299.00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14.63%</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404,430,141.55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166,533,929.56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142.85%</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940,908.45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187,111,369.44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-99.50%</w:t>
            </w:r>
          </w:p>
        </w:tc>
      </w:tr>
      <w:tr>
        <w:trPr>
          <w:trHeight w:val="401"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200,695,096.45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-26,525,757.24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856.60%</w:t>
            </w:r>
          </w:p>
        </w:tc>
      </w:tr>
    </w:tbl>
    <w:p>
      <w:pPr>
        <w:pStyle w:val="BodyText"/>
        <w:spacing w:line="240" w:lineRule="auto" w:before="49"/>
        <w:ind w:right="1117"/>
        <w:jc w:val="left"/>
      </w:pPr>
      <w:r>
        <w:rPr/>
        <w:t>相关数据同比发生重大变动的主要影响因素说明</w:t>
      </w:r>
    </w:p>
    <w:p>
      <w:pPr>
        <w:pStyle w:val="BodyText"/>
        <w:spacing w:line="240" w:lineRule="auto" w:before="117"/>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31" w:firstLine="542"/>
        <w:jc w:val="both"/>
      </w:pPr>
      <w:r>
        <w:rPr>
          <w:spacing w:val="-1"/>
        </w:rPr>
        <w:t>公司经营活动产生的现金流量净额较上年同期增长</w:t>
      </w:r>
      <w:r>
        <w:rPr>
          <w:rFonts w:ascii="Times New Roman" w:hAnsi="Times New Roman" w:cs="Times New Roman" w:eastAsia="Times New Roman" w:hint="default"/>
          <w:spacing w:val="-1"/>
        </w:rPr>
        <w:t>395.87%</w:t>
      </w:r>
      <w:r>
        <w:rPr>
          <w:spacing w:val="-1"/>
        </w:rPr>
        <w:t>，主要系公司</w:t>
      </w:r>
      <w:r>
        <w:rPr>
          <w:rFonts w:ascii="Times New Roman" w:hAnsi="Times New Roman" w:cs="Times New Roman" w:eastAsia="Times New Roman" w:hint="default"/>
          <w:spacing w:val="-1"/>
        </w:rPr>
        <w:t>2018</w:t>
      </w:r>
      <w:r>
        <w:rPr>
          <w:spacing w:val="-1"/>
        </w:rPr>
        <w:t>年收入规模扩大，盈利能力提升，现金</w:t>
      </w:r>
      <w:r>
        <w:rPr/>
        <w:t> 流入稳定增长；另公司充分利用供应商信用政策，科学地进行资金管理所致；</w:t>
      </w:r>
    </w:p>
    <w:p>
      <w:pPr>
        <w:pStyle w:val="BodyText"/>
        <w:spacing w:line="300" w:lineRule="auto" w:before="32"/>
        <w:ind w:right="1213" w:firstLine="542"/>
        <w:jc w:val="both"/>
      </w:pPr>
      <w:r>
        <w:rPr/>
        <w:t>投资活动产生的现金流量净额较上年同期支出减少</w:t>
      </w:r>
      <w:r>
        <w:rPr>
          <w:rFonts w:ascii="Times New Roman" w:hAnsi="Times New Roman" w:cs="Times New Roman" w:eastAsia="Times New Roman" w:hint="default"/>
        </w:rPr>
        <w:t>70.39%</w:t>
      </w:r>
      <w:r>
        <w:rPr/>
        <w:t>，主要系公司</w:t>
      </w:r>
      <w:r>
        <w:rPr>
          <w:rFonts w:ascii="Times New Roman" w:hAnsi="Times New Roman" w:cs="Times New Roman" w:eastAsia="Times New Roman" w:hint="default"/>
        </w:rPr>
        <w:t>2018</w:t>
      </w:r>
      <w:r>
        <w:rPr/>
        <w:t>年处置房产使得投资活动现金流入增加 及支付收购公司原股东对价款变动所致。</w:t>
      </w:r>
    </w:p>
    <w:p>
      <w:pPr>
        <w:pStyle w:val="BodyText"/>
        <w:spacing w:line="340" w:lineRule="auto" w:before="31"/>
        <w:ind w:right="3267" w:firstLine="542"/>
        <w:jc w:val="left"/>
      </w:pPr>
      <w:r>
        <w:rPr/>
        <w:t>筹资活动产生的现金流量净额交上年同期减少</w:t>
      </w:r>
      <w:r>
        <w:rPr>
          <w:rFonts w:ascii="Times New Roman" w:hAnsi="Times New Roman" w:cs="Times New Roman" w:eastAsia="Times New Roman" w:hint="default"/>
        </w:rPr>
        <w:t>99.5%</w:t>
      </w:r>
      <w:r>
        <w:rPr/>
        <w:t>，主要系公司</w:t>
      </w:r>
      <w:r>
        <w:rPr>
          <w:rFonts w:ascii="Times New Roman" w:hAnsi="Times New Roman" w:cs="Times New Roman" w:eastAsia="Times New Roman" w:hint="default"/>
        </w:rPr>
        <w:t>2018</w:t>
      </w:r>
      <w:r>
        <w:rPr/>
        <w:t>年偿还借款所致。 报告期内公司经营活动产生的现金净流量与本年度净利润存在重大差异的原因说明</w:t>
      </w:r>
    </w:p>
    <w:p>
      <w:pPr>
        <w:pStyle w:val="BodyText"/>
        <w:spacing w:line="240" w:lineRule="auto" w:before="41"/>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30" w:firstLine="454"/>
        <w:jc w:val="both"/>
      </w:pPr>
      <w:r>
        <w:rPr/>
        <w:t>本报告期公司经营活动产生的现金流量净额为</w:t>
      </w:r>
      <w:r>
        <w:rPr>
          <w:rFonts w:ascii="Times New Roman" w:hAnsi="Times New Roman" w:cs="Times New Roman" w:eastAsia="Times New Roman" w:hint="default"/>
        </w:rPr>
        <w:t>23,801.94</w:t>
      </w:r>
      <w:r>
        <w:rPr/>
        <w:t>万元，较本年度净利润</w:t>
      </w:r>
      <w:r>
        <w:rPr>
          <w:rFonts w:ascii="Times New Roman" w:hAnsi="Times New Roman" w:cs="Times New Roman" w:eastAsia="Times New Roman" w:hint="default"/>
        </w:rPr>
        <w:t>11,052.29</w:t>
      </w:r>
      <w:r>
        <w:rPr/>
        <w:t>万元差异较大，主要系本公司 </w:t>
      </w:r>
      <w:r>
        <w:rPr>
          <w:rFonts w:ascii="Times New Roman" w:hAnsi="Times New Roman" w:cs="Times New Roman" w:eastAsia="Times New Roman" w:hint="default"/>
          <w:spacing w:val="-2"/>
        </w:rPr>
        <w:t>2018</w:t>
      </w:r>
      <w:r>
        <w:rPr>
          <w:spacing w:val="-2"/>
        </w:rPr>
        <w:t>年收回以前年度应收账款及当期新增应收账款，使得经营现金流入增加；同时公司充分利用供应商信用政策，控制现金</w:t>
      </w:r>
      <w:r>
        <w:rPr>
          <w:spacing w:val="-61"/>
        </w:rPr>
        <w:t> </w:t>
      </w:r>
      <w:r>
        <w:rPr>
          <w:spacing w:val="-61"/>
        </w:rPr>
      </w:r>
      <w:r>
        <w:rPr/>
        <w:t>流出。</w:t>
      </w:r>
    </w:p>
    <w:p>
      <w:pPr>
        <w:spacing w:line="240" w:lineRule="auto" w:before="11"/>
        <w:rPr>
          <w:rFonts w:ascii="宋体" w:hAnsi="宋体" w:cs="宋体" w:eastAsia="宋体" w:hint="default"/>
          <w:sz w:val="21"/>
          <w:szCs w:val="21"/>
        </w:rPr>
      </w:pPr>
    </w:p>
    <w:p>
      <w:pPr>
        <w:pStyle w:val="Heading2"/>
        <w:spacing w:line="240" w:lineRule="auto"/>
        <w:ind w:right="1117"/>
        <w:jc w:val="left"/>
        <w:rPr>
          <w:b w:val="0"/>
          <w:bCs w:val="0"/>
        </w:rPr>
      </w:pPr>
      <w:r>
        <w:rPr/>
        <w:t>三、非主营业务情况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267" w:top="1100" w:bottom="146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1117"/>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136"/>
        <w:gridCol w:w="900"/>
        <w:gridCol w:w="1195"/>
        <w:gridCol w:w="1064"/>
        <w:gridCol w:w="1093"/>
        <w:gridCol w:w="2623"/>
      </w:tblGrid>
      <w:tr>
        <w:trPr>
          <w:trHeight w:val="379" w:hRule="exact"/>
        </w:trPr>
        <w:tc>
          <w:tcPr>
            <w:tcW w:w="1560"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036"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093"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623"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560" w:type="dxa"/>
            <w:vMerge w:val="restart"/>
            <w:tcBorders>
              <w:top w:val="single" w:sz="13" w:space="0" w:color="FFFFFF"/>
              <w:left w:val="single" w:sz="4" w:space="0" w:color="000000"/>
              <w:right w:val="single" w:sz="4" w:space="0" w:color="000000"/>
            </w:tcBorders>
            <w:shd w:val="clear" w:color="auto" w:fill="D2D2D2"/>
          </w:tcPr>
          <w:p>
            <w:pPr/>
          </w:p>
        </w:tc>
        <w:tc>
          <w:tcPr>
            <w:tcW w:w="1136" w:type="dxa"/>
            <w:tcBorders>
              <w:top w:val="single" w:sz="13" w:space="0" w:color="FFFFFF"/>
              <w:left w:val="single" w:sz="4" w:space="0" w:color="000000"/>
              <w:bottom w:val="nil" w:sz="6" w:space="0" w:color="auto"/>
              <w:right w:val="single" w:sz="4" w:space="0" w:color="000000"/>
            </w:tcBorders>
            <w:shd w:val="clear" w:color="auto" w:fill="D2D2D2"/>
          </w:tcPr>
          <w:p>
            <w:pPr/>
          </w:p>
        </w:tc>
        <w:tc>
          <w:tcPr>
            <w:tcW w:w="900"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093"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18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623"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76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093" w:type="dxa"/>
            <w:vMerge/>
            <w:tcBorders>
              <w:left w:val="single" w:sz="4" w:space="0" w:color="000000"/>
              <w:bottom w:val="nil" w:sz="6" w:space="0" w:color="auto"/>
              <w:right w:val="single" w:sz="4" w:space="0" w:color="000000"/>
            </w:tcBorders>
            <w:shd w:val="clear" w:color="auto" w:fill="D2D2D2"/>
          </w:tcPr>
          <w:p>
            <w:pPr/>
          </w:p>
        </w:tc>
        <w:tc>
          <w:tcPr>
            <w:tcW w:w="262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
        </w:tc>
        <w:tc>
          <w:tcPr>
            <w:tcW w:w="262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262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w w:val="90"/>
                <w:sz w:val="18"/>
              </w:rPr>
              <w:t>389,459,678.51</w:t>
            </w:r>
            <w:r>
              <w:rPr>
                <w:rFonts w:ascii="Times New Roman"/>
                <w:sz w:val="18"/>
              </w:rPr>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16.31%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w w:val="90"/>
                <w:sz w:val="18"/>
              </w:rPr>
              <w:t>247,783,178.92</w:t>
            </w:r>
            <w:r>
              <w:rPr>
                <w:rFonts w:ascii="Times New Roman"/>
                <w:sz w:val="18"/>
              </w:rPr>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11.07%</w:t>
            </w:r>
          </w:p>
        </w:tc>
        <w:tc>
          <w:tcPr>
            <w:tcW w:w="10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5.24%</w:t>
            </w:r>
          </w:p>
        </w:tc>
        <w:tc>
          <w:tcPr>
            <w:tcW w:w="2623"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49"/>
              <w:ind w:left="22" w:right="68"/>
              <w:jc w:val="left"/>
              <w:rPr>
                <w:rFonts w:ascii="宋体" w:hAnsi="宋体" w:cs="宋体" w:eastAsia="宋体" w:hint="default"/>
                <w:sz w:val="18"/>
                <w:szCs w:val="18"/>
              </w:rPr>
            </w:pPr>
            <w:r>
              <w:rPr>
                <w:rFonts w:ascii="宋体" w:hAnsi="宋体" w:cs="宋体" w:eastAsia="宋体" w:hint="default"/>
                <w:sz w:val="18"/>
                <w:szCs w:val="18"/>
              </w:rPr>
              <w:t>主要系经营回款、资产处置及短 期借款增加所致</w:t>
            </w:r>
          </w:p>
        </w:tc>
      </w:tr>
      <w:tr>
        <w:trPr>
          <w:trHeight w:val="391"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6"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93" w:type="dxa"/>
            <w:vMerge/>
            <w:tcBorders>
              <w:left w:val="single" w:sz="4" w:space="0" w:color="000000"/>
              <w:right w:val="single" w:sz="4" w:space="0" w:color="000000"/>
            </w:tcBorders>
          </w:tcPr>
          <w:p>
            <w:pPr/>
          </w:p>
        </w:tc>
        <w:tc>
          <w:tcPr>
            <w:tcW w:w="2623" w:type="dxa"/>
            <w:vMerge/>
            <w:tcBorders>
              <w:left w:val="single" w:sz="4" w:space="0" w:color="000000"/>
              <w:right w:val="single" w:sz="4" w:space="0" w:color="000000"/>
            </w:tcBorders>
            <w:shd w:val="clear" w:color="auto" w:fill="CCE8CF"/>
          </w:tcPr>
          <w:p>
            <w:pP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93" w:type="dxa"/>
            <w:vMerge/>
            <w:tcBorders>
              <w:left w:val="single" w:sz="4" w:space="0" w:color="000000"/>
              <w:bottom w:val="single" w:sz="4" w:space="0" w:color="000000"/>
              <w:right w:val="single" w:sz="4" w:space="0" w:color="000000"/>
            </w:tcBorders>
          </w:tcPr>
          <w:p>
            <w:pPr/>
          </w:p>
        </w:tc>
        <w:tc>
          <w:tcPr>
            <w:tcW w:w="2623" w:type="dxa"/>
            <w:vMerge/>
            <w:tcBorders>
              <w:left w:val="single" w:sz="4" w:space="0" w:color="000000"/>
              <w:bottom w:val="single" w:sz="4" w:space="0" w:color="000000"/>
              <w:right w:val="single" w:sz="4" w:space="0" w:color="000000"/>
            </w:tcBorders>
            <w:shd w:val="clear" w:color="auto" w:fill="CCE8CF"/>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0"/>
                <w:sz w:val="18"/>
              </w:rPr>
              <w:t>536,114,993.27</w:t>
            </w:r>
            <w:r>
              <w:rPr>
                <w:rFonts w:ascii="Times New Roman"/>
                <w:spacing w:val="-1"/>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0"/>
                <w:sz w:val="18"/>
              </w:rPr>
              <w:t>548,585,371.69</w:t>
            </w:r>
            <w:r>
              <w:rPr>
                <w:rFonts w:ascii="Times New Roman"/>
                <w:spacing w:val="-1"/>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24.52%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w:t>
            </w:r>
          </w:p>
        </w:tc>
        <w:tc>
          <w:tcPr>
            <w:tcW w:w="26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主要系当期回款情况好转所致</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0"/>
                <w:sz w:val="18"/>
              </w:rPr>
              <w:t>125,377,896.55</w:t>
            </w:r>
            <w:r>
              <w:rPr>
                <w:rFonts w:ascii="Times New Roman"/>
                <w:spacing w:val="-1"/>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0"/>
                <w:sz w:val="18"/>
              </w:rPr>
              <w:t>103,607,954.17</w:t>
            </w:r>
            <w:r>
              <w:rPr>
                <w:rFonts w:ascii="Times New Roman"/>
                <w:spacing w:val="-1"/>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0.62%</w:t>
            </w:r>
          </w:p>
        </w:tc>
        <w:tc>
          <w:tcPr>
            <w:tcW w:w="26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主要系期末在产品增加所致</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6" w:type="dxa"/>
            <w:tcBorders>
              <w:top w:val="single" w:sz="4" w:space="0" w:color="000000"/>
              <w:left w:val="single" w:sz="9" w:space="0" w:color="D2D2D2"/>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0"/>
                <w:sz w:val="18"/>
              </w:rPr>
              <w:t>19,470,173.62</w:t>
            </w:r>
            <w:r>
              <w:rPr>
                <w:rFonts w:ascii="Times New Roman"/>
                <w:spacing w:val="-1"/>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0"/>
                <w:sz w:val="18"/>
              </w:rPr>
              <w:t>13,881,446.49</w:t>
            </w:r>
            <w:r>
              <w:rPr>
                <w:rFonts w:ascii="Times New Roman"/>
                <w:spacing w:val="-1"/>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0.20%</w:t>
            </w:r>
          </w:p>
        </w:tc>
        <w:tc>
          <w:tcPr>
            <w:tcW w:w="26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主要系增加对参股公司投资所致</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0"/>
                <w:sz w:val="18"/>
              </w:rPr>
              <w:t>63,982,246.86</w:t>
            </w:r>
            <w:r>
              <w:rPr>
                <w:rFonts w:ascii="Times New Roman"/>
                <w:spacing w:val="-1"/>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0"/>
                <w:sz w:val="18"/>
              </w:rPr>
              <w:t>111,400,048.55</w:t>
            </w:r>
            <w:r>
              <w:rPr>
                <w:rFonts w:ascii="Times New Roman"/>
                <w:spacing w:val="-2"/>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w:t>
            </w:r>
          </w:p>
        </w:tc>
        <w:tc>
          <w:tcPr>
            <w:tcW w:w="26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主要系处置房产所致</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6" w:type="dxa"/>
            <w:tcBorders>
              <w:top w:val="single" w:sz="4" w:space="0" w:color="000000"/>
              <w:left w:val="single" w:sz="9" w:space="0" w:color="D2D2D2"/>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0"/>
                <w:sz w:val="18"/>
              </w:rPr>
              <w:t>176,926,800.00</w:t>
            </w:r>
            <w:r>
              <w:rPr>
                <w:rFonts w:ascii="Times New Roman"/>
                <w:spacing w:val="-1"/>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0"/>
                <w:sz w:val="18"/>
              </w:rPr>
              <w:t>73,752,427.00</w:t>
            </w:r>
            <w:r>
              <w:rPr>
                <w:rFonts w:ascii="Times New Roman"/>
                <w:spacing w:val="-1"/>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w:t>
            </w:r>
          </w:p>
        </w:tc>
        <w:tc>
          <w:tcPr>
            <w:tcW w:w="26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主要系经营性资金需求增加所致</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0"/>
                <w:sz w:val="18"/>
              </w:rPr>
              <w:t>15,666,800.00</w:t>
            </w:r>
            <w:r>
              <w:rPr>
                <w:rFonts w:ascii="Times New Roman"/>
                <w:spacing w:val="-1"/>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0"/>
                <w:sz w:val="18"/>
              </w:rPr>
              <w:t>52,808,900.00</w:t>
            </w:r>
            <w:r>
              <w:rPr>
                <w:rFonts w:ascii="Times New Roman"/>
                <w:spacing w:val="-1"/>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w:t>
            </w:r>
          </w:p>
        </w:tc>
        <w:tc>
          <w:tcPr>
            <w:tcW w:w="26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主要系归还银行长期借款所致</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0"/>
                <w:sz w:val="18"/>
              </w:rPr>
              <w:t>11,703,383.71</w:t>
            </w:r>
            <w:r>
              <w:rPr>
                <w:rFonts w:ascii="Times New Roman"/>
                <w:spacing w:val="-2"/>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0"/>
                <w:sz w:val="18"/>
              </w:rPr>
              <w:t>8,373,896.06</w:t>
            </w:r>
            <w:r>
              <w:rPr>
                <w:rFonts w:ascii="Times New Roman"/>
                <w:spacing w:val="-1"/>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26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主要系增加融资租赁保证金所致</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0"/>
                <w:sz w:val="18"/>
              </w:rPr>
              <w:t>4,471,060.56</w:t>
            </w:r>
            <w:r>
              <w:rPr>
                <w:rFonts w:ascii="Times New Roman"/>
                <w:spacing w:val="-1"/>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0"/>
                <w:sz w:val="18"/>
              </w:rPr>
              <w:t>13,118,387.87</w:t>
            </w:r>
            <w:r>
              <w:rPr>
                <w:rFonts w:ascii="Times New Roman"/>
                <w:spacing w:val="-2"/>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26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主要系当期研发规模减少所致</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应付票据及应付账 款</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0"/>
                <w:sz w:val="18"/>
              </w:rPr>
              <w:t>243,377,176.12</w:t>
            </w:r>
            <w:r>
              <w:rPr>
                <w:rFonts w:ascii="Times New Roman"/>
                <w:spacing w:val="-1"/>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140,517,074.59</w:t>
            </w:r>
            <w:r>
              <w:rPr>
                <w:rFonts w:ascii="Times New Roman"/>
                <w:spacing w:val="-1"/>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w:t>
            </w:r>
          </w:p>
        </w:tc>
        <w:tc>
          <w:tcPr>
            <w:tcW w:w="26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主要系集成设备采购增加所致</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0"/>
                <w:sz w:val="18"/>
              </w:rPr>
              <w:t>128,627,941.13</w:t>
            </w:r>
            <w:r>
              <w:rPr>
                <w:rFonts w:ascii="Times New Roman"/>
                <w:spacing w:val="-1"/>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0"/>
                <w:sz w:val="18"/>
              </w:rPr>
              <w:t>73,416,935.45</w:t>
            </w:r>
            <w:r>
              <w:rPr>
                <w:rFonts w:ascii="Times New Roman"/>
                <w:spacing w:val="-1"/>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w:t>
            </w:r>
          </w:p>
        </w:tc>
        <w:tc>
          <w:tcPr>
            <w:tcW w:w="262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主要系期末现金管理增加所致</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69"/>
        <w:gridCol w:w="1167"/>
        <w:gridCol w:w="1148"/>
        <w:gridCol w:w="1154"/>
        <w:gridCol w:w="1149"/>
        <w:gridCol w:w="1160"/>
        <w:gridCol w:w="1155"/>
        <w:gridCol w:w="1152"/>
      </w:tblGrid>
      <w:tr>
        <w:trPr>
          <w:trHeight w:val="161" w:hRule="exact"/>
        </w:trPr>
        <w:tc>
          <w:tcPr>
            <w:tcW w:w="1469" w:type="dxa"/>
            <w:vMerge w:val="restart"/>
            <w:tcBorders>
              <w:top w:val="single" w:sz="4" w:space="0" w:color="000000"/>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 w:right="32"/>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0" w:type="dxa"/>
            <w:vMerge w:val="restart"/>
            <w:tcBorders>
              <w:top w:val="single" w:sz="4" w:space="0" w:color="000000"/>
              <w:left w:val="single" w:sz="4" w:space="0" w:color="000000"/>
              <w:right w:val="single" w:sz="4" w:space="0" w:color="000000"/>
            </w:tcBorders>
            <w:shd w:val="clear" w:color="auto" w:fill="D2D2D2"/>
          </w:tcPr>
          <w:p>
            <w:pPr/>
          </w:p>
        </w:tc>
        <w:tc>
          <w:tcPr>
            <w:tcW w:w="1155"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69"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6" w:right="29"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4" w:type="dxa"/>
            <w:vMerge/>
            <w:tcBorders>
              <w:left w:val="single" w:sz="4" w:space="0" w:color="000000"/>
              <w:right w:val="single" w:sz="4" w:space="0" w:color="000000"/>
            </w:tcBorders>
            <w:shd w:val="clear" w:color="auto" w:fill="D2D2D2"/>
          </w:tcPr>
          <w:p>
            <w:pPr/>
          </w:p>
        </w:tc>
        <w:tc>
          <w:tcPr>
            <w:tcW w:w="11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82" w:right="26"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60" w:type="dxa"/>
            <w:vMerge/>
            <w:tcBorders>
              <w:left w:val="single" w:sz="4" w:space="0" w:color="000000"/>
              <w:bottom w:val="nil" w:sz="6" w:space="0" w:color="auto"/>
              <w:right w:val="single" w:sz="4" w:space="0" w:color="000000"/>
            </w:tcBorders>
            <w:shd w:val="clear" w:color="auto" w:fill="D2D2D2"/>
          </w:tcPr>
          <w:p>
            <w:pPr/>
          </w:p>
        </w:tc>
        <w:tc>
          <w:tcPr>
            <w:tcW w:w="1155"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48" w:type="dxa"/>
            <w:vMerge/>
            <w:tcBorders>
              <w:left w:val="single" w:sz="4" w:space="0" w:color="000000"/>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9" w:type="dxa"/>
            <w:vMerge/>
            <w:tcBorders>
              <w:left w:val="single" w:sz="4" w:space="0" w:color="000000"/>
              <w:right w:val="single" w:sz="4" w:space="0" w:color="000000"/>
            </w:tcBorders>
            <w:shd w:val="clear" w:color="auto" w:fill="D2D2D2"/>
          </w:tcPr>
          <w:p>
            <w:pPr/>
          </w:p>
        </w:tc>
        <w:tc>
          <w:tcPr>
            <w:tcW w:w="1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469" w:type="dxa"/>
            <w:vMerge w:val="restart"/>
            <w:tcBorders>
              <w:top w:val="nil" w:sz="6" w:space="0" w:color="auto"/>
              <w:left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149" w:type="dxa"/>
            <w:vMerge/>
            <w:tcBorders>
              <w:left w:val="single" w:sz="4" w:space="0" w:color="000000"/>
              <w:bottom w:val="nil" w:sz="6" w:space="0" w:color="auto"/>
              <w:right w:val="single" w:sz="4" w:space="0" w:color="000000"/>
            </w:tcBorders>
            <w:shd w:val="clear" w:color="auto" w:fill="D2D2D2"/>
          </w:tcPr>
          <w:p>
            <w:pPr/>
          </w:p>
        </w:tc>
        <w:tc>
          <w:tcPr>
            <w:tcW w:w="1160" w:type="dxa"/>
            <w:vMerge w:val="restart"/>
            <w:tcBorders>
              <w:top w:val="nil" w:sz="6" w:space="0" w:color="auto"/>
              <w:left w:val="single" w:sz="4" w:space="0" w:color="000000"/>
              <w:right w:val="single" w:sz="4" w:space="0" w:color="000000"/>
            </w:tcBorders>
            <w:shd w:val="clear" w:color="auto" w:fill="D2D2D2"/>
          </w:tcPr>
          <w:p>
            <w:pPr/>
          </w:p>
        </w:tc>
        <w:tc>
          <w:tcPr>
            <w:tcW w:w="1155" w:type="dxa"/>
            <w:vMerge w:val="restart"/>
            <w:tcBorders>
              <w:top w:val="nil" w:sz="6" w:space="0" w:color="auto"/>
              <w:left w:val="single" w:sz="4" w:space="0" w:color="000000"/>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0" w:type="dxa"/>
            <w:vMerge/>
            <w:tcBorders>
              <w:left w:val="single" w:sz="4" w:space="0" w:color="000000"/>
              <w:bottom w:val="single" w:sz="4" w:space="0" w:color="000000"/>
              <w:right w:val="single" w:sz="4" w:space="0" w:color="000000"/>
            </w:tcBorders>
            <w:shd w:val="clear" w:color="auto" w:fill="D2D2D2"/>
          </w:tcPr>
          <w:p>
            <w:pPr/>
          </w:p>
        </w:tc>
        <w:tc>
          <w:tcPr>
            <w:tcW w:w="115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1,679,345.52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1,185,022.39</w:t>
            </w:r>
          </w:p>
        </w:tc>
        <w:tc>
          <w:tcPr>
            <w:tcW w:w="1154" w:type="dxa"/>
            <w:tcBorders>
              <w:top w:val="single" w:sz="4" w:space="0" w:color="000000"/>
              <w:left w:val="single" w:sz="4" w:space="0" w:color="000000"/>
              <w:bottom w:val="single" w:sz="4" w:space="0" w:color="000000"/>
              <w:right w:val="single" w:sz="4" w:space="0" w:color="000000"/>
            </w:tcBorders>
          </w:tcPr>
          <w:p>
            <w:pPr/>
          </w:p>
        </w:tc>
        <w:tc>
          <w:tcPr>
            <w:tcW w:w="1149"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2,864,367.91</w:t>
            </w:r>
          </w:p>
        </w:tc>
      </w:tr>
    </w:tbl>
    <w:p>
      <w:pPr>
        <w:pStyle w:val="BodyText"/>
        <w:spacing w:line="240" w:lineRule="auto" w:before="49"/>
        <w:ind w:right="1117"/>
        <w:jc w:val="left"/>
      </w:pPr>
      <w:r>
        <w:rPr/>
        <w:t>报告期内公司主要资产计量属性是否发生重大变化</w:t>
      </w:r>
    </w:p>
    <w:p>
      <w:pPr>
        <w:pStyle w:val="BodyText"/>
        <w:spacing w:line="240" w:lineRule="auto" w:before="117"/>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86" w:footer="1267" w:top="1100" w:bottom="146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1117"/>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36,585,000.00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455,850,000.00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-91.97%</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8"/>
        <w:rPr>
          <w:rFonts w:ascii="宋体" w:hAnsi="宋体" w:cs="宋体" w:eastAsia="宋体" w:hint="default"/>
          <w:sz w:val="19"/>
          <w:szCs w:val="19"/>
        </w:rPr>
      </w:pPr>
    </w:p>
    <w:p>
      <w:pPr>
        <w:pStyle w:val="Heading2"/>
        <w:spacing w:line="240" w:lineRule="auto"/>
        <w:ind w:right="1117"/>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8"/>
        <w:gridCol w:w="641"/>
        <w:gridCol w:w="641"/>
        <w:gridCol w:w="638"/>
        <w:gridCol w:w="641"/>
        <w:gridCol w:w="638"/>
        <w:gridCol w:w="638"/>
        <w:gridCol w:w="638"/>
        <w:gridCol w:w="639"/>
        <w:gridCol w:w="638"/>
        <w:gridCol w:w="638"/>
        <w:gridCol w:w="639"/>
        <w:gridCol w:w="636"/>
        <w:gridCol w:w="638"/>
        <w:gridCol w:w="631"/>
      </w:tblGrid>
      <w:tr>
        <w:trPr>
          <w:trHeight w:val="2900"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4" w:right="41"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34" w:right="43" w:hanging="89"/>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3"/>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5" w:right="41"/>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1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w:t>
            </w:r>
          </w:p>
          <w:p>
            <w:pPr>
              <w:pStyle w:val="TableParagraph"/>
              <w:spacing w:line="319" w:lineRule="auto" w:before="19"/>
              <w:ind w:left="45" w:right="41" w:hanging="166"/>
              <w:jc w:val="both"/>
              <w:rPr>
                <w:rFonts w:ascii="宋体" w:hAnsi="宋体" w:cs="宋体" w:eastAsia="宋体" w:hint="default"/>
                <w:sz w:val="18"/>
                <w:szCs w:val="18"/>
              </w:rPr>
            </w:pPr>
            <w:r>
              <w:rPr>
                <w:rFonts w:ascii="宋体" w:hAnsi="宋体" w:cs="宋体" w:eastAsia="宋体" w:hint="default"/>
                <w:spacing w:val="-4"/>
                <w:sz w:val="18"/>
                <w:szCs w:val="18"/>
              </w:rPr>
              <w:t>）占净利</w:t>
            </w:r>
            <w:r>
              <w:rPr>
                <w:rFonts w:ascii="宋体" w:hAnsi="宋体" w:cs="宋体" w:eastAsia="宋体" w:hint="default"/>
                <w:sz w:val="18"/>
                <w:szCs w:val="18"/>
              </w:rPr>
              <w:t> 润总额 的比例</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45" w:right="4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5" w:right="41"/>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45" w:right="38"/>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8" w:right="3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0" w:right="38"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86" w:footer="1267" w:top="1100" w:bottom="146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638"/>
        <w:gridCol w:w="641"/>
        <w:gridCol w:w="641"/>
        <w:gridCol w:w="638"/>
        <w:gridCol w:w="653"/>
        <w:gridCol w:w="626"/>
        <w:gridCol w:w="640"/>
        <w:gridCol w:w="637"/>
        <w:gridCol w:w="640"/>
        <w:gridCol w:w="637"/>
        <w:gridCol w:w="638"/>
        <w:gridCol w:w="639"/>
        <w:gridCol w:w="636"/>
        <w:gridCol w:w="640"/>
        <w:gridCol w:w="630"/>
      </w:tblGrid>
      <w:tr>
        <w:trPr>
          <w:trHeight w:val="982"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5" w:right="38"/>
              <w:jc w:val="both"/>
              <w:rPr>
                <w:rFonts w:ascii="宋体" w:hAnsi="宋体" w:cs="宋体" w:eastAsia="宋体" w:hint="default"/>
                <w:sz w:val="18"/>
                <w:szCs w:val="18"/>
              </w:rPr>
            </w:pPr>
            <w:r>
              <w:rPr>
                <w:rFonts w:ascii="宋体" w:hAnsi="宋体" w:cs="宋体" w:eastAsia="宋体" w:hint="default"/>
                <w:sz w:val="18"/>
                <w:szCs w:val="18"/>
              </w:rPr>
              <w:t>公司已 采取的 措施</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8207" w:hRule="exact"/>
        </w:trPr>
        <w:tc>
          <w:tcPr>
            <w:tcW w:w="63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2" w:right="63"/>
              <w:jc w:val="both"/>
              <w:rPr>
                <w:rFonts w:ascii="宋体" w:hAnsi="宋体" w:cs="宋体" w:eastAsia="宋体" w:hint="default"/>
                <w:sz w:val="18"/>
                <w:szCs w:val="18"/>
              </w:rPr>
            </w:pPr>
            <w:r>
              <w:rPr>
                <w:rFonts w:ascii="宋体" w:hAnsi="宋体" w:cs="宋体" w:eastAsia="宋体" w:hint="default"/>
                <w:sz w:val="18"/>
                <w:szCs w:val="18"/>
              </w:rPr>
              <w:t>北京高 斓大厦 有限公 司</w:t>
            </w:r>
          </w:p>
        </w:tc>
        <w:tc>
          <w:tcPr>
            <w:tcW w:w="6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4" w:lineRule="auto"/>
              <w:ind w:left="23" w:right="65"/>
              <w:jc w:val="left"/>
              <w:rPr>
                <w:rFonts w:ascii="宋体" w:hAnsi="宋体" w:cs="宋体" w:eastAsia="宋体" w:hint="default"/>
                <w:sz w:val="18"/>
                <w:szCs w:val="18"/>
              </w:rPr>
            </w:pPr>
            <w:r>
              <w:rPr>
                <w:rFonts w:ascii="宋体" w:hAnsi="宋体" w:cs="宋体" w:eastAsia="宋体" w:hint="default"/>
                <w:sz w:val="18"/>
                <w:szCs w:val="18"/>
              </w:rPr>
              <w:t>北京市 朝阳区 亮马桥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号高斓 大厦的 房产</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10,621.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653"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11" w:right="62"/>
              <w:jc w:val="left"/>
              <w:rPr>
                <w:rFonts w:ascii="宋体" w:hAnsi="宋体" w:cs="宋体" w:eastAsia="宋体" w:hint="default"/>
                <w:sz w:val="18"/>
                <w:szCs w:val="18"/>
              </w:rPr>
            </w:pPr>
            <w:r>
              <w:rPr>
                <w:rFonts w:ascii="宋体" w:hAnsi="宋体" w:cs="宋体" w:eastAsia="宋体" w:hint="default"/>
                <w:sz w:val="18"/>
                <w:szCs w:val="18"/>
              </w:rPr>
              <w:t>本次出 售资产 所得款 项将用 于偿还 银行借 款、补 充公司 经营所 需资 金，降 低财务 费用， 对公司 的财务 状况和 经营成 果将产 生正面 影响， 增加公 司当期 营业外 收入</w:t>
            </w:r>
          </w:p>
          <w:p>
            <w:pPr>
              <w:pStyle w:val="TableParagraph"/>
              <w:spacing w:line="240" w:lineRule="auto" w:before="61"/>
              <w:ind w:left="11" w:right="0"/>
              <w:jc w:val="left"/>
              <w:rPr>
                <w:rFonts w:ascii="Times New Roman" w:hAnsi="Times New Roman" w:cs="Times New Roman" w:eastAsia="Times New Roman" w:hint="default"/>
                <w:sz w:val="18"/>
                <w:szCs w:val="18"/>
              </w:rPr>
            </w:pPr>
            <w:r>
              <w:rPr>
                <w:rFonts w:ascii="Times New Roman"/>
                <w:sz w:val="18"/>
              </w:rPr>
              <w:t>5,453.8</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41.94%</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3900" w:lineRule="exact"/>
              <w:ind w:right="-49"/>
              <w:jc w:val="left"/>
              <w:rPr>
                <w:rFonts w:ascii="宋体" w:hAnsi="宋体" w:cs="宋体" w:eastAsia="宋体" w:hint="default"/>
                <w:sz w:val="20"/>
                <w:szCs w:val="20"/>
              </w:rPr>
            </w:pPr>
            <w:r>
              <w:rPr>
                <w:rFonts w:ascii="宋体" w:hAnsi="宋体" w:cs="宋体" w:eastAsia="宋体" w:hint="default"/>
                <w:position w:val="-77"/>
                <w:sz w:val="20"/>
                <w:szCs w:val="20"/>
              </w:rPr>
              <w:pict>
                <v:group style="width:31.45pt;height:195.05pt;mso-position-horizontal-relative:char;mso-position-vertical-relative:line" coordorigin="0,0" coordsize="629,3901">
                  <v:group style="position:absolute;left:0;top:0;width:629;height:3901" coordorigin="0,0" coordsize="629,3901">
                    <v:shape style="position:absolute;left:0;top:0;width:629;height:3901" coordorigin="0,0" coordsize="629,3901" path="m0,3900l629,3900,629,0,0,0,0,3900xe" filled="true" fillcolor="#ffffff" stroked="false">
                      <v:path arrowok="t"/>
                      <v:fill type="solid"/>
                    </v:shape>
                  </v:group>
                </v:group>
              </w:pict>
            </w:r>
            <w:r>
              <w:rPr>
                <w:rFonts w:ascii="宋体" w:hAnsi="宋体" w:cs="宋体" w:eastAsia="宋体" w:hint="default"/>
                <w:position w:val="-77"/>
                <w:sz w:val="20"/>
                <w:szCs w:val="20"/>
              </w:rPr>
            </w:r>
          </w:p>
        </w:tc>
        <w:tc>
          <w:tcPr>
            <w:tcW w:w="6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市价</w:t>
            </w:r>
          </w:p>
          <w:p>
            <w:pPr>
              <w:pStyle w:val="TableParagraph"/>
              <w:spacing w:line="316" w:lineRule="auto" w:before="76"/>
              <w:ind w:left="22" w:right="242"/>
              <w:jc w:val="left"/>
              <w:rPr>
                <w:rFonts w:ascii="宋体" w:hAnsi="宋体" w:cs="宋体" w:eastAsia="宋体" w:hint="default"/>
                <w:sz w:val="18"/>
                <w:szCs w:val="18"/>
              </w:rPr>
            </w:pPr>
            <w:r>
              <w:rPr>
                <w:rFonts w:ascii="宋体" w:hAnsi="宋体" w:cs="宋体" w:eastAsia="宋体" w:hint="default"/>
                <w:sz w:val="18"/>
                <w:szCs w:val="18"/>
              </w:rPr>
              <w:t>（含 税）</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exact" w:before="155"/>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 公司拟 出售部 分房产 的公 </w:t>
            </w:r>
            <w:r>
              <w:rPr>
                <w:rFonts w:ascii="宋体" w:hAnsi="宋体" w:cs="宋体" w:eastAsia="宋体" w:hint="default"/>
                <w:spacing w:val="-37"/>
                <w:sz w:val="18"/>
                <w:szCs w:val="18"/>
              </w:rPr>
              <w:t>告》（公</w:t>
            </w:r>
            <w:r>
              <w:rPr>
                <w:rFonts w:ascii="宋体" w:hAnsi="宋体" w:cs="宋体" w:eastAsia="宋体" w:hint="default"/>
                <w:sz w:val="18"/>
                <w:szCs w:val="18"/>
              </w:rPr>
              <w:t> 告编 号： </w:t>
            </w:r>
            <w:r>
              <w:rPr>
                <w:rFonts w:ascii="Times New Roman" w:hAnsi="Times New Roman" w:cs="Times New Roman" w:eastAsia="Times New Roman" w:hint="default"/>
                <w:sz w:val="18"/>
                <w:szCs w:val="18"/>
              </w:rPr>
              <w:t>2018-0</w:t>
            </w:r>
          </w:p>
          <w:p>
            <w:pPr>
              <w:pStyle w:val="TableParagraph"/>
              <w:spacing w:line="240" w:lineRule="auto" w:before="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pict>
          <v:shape style="position:absolute;margin-left:242.809998pt;margin-top:-208.07634pt;width:37.450pt;height:195.05pt;mso-position-horizontal-relative:page;mso-position-vertical-relative:paragraph;z-index:-10289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2</w:t>
      </w:r>
      <w:r>
        <w:rPr/>
        <w:t>、出售重大股权情况本公司合并范围内公司之间的保证担保情况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6" w:footer="1267" w:top="1100" w:bottom="14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70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3"/>
        <w:gridCol w:w="1198"/>
        <w:gridCol w:w="1045"/>
        <w:gridCol w:w="1044"/>
        <w:gridCol w:w="1047"/>
        <w:gridCol w:w="1046"/>
        <w:gridCol w:w="1044"/>
        <w:gridCol w:w="1045"/>
        <w:gridCol w:w="1046"/>
      </w:tblGrid>
      <w:tr>
        <w:trPr>
          <w:trHeight w:val="401" w:hRule="exact"/>
        </w:trPr>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12" w:space="0" w:color="CCE8CF"/>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8"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2" w:right="118"/>
              <w:jc w:val="both"/>
              <w:rPr>
                <w:rFonts w:ascii="宋体" w:hAnsi="宋体" w:cs="宋体" w:eastAsia="宋体" w:hint="default"/>
                <w:sz w:val="18"/>
                <w:szCs w:val="18"/>
              </w:rPr>
            </w:pPr>
            <w:r>
              <w:rPr>
                <w:rFonts w:ascii="宋体" w:hAnsi="宋体" w:cs="宋体" w:eastAsia="宋体" w:hint="default"/>
                <w:sz w:val="18"/>
                <w:szCs w:val="18"/>
              </w:rPr>
              <w:t>江苏盈达信 息技术有限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0"/>
              <w:ind w:left="24" w:right="110"/>
              <w:jc w:val="left"/>
              <w:rPr>
                <w:rFonts w:ascii="宋体" w:hAnsi="宋体" w:cs="宋体" w:eastAsia="宋体" w:hint="default"/>
                <w:sz w:val="18"/>
                <w:szCs w:val="18"/>
              </w:rPr>
            </w:pPr>
            <w:r>
              <w:rPr>
                <w:rFonts w:ascii="宋体" w:hAnsi="宋体" w:cs="宋体" w:eastAsia="宋体" w:hint="default"/>
                <w:sz w:val="18"/>
                <w:szCs w:val="18"/>
              </w:rPr>
              <w:t>计算机软 件、硬件及 相关技术研</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w w:val="80"/>
                <w:sz w:val="18"/>
              </w:rPr>
              <w:t>55,362,749.31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w w:val="80"/>
                <w:sz w:val="18"/>
              </w:rPr>
              <w:t>47,404,901.21</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w w:val="80"/>
                <w:sz w:val="18"/>
              </w:rPr>
              <w:t>102,184,924.58</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w w:val="80"/>
                <w:sz w:val="18"/>
              </w:rPr>
              <w:t>18,562,083.90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w w:val="80"/>
                <w:sz w:val="18"/>
              </w:rPr>
              <w:t>18,535,709.64</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700" w:left="980" w:right="0"/>
        </w:sectPr>
      </w:pPr>
    </w:p>
    <w:p>
      <w:pPr>
        <w:spacing w:line="240" w:lineRule="auto" w:before="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3"/>
        <w:gridCol w:w="1198"/>
        <w:gridCol w:w="1045"/>
        <w:gridCol w:w="1044"/>
        <w:gridCol w:w="1047"/>
        <w:gridCol w:w="1046"/>
        <w:gridCol w:w="1044"/>
        <w:gridCol w:w="1045"/>
        <w:gridCol w:w="1046"/>
      </w:tblGrid>
      <w:tr>
        <w:trPr>
          <w:trHeight w:val="2235"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8"/>
              <w:ind w:left="24" w:right="110"/>
              <w:jc w:val="both"/>
              <w:rPr>
                <w:rFonts w:ascii="宋体" w:hAnsi="宋体" w:cs="宋体" w:eastAsia="宋体" w:hint="default"/>
                <w:sz w:val="18"/>
                <w:szCs w:val="18"/>
              </w:rPr>
            </w:pPr>
            <w:r>
              <w:rPr>
                <w:rFonts w:ascii="宋体" w:hAnsi="宋体" w:cs="宋体" w:eastAsia="宋体" w:hint="default"/>
                <w:sz w:val="18"/>
                <w:szCs w:val="18"/>
              </w:rPr>
              <w:t>发、技术咨 询、技术服 务；生产、 销售计算机 软、硬件； 计算机系统 集成</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1596"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2" w:right="118"/>
              <w:jc w:val="both"/>
              <w:rPr>
                <w:rFonts w:ascii="宋体" w:hAnsi="宋体" w:cs="宋体" w:eastAsia="宋体" w:hint="default"/>
                <w:sz w:val="18"/>
                <w:szCs w:val="18"/>
              </w:rPr>
            </w:pPr>
            <w:r>
              <w:rPr>
                <w:rFonts w:ascii="宋体" w:hAnsi="宋体" w:cs="宋体" w:eastAsia="宋体" w:hint="default"/>
                <w:sz w:val="18"/>
                <w:szCs w:val="18"/>
              </w:rPr>
              <w:t>上海睿民互 联网科技有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8"/>
              <w:ind w:left="24" w:right="17"/>
              <w:jc w:val="left"/>
              <w:rPr>
                <w:rFonts w:ascii="宋体" w:hAnsi="宋体" w:cs="宋体" w:eastAsia="宋体" w:hint="default"/>
                <w:sz w:val="18"/>
                <w:szCs w:val="18"/>
              </w:rPr>
            </w:pPr>
            <w:r>
              <w:rPr>
                <w:rFonts w:ascii="宋体" w:hAnsi="宋体" w:cs="宋体" w:eastAsia="宋体" w:hint="default"/>
                <w:sz w:val="18"/>
                <w:szCs w:val="18"/>
              </w:rPr>
              <w:t>计算机网络 科技、互联 网科技专业 领域内的技 术开发、技 术咨询、技 术转让、技 术服务，电 子商务（不 得从事增值 电信、金融 </w:t>
            </w:r>
            <w:r>
              <w:rPr>
                <w:rFonts w:ascii="宋体" w:hAnsi="宋体" w:cs="宋体" w:eastAsia="宋体" w:hint="default"/>
                <w:spacing w:val="-16"/>
                <w:sz w:val="18"/>
                <w:szCs w:val="18"/>
              </w:rPr>
              <w:t>业务），计算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机系统</w:t>
            </w:r>
            <w:r>
              <w:rPr>
                <w:rFonts w:ascii="宋体" w:hAnsi="宋体" w:cs="宋体" w:eastAsia="宋体" w:hint="default"/>
                <w:spacing w:val="1"/>
                <w:sz w:val="18"/>
                <w:szCs w:val="18"/>
              </w:rPr>
              <w:t> </w:t>
            </w:r>
            <w:r>
              <w:rPr>
                <w:rFonts w:ascii="宋体" w:hAnsi="宋体" w:cs="宋体" w:eastAsia="宋体" w:hint="default"/>
                <w:sz w:val="18"/>
                <w:szCs w:val="18"/>
              </w:rPr>
              <w:t>集</w:t>
            </w:r>
            <w:r>
              <w:rPr>
                <w:rFonts w:ascii="宋体" w:hAnsi="宋体" w:cs="宋体" w:eastAsia="宋体" w:hint="default"/>
                <w:sz w:val="18"/>
                <w:szCs w:val="18"/>
              </w:rPr>
              <w:t> 成，计算机 网络工</w:t>
            </w:r>
            <w:r>
              <w:rPr>
                <w:rFonts w:ascii="宋体" w:hAnsi="宋体" w:cs="宋体" w:eastAsia="宋体" w:hint="default"/>
                <w:spacing w:val="1"/>
                <w:sz w:val="18"/>
                <w:szCs w:val="18"/>
              </w:rPr>
              <w:t> </w:t>
            </w:r>
            <w:r>
              <w:rPr>
                <w:rFonts w:ascii="宋体" w:hAnsi="宋体" w:cs="宋体" w:eastAsia="宋体" w:hint="default"/>
                <w:sz w:val="18"/>
                <w:szCs w:val="18"/>
              </w:rPr>
              <w:t>程，</w:t>
            </w:r>
            <w:r>
              <w:rPr>
                <w:rFonts w:ascii="宋体" w:hAnsi="宋体" w:cs="宋体" w:eastAsia="宋体" w:hint="default"/>
                <w:sz w:val="18"/>
                <w:szCs w:val="18"/>
              </w:rPr>
              <w:t> 计算机软硬 件开</w:t>
            </w:r>
            <w:r>
              <w:rPr>
                <w:rFonts w:ascii="宋体" w:hAnsi="宋体" w:cs="宋体" w:eastAsia="宋体" w:hint="default"/>
                <w:spacing w:val="1"/>
                <w:sz w:val="18"/>
                <w:szCs w:val="18"/>
              </w:rPr>
              <w:t> </w:t>
            </w:r>
            <w:r>
              <w:rPr>
                <w:rFonts w:ascii="宋体" w:hAnsi="宋体" w:cs="宋体" w:eastAsia="宋体" w:hint="default"/>
                <w:sz w:val="18"/>
                <w:szCs w:val="18"/>
              </w:rPr>
              <w:t>发、销</w:t>
            </w:r>
            <w:r>
              <w:rPr>
                <w:rFonts w:ascii="宋体" w:hAnsi="宋体" w:cs="宋体" w:eastAsia="宋体" w:hint="default"/>
                <w:sz w:val="18"/>
                <w:szCs w:val="18"/>
              </w:rPr>
              <w:t> 售，</w:t>
            </w:r>
            <w:r>
              <w:rPr>
                <w:rFonts w:ascii="宋体" w:hAnsi="宋体" w:cs="宋体" w:eastAsia="宋体" w:hint="default"/>
                <w:spacing w:val="1"/>
                <w:sz w:val="18"/>
                <w:szCs w:val="18"/>
              </w:rPr>
              <w:t> </w:t>
            </w:r>
            <w:r>
              <w:rPr>
                <w:rFonts w:ascii="宋体" w:hAnsi="宋体" w:cs="宋体" w:eastAsia="宋体" w:hint="default"/>
                <w:sz w:val="18"/>
                <w:szCs w:val="18"/>
              </w:rPr>
              <w:t>接受金</w:t>
            </w:r>
            <w:r>
              <w:rPr>
                <w:rFonts w:ascii="宋体" w:hAnsi="宋体" w:cs="宋体" w:eastAsia="宋体" w:hint="default"/>
                <w:sz w:val="18"/>
                <w:szCs w:val="18"/>
              </w:rPr>
              <w:t> 融</w:t>
            </w:r>
            <w:r>
              <w:rPr>
                <w:rFonts w:ascii="宋体" w:hAnsi="宋体" w:cs="宋体" w:eastAsia="宋体" w:hint="default"/>
                <w:spacing w:val="1"/>
                <w:sz w:val="18"/>
                <w:szCs w:val="18"/>
              </w:rPr>
              <w:t> </w:t>
            </w:r>
            <w:r>
              <w:rPr>
                <w:rFonts w:ascii="宋体" w:hAnsi="宋体" w:cs="宋体" w:eastAsia="宋体" w:hint="default"/>
                <w:sz w:val="18"/>
                <w:szCs w:val="18"/>
              </w:rPr>
              <w:t>机构委</w:t>
            </w:r>
          </w:p>
          <w:p>
            <w:pPr>
              <w:pStyle w:val="TableParagraph"/>
              <w:spacing w:line="316" w:lineRule="auto" w:before="19"/>
              <w:ind w:left="24" w:right="197"/>
              <w:jc w:val="left"/>
              <w:rPr>
                <w:rFonts w:ascii="宋体" w:hAnsi="宋体" w:cs="宋体" w:eastAsia="宋体" w:hint="default"/>
                <w:sz w:val="18"/>
                <w:szCs w:val="18"/>
              </w:rPr>
            </w:pPr>
            <w:r>
              <w:rPr>
                <w:rFonts w:ascii="宋体" w:hAnsi="宋体" w:cs="宋体" w:eastAsia="宋体" w:hint="default"/>
                <w:sz w:val="18"/>
                <w:szCs w:val="18"/>
              </w:rPr>
              <w:t>托</w:t>
            </w:r>
            <w:r>
              <w:rPr>
                <w:rFonts w:ascii="宋体" w:hAnsi="宋体" w:cs="宋体" w:eastAsia="宋体" w:hint="default"/>
                <w:spacing w:val="1"/>
                <w:sz w:val="18"/>
                <w:szCs w:val="18"/>
              </w:rPr>
              <w:t> </w:t>
            </w:r>
            <w:r>
              <w:rPr>
                <w:rFonts w:ascii="宋体" w:hAnsi="宋体" w:cs="宋体" w:eastAsia="宋体" w:hint="default"/>
                <w:sz w:val="18"/>
                <w:szCs w:val="18"/>
              </w:rPr>
              <w:t>从事金</w:t>
            </w:r>
            <w:r>
              <w:rPr>
                <w:rFonts w:ascii="宋体" w:hAnsi="宋体" w:cs="宋体" w:eastAsia="宋体" w:hint="default"/>
                <w:sz w:val="18"/>
                <w:szCs w:val="18"/>
              </w:rPr>
              <w:t> 融</w:t>
            </w:r>
            <w:r>
              <w:rPr>
                <w:rFonts w:ascii="宋体" w:hAnsi="宋体" w:cs="宋体" w:eastAsia="宋体" w:hint="default"/>
                <w:spacing w:val="1"/>
                <w:sz w:val="18"/>
                <w:szCs w:val="18"/>
              </w:rPr>
              <w:t> </w:t>
            </w:r>
            <w:r>
              <w:rPr>
                <w:rFonts w:ascii="宋体" w:hAnsi="宋体" w:cs="宋体" w:eastAsia="宋体" w:hint="default"/>
                <w:sz w:val="18"/>
                <w:szCs w:val="18"/>
              </w:rPr>
              <w:t>信息技</w:t>
            </w:r>
          </w:p>
          <w:p>
            <w:pPr>
              <w:pStyle w:val="TableParagraph"/>
              <w:spacing w:line="316"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术</w:t>
            </w:r>
            <w:r>
              <w:rPr>
                <w:rFonts w:ascii="宋体" w:hAnsi="宋体" w:cs="宋体" w:eastAsia="宋体" w:hint="default"/>
                <w:spacing w:val="1"/>
                <w:sz w:val="18"/>
                <w:szCs w:val="18"/>
              </w:rPr>
              <w:t> </w:t>
            </w:r>
            <w:r>
              <w:rPr>
                <w:rFonts w:ascii="宋体" w:hAnsi="宋体" w:cs="宋体" w:eastAsia="宋体" w:hint="default"/>
                <w:sz w:val="18"/>
                <w:szCs w:val="18"/>
              </w:rPr>
              <w:t>外包，接</w:t>
            </w:r>
            <w:r>
              <w:rPr>
                <w:rFonts w:ascii="宋体" w:hAnsi="宋体" w:cs="宋体" w:eastAsia="宋体" w:hint="default"/>
                <w:sz w:val="18"/>
                <w:szCs w:val="18"/>
              </w:rPr>
              <w:t> 受金融机构 委托从事 金融业务 流程外包， 市场信息 咨询与调 查（不得从 事社会调 查、社会调 研、民意调 查、民意测 </w:t>
            </w:r>
            <w:r>
              <w:rPr>
                <w:rFonts w:ascii="宋体" w:hAnsi="宋体" w:cs="宋体" w:eastAsia="宋体" w:hint="default"/>
                <w:spacing w:val="-16"/>
                <w:sz w:val="18"/>
                <w:szCs w:val="18"/>
              </w:rPr>
              <w:t>验），会务服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务，市场营 销策划，</w:t>
            </w:r>
            <w:r>
              <w:rPr>
                <w:rFonts w:ascii="宋体" w:hAnsi="宋体" w:cs="宋体" w:eastAsia="宋体" w:hint="default"/>
                <w:spacing w:val="1"/>
                <w:sz w:val="18"/>
                <w:szCs w:val="18"/>
              </w:rPr>
              <w:t> </w:t>
            </w:r>
            <w:r>
              <w:rPr>
                <w:rFonts w:ascii="宋体" w:hAnsi="宋体" w:cs="宋体" w:eastAsia="宋体" w:hint="default"/>
                <w:sz w:val="18"/>
                <w:szCs w:val="18"/>
              </w:rPr>
              <w:t>设</w:t>
            </w:r>
            <w:r>
              <w:rPr>
                <w:rFonts w:ascii="宋体" w:hAnsi="宋体" w:cs="宋体" w:eastAsia="宋体" w:hint="default"/>
                <w:sz w:val="18"/>
                <w:szCs w:val="18"/>
              </w:rPr>
              <w:t> 计、制作各</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12" w:right="0"/>
              <w:jc w:val="left"/>
              <w:rPr>
                <w:rFonts w:ascii="Times New Roman" w:hAnsi="Times New Roman" w:cs="Times New Roman" w:eastAsia="Times New Roman" w:hint="default"/>
                <w:sz w:val="18"/>
                <w:szCs w:val="18"/>
              </w:rPr>
            </w:pPr>
            <w:r>
              <w:rPr>
                <w:rFonts w:ascii="Times New Roman"/>
                <w:sz w:val="18"/>
              </w:rPr>
              <w:t>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17" w:right="0"/>
              <w:jc w:val="left"/>
              <w:rPr>
                <w:rFonts w:ascii="Times New Roman" w:hAnsi="Times New Roman" w:cs="Times New Roman" w:eastAsia="Times New Roman" w:hint="default"/>
                <w:sz w:val="18"/>
                <w:szCs w:val="18"/>
              </w:rPr>
            </w:pPr>
            <w:r>
              <w:rPr>
                <w:rFonts w:ascii="Times New Roman"/>
                <w:w w:val="80"/>
                <w:sz w:val="18"/>
              </w:rPr>
              <w:t>225,087,767.66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20" w:right="0"/>
              <w:jc w:val="left"/>
              <w:rPr>
                <w:rFonts w:ascii="Times New Roman" w:hAnsi="Times New Roman" w:cs="Times New Roman" w:eastAsia="Times New Roman" w:hint="default"/>
                <w:sz w:val="18"/>
                <w:szCs w:val="18"/>
              </w:rPr>
            </w:pPr>
            <w:r>
              <w:rPr>
                <w:rFonts w:ascii="Times New Roman"/>
                <w:w w:val="80"/>
                <w:sz w:val="18"/>
              </w:rPr>
              <w:t>127,164,116.01</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w w:val="80"/>
                <w:sz w:val="18"/>
              </w:rPr>
              <w:t>453,637,612.66</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92" w:right="0"/>
              <w:jc w:val="left"/>
              <w:rPr>
                <w:rFonts w:ascii="Times New Roman" w:hAnsi="Times New Roman" w:cs="Times New Roman" w:eastAsia="Times New Roman" w:hint="default"/>
                <w:sz w:val="18"/>
                <w:szCs w:val="18"/>
              </w:rPr>
            </w:pPr>
            <w:r>
              <w:rPr>
                <w:rFonts w:ascii="Times New Roman"/>
                <w:w w:val="80"/>
                <w:sz w:val="18"/>
              </w:rPr>
              <w:t>42,119,643.82</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89" w:right="0"/>
              <w:jc w:val="left"/>
              <w:rPr>
                <w:rFonts w:ascii="Times New Roman" w:hAnsi="Times New Roman" w:cs="Times New Roman" w:eastAsia="Times New Roman" w:hint="default"/>
                <w:sz w:val="18"/>
                <w:szCs w:val="18"/>
              </w:rPr>
            </w:pPr>
            <w:r>
              <w:rPr>
                <w:rFonts w:ascii="Times New Roman"/>
                <w:w w:val="80"/>
                <w:sz w:val="18"/>
              </w:rPr>
              <w:t>35,342,415.03</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86" w:footer="1267" w:top="1100" w:bottom="15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3"/>
        <w:gridCol w:w="1198"/>
        <w:gridCol w:w="1045"/>
        <w:gridCol w:w="1044"/>
        <w:gridCol w:w="1047"/>
        <w:gridCol w:w="1046"/>
        <w:gridCol w:w="1044"/>
        <w:gridCol w:w="1045"/>
        <w:gridCol w:w="1046"/>
      </w:tblGrid>
      <w:tr>
        <w:trPr>
          <w:trHeight w:val="363"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类广告。</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18"/>
              <w:jc w:val="both"/>
              <w:rPr>
                <w:rFonts w:ascii="宋体" w:hAnsi="宋体" w:cs="宋体" w:eastAsia="宋体" w:hint="default"/>
                <w:sz w:val="18"/>
                <w:szCs w:val="18"/>
              </w:rPr>
            </w:pPr>
            <w:r>
              <w:rPr>
                <w:rFonts w:ascii="宋体" w:hAnsi="宋体" w:cs="宋体" w:eastAsia="宋体" w:hint="default"/>
                <w:sz w:val="18"/>
                <w:szCs w:val="18"/>
              </w:rPr>
              <w:t>海南坚果创 娱信息技术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经济贸易 信息咨询； 技术咨询； 技术开发； 技术服务； 技术转让； 技术推广； 广告发布、 广告代理、 广告推广。</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1"/>
                <w:sz w:val="18"/>
              </w:rPr>
              <w:t>1,000,000.00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75"/>
                <w:sz w:val="18"/>
              </w:rPr>
              <w:t>69,034,945.92</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55,138,375.76</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w w:val="80"/>
                <w:sz w:val="18"/>
              </w:rPr>
              <w:t>85,898,734.33</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24,020,614.76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75"/>
                <w:sz w:val="18"/>
              </w:rPr>
              <w:t>23,952,431.20</w:t>
            </w:r>
            <w:r>
              <w:rPr>
                <w:rFonts w:ascii="Times New Roman"/>
                <w:sz w:val="18"/>
              </w:rPr>
            </w:r>
          </w:p>
        </w:tc>
      </w:tr>
      <w:tr>
        <w:trPr>
          <w:trHeight w:val="10036"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18"/>
              <w:jc w:val="both"/>
              <w:rPr>
                <w:rFonts w:ascii="宋体" w:hAnsi="宋体" w:cs="宋体" w:eastAsia="宋体" w:hint="default"/>
                <w:sz w:val="18"/>
                <w:szCs w:val="18"/>
              </w:rPr>
            </w:pPr>
            <w:r>
              <w:rPr>
                <w:rFonts w:ascii="宋体" w:hAnsi="宋体" w:cs="宋体" w:eastAsia="宋体" w:hint="default"/>
                <w:sz w:val="18"/>
                <w:szCs w:val="18"/>
              </w:rPr>
              <w:t>深圳市快读 科技有限公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计算机技术 开发与咨 询；互联网 技术开发； 从事广告业 务（法律、 行政法规、 国务院决定 规定需另行 办理广告经 营项目审批 的，需取得 许可后方可 </w:t>
            </w:r>
            <w:r>
              <w:rPr>
                <w:rFonts w:ascii="宋体" w:hAnsi="宋体" w:cs="宋体" w:eastAsia="宋体" w:hint="default"/>
                <w:spacing w:val="-16"/>
                <w:sz w:val="18"/>
                <w:szCs w:val="18"/>
              </w:rPr>
              <w:t>经营）；电子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产品、电子 元器件、通 信设备、手 机配件、五 金产品、机 械设备、塑 料制品、建 筑材料、数 码产品、计 算机软硬件 的技术</w:t>
            </w:r>
            <w:r>
              <w:rPr>
                <w:rFonts w:ascii="宋体" w:hAnsi="宋体" w:cs="宋体" w:eastAsia="宋体" w:hint="default"/>
                <w:spacing w:val="1"/>
                <w:sz w:val="18"/>
                <w:szCs w:val="18"/>
              </w:rPr>
              <w:t> </w:t>
            </w:r>
            <w:r>
              <w:rPr>
                <w:rFonts w:ascii="宋体" w:hAnsi="宋体" w:cs="宋体" w:eastAsia="宋体" w:hint="default"/>
                <w:sz w:val="18"/>
                <w:szCs w:val="18"/>
              </w:rPr>
              <w:t>开</w:t>
            </w:r>
            <w:r>
              <w:rPr>
                <w:rFonts w:ascii="宋体" w:hAnsi="宋体" w:cs="宋体" w:eastAsia="宋体" w:hint="default"/>
                <w:sz w:val="18"/>
                <w:szCs w:val="18"/>
              </w:rPr>
              <w:t> 发与销售； 经济信息咨 询；国内贸 易；经营进 出口</w:t>
            </w:r>
            <w:r>
              <w:rPr>
                <w:rFonts w:ascii="宋体" w:hAnsi="宋体" w:cs="宋体" w:eastAsia="宋体" w:hint="default"/>
                <w:spacing w:val="1"/>
                <w:sz w:val="18"/>
                <w:szCs w:val="18"/>
              </w:rPr>
              <w:t> </w:t>
            </w:r>
            <w:r>
              <w:rPr>
                <w:rFonts w:ascii="宋体" w:hAnsi="宋体" w:cs="宋体" w:eastAsia="宋体" w:hint="default"/>
                <w:sz w:val="18"/>
                <w:szCs w:val="18"/>
              </w:rPr>
              <w:t>业务；</w:t>
            </w:r>
            <w:r>
              <w:rPr>
                <w:rFonts w:ascii="宋体" w:hAnsi="宋体" w:cs="宋体" w:eastAsia="宋体" w:hint="default"/>
                <w:sz w:val="18"/>
                <w:szCs w:val="18"/>
              </w:rPr>
              <w:t> 提供婚姻介 绍</w:t>
            </w:r>
            <w:r>
              <w:rPr>
                <w:rFonts w:ascii="宋体" w:hAnsi="宋体" w:cs="宋体" w:eastAsia="宋体" w:hint="default"/>
                <w:spacing w:val="1"/>
                <w:sz w:val="18"/>
                <w:szCs w:val="18"/>
              </w:rPr>
              <w:t> </w:t>
            </w:r>
            <w:r>
              <w:rPr>
                <w:rFonts w:ascii="宋体" w:hAnsi="宋体" w:cs="宋体" w:eastAsia="宋体" w:hint="default"/>
                <w:sz w:val="18"/>
                <w:szCs w:val="18"/>
              </w:rPr>
              <w:t>信息咨</w:t>
            </w:r>
          </w:p>
        </w:tc>
        <w:tc>
          <w:tcPr>
            <w:tcW w:w="104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41"/>
              <w:jc w:val="right"/>
              <w:rPr>
                <w:rFonts w:ascii="Times New Roman" w:hAnsi="Times New Roman" w:cs="Times New Roman" w:eastAsia="Times New Roman" w:hint="default"/>
                <w:sz w:val="18"/>
                <w:szCs w:val="18"/>
              </w:rPr>
            </w:pPr>
            <w:r>
              <w:rPr>
                <w:rFonts w:ascii="Times New Roman"/>
                <w:spacing w:val="-1"/>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w w:val="75"/>
                <w:sz w:val="18"/>
              </w:rPr>
              <w:t>131,480,803.69</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w w:val="75"/>
                <w:sz w:val="18"/>
              </w:rPr>
              <w:t>91,131,292.61</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95" w:right="0"/>
              <w:jc w:val="center"/>
              <w:rPr>
                <w:rFonts w:ascii="Times New Roman" w:hAnsi="Times New Roman" w:cs="Times New Roman" w:eastAsia="Times New Roman" w:hint="default"/>
                <w:sz w:val="18"/>
                <w:szCs w:val="18"/>
              </w:rPr>
            </w:pPr>
            <w:r>
              <w:rPr>
                <w:rFonts w:ascii="Times New Roman"/>
                <w:w w:val="80"/>
                <w:sz w:val="18"/>
              </w:rPr>
              <w:t>165,916,872.82</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w w:val="75"/>
                <w:sz w:val="18"/>
              </w:rPr>
              <w:t>39,827,701.48</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w w:val="75"/>
                <w:sz w:val="18"/>
              </w:rPr>
              <w:t>39,815,623.64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3"/>
        <w:gridCol w:w="1198"/>
        <w:gridCol w:w="1045"/>
        <w:gridCol w:w="91"/>
        <w:gridCol w:w="953"/>
        <w:gridCol w:w="1047"/>
        <w:gridCol w:w="1046"/>
        <w:gridCol w:w="1044"/>
        <w:gridCol w:w="1045"/>
        <w:gridCol w:w="1046"/>
      </w:tblGrid>
      <w:tr>
        <w:trPr>
          <w:trHeight w:val="363"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询。</w:t>
            </w:r>
          </w:p>
        </w:tc>
        <w:tc>
          <w:tcPr>
            <w:tcW w:w="1044" w:type="dxa"/>
            <w:gridSpan w:val="2"/>
            <w:tcBorders>
              <w:top w:val="single" w:sz="4" w:space="0" w:color="000000"/>
              <w:left w:val="single" w:sz="4" w:space="0" w:color="000000"/>
              <w:bottom w:val="single" w:sz="4" w:space="0" w:color="000000"/>
              <w:right w:val="single" w:sz="4" w:space="0" w:color="000000"/>
            </w:tcBorders>
            <w:shd w:val="clear" w:color="auto" w:fill="CCE8CF"/>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6954" w:hRule="exact"/>
        </w:trPr>
        <w:tc>
          <w:tcPr>
            <w:tcW w:w="10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18"/>
              <w:jc w:val="both"/>
              <w:rPr>
                <w:rFonts w:ascii="宋体" w:hAnsi="宋体" w:cs="宋体" w:eastAsia="宋体" w:hint="default"/>
                <w:sz w:val="18"/>
                <w:szCs w:val="18"/>
              </w:rPr>
            </w:pPr>
            <w:r>
              <w:rPr>
                <w:rFonts w:ascii="宋体" w:hAnsi="宋体" w:cs="宋体" w:eastAsia="宋体" w:hint="default"/>
                <w:sz w:val="18"/>
                <w:szCs w:val="18"/>
              </w:rPr>
              <w:t>喀什尚河信 息科技有限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计算机技术 开发与咨 询；互联网 技术开</w:t>
            </w:r>
            <w:r>
              <w:rPr>
                <w:rFonts w:ascii="宋体" w:hAnsi="宋体" w:cs="宋体" w:eastAsia="宋体" w:hint="default"/>
                <w:spacing w:val="1"/>
                <w:sz w:val="18"/>
                <w:szCs w:val="18"/>
              </w:rPr>
              <w:t> </w:t>
            </w:r>
            <w:r>
              <w:rPr>
                <w:rFonts w:ascii="宋体" w:hAnsi="宋体" w:cs="宋体" w:eastAsia="宋体" w:hint="default"/>
                <w:sz w:val="18"/>
                <w:szCs w:val="18"/>
              </w:rPr>
              <w:t>发；</w:t>
            </w:r>
            <w:r>
              <w:rPr>
                <w:rFonts w:ascii="宋体" w:hAnsi="宋体" w:cs="宋体" w:eastAsia="宋体" w:hint="default"/>
                <w:sz w:val="18"/>
                <w:szCs w:val="18"/>
              </w:rPr>
              <w:t> 软件开发与 生产；</w:t>
            </w:r>
            <w:r>
              <w:rPr>
                <w:rFonts w:ascii="宋体" w:hAnsi="宋体" w:cs="宋体" w:eastAsia="宋体" w:hint="default"/>
                <w:spacing w:val="1"/>
                <w:sz w:val="18"/>
                <w:szCs w:val="18"/>
              </w:rPr>
              <w:t> </w:t>
            </w:r>
            <w:r>
              <w:rPr>
                <w:rFonts w:ascii="宋体" w:hAnsi="宋体" w:cs="宋体" w:eastAsia="宋体" w:hint="default"/>
                <w:sz w:val="18"/>
                <w:szCs w:val="18"/>
              </w:rPr>
              <w:t>电子</w:t>
            </w:r>
            <w:r>
              <w:rPr>
                <w:rFonts w:ascii="宋体" w:hAnsi="宋体" w:cs="宋体" w:eastAsia="宋体" w:hint="default"/>
                <w:sz w:val="18"/>
                <w:szCs w:val="18"/>
              </w:rPr>
              <w:t> 商务</w:t>
            </w:r>
            <w:r>
              <w:rPr>
                <w:rFonts w:ascii="宋体" w:hAnsi="宋体" w:cs="宋体" w:eastAsia="宋体" w:hint="default"/>
                <w:spacing w:val="1"/>
                <w:sz w:val="18"/>
                <w:szCs w:val="18"/>
              </w:rPr>
              <w:t> </w:t>
            </w:r>
            <w:r>
              <w:rPr>
                <w:rFonts w:ascii="宋体" w:hAnsi="宋体" w:cs="宋体" w:eastAsia="宋体" w:hint="default"/>
                <w:sz w:val="18"/>
                <w:szCs w:val="18"/>
              </w:rPr>
              <w:t>与电</w:t>
            </w:r>
            <w:r>
              <w:rPr>
                <w:rFonts w:ascii="宋体" w:hAnsi="宋体" w:cs="宋体" w:eastAsia="宋体" w:hint="default"/>
                <w:sz w:val="18"/>
                <w:szCs w:val="18"/>
              </w:rPr>
              <w:t> 子政</w:t>
            </w:r>
            <w:r>
              <w:rPr>
                <w:rFonts w:ascii="宋体" w:hAnsi="宋体" w:cs="宋体" w:eastAsia="宋体" w:hint="default"/>
                <w:spacing w:val="1"/>
                <w:sz w:val="18"/>
                <w:szCs w:val="18"/>
              </w:rPr>
              <w:t> </w:t>
            </w:r>
            <w:r>
              <w:rPr>
                <w:rFonts w:ascii="宋体" w:hAnsi="宋体" w:cs="宋体" w:eastAsia="宋体" w:hint="default"/>
                <w:sz w:val="18"/>
                <w:szCs w:val="18"/>
              </w:rPr>
              <w:t>务系</w:t>
            </w:r>
            <w:r>
              <w:rPr>
                <w:rFonts w:ascii="宋体" w:hAnsi="宋体" w:cs="宋体" w:eastAsia="宋体" w:hint="default"/>
                <w:sz w:val="18"/>
                <w:szCs w:val="18"/>
              </w:rPr>
              <w:t> 统开</w:t>
            </w:r>
            <w:r>
              <w:rPr>
                <w:rFonts w:ascii="宋体" w:hAnsi="宋体" w:cs="宋体" w:eastAsia="宋体" w:hint="default"/>
                <w:spacing w:val="1"/>
                <w:sz w:val="18"/>
                <w:szCs w:val="18"/>
              </w:rPr>
              <w:t> </w:t>
            </w:r>
            <w:r>
              <w:rPr>
                <w:rFonts w:ascii="宋体" w:hAnsi="宋体" w:cs="宋体" w:eastAsia="宋体" w:hint="default"/>
                <w:sz w:val="18"/>
                <w:szCs w:val="18"/>
              </w:rPr>
              <w:t>发及</w:t>
            </w:r>
            <w:r>
              <w:rPr>
                <w:rFonts w:ascii="宋体" w:hAnsi="宋体" w:cs="宋体" w:eastAsia="宋体" w:hint="default"/>
                <w:sz w:val="18"/>
                <w:szCs w:val="18"/>
              </w:rPr>
              <w:t> 应用</w:t>
            </w:r>
            <w:r>
              <w:rPr>
                <w:rFonts w:ascii="宋体" w:hAnsi="宋体" w:cs="宋体" w:eastAsia="宋体" w:hint="default"/>
                <w:spacing w:val="1"/>
                <w:sz w:val="18"/>
                <w:szCs w:val="18"/>
              </w:rPr>
              <w:t> </w:t>
            </w:r>
            <w:r>
              <w:rPr>
                <w:rFonts w:ascii="宋体" w:hAnsi="宋体" w:cs="宋体" w:eastAsia="宋体" w:hint="default"/>
                <w:sz w:val="18"/>
                <w:szCs w:val="18"/>
              </w:rPr>
              <w:t>服务；</w:t>
            </w:r>
            <w:r>
              <w:rPr>
                <w:rFonts w:ascii="宋体" w:hAnsi="宋体" w:cs="宋体" w:eastAsia="宋体" w:hint="default"/>
                <w:sz w:val="18"/>
                <w:szCs w:val="18"/>
              </w:rPr>
              <w:t> 数字音乐、 手机媒体、 动漫游戏产 品</w:t>
            </w:r>
            <w:r>
              <w:rPr>
                <w:rFonts w:ascii="宋体" w:hAnsi="宋体" w:cs="宋体" w:eastAsia="宋体" w:hint="default"/>
                <w:spacing w:val="1"/>
                <w:sz w:val="18"/>
                <w:szCs w:val="18"/>
              </w:rPr>
              <w:t> </w:t>
            </w:r>
            <w:r>
              <w:rPr>
                <w:rFonts w:ascii="宋体" w:hAnsi="宋体" w:cs="宋体" w:eastAsia="宋体" w:hint="default"/>
                <w:sz w:val="18"/>
                <w:szCs w:val="18"/>
              </w:rPr>
              <w:t>的开发；</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4" w:right="110"/>
              <w:jc w:val="left"/>
              <w:rPr>
                <w:rFonts w:ascii="宋体" w:hAnsi="宋体" w:cs="宋体" w:eastAsia="宋体" w:hint="default"/>
                <w:sz w:val="18"/>
                <w:szCs w:val="18"/>
              </w:rPr>
            </w:pPr>
            <w:r>
              <w:rPr>
                <w:rFonts w:ascii="宋体" w:hAnsi="宋体" w:cs="宋体" w:eastAsia="宋体" w:hint="default"/>
                <w:sz w:val="18"/>
                <w:szCs w:val="18"/>
              </w:rPr>
              <w:t>代理、发布 国内各类 广告；组织 文化艺术 交流活动</w:t>
            </w:r>
          </w:p>
          <w:p>
            <w:pPr>
              <w:pStyle w:val="TableParagraph"/>
              <w:spacing w:line="316" w:lineRule="auto" w:before="19"/>
              <w:ind w:left="24" w:right="290"/>
              <w:jc w:val="left"/>
              <w:rPr>
                <w:rFonts w:ascii="宋体" w:hAnsi="宋体" w:cs="宋体" w:eastAsia="宋体" w:hint="default"/>
                <w:sz w:val="18"/>
                <w:szCs w:val="18"/>
              </w:rPr>
            </w:pPr>
            <w:r>
              <w:rPr>
                <w:rFonts w:ascii="宋体" w:hAnsi="宋体" w:cs="宋体" w:eastAsia="宋体" w:hint="default"/>
                <w:sz w:val="18"/>
                <w:szCs w:val="18"/>
              </w:rPr>
              <w:t>（不含演 </w:t>
            </w:r>
            <w:r>
              <w:rPr>
                <w:rFonts w:ascii="宋体" w:hAnsi="宋体" w:cs="宋体" w:eastAsia="宋体" w:hint="default"/>
                <w:spacing w:val="-31"/>
                <w:sz w:val="18"/>
                <w:szCs w:val="18"/>
              </w:rPr>
              <w:t>出）。</w:t>
            </w:r>
          </w:p>
        </w:tc>
        <w:tc>
          <w:tcPr>
            <w:tcW w:w="91" w:type="dxa"/>
            <w:tcBorders>
              <w:top w:val="single" w:sz="4" w:space="0" w:color="000000"/>
              <w:left w:val="single" w:sz="4" w:space="0" w:color="000000"/>
              <w:bottom w:val="single" w:sz="4" w:space="0" w:color="000000"/>
              <w:right w:val="nil" w:sz="6" w:space="0" w:color="auto"/>
            </w:tcBorders>
            <w:shd w:val="clear" w:color="auto" w:fill="CCE8CF"/>
          </w:tcPr>
          <w:p>
            <w:pPr/>
          </w:p>
        </w:tc>
        <w:tc>
          <w:tcPr>
            <w:tcW w:w="953" w:type="dxa"/>
            <w:tcBorders>
              <w:top w:val="single" w:sz="4" w:space="0" w:color="000000"/>
              <w:left w:val="nil" w:sz="6" w:space="0" w:color="auto"/>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w w:val="80"/>
                <w:sz w:val="18"/>
              </w:rPr>
              <w:t>51,636,537.96</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w w:val="80"/>
                <w:sz w:val="18"/>
              </w:rPr>
              <w:t>34,224,232.03</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w w:val="80"/>
                <w:sz w:val="18"/>
              </w:rPr>
              <w:t>40,258,774.23</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w w:val="80"/>
                <w:sz w:val="18"/>
              </w:rPr>
              <w:t>15,256,878.57</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w w:val="80"/>
                <w:sz w:val="18"/>
              </w:rPr>
              <w:t>15,256,878.57</w:t>
            </w:r>
            <w:r>
              <w:rPr>
                <w:rFonts w:ascii="Times New Roman"/>
                <w:sz w:val="18"/>
              </w:rPr>
            </w:r>
          </w:p>
        </w:tc>
      </w:tr>
    </w:tbl>
    <w:p>
      <w:pPr>
        <w:pStyle w:val="BodyText"/>
        <w:spacing w:line="240" w:lineRule="auto" w:before="49"/>
        <w:ind w:right="1117"/>
        <w:jc w:val="left"/>
      </w:pPr>
      <w:r>
        <w:rPr/>
        <w:pict>
          <v:shape style="position:absolute;margin-left:170.660004pt;margin-top:-164.298294pt;width:102.9pt;height:163.85pt;mso-position-horizontal-relative:page;mso-position-vertical-relative:paragraph;z-index:-10288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设计、制作、</w:t>
                  </w:r>
                </w:p>
              </w:txbxContent>
            </v:textbox>
            <w10:wrap type="none"/>
          </v:shape>
        </w:pict>
      </w:r>
      <w:r>
        <w:rPr/>
        <w:t>报告期内取得和处置子公司的情况</w:t>
      </w:r>
    </w:p>
    <w:p>
      <w:pPr>
        <w:pStyle w:val="BodyText"/>
        <w:spacing w:line="338" w:lineRule="auto" w:before="117"/>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主要控股参股公司情况说明</w:t>
      </w:r>
    </w:p>
    <w:p>
      <w:pPr>
        <w:spacing w:line="240" w:lineRule="auto" w:before="8"/>
        <w:rPr>
          <w:rFonts w:ascii="宋体" w:hAnsi="宋体" w:cs="宋体" w:eastAsia="宋体" w:hint="default"/>
          <w:sz w:val="19"/>
          <w:szCs w:val="19"/>
        </w:rPr>
      </w:pPr>
    </w:p>
    <w:p>
      <w:pPr>
        <w:pStyle w:val="Heading2"/>
        <w:spacing w:line="240" w:lineRule="auto"/>
        <w:ind w:right="1117"/>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17" w:firstLine="360"/>
        <w:jc w:val="left"/>
      </w:pPr>
      <w:r>
        <w:rPr>
          <w:rFonts w:ascii="Times New Roman" w:hAnsi="Times New Roman" w:cs="Times New Roman" w:eastAsia="Times New Roman" w:hint="default"/>
          <w:spacing w:val="-2"/>
        </w:rPr>
        <w:t>2018</w:t>
      </w:r>
      <w:r>
        <w:rPr>
          <w:spacing w:val="-2"/>
        </w:rPr>
        <w:t>年，依托于对于银行科技领域市场机会趋于活跃的预测，公司着实加大该领域的资源投入，较好的契合了</w:t>
      </w:r>
      <w:r>
        <w:rPr>
          <w:rFonts w:ascii="Times New Roman" w:hAnsi="Times New Roman" w:cs="Times New Roman" w:eastAsia="Times New Roman" w:hint="default"/>
          <w:spacing w:val="-2"/>
        </w:rPr>
        <w:t>2018</w:t>
      </w:r>
      <w:r>
        <w:rPr>
          <w:spacing w:val="-2"/>
        </w:rPr>
        <w:t>年银</w:t>
      </w:r>
      <w:r>
        <w:rPr/>
        <w:t> 行科技领域的需求回暖。公司继续坚持两大战略方向：</w:t>
      </w:r>
    </w:p>
    <w:p>
      <w:pPr>
        <w:pStyle w:val="BodyText"/>
        <w:spacing w:line="316" w:lineRule="auto" w:before="70"/>
        <w:ind w:right="1117" w:firstLine="360"/>
        <w:jc w:val="left"/>
      </w:pPr>
      <w:r>
        <w:rPr>
          <w:spacing w:val="-2"/>
        </w:rPr>
        <w:t>首先，持续进行业务结构的调整，在现有的金融信息服务业务稳定发展的同时，积极寻求变革和突破，通过组织和激励</w:t>
      </w:r>
      <w:r>
        <w:rPr/>
        <w:t> 机制的变革，激发内部活力，培养新的业务增长点。</w:t>
      </w:r>
    </w:p>
    <w:p>
      <w:pPr>
        <w:pStyle w:val="BodyText"/>
        <w:spacing w:line="360" w:lineRule="auto" w:before="59"/>
        <w:ind w:left="513" w:right="1117"/>
        <w:jc w:val="left"/>
      </w:pPr>
      <w:r>
        <w:rPr/>
        <w:t>其次，坚持做好现有主业间的产业协同和融合。 </w:t>
      </w:r>
      <w:r>
        <w:rPr>
          <w:spacing w:val="-2"/>
        </w:rPr>
        <w:t>积极调整现有业务结构，从单一的金融信息化行业，向多元化主业共同发展过渡。在金融信息化领域，主要是模式的创</w:t>
      </w:r>
    </w:p>
    <w:p>
      <w:pPr>
        <w:pStyle w:val="BodyText"/>
        <w:spacing w:line="222" w:lineRule="exact"/>
        <w:ind w:right="1117"/>
        <w:jc w:val="left"/>
      </w:pPr>
      <w:r>
        <w:rPr/>
        <w:t>新和技术、产品的演进升级。具体有以下方面：</w:t>
      </w:r>
    </w:p>
    <w:p>
      <w:pPr>
        <w:pStyle w:val="BodyText"/>
        <w:spacing w:line="340" w:lineRule="auto" w:before="115"/>
        <w:ind w:left="513" w:right="1117"/>
        <w:jc w:val="left"/>
      </w:pPr>
      <w:r>
        <w:rPr>
          <w:rFonts w:ascii="Times New Roman" w:hAnsi="Times New Roman" w:cs="Times New Roman" w:eastAsia="Times New Roman" w:hint="default"/>
        </w:rPr>
        <w:t>1</w:t>
      </w:r>
      <w:r>
        <w:rPr/>
        <w:t>、组织机制的创新。 </w:t>
      </w:r>
      <w:r>
        <w:rPr>
          <w:spacing w:val="-2"/>
        </w:rPr>
        <w:t>鼓励内部创新创业，优化组织结构，以创新的观念，突破现有的业务格局和组织架构，逐渐将现有团队小型化和运营独</w:t>
      </w:r>
    </w:p>
    <w:p>
      <w:pPr>
        <w:pStyle w:val="BodyText"/>
        <w:spacing w:line="240" w:lineRule="auto" w:before="1"/>
        <w:ind w:right="991"/>
        <w:jc w:val="left"/>
      </w:pPr>
      <w:r>
        <w:rPr/>
        <w:t>立化。给予团队更多的经营和管理的自主性。通过机制的创新激发团队活力，在合理有效的前提下，实现企业内资源和要素</w:t>
      </w:r>
    </w:p>
    <w:p>
      <w:pPr>
        <w:spacing w:after="0" w:line="240" w:lineRule="auto"/>
        <w:jc w:val="left"/>
        <w:sectPr>
          <w:pgSz w:w="11910" w:h="16840"/>
          <w:pgMar w:header="786" w:footer="1267" w:top="1100" w:bottom="146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1117"/>
        <w:jc w:val="left"/>
      </w:pPr>
      <w:r>
        <w:rPr/>
        <w:t>的再分配，从而实现运营效率的有效提升。</w:t>
      </w:r>
    </w:p>
    <w:p>
      <w:pPr>
        <w:pStyle w:val="BodyText"/>
        <w:spacing w:line="338" w:lineRule="auto" w:before="117"/>
        <w:ind w:left="513" w:right="1113"/>
        <w:jc w:val="left"/>
      </w:pPr>
      <w:r>
        <w:rPr>
          <w:rFonts w:ascii="Times New Roman" w:hAnsi="Times New Roman" w:cs="Times New Roman" w:eastAsia="Times New Roman" w:hint="default"/>
        </w:rPr>
        <w:t>2</w:t>
      </w:r>
      <w:r>
        <w:rPr/>
        <w:t>、业务模式的创新。 积极布局大数据、</w:t>
      </w:r>
      <w:r>
        <w:rPr>
          <w:rFonts w:ascii="Times New Roman" w:hAnsi="Times New Roman" w:cs="Times New Roman" w:eastAsia="Times New Roman" w:hint="default"/>
        </w:rPr>
        <w:t>SAAS</w:t>
      </w:r>
      <w:r>
        <w:rPr/>
        <w:t>和云计算等领域。金融云业务是公司未来很长一段时间业务发展的重点。它将深刻影响未来金</w:t>
      </w:r>
    </w:p>
    <w:p>
      <w:pPr>
        <w:pStyle w:val="BodyText"/>
        <w:spacing w:line="217" w:lineRule="exact"/>
        <w:ind w:right="1117"/>
        <w:jc w:val="left"/>
      </w:pPr>
      <w:r>
        <w:rPr/>
        <w:t>融信息化行业。</w:t>
      </w:r>
    </w:p>
    <w:p>
      <w:pPr>
        <w:pStyle w:val="BodyText"/>
        <w:spacing w:line="240" w:lineRule="auto" w:before="117"/>
        <w:ind w:left="513" w:right="1117"/>
        <w:jc w:val="left"/>
      </w:pPr>
      <w:r>
        <w:rPr>
          <w:rFonts w:ascii="Times New Roman" w:hAnsi="Times New Roman" w:cs="Times New Roman" w:eastAsia="Times New Roman" w:hint="default"/>
        </w:rPr>
        <w:t>3</w:t>
      </w:r>
      <w:r>
        <w:rPr/>
        <w:t>、使人员增速和公司业务发展相适应，调整人员结构，提升区域子公司的实施能力。</w:t>
      </w:r>
    </w:p>
    <w:p>
      <w:pPr>
        <w:pStyle w:val="BodyText"/>
        <w:spacing w:line="240" w:lineRule="auto" w:before="103"/>
        <w:ind w:left="513" w:right="1117"/>
        <w:jc w:val="left"/>
      </w:pPr>
      <w:r>
        <w:rPr>
          <w:rFonts w:ascii="Times New Roman" w:hAnsi="Times New Roman" w:cs="Times New Roman" w:eastAsia="Times New Roman" w:hint="default"/>
        </w:rPr>
        <w:t>4</w:t>
      </w:r>
      <w:r>
        <w:rPr/>
        <w:t>、寻求与行业巨头的深度合作和资源互换。为现有业务的未来发展奠定更加坚实的基础。</w:t>
      </w:r>
    </w:p>
    <w:p>
      <w:pPr>
        <w:pStyle w:val="BodyText"/>
        <w:spacing w:line="300" w:lineRule="auto" w:before="101"/>
        <w:ind w:right="1124" w:firstLine="360"/>
        <w:jc w:val="left"/>
      </w:pPr>
      <w:r>
        <w:rPr>
          <w:rFonts w:ascii="Times New Roman" w:hAnsi="Times New Roman" w:cs="Times New Roman" w:eastAsia="Times New Roman" w:hint="default"/>
        </w:rPr>
        <w:t>5</w:t>
      </w:r>
      <w:r>
        <w:rPr/>
        <w:t>、融合发展是移动互联网和大数据精准营销领域的重要工作，今年公司将进一步促进现有团队和新团队的融合。推动 两大主业在客户、渠道以及其他资源的共享。促进交叉销售和混合营销。</w:t>
      </w:r>
    </w:p>
    <w:p>
      <w:pPr>
        <w:pStyle w:val="BodyText"/>
        <w:spacing w:line="240" w:lineRule="auto" w:before="72"/>
        <w:ind w:right="1117"/>
        <w:jc w:val="left"/>
      </w:pPr>
      <w:r>
        <w:rPr>
          <w:rFonts w:ascii="Times New Roman" w:hAnsi="Times New Roman" w:cs="Times New Roman" w:eastAsia="Times New Roman" w:hint="default"/>
        </w:rPr>
        <w:t>2019</w:t>
      </w:r>
      <w:r>
        <w:rPr/>
        <w:t>年，公司预测金融科技领域的市场机会继续回升，公司将继续加大该领域的资源投入，以获取更多市场份额。</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786" w:footer="1267" w:top="1100" w:bottom="1460" w:left="980" w:right="0"/>
        </w:sectPr>
      </w:pPr>
    </w:p>
    <w:p>
      <w:pPr>
        <w:spacing w:line="240" w:lineRule="auto" w:before="0"/>
        <w:rPr>
          <w:rFonts w:ascii="宋体" w:hAnsi="宋体" w:cs="宋体" w:eastAsia="宋体" w:hint="default"/>
          <w:sz w:val="20"/>
          <w:szCs w:val="20"/>
        </w:rPr>
      </w:pPr>
      <w:r>
        <w:rPr/>
        <w:pict>
          <v:group style="position:absolute;margin-left:242.809998pt;margin-top:718.175964pt;width:290.95pt;height:20.95pt;mso-position-horizontal-relative:page;mso-position-vertical-relative:page;z-index:-1028872" coordorigin="4856,14364" coordsize="5819,419">
            <v:group style="position:absolute;left:4868;top:14376;width:2;height:395" coordorigin="4868,14376" coordsize="2,395">
              <v:shape style="position:absolute;left:4868;top:14376;width:2;height:395" coordorigin="4868,14376" coordsize="0,395" path="m4868,14376l4868,14770e" filled="false" stroked="true" strokeweight="1.2pt" strokecolor="#ffffff">
                <v:path arrowok="t"/>
              </v:shape>
            </v:group>
            <v:group style="position:absolute;left:4880;top:14376;width:5795;height:395" coordorigin="4880,14376" coordsize="5795,395">
              <v:shape style="position:absolute;left:4880;top:14376;width:5795;height:395" coordorigin="4880,14376" coordsize="5795,395" path="m4880,14770l10675,14770,10675,14376,4880,14376,4880,14770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right="976"/>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17"/>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t>报告期内普通股利润分配政策，特别是现金分红政策的制定、执行或调整情况</w:t>
      </w:r>
    </w:p>
    <w:p>
      <w:pPr>
        <w:pStyle w:val="BodyText"/>
        <w:spacing w:line="338" w:lineRule="auto" w:before="117"/>
        <w:ind w:left="513" w:right="76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公司上市后的利润分配政策如下：</w:t>
      </w:r>
    </w:p>
    <w:p>
      <w:pPr>
        <w:pStyle w:val="BodyText"/>
        <w:spacing w:line="319" w:lineRule="auto" w:before="43"/>
        <w:ind w:right="1132" w:firstLine="360"/>
        <w:jc w:val="both"/>
        <w:rPr>
          <w:rFonts w:ascii="Times New Roman" w:hAnsi="Times New Roman" w:cs="Times New Roman" w:eastAsia="Times New Roman" w:hint="default"/>
        </w:rPr>
      </w:pPr>
      <w:r>
        <w:rPr>
          <w:spacing w:val="-2"/>
        </w:rPr>
        <w:t>公司可以采取现金或者股票方式分配利润。公司的利润分配政策应保持连续性和稳定性。公司实施股利分配应当遵守以</w:t>
      </w:r>
      <w:r>
        <w:rPr/>
        <w:t> 下规定</w:t>
      </w:r>
      <w:r>
        <w:rPr>
          <w:rFonts w:ascii="Times New Roman" w:hAnsi="Times New Roman" w:cs="Times New Roman" w:eastAsia="Times New Roman" w:hint="default"/>
        </w:rPr>
        <w:t>:</w:t>
      </w:r>
    </w:p>
    <w:p>
      <w:pPr>
        <w:pStyle w:val="BodyText"/>
        <w:spacing w:line="312" w:lineRule="auto" w:before="38"/>
        <w:ind w:right="1130" w:firstLine="362"/>
        <w:jc w:val="both"/>
      </w:pPr>
      <w:r>
        <w:rPr>
          <w:spacing w:val="-2"/>
        </w:rPr>
        <w:t>公司的利润分配应重视对投资者的合理投资回报，同时兼顾公司的实际经营情况及公司的远期战略发展目标；公司一般</w:t>
      </w:r>
      <w:r>
        <w:rPr/>
        <w:t> </w:t>
      </w:r>
      <w:r>
        <w:rPr>
          <w:spacing w:val="-2"/>
        </w:rPr>
        <w:t>进行年度分红，在有条件的情况下，公司可以进行中期利润分配。在公司当年盈利且无重大投资计划或重大现金支出事项发</w:t>
      </w:r>
      <w:r>
        <w:rPr>
          <w:spacing w:val="-63"/>
        </w:rPr>
        <w:t> </w:t>
      </w:r>
      <w:r>
        <w:rPr>
          <w:spacing w:val="-63"/>
        </w:rPr>
      </w:r>
      <w:r>
        <w:rPr>
          <w:spacing w:val="-1"/>
        </w:rPr>
        <w:t>生的情况下，公司必须进行现金分红，以现金形式分配的利润不少于当年实现的可供分配利润的</w:t>
      </w:r>
      <w:r>
        <w:rPr>
          <w:rFonts w:ascii="Times New Roman" w:hAnsi="Times New Roman" w:cs="Times New Roman" w:eastAsia="Times New Roman" w:hint="default"/>
          <w:spacing w:val="-1"/>
        </w:rPr>
        <w:t>15%</w:t>
      </w:r>
      <w:r>
        <w:rPr>
          <w:spacing w:val="-1"/>
        </w:rPr>
        <w:t>；公司最近三年以现金</w:t>
      </w:r>
      <w:r>
        <w:rPr>
          <w:spacing w:val="-87"/>
        </w:rPr>
        <w:t> </w:t>
      </w:r>
      <w:r>
        <w:rPr>
          <w:spacing w:val="-87"/>
        </w:rPr>
      </w:r>
      <w:r>
        <w:rPr/>
        <w:t>方式累计分配的利润不少于最近三年实现的年均可分配利润的</w:t>
      </w:r>
      <w:r>
        <w:rPr>
          <w:rFonts w:ascii="Times New Roman" w:hAnsi="Times New Roman" w:cs="Times New Roman" w:eastAsia="Times New Roman" w:hint="default"/>
        </w:rPr>
        <w:t>45%</w:t>
      </w:r>
      <w:r>
        <w:rPr/>
        <w:t>。</w:t>
      </w:r>
    </w:p>
    <w:p>
      <w:pPr>
        <w:pStyle w:val="BodyText"/>
        <w:spacing w:line="316" w:lineRule="auto" w:before="41"/>
        <w:ind w:right="1130" w:firstLine="360"/>
        <w:jc w:val="both"/>
      </w:pPr>
      <w:r>
        <w:rPr>
          <w:spacing w:val="-2"/>
        </w:rPr>
        <w:t>公司出现以下情况，可以进行股票股利分配：公司营业收入增长迅速，并且董事会认为公司股票价格与公司股本规模不</w:t>
      </w:r>
      <w:r>
        <w:rPr/>
        <w:t> 匹配时，可以在满足上述现金股利分配的同时，制定股票股利分配预案。</w:t>
      </w:r>
    </w:p>
    <w:p>
      <w:pPr>
        <w:pStyle w:val="BodyText"/>
        <w:spacing w:line="240" w:lineRule="auto" w:before="59"/>
        <w:ind w:left="515" w:right="1117"/>
        <w:jc w:val="left"/>
      </w:pPr>
      <w:r>
        <w:rPr/>
        <w:t>公司将严格执行现金分红政策，切实保护好股东特别是中小股东的利益。</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3"/>
        <w:gridCol w:w="4796"/>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1117"/>
        <w:jc w:val="left"/>
      </w:pPr>
      <w:r>
        <w:rPr/>
        <w:t>公司报告期利润分配预案及资本公积金转增股本预案与公司章程和分红管理办法等的相关规定一致</w:t>
      </w:r>
    </w:p>
    <w:p>
      <w:pPr>
        <w:pStyle w:val="BodyText"/>
        <w:spacing w:line="348" w:lineRule="auto" w:before="118"/>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446,787,857</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16,084,362.85</w:t>
            </w:r>
          </w:p>
        </w:tc>
      </w:tr>
      <w:tr>
        <w:trPr>
          <w:trHeight w:val="40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tabs>
                <w:tab w:pos="5506" w:val="left" w:leader="none"/>
              </w:tabs>
              <w:spacing w:line="240" w:lineRule="auto" w:before="49"/>
              <w:ind w:left="-124"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16,084,362.85</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386,223,628.44</w:t>
            </w:r>
          </w:p>
        </w:tc>
      </w:tr>
      <w:tr>
        <w:trPr>
          <w:trHeight w:val="71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公司拟以总股本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为</w:t>
            </w:r>
            <w:r>
              <w:rPr>
                <w:rFonts w:ascii="宋体" w:hAnsi="宋体" w:cs="宋体" w:eastAsia="宋体" w:hint="default"/>
                <w:sz w:val="18"/>
                <w:szCs w:val="18"/>
              </w:rPr>
              <w:t>基数</w:t>
            </w:r>
            <w:r>
              <w:rPr>
                <w:rFonts w:ascii="宋体" w:hAnsi="宋体" w:cs="宋体" w:eastAsia="宋体" w:hint="default"/>
                <w:spacing w:val="-56"/>
                <w:sz w:val="18"/>
                <w:szCs w:val="18"/>
              </w:rPr>
              <w:t>，</w:t>
            </w:r>
            <w:r>
              <w:rPr>
                <w:rFonts w:ascii="宋体" w:hAnsi="宋体" w:cs="宋体" w:eastAsia="宋体" w:hint="default"/>
                <w:sz w:val="18"/>
                <w:szCs w:val="18"/>
              </w:rPr>
              <w:t>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3"/>
                <w:sz w:val="18"/>
                <w:szCs w:val="18"/>
              </w:rPr>
              <w:t>发</w:t>
            </w:r>
            <w:r>
              <w:rPr>
                <w:rFonts w:ascii="宋体" w:hAnsi="宋体" w:cs="宋体" w:eastAsia="宋体" w:hint="default"/>
                <w:sz w:val="18"/>
                <w:szCs w:val="18"/>
              </w:rPr>
              <w:t>现金股利人民币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56"/>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合计派发现金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5</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元，其余未分配利润结转以后年度分配。</w:t>
            </w:r>
          </w:p>
        </w:tc>
      </w:tr>
    </w:tbl>
    <w:p>
      <w:pPr>
        <w:pStyle w:val="BodyText"/>
        <w:spacing w:line="319" w:lineRule="auto" w:before="49"/>
        <w:ind w:right="1124"/>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日，公司股东大会审议通过《公司</w:t>
      </w:r>
      <w:r>
        <w:rPr>
          <w:rFonts w:ascii="Times New Roman" w:hAnsi="Times New Roman" w:cs="Times New Roman" w:eastAsia="Times New Roman" w:hint="default"/>
          <w:spacing w:val="-2"/>
        </w:rPr>
        <w:t>2015</w:t>
      </w:r>
      <w:r>
        <w:rPr>
          <w:spacing w:val="-2"/>
        </w:rPr>
        <w:t>年度利润分配预案》，以公司总股本</w:t>
      </w:r>
      <w:r>
        <w:rPr>
          <w:rFonts w:ascii="Times New Roman" w:hAnsi="Times New Roman" w:cs="Times New Roman" w:eastAsia="Times New Roman" w:hint="default"/>
          <w:spacing w:val="-2"/>
        </w:rPr>
        <w:t>134,940,000</w:t>
      </w:r>
      <w:r>
        <w:rPr>
          <w:spacing w:val="-2"/>
        </w:rPr>
        <w:t>股为基数，以资本公</w:t>
      </w:r>
      <w:r>
        <w:rPr>
          <w:spacing w:val="-53"/>
        </w:rPr>
        <w:t> </w:t>
      </w:r>
      <w:r>
        <w:rPr>
          <w:spacing w:val="-53"/>
        </w:rPr>
      </w:r>
      <w:r>
        <w:rPr/>
        <w:t>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0</w:t>
      </w:r>
      <w:r>
        <w:rPr/>
        <w:t>股，向全体股东每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0.46</w:t>
      </w:r>
      <w:r>
        <w:rPr/>
        <w:t>元（含税），合计派发现金</w:t>
      </w:r>
      <w:r>
        <w:rPr>
          <w:rFonts w:ascii="Times New Roman" w:hAnsi="Times New Roman" w:cs="Times New Roman" w:eastAsia="Times New Roman" w:hint="default"/>
        </w:rPr>
        <w:t>6,207,240.00</w:t>
      </w:r>
      <w:r>
        <w:rPr/>
        <w:t>元，其</w:t>
      </w:r>
    </w:p>
    <w:p>
      <w:pPr>
        <w:pStyle w:val="BodyText"/>
        <w:spacing w:line="233" w:lineRule="exact"/>
        <w:ind w:right="0"/>
        <w:jc w:val="both"/>
      </w:pPr>
      <w:r>
        <w:rPr/>
        <w:t>余未分配利润结转以后年度分配。</w:t>
      </w:r>
    </w:p>
    <w:p>
      <w:pPr>
        <w:pStyle w:val="BodyText"/>
        <w:spacing w:line="300" w:lineRule="auto" w:before="117"/>
        <w:ind w:right="1126"/>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日，公司股东大会审议通过《关于公司</w:t>
      </w:r>
      <w:r>
        <w:rPr>
          <w:rFonts w:ascii="Times New Roman" w:hAnsi="Times New Roman" w:cs="Times New Roman" w:eastAsia="Times New Roman" w:hint="default"/>
        </w:rPr>
        <w:t>&lt;2016</w:t>
      </w:r>
      <w:r>
        <w:rPr/>
        <w:t>年半年度利润分配</w:t>
      </w:r>
      <w:r>
        <w:rPr>
          <w:rFonts w:ascii="Times New Roman" w:hAnsi="Times New Roman" w:cs="Times New Roman" w:eastAsia="Times New Roman" w:hint="default"/>
        </w:rPr>
        <w:t>&gt;</w:t>
      </w:r>
      <w:r>
        <w:rPr/>
        <w:t>的议案》，公司以</w:t>
      </w:r>
      <w:r>
        <w:rPr>
          <w:rFonts w:ascii="Times New Roman" w:hAnsi="Times New Roman" w:cs="Times New Roman" w:eastAsia="Times New Roman" w:hint="default"/>
        </w:rPr>
        <w:t>134,940,000</w:t>
      </w:r>
      <w:r>
        <w:rPr>
          <w:rFonts w:ascii="Times New Roman" w:hAnsi="Times New Roman" w:cs="Times New Roman" w:eastAsia="Times New Roman" w:hint="default"/>
          <w:spacing w:val="27"/>
        </w:rPr>
        <w:t> </w:t>
      </w:r>
      <w:r>
        <w:rPr/>
        <w:t>股为基数进 </w:t>
      </w:r>
      <w:r>
        <w:rPr>
          <w:spacing w:val="-3"/>
        </w:rPr>
        <w:t>行资本公积金转增股本，向全体股东每</w:t>
      </w:r>
      <w:r>
        <w:rPr>
          <w:rFonts w:ascii="Times New Roman" w:hAnsi="Times New Roman" w:cs="Times New Roman" w:eastAsia="Times New Roman" w:hint="default"/>
          <w:spacing w:val="-3"/>
        </w:rPr>
        <w:t>10</w:t>
      </w:r>
      <w:r>
        <w:rPr>
          <w:spacing w:val="-3"/>
        </w:rPr>
        <w:t>股转增</w:t>
      </w:r>
      <w:r>
        <w:rPr>
          <w:spacing w:val="21"/>
        </w:rPr>
        <w:t> </w:t>
      </w:r>
      <w:r>
        <w:rPr>
          <w:rFonts w:ascii="Times New Roman" w:hAnsi="Times New Roman" w:cs="Times New Roman" w:eastAsia="Times New Roman" w:hint="default"/>
          <w:spacing w:val="-3"/>
        </w:rPr>
        <w:t>22</w:t>
      </w:r>
      <w:r>
        <w:rPr>
          <w:spacing w:val="-3"/>
        </w:rPr>
        <w:t>股，共计转增</w:t>
      </w:r>
      <w:r>
        <w:rPr>
          <w:rFonts w:ascii="Times New Roman" w:hAnsi="Times New Roman" w:cs="Times New Roman" w:eastAsia="Times New Roman" w:hint="default"/>
          <w:spacing w:val="-3"/>
        </w:rPr>
        <w:t>296,868,000</w:t>
      </w:r>
      <w:r>
        <w:rPr>
          <w:spacing w:val="-3"/>
        </w:rPr>
        <w:t>股，转增后公司总股本将增加至</w:t>
      </w:r>
      <w:r>
        <w:rPr>
          <w:rFonts w:ascii="Times New Roman" w:hAnsi="Times New Roman" w:cs="Times New Roman" w:eastAsia="Times New Roman" w:hint="default"/>
          <w:spacing w:val="-3"/>
        </w:rPr>
        <w:t>431,808,000</w:t>
      </w:r>
      <w:r>
        <w:rPr>
          <w:spacing w:val="-3"/>
        </w:rPr>
        <w:t>股。</w:t>
      </w:r>
    </w:p>
    <w:p>
      <w:pPr>
        <w:pStyle w:val="BodyText"/>
        <w:spacing w:line="300" w:lineRule="auto" w:before="53"/>
        <w:ind w:right="1129"/>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日，公司股东大会审议通过《关于</w:t>
      </w:r>
      <w:r>
        <w:rPr>
          <w:rFonts w:ascii="Times New Roman" w:hAnsi="Times New Roman" w:cs="Times New Roman" w:eastAsia="Times New Roman" w:hint="default"/>
        </w:rPr>
        <w:t>&lt;2016</w:t>
      </w:r>
      <w:r>
        <w:rPr/>
        <w:t>年度利润分配预案</w:t>
      </w:r>
      <w:r>
        <w:rPr>
          <w:rFonts w:ascii="Times New Roman" w:hAnsi="Times New Roman" w:cs="Times New Roman" w:eastAsia="Times New Roman" w:hint="default"/>
        </w:rPr>
        <w:t>&gt;</w:t>
      </w:r>
      <w:r>
        <w:rPr/>
        <w:t>的议案》，公司以总股本</w:t>
      </w:r>
      <w:r>
        <w:rPr>
          <w:rFonts w:ascii="Times New Roman" w:hAnsi="Times New Roman" w:cs="Times New Roman" w:eastAsia="Times New Roman" w:hint="default"/>
        </w:rPr>
        <w:t>450,381,457</w:t>
      </w:r>
      <w:r>
        <w:rPr/>
        <w:t>为基数，</w:t>
      </w:r>
      <w:r>
        <w:rPr>
          <w:spacing w:val="-27"/>
        </w:rPr>
        <w:t> </w:t>
      </w:r>
      <w:r>
        <w:rPr>
          <w:spacing w:val="-27"/>
        </w:rPr>
      </w:r>
      <w:r>
        <w:rPr/>
        <w:t>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0.08</w:t>
      </w:r>
      <w:r>
        <w:rPr/>
        <w:t>元（含税）</w:t>
      </w:r>
      <w:r>
        <w:rPr>
          <w:rFonts w:ascii="Times New Roman" w:hAnsi="Times New Roman" w:cs="Times New Roman" w:eastAsia="Times New Roman" w:hint="default"/>
        </w:rPr>
        <w:t>,</w:t>
      </w:r>
      <w:r>
        <w:rPr/>
        <w:t>合计派发现金股利</w:t>
      </w:r>
      <w:r>
        <w:rPr>
          <w:rFonts w:ascii="Times New Roman" w:hAnsi="Times New Roman" w:cs="Times New Roman" w:eastAsia="Times New Roman" w:hint="default"/>
        </w:rPr>
        <w:t>3,603,051.65</w:t>
      </w:r>
      <w:r>
        <w:rPr/>
        <w:t>元，其余未分配利润结转以后年度分</w:t>
      </w:r>
      <w:r>
        <w:rPr>
          <w:spacing w:val="-48"/>
        </w:rPr>
        <w:t> </w:t>
      </w:r>
      <w:r>
        <w:rPr>
          <w:spacing w:val="-48"/>
        </w:rPr>
      </w:r>
      <w:r>
        <w:rPr/>
        <w:t>配。</w:t>
      </w:r>
    </w:p>
    <w:p>
      <w:pPr>
        <w:pStyle w:val="BodyText"/>
        <w:spacing w:line="300" w:lineRule="auto" w:before="70"/>
        <w:ind w:right="1133"/>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日，公司股东大会审议通过《关于</w:t>
      </w:r>
      <w:r>
        <w:rPr>
          <w:rFonts w:ascii="Times New Roman" w:hAnsi="Times New Roman" w:cs="Times New Roman" w:eastAsia="Times New Roman" w:hint="default"/>
        </w:rPr>
        <w:t>&lt;2017</w:t>
      </w:r>
      <w:r>
        <w:rPr/>
        <w:t>年度利润分配预案</w:t>
      </w:r>
      <w:r>
        <w:rPr>
          <w:rFonts w:ascii="Times New Roman" w:hAnsi="Times New Roman" w:cs="Times New Roman" w:eastAsia="Times New Roman" w:hint="default"/>
        </w:rPr>
        <w:t>&gt;</w:t>
      </w:r>
      <w:r>
        <w:rPr/>
        <w:t>的议案》，鉴于</w:t>
      </w:r>
      <w:r>
        <w:rPr>
          <w:rFonts w:ascii="Times New Roman" w:hAnsi="Times New Roman" w:cs="Times New Roman" w:eastAsia="Times New Roman" w:hint="default"/>
        </w:rPr>
        <w:t>2017</w:t>
      </w:r>
      <w:r>
        <w:rPr/>
        <w:t>年度母公司实现净利润为</w:t>
      </w:r>
      <w:r>
        <w:rPr>
          <w:spacing w:val="-30"/>
        </w:rPr>
        <w:t> </w:t>
      </w:r>
      <w:r>
        <w:rPr>
          <w:spacing w:val="-30"/>
        </w:rPr>
      </w:r>
      <w:r>
        <w:rPr/>
        <w:t>负</w:t>
      </w:r>
      <w:r>
        <w:rPr>
          <w:rFonts w:ascii="Times New Roman" w:hAnsi="Times New Roman" w:cs="Times New Roman" w:eastAsia="Times New Roman" w:hint="default"/>
        </w:rPr>
        <w:t>,</w:t>
      </w:r>
      <w:r>
        <w:rPr/>
        <w:t>已不具备现金分红的条件。同时考虑到</w:t>
      </w:r>
      <w:r>
        <w:rPr>
          <w:rFonts w:ascii="Times New Roman" w:hAnsi="Times New Roman" w:cs="Times New Roman" w:eastAsia="Times New Roman" w:hint="default"/>
        </w:rPr>
        <w:t>2018</w:t>
      </w:r>
      <w:r>
        <w:rPr/>
        <w:t>年及以后可预见的时期内上市公司存在支付已收购公司的股权交易款，以及</w:t>
      </w:r>
      <w:r>
        <w:rPr>
          <w:spacing w:val="-43"/>
        </w:rPr>
        <w:t> </w:t>
      </w:r>
      <w:r>
        <w:rPr>
          <w:spacing w:val="-43"/>
        </w:rPr>
      </w:r>
      <w:r>
        <w:rPr/>
        <w:t>归还银行贷款等大额现金支出的需要，为公司长远发展计，</w:t>
      </w:r>
      <w:r>
        <w:rPr>
          <w:rFonts w:ascii="Times New Roman" w:hAnsi="Times New Roman" w:cs="Times New Roman" w:eastAsia="Times New Roman" w:hint="default"/>
        </w:rPr>
        <w:t>2017</w:t>
      </w:r>
      <w:r>
        <w:rPr/>
        <w:t>年度不进行利润分配。</w:t>
      </w:r>
    </w:p>
    <w:p>
      <w:pPr>
        <w:spacing w:line="240" w:lineRule="auto" w:before="9"/>
        <w:rPr>
          <w:rFonts w:ascii="宋体" w:hAnsi="宋体" w:cs="宋体" w:eastAsia="宋体" w:hint="default"/>
          <w:sz w:val="27"/>
          <w:szCs w:val="27"/>
        </w:rPr>
      </w:pPr>
    </w:p>
    <w:p>
      <w:pPr>
        <w:pStyle w:val="BodyText"/>
        <w:spacing w:line="240" w:lineRule="auto" w:before="44"/>
        <w:ind w:right="1117"/>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6"/>
        <w:gridCol w:w="1197"/>
        <w:gridCol w:w="1184"/>
        <w:gridCol w:w="1208"/>
        <w:gridCol w:w="1184"/>
      </w:tblGrid>
      <w:tr>
        <w:trPr>
          <w:trHeight w:val="161" w:hRule="exact"/>
        </w:trPr>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4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23"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4"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7"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7" w:hRule="exact"/>
        </w:trPr>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16,084,362.85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104,546,602.00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16,084,362.85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15.38%</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35,020,479.85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3,603,051.66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23,109,577.54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3,603,051.66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15.59%</w:t>
            </w:r>
          </w:p>
        </w:tc>
      </w:tr>
    </w:tbl>
    <w:p>
      <w:pPr>
        <w:pStyle w:val="BodyText"/>
        <w:spacing w:line="240" w:lineRule="auto" w:before="49"/>
        <w:ind w:right="1117"/>
        <w:jc w:val="left"/>
      </w:pPr>
      <w:r>
        <w:rPr/>
        <w:t>公司报告期内盈利且母公司可供普通股股东分配利润为正但未提出普通股现金红利分配预案</w:t>
      </w:r>
    </w:p>
    <w:p>
      <w:pPr>
        <w:pStyle w:val="BodyText"/>
        <w:spacing w:line="240" w:lineRule="auto" w:before="117"/>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267" w:top="1100" w:bottom="146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1117"/>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117"/>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5"/>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36"/>
        <w:gridCol w:w="1706"/>
        <w:gridCol w:w="398"/>
        <w:gridCol w:w="4121"/>
        <w:gridCol w:w="544"/>
        <w:gridCol w:w="584"/>
        <w:gridCol w:w="1178"/>
      </w:tblGrid>
      <w:tr>
        <w:trPr>
          <w:trHeight w:val="317" w:hRule="exact"/>
        </w:trPr>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706" w:type="dxa"/>
            <w:vMerge w:val="restart"/>
            <w:tcBorders>
              <w:top w:val="single" w:sz="4" w:space="0" w:color="000000"/>
              <w:left w:val="single" w:sz="4" w:space="0" w:color="000000"/>
              <w:right w:val="single" w:sz="4" w:space="0" w:color="000000"/>
            </w:tcBorders>
            <w:shd w:val="clear" w:color="auto" w:fill="D2D2D2"/>
          </w:tcPr>
          <w:p>
            <w:pPr/>
          </w:p>
        </w:tc>
        <w:tc>
          <w:tcPr>
            <w:tcW w:w="3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105" w:right="101"/>
              <w:jc w:val="both"/>
              <w:rPr>
                <w:rFonts w:ascii="宋体" w:hAnsi="宋体" w:cs="宋体" w:eastAsia="宋体" w:hint="default"/>
                <w:sz w:val="18"/>
                <w:szCs w:val="18"/>
              </w:rPr>
            </w:pPr>
            <w:r>
              <w:rPr>
                <w:rFonts w:ascii="宋体" w:hAnsi="宋体" w:cs="宋体" w:eastAsia="宋体" w:hint="default"/>
                <w:sz w:val="18"/>
                <w:szCs w:val="18"/>
              </w:rPr>
              <w:t>承 诺 类 型</w:t>
            </w:r>
          </w:p>
        </w:tc>
        <w:tc>
          <w:tcPr>
            <w:tcW w:w="4121" w:type="dxa"/>
            <w:vMerge w:val="restart"/>
            <w:tcBorders>
              <w:top w:val="single" w:sz="4" w:space="0" w:color="000000"/>
              <w:left w:val="single" w:sz="4" w:space="0" w:color="000000"/>
              <w:right w:val="single" w:sz="4" w:space="0" w:color="000000"/>
            </w:tcBorders>
            <w:shd w:val="clear" w:color="auto" w:fill="D2D2D2"/>
          </w:tcPr>
          <w:p>
            <w:pP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8"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36" w:type="dxa"/>
            <w:vMerge/>
            <w:tcBorders>
              <w:left w:val="single" w:sz="4" w:space="0" w:color="000000"/>
              <w:bottom w:val="nil" w:sz="6" w:space="0" w:color="auto"/>
              <w:right w:val="single" w:sz="4" w:space="0" w:color="000000"/>
            </w:tcBorders>
            <w:shd w:val="clear" w:color="auto" w:fill="D2D2D2"/>
          </w:tcPr>
          <w:p>
            <w:pPr/>
          </w:p>
        </w:tc>
        <w:tc>
          <w:tcPr>
            <w:tcW w:w="1706" w:type="dxa"/>
            <w:vMerge/>
            <w:tcBorders>
              <w:left w:val="single" w:sz="4" w:space="0" w:color="000000"/>
              <w:bottom w:val="nil" w:sz="6" w:space="0" w:color="auto"/>
              <w:right w:val="single" w:sz="4" w:space="0" w:color="000000"/>
            </w:tcBorders>
            <w:shd w:val="clear" w:color="auto" w:fill="D2D2D2"/>
          </w:tcPr>
          <w:p>
            <w:pPr/>
          </w:p>
        </w:tc>
        <w:tc>
          <w:tcPr>
            <w:tcW w:w="398" w:type="dxa"/>
            <w:vMerge/>
            <w:tcBorders>
              <w:left w:val="single" w:sz="4" w:space="0" w:color="000000"/>
              <w:right w:val="single" w:sz="4" w:space="0" w:color="000000"/>
            </w:tcBorders>
            <w:shd w:val="clear" w:color="auto" w:fill="D2D2D2"/>
          </w:tcPr>
          <w:p>
            <w:pPr/>
          </w:p>
        </w:tc>
        <w:tc>
          <w:tcPr>
            <w:tcW w:w="4121" w:type="dxa"/>
            <w:vMerge/>
            <w:tcBorders>
              <w:left w:val="single" w:sz="4" w:space="0" w:color="000000"/>
              <w:bottom w:val="nil" w:sz="6" w:space="0" w:color="auto"/>
              <w:right w:val="single" w:sz="4" w:space="0" w:color="000000"/>
            </w:tcBorders>
            <w:shd w:val="clear" w:color="auto" w:fill="D2D2D2"/>
          </w:tcPr>
          <w:p>
            <w:pPr/>
          </w:p>
        </w:tc>
        <w:tc>
          <w:tcPr>
            <w:tcW w:w="54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86" w:right="8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106" w:right="107"/>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1178"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203"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7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398" w:type="dxa"/>
            <w:vMerge/>
            <w:tcBorders>
              <w:left w:val="single" w:sz="4" w:space="0" w:color="000000"/>
              <w:right w:val="single" w:sz="4" w:space="0" w:color="000000"/>
            </w:tcBorders>
            <w:shd w:val="clear" w:color="auto" w:fill="D2D2D2"/>
          </w:tcPr>
          <w:p>
            <w:pPr/>
          </w:p>
        </w:tc>
        <w:tc>
          <w:tcPr>
            <w:tcW w:w="41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44"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1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2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56" w:hRule="exact"/>
        </w:trPr>
        <w:tc>
          <w:tcPr>
            <w:tcW w:w="1136" w:type="dxa"/>
            <w:vMerge w:val="restart"/>
            <w:tcBorders>
              <w:top w:val="nil" w:sz="6" w:space="0" w:color="auto"/>
              <w:left w:val="single" w:sz="4" w:space="0" w:color="000000"/>
              <w:right w:val="single" w:sz="4" w:space="0" w:color="000000"/>
            </w:tcBorders>
            <w:shd w:val="clear" w:color="auto" w:fill="D2D2D2"/>
          </w:tcPr>
          <w:p>
            <w:pPr/>
          </w:p>
        </w:tc>
        <w:tc>
          <w:tcPr>
            <w:tcW w:w="1706" w:type="dxa"/>
            <w:vMerge w:val="restart"/>
            <w:tcBorders>
              <w:top w:val="nil" w:sz="6" w:space="0" w:color="auto"/>
              <w:left w:val="single" w:sz="4" w:space="0" w:color="000000"/>
              <w:right w:val="single" w:sz="4" w:space="0" w:color="000000"/>
            </w:tcBorders>
            <w:shd w:val="clear" w:color="auto" w:fill="D2D2D2"/>
          </w:tcPr>
          <w:p>
            <w:pPr/>
          </w:p>
        </w:tc>
        <w:tc>
          <w:tcPr>
            <w:tcW w:w="398" w:type="dxa"/>
            <w:vMerge/>
            <w:tcBorders>
              <w:left w:val="single" w:sz="4" w:space="0" w:color="000000"/>
              <w:right w:val="single" w:sz="4" w:space="0" w:color="000000"/>
            </w:tcBorders>
            <w:shd w:val="clear" w:color="auto" w:fill="D2D2D2"/>
          </w:tcPr>
          <w:p>
            <w:pPr/>
          </w:p>
        </w:tc>
        <w:tc>
          <w:tcPr>
            <w:tcW w:w="4121" w:type="dxa"/>
            <w:vMerge w:val="restart"/>
            <w:tcBorders>
              <w:top w:val="nil" w:sz="6" w:space="0" w:color="auto"/>
              <w:left w:val="single" w:sz="4" w:space="0" w:color="000000"/>
              <w:right w:val="single" w:sz="4" w:space="0" w:color="000000"/>
            </w:tcBorders>
            <w:shd w:val="clear" w:color="auto" w:fill="D2D2D2"/>
          </w:tcPr>
          <w:p>
            <w:pPr/>
          </w:p>
        </w:tc>
        <w:tc>
          <w:tcPr>
            <w:tcW w:w="544" w:type="dxa"/>
            <w:vMerge/>
            <w:tcBorders>
              <w:left w:val="single" w:sz="4" w:space="0" w:color="000000"/>
              <w:bottom w:val="nil" w:sz="6" w:space="0" w:color="auto"/>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1178" w:type="dxa"/>
            <w:vMerge w:val="restart"/>
            <w:tcBorders>
              <w:top w:val="nil" w:sz="6" w:space="0" w:color="auto"/>
              <w:left w:val="single" w:sz="4" w:space="0" w:color="000000"/>
              <w:right w:val="single" w:sz="4" w:space="0" w:color="000000"/>
            </w:tcBorders>
            <w:shd w:val="clear" w:color="auto" w:fill="D2D2D2"/>
          </w:tcPr>
          <w:p>
            <w:pPr/>
          </w:p>
        </w:tc>
      </w:tr>
      <w:tr>
        <w:trPr>
          <w:trHeight w:val="322"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706" w:type="dxa"/>
            <w:vMerge/>
            <w:tcBorders>
              <w:left w:val="single" w:sz="4" w:space="0" w:color="000000"/>
              <w:bottom w:val="single" w:sz="4" w:space="0" w:color="000000"/>
              <w:right w:val="single" w:sz="4" w:space="0" w:color="000000"/>
            </w:tcBorders>
            <w:shd w:val="clear" w:color="auto" w:fill="D2D2D2"/>
          </w:tcPr>
          <w:p>
            <w:pPr/>
          </w:p>
        </w:tc>
        <w:tc>
          <w:tcPr>
            <w:tcW w:w="398" w:type="dxa"/>
            <w:vMerge/>
            <w:tcBorders>
              <w:left w:val="single" w:sz="4" w:space="0" w:color="000000"/>
              <w:bottom w:val="single" w:sz="4" w:space="0" w:color="000000"/>
              <w:right w:val="single" w:sz="4" w:space="0" w:color="000000"/>
            </w:tcBorders>
            <w:shd w:val="clear" w:color="auto" w:fill="D2D2D2"/>
          </w:tcPr>
          <w:p>
            <w:pPr/>
          </w:p>
        </w:tc>
        <w:tc>
          <w:tcPr>
            <w:tcW w:w="4121" w:type="dxa"/>
            <w:vMerge/>
            <w:tcBorders>
              <w:left w:val="single" w:sz="4" w:space="0" w:color="000000"/>
              <w:bottom w:val="single" w:sz="4" w:space="0" w:color="000000"/>
              <w:right w:val="single" w:sz="4" w:space="0" w:color="000000"/>
            </w:tcBorders>
            <w:shd w:val="clear" w:color="auto" w:fill="D2D2D2"/>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r>
      <w:tr>
        <w:trPr>
          <w:trHeight w:val="1020"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2" w:right="2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706" w:type="dxa"/>
            <w:tcBorders>
              <w:top w:val="single" w:sz="4" w:space="0" w:color="000000"/>
              <w:left w:val="single" w:sz="10" w:space="0" w:color="D2D2D2"/>
              <w:bottom w:val="single" w:sz="4" w:space="0" w:color="000000"/>
              <w:right w:val="single" w:sz="4" w:space="0" w:color="000000"/>
            </w:tcBorders>
            <w:shd w:val="clear" w:color="auto" w:fill="CCE8CF"/>
          </w:tcPr>
          <w:p>
            <w:pP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7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2588" w:hRule="exact"/>
        </w:trPr>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16" w:lineRule="auto"/>
              <w:ind w:left="22" w:right="51"/>
              <w:jc w:val="both"/>
              <w:rPr>
                <w:rFonts w:ascii="宋体" w:hAnsi="宋体" w:cs="宋体" w:eastAsia="宋体" w:hint="default"/>
                <w:sz w:val="18"/>
                <w:szCs w:val="18"/>
              </w:rPr>
            </w:pPr>
            <w:r>
              <w:rPr>
                <w:rFonts w:ascii="宋体" w:hAnsi="宋体" w:cs="宋体" w:eastAsia="宋体" w:hint="default"/>
                <w:sz w:val="18"/>
                <w:szCs w:val="18"/>
              </w:rPr>
              <w:t>北京睿韬科技有限责 任公司、宁波镇海翔 易融联投资管理合伙 企业（有限合伙）</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4" w:right="182"/>
              <w:jc w:val="both"/>
              <w:rPr>
                <w:rFonts w:ascii="宋体" w:hAnsi="宋体" w:cs="宋体" w:eastAsia="宋体" w:hint="default"/>
                <w:sz w:val="18"/>
                <w:szCs w:val="18"/>
              </w:rPr>
            </w:pPr>
            <w:r>
              <w:rPr>
                <w:rFonts w:ascii="宋体" w:hAnsi="宋体" w:cs="宋体" w:eastAsia="宋体" w:hint="default"/>
                <w:sz w:val="18"/>
                <w:szCs w:val="18"/>
              </w:rPr>
              <w:t>股 份 限 售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32"/>
              <w:ind w:left="26" w:right="20"/>
              <w:jc w:val="both"/>
              <w:rPr>
                <w:rFonts w:ascii="宋体" w:hAnsi="宋体" w:cs="宋体" w:eastAsia="宋体" w:hint="default"/>
                <w:sz w:val="18"/>
                <w:szCs w:val="18"/>
              </w:rPr>
            </w:pPr>
            <w:r>
              <w:rPr>
                <w:rFonts w:ascii="宋体" w:hAnsi="宋体" w:cs="宋体" w:eastAsia="宋体" w:hint="default"/>
                <w:spacing w:val="-4"/>
                <w:sz w:val="18"/>
                <w:szCs w:val="18"/>
              </w:rPr>
              <w:t>承诺人通过本次交易获得的上市公司的新增股份，自</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新增股份上市之日起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个月内不以任何方式进行转 让。</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8"/>
              <w:ind w:left="22" w:right="191"/>
              <w:jc w:val="both"/>
              <w:rPr>
                <w:rFonts w:ascii="宋体" w:hAnsi="宋体" w:cs="宋体" w:eastAsia="宋体" w:hint="default"/>
                <w:sz w:val="18"/>
                <w:szCs w:val="18"/>
              </w:rPr>
            </w:pPr>
            <w:r>
              <w:rPr>
                <w:rFonts w:ascii="宋体" w:hAnsi="宋体" w:cs="宋体" w:eastAsia="宋体" w:hint="default"/>
                <w:sz w:val="18"/>
                <w:szCs w:val="18"/>
              </w:rPr>
              <w:t>自新 增股 份上 市之 日起 三十 六个 月</w:t>
            </w:r>
          </w:p>
        </w:tc>
        <w:tc>
          <w:tcPr>
            <w:tcW w:w="1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截止本报告期 末，承诺人严 格信守承诺， 未出现违反承 诺的情况</w:t>
            </w:r>
          </w:p>
        </w:tc>
      </w:tr>
      <w:tr>
        <w:trPr>
          <w:trHeight w:val="1858" w:hRule="exact"/>
        </w:trPr>
        <w:tc>
          <w:tcPr>
            <w:tcW w:w="1136" w:type="dxa"/>
            <w:vMerge/>
            <w:tcBorders>
              <w:left w:val="single" w:sz="4" w:space="0" w:color="000000"/>
              <w:bottom w:val="nil" w:sz="6" w:space="0" w:color="auto"/>
              <w:right w:val="single" w:sz="4" w:space="0" w:color="000000"/>
            </w:tcBorders>
            <w:shd w:val="clear" w:color="auto" w:fill="D2D2D2"/>
          </w:tcPr>
          <w:p>
            <w:pPr/>
          </w:p>
        </w:tc>
        <w:tc>
          <w:tcPr>
            <w:tcW w:w="1706" w:type="dxa"/>
            <w:vMerge w:val="restart"/>
            <w:tcBorders>
              <w:top w:val="single" w:sz="4" w:space="0" w:color="000000"/>
              <w:left w:val="single" w:sz="10" w:space="0" w:color="D2D2D2"/>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15" w:right="51"/>
              <w:jc w:val="both"/>
              <w:rPr>
                <w:rFonts w:ascii="宋体" w:hAnsi="宋体" w:cs="宋体" w:eastAsia="宋体" w:hint="default"/>
                <w:sz w:val="18"/>
                <w:szCs w:val="18"/>
              </w:rPr>
            </w:pPr>
            <w:r>
              <w:rPr>
                <w:rFonts w:ascii="宋体" w:hAnsi="宋体" w:cs="宋体" w:eastAsia="宋体" w:hint="default"/>
                <w:sz w:val="18"/>
                <w:szCs w:val="18"/>
              </w:rPr>
              <w:t>北京睿韬科技有限责 任公司、宁波镇海翔 易融联投资管理合伙 企业（有限合伙）</w:t>
            </w:r>
          </w:p>
        </w:tc>
        <w:tc>
          <w:tcPr>
            <w:tcW w:w="398"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8"/>
              <w:ind w:left="24" w:right="182"/>
              <w:jc w:val="both"/>
              <w:rPr>
                <w:rFonts w:ascii="宋体" w:hAnsi="宋体" w:cs="宋体" w:eastAsia="宋体" w:hint="default"/>
                <w:sz w:val="18"/>
                <w:szCs w:val="18"/>
              </w:rPr>
            </w:pPr>
            <w:r>
              <w:rPr>
                <w:rFonts w:ascii="宋体" w:hAnsi="宋体" w:cs="宋体" w:eastAsia="宋体" w:hint="default"/>
                <w:sz w:val="18"/>
                <w:szCs w:val="18"/>
              </w:rPr>
              <w:t>避 免 同 业 竞 争 的 承 诺</w:t>
            </w:r>
          </w:p>
        </w:tc>
        <w:tc>
          <w:tcPr>
            <w:tcW w:w="4121"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16" w:lineRule="auto"/>
              <w:ind w:left="26" w:right="20"/>
              <w:jc w:val="left"/>
              <w:rPr>
                <w:rFonts w:ascii="宋体" w:hAnsi="宋体" w:cs="宋体" w:eastAsia="宋体" w:hint="default"/>
                <w:sz w:val="18"/>
                <w:szCs w:val="18"/>
              </w:rPr>
            </w:pPr>
            <w:r>
              <w:rPr>
                <w:rFonts w:ascii="宋体" w:hAnsi="宋体" w:cs="宋体" w:eastAsia="宋体" w:hint="default"/>
                <w:spacing w:val="-4"/>
                <w:sz w:val="18"/>
                <w:szCs w:val="18"/>
              </w:rPr>
              <w:t>在作为上市公司股东期间，承诺人及承诺人控制的其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他企业不会直接或间接从事任何与上市公司及其子 </w:t>
            </w:r>
            <w:r>
              <w:rPr>
                <w:rFonts w:ascii="宋体" w:hAnsi="宋体" w:cs="宋体" w:eastAsia="宋体" w:hint="default"/>
                <w:spacing w:val="-4"/>
                <w:sz w:val="18"/>
                <w:szCs w:val="18"/>
              </w:rPr>
              <w:t>公司及经营业务构成竞争关系的生产与经营活动，亦</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不会投资任何与上市公司及其子公司经营业务构成 竞争关系的其他企业；</w:t>
            </w:r>
          </w:p>
        </w:tc>
        <w:tc>
          <w:tcPr>
            <w:tcW w:w="5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78"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截止本报告期 末，承诺人严 格信守承诺， 未出现违反承 诺的情况</w:t>
            </w:r>
          </w:p>
        </w:tc>
      </w:tr>
      <w:tr>
        <w:trPr>
          <w:trHeight w:val="703"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58"/>
              <w:ind w:left="22" w:right="2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706" w:type="dxa"/>
            <w:vMerge/>
            <w:tcBorders>
              <w:left w:val="single" w:sz="10" w:space="0" w:color="D2D2D2"/>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vMerge/>
            <w:tcBorders>
              <w:left w:val="single" w:sz="4" w:space="0" w:color="000000"/>
              <w:right w:val="single" w:sz="4" w:space="0" w:color="000000"/>
            </w:tcBorders>
            <w:shd w:val="clear" w:color="auto" w:fill="CCE8CF"/>
          </w:tcPr>
          <w:p>
            <w:pPr/>
          </w:p>
        </w:tc>
        <w:tc>
          <w:tcPr>
            <w:tcW w:w="54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shd w:val="clear" w:color="auto" w:fill="CCE8CF"/>
          </w:tcPr>
          <w:p>
            <w:pPr/>
          </w:p>
        </w:tc>
        <w:tc>
          <w:tcPr>
            <w:tcW w:w="1178" w:type="dxa"/>
            <w:vMerge/>
            <w:tcBorders>
              <w:left w:val="single" w:sz="4" w:space="0" w:color="000000"/>
              <w:right w:val="single" w:sz="4" w:space="0" w:color="000000"/>
            </w:tcBorders>
            <w:shd w:val="clear" w:color="auto" w:fill="CCE8CF"/>
          </w:tcPr>
          <w:p>
            <w:pPr/>
          </w:p>
        </w:tc>
      </w:tr>
      <w:tr>
        <w:trPr>
          <w:trHeight w:val="336" w:hRule="exact"/>
        </w:trPr>
        <w:tc>
          <w:tcPr>
            <w:tcW w:w="1136" w:type="dxa"/>
            <w:vMerge w:val="restart"/>
            <w:tcBorders>
              <w:top w:val="nil" w:sz="6" w:space="0" w:color="auto"/>
              <w:left w:val="single" w:sz="4" w:space="0" w:color="000000"/>
              <w:right w:val="single" w:sz="4" w:space="0" w:color="000000"/>
            </w:tcBorders>
            <w:shd w:val="clear" w:color="auto" w:fill="D2D2D2"/>
          </w:tcPr>
          <w:p>
            <w:pPr/>
          </w:p>
        </w:tc>
        <w:tc>
          <w:tcPr>
            <w:tcW w:w="1706" w:type="dxa"/>
            <w:vMerge/>
            <w:tcBorders>
              <w:left w:val="single" w:sz="10" w:space="0" w:color="D2D2D2"/>
              <w:bottom w:val="single" w:sz="4" w:space="0" w:color="000000"/>
              <w:right w:val="single" w:sz="4" w:space="0" w:color="000000"/>
            </w:tcBorders>
            <w:shd w:val="clear" w:color="auto" w:fill="CCE8CF"/>
          </w:tcPr>
          <w:p>
            <w:pPr/>
          </w:p>
        </w:tc>
        <w:tc>
          <w:tcPr>
            <w:tcW w:w="398" w:type="dxa"/>
            <w:vMerge/>
            <w:tcBorders>
              <w:left w:val="single" w:sz="4" w:space="0" w:color="000000"/>
              <w:bottom w:val="single" w:sz="4" w:space="0" w:color="000000"/>
              <w:right w:val="single" w:sz="4" w:space="0" w:color="000000"/>
            </w:tcBorders>
            <w:shd w:val="clear" w:color="auto" w:fill="CCE8CF"/>
          </w:tcPr>
          <w:p>
            <w:pPr/>
          </w:p>
        </w:tc>
        <w:tc>
          <w:tcPr>
            <w:tcW w:w="4121" w:type="dxa"/>
            <w:vMerge/>
            <w:tcBorders>
              <w:left w:val="single" w:sz="4" w:space="0" w:color="000000"/>
              <w:bottom w:val="single" w:sz="4" w:space="0" w:color="000000"/>
              <w:right w:val="single" w:sz="4" w:space="0" w:color="000000"/>
            </w:tcBorders>
            <w:shd w:val="clear" w:color="auto" w:fill="CCE8CF"/>
          </w:tcPr>
          <w:p>
            <w:pPr/>
          </w:p>
        </w:tc>
        <w:tc>
          <w:tcPr>
            <w:tcW w:w="54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shd w:val="clear" w:color="auto" w:fill="CCE8CF"/>
          </w:tcPr>
          <w:p>
            <w:pPr/>
          </w:p>
        </w:tc>
        <w:tc>
          <w:tcPr>
            <w:tcW w:w="1178" w:type="dxa"/>
            <w:vMerge/>
            <w:tcBorders>
              <w:left w:val="single" w:sz="4" w:space="0" w:color="000000"/>
              <w:bottom w:val="single" w:sz="4" w:space="0" w:color="000000"/>
              <w:right w:val="single" w:sz="4" w:space="0" w:color="000000"/>
            </w:tcBorders>
            <w:shd w:val="clear" w:color="auto" w:fill="CCE8CF"/>
          </w:tcPr>
          <w:p>
            <w:pPr/>
          </w:p>
        </w:tc>
      </w:tr>
      <w:tr>
        <w:trPr>
          <w:trHeight w:val="4107"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6" w:lineRule="auto"/>
              <w:ind w:left="22" w:right="51"/>
              <w:jc w:val="both"/>
              <w:rPr>
                <w:rFonts w:ascii="宋体" w:hAnsi="宋体" w:cs="宋体" w:eastAsia="宋体" w:hint="default"/>
                <w:sz w:val="18"/>
                <w:szCs w:val="18"/>
              </w:rPr>
            </w:pPr>
            <w:r>
              <w:rPr>
                <w:rFonts w:ascii="宋体" w:hAnsi="宋体" w:cs="宋体" w:eastAsia="宋体" w:hint="default"/>
                <w:sz w:val="18"/>
                <w:szCs w:val="18"/>
              </w:rPr>
              <w:t>北京睿韬科技有限责 任公司、宁波镇海翔 易融联投资管理合伙 企业（有限合伙）</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4" w:right="182"/>
              <w:jc w:val="both"/>
              <w:rPr>
                <w:rFonts w:ascii="宋体" w:hAnsi="宋体" w:cs="宋体" w:eastAsia="宋体" w:hint="default"/>
                <w:sz w:val="18"/>
                <w:szCs w:val="18"/>
              </w:rPr>
            </w:pPr>
            <w:r>
              <w:rPr>
                <w:rFonts w:ascii="宋体" w:hAnsi="宋体" w:cs="宋体" w:eastAsia="宋体" w:hint="default"/>
                <w:sz w:val="18"/>
                <w:szCs w:val="18"/>
              </w:rPr>
              <w:t>减 少 关 联 交 易 的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9"/>
              <w:ind w:left="26" w:right="19"/>
              <w:jc w:val="left"/>
              <w:rPr>
                <w:rFonts w:ascii="宋体" w:hAnsi="宋体" w:cs="宋体" w:eastAsia="宋体" w:hint="default"/>
                <w:sz w:val="18"/>
                <w:szCs w:val="18"/>
              </w:rPr>
            </w:pPr>
            <w:r>
              <w:rPr>
                <w:rFonts w:ascii="宋体" w:hAnsi="宋体" w:cs="宋体" w:eastAsia="宋体" w:hint="default"/>
                <w:spacing w:val="-4"/>
                <w:sz w:val="18"/>
                <w:szCs w:val="18"/>
              </w:rPr>
              <w:t>本次交易前，承诺人、承诺人控制企业及关联方与上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市公司及其关联方之间不存在关联关系；本次交易完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成后，承诺人及承诺人实际控制企业与上市公司及其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子公司（含上海睿民及其下属子公司）之间将尽量减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少关联交易，不会利用自身作为上市公司股东之地位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谋求与上市公司在业务合作等方面给予优于市场第 </w:t>
            </w:r>
            <w:r>
              <w:rPr>
                <w:rFonts w:ascii="宋体" w:hAnsi="宋体" w:cs="宋体" w:eastAsia="宋体" w:hint="default"/>
                <w:spacing w:val="-4"/>
                <w:sz w:val="18"/>
                <w:szCs w:val="18"/>
              </w:rPr>
              <w:t>三方的权利；不会利用自身作为上市公司股东之地位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谋求与上市公司达成交易的优先权利；对于无法避免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或有合理理由存在的关联交易，将与上市公司及其子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公司依法签订规范的关联交易协议，并按照有关法 </w:t>
            </w:r>
            <w:r>
              <w:rPr>
                <w:rFonts w:ascii="宋体" w:hAnsi="宋体" w:cs="宋体" w:eastAsia="宋体" w:hint="default"/>
                <w:spacing w:val="-4"/>
                <w:sz w:val="18"/>
                <w:szCs w:val="18"/>
              </w:rPr>
              <w:t>律、法规、规章、其他规范性文件和公司章程的规定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履行批准程序；关联交易价格依照与无关联关系的独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立第三方进行相同或相似交易时的价格确定，保证关</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截止本报告期 末，承诺人严 格信守承诺， 未出现违反承 诺的情况</w:t>
            </w:r>
          </w:p>
        </w:tc>
      </w:tr>
    </w:tbl>
    <w:p>
      <w:pPr>
        <w:spacing w:after="0" w:line="316" w:lineRule="auto"/>
        <w:jc w:val="both"/>
        <w:rPr>
          <w:rFonts w:ascii="宋体" w:hAnsi="宋体" w:cs="宋体" w:eastAsia="宋体" w:hint="default"/>
          <w:sz w:val="18"/>
          <w:szCs w:val="18"/>
        </w:rPr>
        <w:sectPr>
          <w:pgSz w:w="11910" w:h="16840"/>
          <w:pgMar w:header="786" w:footer="1267" w:top="1100" w:bottom="1540" w:left="980" w:right="0"/>
        </w:sectPr>
      </w:pPr>
    </w:p>
    <w:p>
      <w:pPr>
        <w:spacing w:line="240" w:lineRule="auto" w:before="10"/>
        <w:rPr>
          <w:rFonts w:ascii="Times New Roman" w:hAnsi="Times New Roman" w:cs="Times New Roman" w:eastAsia="Times New Roman" w:hint="default"/>
          <w:sz w:val="28"/>
          <w:szCs w:val="28"/>
        </w:rPr>
      </w:pPr>
      <w:r>
        <w:rPr/>
        <w:pict>
          <v:group style="position:absolute;margin-left:424.98999pt;margin-top:473.595978pt;width:26.8pt;height:155.550pt;mso-position-horizontal-relative:page;mso-position-vertical-relative:page;z-index:-1028848" coordorigin="8500,9472" coordsize="536,3111">
            <v:group style="position:absolute;left:8500;top:9472;width:536;height:1873" coordorigin="8500,9472" coordsize="536,1873">
              <v:shape style="position:absolute;left:8500;top:9472;width:536;height:1873" coordorigin="8500,9472" coordsize="536,1873" path="m8500,11344l9035,11344,9035,9472,8500,9472,8500,11344xe" filled="true" fillcolor="#ffffff" stroked="false">
                <v:path arrowok="t"/>
                <v:fill type="solid"/>
              </v:shape>
            </v:group>
            <v:group style="position:absolute;left:8500;top:11354;width:536;height:1229" coordorigin="8500,11354" coordsize="536,1229">
              <v:shape style="position:absolute;left:8500;top:11354;width:536;height:1229" coordorigin="8500,11354" coordsize="536,1229" path="m8500,12583l9035,12583,9035,11354,8500,11354,8500,1258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136"/>
        <w:gridCol w:w="1706"/>
        <w:gridCol w:w="398"/>
        <w:gridCol w:w="4121"/>
        <w:gridCol w:w="544"/>
        <w:gridCol w:w="584"/>
        <w:gridCol w:w="1178"/>
      </w:tblGrid>
      <w:tr>
        <w:trPr>
          <w:trHeight w:val="2859"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8"/>
              <w:ind w:left="26" w:right="19"/>
              <w:jc w:val="left"/>
              <w:rPr>
                <w:rFonts w:ascii="宋体" w:hAnsi="宋体" w:cs="宋体" w:eastAsia="宋体" w:hint="default"/>
                <w:sz w:val="18"/>
                <w:szCs w:val="18"/>
              </w:rPr>
            </w:pPr>
            <w:r>
              <w:rPr>
                <w:rFonts w:ascii="宋体" w:hAnsi="宋体" w:cs="宋体" w:eastAsia="宋体" w:hint="default"/>
                <w:spacing w:val="-4"/>
                <w:sz w:val="18"/>
                <w:szCs w:val="18"/>
              </w:rPr>
              <w:t>联交易价格具有公允性；保证按照有关法律、法规和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公司章程的规定履行关联交易的信息披露义务；保证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不通过关联交易损害上市公司及其他股东的合法权 </w:t>
            </w:r>
            <w:r>
              <w:rPr>
                <w:rFonts w:ascii="宋体" w:hAnsi="宋体" w:cs="宋体" w:eastAsia="宋体" w:hint="default"/>
                <w:spacing w:val="-4"/>
                <w:sz w:val="18"/>
                <w:szCs w:val="18"/>
              </w:rPr>
              <w:t>益；承诺人及承诺人实际控制企业保证将按照法律法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规和公司章程的规定参加股东大会，平等地行使相应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权利，承担相应义务，不利用股东地位谋取不正当利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益；在审议涉及承诺人及承诺人实际控制企业的关联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交易时，切实遵守在公司董事会</w:t>
            </w:r>
            <w:r>
              <w:rPr>
                <w:rFonts w:ascii="Times New Roman" w:hAnsi="Times New Roman" w:cs="Times New Roman" w:eastAsia="Times New Roman" w:hint="default"/>
                <w:sz w:val="18"/>
                <w:szCs w:val="18"/>
              </w:rPr>
              <w:t>/</w:t>
            </w:r>
            <w:r>
              <w:rPr>
                <w:rFonts w:ascii="宋体" w:hAnsi="宋体" w:cs="宋体" w:eastAsia="宋体" w:hint="default"/>
                <w:sz w:val="18"/>
                <w:szCs w:val="18"/>
              </w:rPr>
              <w:t>股东大会上进行关 联交易表决时的回避程序。</w:t>
            </w:r>
          </w:p>
        </w:tc>
        <w:tc>
          <w:tcPr>
            <w:tcW w:w="54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7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961"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公司实际控制人及董 事长于伟</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4" w:right="182"/>
              <w:jc w:val="both"/>
              <w:rPr>
                <w:rFonts w:ascii="宋体" w:hAnsi="宋体" w:cs="宋体" w:eastAsia="宋体" w:hint="default"/>
                <w:sz w:val="18"/>
                <w:szCs w:val="18"/>
              </w:rPr>
            </w:pPr>
            <w:r>
              <w:rPr>
                <w:rFonts w:ascii="宋体" w:hAnsi="宋体" w:cs="宋体" w:eastAsia="宋体" w:hint="default"/>
                <w:sz w:val="18"/>
                <w:szCs w:val="18"/>
              </w:rPr>
              <w:t>股 份 限 售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6" w:right="20"/>
              <w:jc w:val="left"/>
              <w:rPr>
                <w:rFonts w:ascii="宋体" w:hAnsi="宋体" w:cs="宋体" w:eastAsia="宋体" w:hint="default"/>
                <w:sz w:val="18"/>
                <w:szCs w:val="18"/>
              </w:rPr>
            </w:pPr>
            <w:r>
              <w:rPr>
                <w:rFonts w:ascii="宋体" w:hAnsi="宋体" w:cs="宋体" w:eastAsia="宋体" w:hint="default"/>
                <w:spacing w:val="-4"/>
                <w:sz w:val="18"/>
                <w:szCs w:val="18"/>
              </w:rPr>
              <w:t>自本公司股票上市之日起三十六个月内，不转让或委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托他人管理其已间接持有的本公司股份，也不由本公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司回购该等股份，并将依法办理所持股份的锁定手 </w:t>
            </w:r>
            <w:r>
              <w:rPr>
                <w:rFonts w:ascii="宋体" w:hAnsi="宋体" w:cs="宋体" w:eastAsia="宋体" w:hint="default"/>
                <w:spacing w:val="-4"/>
                <w:sz w:val="18"/>
                <w:szCs w:val="18"/>
              </w:rPr>
              <w:t>续。因公司进行权益分配等导致其间接持有本公司股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份发生变化的，仍遵守上述承诺。</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2" w:right="191"/>
              <w:jc w:val="both"/>
              <w:rPr>
                <w:rFonts w:ascii="宋体" w:hAnsi="宋体" w:cs="宋体" w:eastAsia="宋体" w:hint="default"/>
                <w:sz w:val="18"/>
                <w:szCs w:val="18"/>
              </w:rPr>
            </w:pPr>
            <w:r>
              <w:rPr>
                <w:rFonts w:ascii="宋体" w:hAnsi="宋体" w:cs="宋体" w:eastAsia="宋体" w:hint="default"/>
                <w:sz w:val="18"/>
                <w:szCs w:val="18"/>
              </w:rPr>
              <w:t>自上 市之 日起 三十 六个 月</w:t>
            </w:r>
          </w:p>
        </w:tc>
        <w:tc>
          <w:tcPr>
            <w:tcW w:w="1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62"/>
              <w:jc w:val="both"/>
              <w:rPr>
                <w:rFonts w:ascii="宋体" w:hAnsi="宋体" w:cs="宋体" w:eastAsia="宋体" w:hint="default"/>
                <w:sz w:val="18"/>
                <w:szCs w:val="18"/>
              </w:rPr>
            </w:pPr>
            <w:r>
              <w:rPr>
                <w:rFonts w:ascii="宋体" w:hAnsi="宋体" w:cs="宋体" w:eastAsia="宋体" w:hint="default"/>
                <w:sz w:val="18"/>
                <w:szCs w:val="18"/>
              </w:rPr>
              <w:t>截止本报告期 末，承诺人严 格信守承诺， 未出现违反承 诺的情况</w:t>
            </w:r>
          </w:p>
        </w:tc>
      </w:tr>
      <w:tr>
        <w:trPr>
          <w:trHeight w:val="5084" w:hRule="exact"/>
        </w:trPr>
        <w:tc>
          <w:tcPr>
            <w:tcW w:w="1136" w:type="dxa"/>
            <w:vMerge/>
            <w:tcBorders>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公司实际控制人及董 事长于伟</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182"/>
              <w:jc w:val="both"/>
              <w:rPr>
                <w:rFonts w:ascii="宋体" w:hAnsi="宋体" w:cs="宋体" w:eastAsia="宋体" w:hint="default"/>
                <w:sz w:val="18"/>
                <w:szCs w:val="18"/>
              </w:rPr>
            </w:pPr>
            <w:r>
              <w:rPr>
                <w:rFonts w:ascii="宋体" w:hAnsi="宋体" w:cs="宋体" w:eastAsia="宋体" w:hint="default"/>
                <w:sz w:val="18"/>
                <w:szCs w:val="18"/>
              </w:rPr>
              <w:t>股 份 减 持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4"/>
                <w:sz w:val="18"/>
                <w:szCs w:val="18"/>
              </w:rPr>
              <w:t>前述锁定期限届满后，在任职期间每年转让的股份不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超过其间接所持股份总数的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 </w:t>
            </w:r>
            <w:r>
              <w:rPr>
                <w:rFonts w:ascii="宋体" w:hAnsi="宋体" w:cs="宋体" w:eastAsia="宋体" w:hint="default"/>
                <w:spacing w:val="-4"/>
                <w:sz w:val="18"/>
                <w:szCs w:val="18"/>
              </w:rPr>
              <w:t>转让其间接所持有的公司股份。如果其在本公司首次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公开发行股票上市之日起六个月内申报离职的，自申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报离职之日起十八个月内不转让其间接持有的本公 </w:t>
            </w:r>
            <w:r>
              <w:rPr>
                <w:rFonts w:ascii="宋体" w:hAnsi="宋体" w:cs="宋体" w:eastAsia="宋体" w:hint="default"/>
                <w:spacing w:val="-4"/>
                <w:sz w:val="18"/>
                <w:szCs w:val="18"/>
              </w:rPr>
              <w:t>司股份；在首次公开发行股票上市之日起第七个月至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第十二个月之间申报离职的，自申报离职之日起十二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个月内不转让其间接持有的公司股份。因本公司进行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权益分派等导致其间接持有的本公司股份发生变化 </w:t>
            </w:r>
            <w:r>
              <w:rPr>
                <w:rFonts w:ascii="宋体" w:hAnsi="宋体" w:cs="宋体" w:eastAsia="宋体" w:hint="default"/>
                <w:spacing w:val="-4"/>
                <w:sz w:val="18"/>
                <w:szCs w:val="18"/>
              </w:rPr>
              <w:t>的，仍遵守上述承诺。本人所持公司股票在锁定期满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后两年内减持的，减持价格不低于发行价。公司上市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w:t>
            </w:r>
          </w:p>
          <w:p>
            <w:pPr>
              <w:pStyle w:val="TableParagraph"/>
              <w:spacing w:line="248" w:lineRule="exact"/>
              <w:ind w:left="26" w:right="0"/>
              <w:jc w:val="left"/>
              <w:rPr>
                <w:rFonts w:ascii="宋体" w:hAnsi="宋体" w:cs="宋体" w:eastAsia="宋体" w:hint="default"/>
                <w:sz w:val="18"/>
                <w:szCs w:val="18"/>
              </w:rPr>
            </w:pPr>
            <w:r>
              <w:rPr>
                <w:rFonts w:ascii="宋体" w:hAnsi="宋体" w:cs="宋体" w:eastAsia="宋体" w:hint="default"/>
                <w:sz w:val="18"/>
                <w:szCs w:val="18"/>
              </w:rPr>
              <w:t>低于发行价</w:t>
            </w:r>
            <w:r>
              <w:rPr>
                <w:rFonts w:ascii="宋体" w:hAnsi="宋体" w:cs="宋体" w:eastAsia="宋体" w:hint="default"/>
                <w:spacing w:val="-77"/>
                <w:sz w:val="18"/>
                <w:szCs w:val="18"/>
              </w:rPr>
              <w:t>，</w:t>
            </w:r>
            <w:r>
              <w:rPr>
                <w:rFonts w:ascii="宋体" w:hAnsi="宋体" w:cs="宋体" w:eastAsia="宋体" w:hint="default"/>
                <w:sz w:val="18"/>
                <w:szCs w:val="18"/>
              </w:rPr>
              <w:t>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3"/>
                <w:sz w:val="18"/>
                <w:szCs w:val="18"/>
              </w:rPr>
              <w:t>月</w:t>
            </w:r>
            <w:r>
              <w:rPr>
                <w:rFonts w:ascii="宋体" w:hAnsi="宋体" w:cs="宋体" w:eastAsia="宋体" w:hint="default"/>
                <w:sz w:val="18"/>
                <w:szCs w:val="18"/>
              </w:rPr>
              <w:t>期末收盘价低于发行</w:t>
            </w:r>
          </w:p>
          <w:p>
            <w:pPr>
              <w:pStyle w:val="TableParagraph"/>
              <w:spacing w:line="309" w:lineRule="auto" w:before="63"/>
              <w:ind w:left="26" w:right="20"/>
              <w:jc w:val="left"/>
              <w:rPr>
                <w:rFonts w:ascii="宋体" w:hAnsi="宋体" w:cs="宋体" w:eastAsia="宋体" w:hint="default"/>
                <w:sz w:val="18"/>
                <w:szCs w:val="18"/>
              </w:rPr>
            </w:pPr>
            <w:r>
              <w:rPr>
                <w:rFonts w:ascii="宋体" w:hAnsi="宋体" w:cs="宋体" w:eastAsia="宋体" w:hint="default"/>
                <w:sz w:val="18"/>
                <w:szCs w:val="18"/>
              </w:rPr>
              <w:t>价，本人持有公司股票的锁定期限自动延长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4"/>
                <w:sz w:val="18"/>
                <w:szCs w:val="18"/>
              </w:rPr>
              <w:t>上述减持价格和股份锁定承诺不因本人职务变更、离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职等原因放弃履行承诺。</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62"/>
              <w:jc w:val="both"/>
              <w:rPr>
                <w:rFonts w:ascii="宋体" w:hAnsi="宋体" w:cs="宋体" w:eastAsia="宋体" w:hint="default"/>
                <w:sz w:val="18"/>
                <w:szCs w:val="18"/>
              </w:rPr>
            </w:pPr>
            <w:r>
              <w:rPr>
                <w:rFonts w:ascii="宋体" w:hAnsi="宋体" w:cs="宋体" w:eastAsia="宋体" w:hint="default"/>
                <w:sz w:val="18"/>
                <w:szCs w:val="18"/>
              </w:rPr>
              <w:t>截止本报告期 末，承诺人严 格信守承诺， 未出现违反承 诺的情况</w:t>
            </w:r>
          </w:p>
        </w:tc>
      </w:tr>
      <w:tr>
        <w:trPr>
          <w:trHeight w:val="3795"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2" w:right="51"/>
              <w:jc w:val="left"/>
              <w:rPr>
                <w:rFonts w:ascii="宋体" w:hAnsi="宋体" w:cs="宋体" w:eastAsia="宋体" w:hint="default"/>
                <w:sz w:val="18"/>
                <w:szCs w:val="18"/>
              </w:rPr>
            </w:pPr>
            <w:r>
              <w:rPr>
                <w:rFonts w:ascii="宋体" w:hAnsi="宋体" w:cs="宋体" w:eastAsia="宋体" w:hint="default"/>
                <w:sz w:val="18"/>
                <w:szCs w:val="18"/>
              </w:rPr>
              <w:t>公司实际控制人及董 事长于伟</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182"/>
              <w:jc w:val="both"/>
              <w:rPr>
                <w:rFonts w:ascii="宋体" w:hAnsi="宋体" w:cs="宋体" w:eastAsia="宋体" w:hint="default"/>
                <w:sz w:val="18"/>
                <w:szCs w:val="18"/>
              </w:rPr>
            </w:pPr>
            <w:r>
              <w:rPr>
                <w:rFonts w:ascii="宋体" w:hAnsi="宋体" w:cs="宋体" w:eastAsia="宋体" w:hint="default"/>
                <w:sz w:val="18"/>
                <w:szCs w:val="18"/>
              </w:rPr>
              <w:t>避 免 关 联 交 易 的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本人及本人实际控制的企业将继续严格按照《公司 </w:t>
            </w:r>
            <w:r>
              <w:rPr>
                <w:rFonts w:ascii="宋体" w:hAnsi="宋体" w:cs="宋体" w:eastAsia="宋体" w:hint="default"/>
                <w:spacing w:val="-4"/>
                <w:sz w:val="18"/>
                <w:szCs w:val="18"/>
              </w:rPr>
              <w:t>法》等法律法规以及高伟达软件股份有限公司章程的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有关规定行使股东权利；在股东大会对有关涉及本人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或本人实际控制的企业的关联交易事项进行表决时 </w:t>
            </w:r>
            <w:r>
              <w:rPr>
                <w:rFonts w:ascii="宋体" w:hAnsi="宋体" w:cs="宋体" w:eastAsia="宋体" w:hint="default"/>
                <w:spacing w:val="-4"/>
                <w:sz w:val="18"/>
                <w:szCs w:val="18"/>
              </w:rPr>
              <w:t>履行回避表决的义务；本人承诺杜绝一切非法占用上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市公司的资金、资产的行为；在任何情况下，不要求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上市公司向本人或本人直接或间接持股的企业提供 </w:t>
            </w:r>
            <w:r>
              <w:rPr>
                <w:rFonts w:ascii="宋体" w:hAnsi="宋体" w:cs="宋体" w:eastAsia="宋体" w:hint="default"/>
                <w:spacing w:val="-4"/>
                <w:sz w:val="18"/>
                <w:szCs w:val="18"/>
              </w:rPr>
              <w:t>任何形式的担保；在双方的关联交易上，严格遵循市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场原则，尽量避免不必要的关联交易发生，对持续经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营所发生的必要的关联交易，应以双方协议规定的方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式进行处理，遵循市场化的定价原则，避免损害高伟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达软件股份有限公司及广大中小股东权益的情况发</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99"/>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截止本报告期 末，承诺人严 格信守承诺， 未出现违反承 诺的情况</w:t>
            </w:r>
          </w:p>
        </w:tc>
      </w:tr>
    </w:tbl>
    <w:p>
      <w:pPr>
        <w:spacing w:after="0" w:line="316" w:lineRule="auto"/>
        <w:jc w:val="both"/>
        <w:rPr>
          <w:rFonts w:ascii="宋体" w:hAnsi="宋体" w:cs="宋体" w:eastAsia="宋体" w:hint="default"/>
          <w:sz w:val="18"/>
          <w:szCs w:val="18"/>
        </w:rPr>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r>
        <w:rPr/>
        <w:pict>
          <v:shape style="position:absolute;margin-left:337.843994pt;margin-top:375.889984pt;width:113.95pt;height:155.1pt;mso-position-horizontal-relative:page;mso-position-vertical-relative:page;z-index:-10288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新股等原因进行除权、</w:t>
                  </w:r>
                </w:p>
              </w:txbxContent>
            </v:textbox>
            <w10:wrap type="none"/>
          </v:shape>
        </w:pict>
      </w:r>
      <w:r>
        <w:rPr/>
        <w:pict>
          <v:group style="position:absolute;margin-left:424.98999pt;margin-top:248.689987pt;width:26.8pt;height:282.3pt;mso-position-horizontal-relative:page;mso-position-vertical-relative:page;z-index:-1028800" coordorigin="8500,4974" coordsize="536,5646">
            <v:group style="position:absolute;left:8500;top:5324;width:536;height:2184" coordorigin="8500,5324" coordsize="536,2184">
              <v:shape style="position:absolute;left:8500;top:5324;width:536;height:2184" coordorigin="8500,5324" coordsize="536,2184" path="m8500,7508l9035,7508,9035,5324,8500,5324,8500,7508xe" filled="true" fillcolor="#ffffff" stroked="false">
                <v:path arrowok="t"/>
                <v:fill type="solid"/>
              </v:shape>
            </v:group>
            <v:group style="position:absolute;left:8524;top:4974;width:488;height:351" coordorigin="8524,4974" coordsize="488,351">
              <v:shape style="position:absolute;left:8524;top:4974;width:488;height:351" coordorigin="8524,4974" coordsize="488,351" path="m8524,5324l9011,5324,9011,4974,8524,4974,8524,5324xe" filled="true" fillcolor="#ffffff" stroked="false">
                <v:path arrowok="t"/>
                <v:fill type="solid"/>
              </v:shape>
            </v:group>
            <v:group style="position:absolute;left:8500;top:7518;width:536;height:3102" coordorigin="8500,7518" coordsize="536,3102">
              <v:shape style="position:absolute;left:8500;top:7518;width:536;height:3102" coordorigin="8500,7518" coordsize="536,3102" path="m8500,10619l9035,10619,9035,7518,8500,7518,8500,10619xe" filled="true" fillcolor="#ffffff" stroked="false">
                <v:path arrowok="t"/>
                <v:fill type="solid"/>
              </v:shape>
            </v:group>
            <w10:wrap type="none"/>
          </v:group>
        </w:pict>
      </w:r>
      <w:r>
        <w:rPr/>
        <w:pict>
          <v:group style="position:absolute;margin-left:424.98999pt;margin-top:597.339966pt;width:26.8pt;height:155.1pt;mso-position-horizontal-relative:page;mso-position-vertical-relative:page;z-index:-1028776" coordorigin="8500,11947" coordsize="536,3102">
            <v:shape style="position:absolute;left:8500;top:11947;width:536;height:3102" coordorigin="8500,11947" coordsize="536,3102" path="m8500,15048l9035,15048,9035,11947,8500,11947,8500,1504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136"/>
        <w:gridCol w:w="1706"/>
        <w:gridCol w:w="398"/>
        <w:gridCol w:w="4121"/>
        <w:gridCol w:w="544"/>
        <w:gridCol w:w="584"/>
        <w:gridCol w:w="1178"/>
      </w:tblGrid>
      <w:tr>
        <w:trPr>
          <w:trHeight w:val="363" w:hRule="exact"/>
        </w:trPr>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生。</w:t>
            </w:r>
          </w:p>
        </w:tc>
        <w:tc>
          <w:tcPr>
            <w:tcW w:w="54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7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360" w:hRule="exact"/>
        </w:trPr>
        <w:tc>
          <w:tcPr>
            <w:tcW w:w="1136" w:type="dxa"/>
            <w:vMerge/>
            <w:tcBorders>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nil" w:sz="6" w:space="0" w:color="auto"/>
              <w:right w:val="single" w:sz="4" w:space="0" w:color="000000"/>
            </w:tcBorders>
            <w:shd w:val="clear" w:color="auto" w:fill="CCE8CF"/>
          </w:tcPr>
          <w:p>
            <w:pPr/>
          </w:p>
        </w:tc>
        <w:tc>
          <w:tcPr>
            <w:tcW w:w="398"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82"/>
              <w:jc w:val="both"/>
              <w:rPr>
                <w:rFonts w:ascii="宋体" w:hAnsi="宋体" w:cs="宋体" w:eastAsia="宋体" w:hint="default"/>
                <w:sz w:val="18"/>
                <w:szCs w:val="18"/>
              </w:rPr>
            </w:pPr>
            <w:r>
              <w:rPr>
                <w:rFonts w:ascii="宋体" w:hAnsi="宋体" w:cs="宋体" w:eastAsia="宋体" w:hint="default"/>
                <w:sz w:val="18"/>
                <w:szCs w:val="18"/>
              </w:rPr>
              <w:t>避 免 同 业 竞 争 的 承 诺</w:t>
            </w:r>
          </w:p>
        </w:tc>
        <w:tc>
          <w:tcPr>
            <w:tcW w:w="4121"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、如拟出售本人与公司生产、经营相关的任何其它</w:t>
            </w:r>
          </w:p>
        </w:tc>
        <w:tc>
          <w:tcPr>
            <w:tcW w:w="544" w:type="dxa"/>
            <w:tcBorders>
              <w:top w:val="single" w:sz="4" w:space="0" w:color="000000"/>
              <w:left w:val="single" w:sz="4" w:space="0" w:color="000000"/>
              <w:bottom w:val="nil" w:sz="6" w:space="0" w:color="auto"/>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shd w:val="clear" w:color="auto" w:fill="CCE8CF"/>
          </w:tcPr>
          <w:p>
            <w:pPr/>
          </w:p>
        </w:tc>
        <w:tc>
          <w:tcPr>
            <w:tcW w:w="1178"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0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资产、业务或权益，公司均有优先购买的权利；本人</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将尽最大努力使有关交易的价格公平合理</w:t>
            </w:r>
            <w:r>
              <w:rPr>
                <w:rFonts w:ascii="宋体" w:hAnsi="宋体" w:cs="宋体" w:eastAsia="宋体" w:hint="default"/>
                <w:spacing w:val="-77"/>
                <w:sz w:val="18"/>
                <w:szCs w:val="18"/>
              </w:rPr>
              <w:t>，</w:t>
            </w:r>
            <w:r>
              <w:rPr>
                <w:rFonts w:ascii="宋体" w:hAnsi="宋体" w:cs="宋体" w:eastAsia="宋体" w:hint="default"/>
                <w:sz w:val="18"/>
                <w:szCs w:val="18"/>
              </w:rPr>
              <w:t>且该等交</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易价格按与独立第三方进行正常商业交易的交易价</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格为基础确定。</w:t>
            </w:r>
            <w:r>
              <w:rPr>
                <w:rFonts w:ascii="Times New Roman" w:hAnsi="Times New Roman" w:cs="Times New Roman" w:eastAsia="Times New Roman" w:hint="default"/>
                <w:sz w:val="18"/>
                <w:szCs w:val="18"/>
              </w:rPr>
              <w:t>2</w:t>
            </w:r>
            <w:r>
              <w:rPr>
                <w:rFonts w:ascii="宋体" w:hAnsi="宋体" w:cs="宋体" w:eastAsia="宋体" w:hint="default"/>
                <w:sz w:val="18"/>
                <w:szCs w:val="18"/>
              </w:rPr>
              <w:t>、本人目前没有在中国境内任何地</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方或中国境外，直接或间接发展、经营或协助经营或</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1873"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9" w:lineRule="auto"/>
              <w:ind w:left="22" w:right="51"/>
              <w:jc w:val="left"/>
              <w:rPr>
                <w:rFonts w:ascii="宋体" w:hAnsi="宋体" w:cs="宋体" w:eastAsia="宋体" w:hint="default"/>
                <w:sz w:val="18"/>
                <w:szCs w:val="18"/>
              </w:rPr>
            </w:pPr>
            <w:r>
              <w:rPr>
                <w:rFonts w:ascii="宋体" w:hAnsi="宋体" w:cs="宋体" w:eastAsia="宋体" w:hint="default"/>
                <w:sz w:val="18"/>
                <w:szCs w:val="18"/>
              </w:rPr>
              <w:t>公司实际控制人及董 事长于伟</w:t>
            </w: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312" w:lineRule="auto" w:before="10"/>
              <w:ind w:left="26" w:right="-41"/>
              <w:jc w:val="left"/>
              <w:rPr>
                <w:rFonts w:ascii="宋体" w:hAnsi="宋体" w:cs="宋体" w:eastAsia="宋体" w:hint="default"/>
                <w:sz w:val="18"/>
                <w:szCs w:val="18"/>
              </w:rPr>
            </w:pPr>
            <w:r>
              <w:rPr>
                <w:rFonts w:ascii="宋体" w:hAnsi="宋体" w:cs="宋体" w:eastAsia="宋体" w:hint="default"/>
                <w:spacing w:val="-4"/>
                <w:sz w:val="18"/>
                <w:szCs w:val="18"/>
              </w:rPr>
              <w:t>参与与公司业务存在竞争的任何活动，亦没有在任何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与公司业务有直接或间接竞争的公司或企业拥有任 </w:t>
            </w:r>
            <w:r>
              <w:rPr>
                <w:rFonts w:ascii="宋体" w:hAnsi="宋体" w:cs="宋体" w:eastAsia="宋体" w:hint="default"/>
                <w:spacing w:val="-7"/>
                <w:sz w:val="18"/>
                <w:szCs w:val="18"/>
              </w:rPr>
              <w:t>何权益（不论直接或间接）。</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、本人保证及承诺除非</w:t>
            </w:r>
            <w:r>
              <w:rPr>
                <w:rFonts w:ascii="宋体" w:hAnsi="宋体" w:cs="宋体" w:eastAsia="宋体" w:hint="default"/>
                <w:sz w:val="18"/>
                <w:szCs w:val="18"/>
              </w:rPr>
              <w:t> </w:t>
            </w:r>
            <w:r>
              <w:rPr>
                <w:rFonts w:ascii="宋体" w:hAnsi="宋体" w:cs="宋体" w:eastAsia="宋体" w:hint="default"/>
                <w:spacing w:val="-4"/>
                <w:sz w:val="18"/>
                <w:szCs w:val="18"/>
              </w:rPr>
              <w:t>经公司书面同意，不会直接或间接发展、经营或协助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经营或参与或从事与公司业务相竞争的任何活动。</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w:t>
            </w:r>
            <w:r>
              <w:rPr>
                <w:rFonts w:ascii="宋体" w:hAnsi="宋体" w:cs="宋体" w:eastAsia="宋体" w:hint="default"/>
                <w:spacing w:val="-82"/>
                <w:sz w:val="18"/>
                <w:szCs w:val="18"/>
              </w:rPr>
              <w:t> </w:t>
            </w:r>
            <w:r>
              <w:rPr>
                <w:rFonts w:ascii="宋体" w:hAnsi="宋体" w:cs="宋体" w:eastAsia="宋体" w:hint="default"/>
                <w:spacing w:val="-4"/>
                <w:sz w:val="18"/>
                <w:szCs w:val="18"/>
              </w:rPr>
              <w:t>本人将依法律、法规及公司的规定向公司及有关机构</w:t>
            </w:r>
          </w:p>
        </w:tc>
        <w:tc>
          <w:tcPr>
            <w:tcW w:w="544" w:type="dxa"/>
            <w:tcBorders>
              <w:top w:val="nil" w:sz="6" w:space="0" w:color="auto"/>
              <w:left w:val="single" w:sz="10"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6"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62"/>
              <w:jc w:val="both"/>
              <w:rPr>
                <w:rFonts w:ascii="宋体" w:hAnsi="宋体" w:cs="宋体" w:eastAsia="宋体" w:hint="default"/>
                <w:sz w:val="18"/>
                <w:szCs w:val="18"/>
              </w:rPr>
            </w:pPr>
            <w:r>
              <w:rPr>
                <w:rFonts w:ascii="宋体" w:hAnsi="宋体" w:cs="宋体" w:eastAsia="宋体" w:hint="default"/>
                <w:sz w:val="18"/>
                <w:szCs w:val="18"/>
              </w:rPr>
              <w:t>截止本报告期 末，承诺人严 格信守承诺， 未出现违反承 诺的情况</w:t>
            </w: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或部门及时披露与公司业务构成竞争或可能构成竞</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争的任何业务或权益的详情</w:t>
            </w:r>
            <w:r>
              <w:rPr>
                <w:rFonts w:ascii="宋体" w:hAnsi="宋体" w:cs="宋体" w:eastAsia="宋体" w:hint="default"/>
                <w:spacing w:val="-77"/>
                <w:sz w:val="18"/>
                <w:szCs w:val="18"/>
              </w:rPr>
              <w:t>，</w:t>
            </w:r>
            <w:r>
              <w:rPr>
                <w:rFonts w:ascii="宋体" w:hAnsi="宋体" w:cs="宋体" w:eastAsia="宋体" w:hint="default"/>
                <w:sz w:val="18"/>
                <w:szCs w:val="18"/>
              </w:rPr>
              <w:t>直至本人不再作为公司</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实际控制人为止。</w:t>
            </w:r>
            <w:r>
              <w:rPr>
                <w:rFonts w:ascii="Times New Roman" w:hAnsi="Times New Roman" w:cs="Times New Roman" w:eastAsia="Times New Roman" w:hint="default"/>
                <w:sz w:val="18"/>
                <w:szCs w:val="18"/>
              </w:rPr>
              <w:t>5</w:t>
            </w:r>
            <w:r>
              <w:rPr>
                <w:rFonts w:ascii="宋体" w:hAnsi="宋体" w:cs="宋体" w:eastAsia="宋体" w:hint="default"/>
                <w:sz w:val="18"/>
                <w:szCs w:val="18"/>
              </w:rPr>
              <w:t>、本人将不会利用公司实际控制</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人的身份进行损害公司及其它股东利益的经营活动</w:t>
            </w:r>
          </w:p>
        </w:tc>
        <w:tc>
          <w:tcPr>
            <w:tcW w:w="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、本人愿意承担因违反上述承诺而给公司造成的全</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53"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single" w:sz="4" w:space="0" w:color="000000"/>
              <w:right w:val="single" w:sz="4" w:space="0" w:color="000000"/>
            </w:tcBorders>
            <w:shd w:val="clear" w:color="auto" w:fill="CCE8CF"/>
          </w:tcPr>
          <w:p>
            <w:pPr/>
          </w:p>
        </w:tc>
        <w:tc>
          <w:tcPr>
            <w:tcW w:w="398" w:type="dxa"/>
            <w:vMerge/>
            <w:tcBorders>
              <w:left w:val="single" w:sz="4" w:space="0" w:color="000000"/>
              <w:bottom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部经济损失。</w:t>
            </w:r>
          </w:p>
        </w:tc>
        <w:tc>
          <w:tcPr>
            <w:tcW w:w="544" w:type="dxa"/>
            <w:tcBorders>
              <w:top w:val="nil" w:sz="6" w:space="0" w:color="auto"/>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shd w:val="clear" w:color="auto" w:fill="CCE8CF"/>
          </w:tcPr>
          <w:p>
            <w:pPr/>
          </w:p>
        </w:tc>
        <w:tc>
          <w:tcPr>
            <w:tcW w:w="1178"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356" w:hRule="exact"/>
        </w:trPr>
        <w:tc>
          <w:tcPr>
            <w:tcW w:w="1136" w:type="dxa"/>
            <w:vMerge/>
            <w:tcBorders>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nil" w:sz="6" w:space="0" w:color="auto"/>
              <w:right w:val="single" w:sz="4" w:space="0" w:color="000000"/>
            </w:tcBorders>
            <w:shd w:val="clear" w:color="auto" w:fill="CCE8CF"/>
          </w:tcPr>
          <w:p>
            <w:pPr/>
          </w:p>
        </w:tc>
        <w:tc>
          <w:tcPr>
            <w:tcW w:w="398"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9" w:lineRule="auto"/>
              <w:ind w:left="24" w:right="182"/>
              <w:jc w:val="both"/>
              <w:rPr>
                <w:rFonts w:ascii="宋体" w:hAnsi="宋体" w:cs="宋体" w:eastAsia="宋体" w:hint="default"/>
                <w:sz w:val="18"/>
                <w:szCs w:val="18"/>
              </w:rPr>
            </w:pPr>
            <w:r>
              <w:rPr>
                <w:rFonts w:ascii="宋体" w:hAnsi="宋体" w:cs="宋体" w:eastAsia="宋体" w:hint="default"/>
                <w:sz w:val="18"/>
                <w:szCs w:val="18"/>
              </w:rPr>
              <w:t>稳 定 股 价 的 承 诺</w:t>
            </w:r>
          </w:p>
        </w:tc>
        <w:tc>
          <w:tcPr>
            <w:tcW w:w="4121"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如果公司首次公开发行股票并上市后三年内</w:t>
            </w:r>
            <w:r>
              <w:rPr>
                <w:rFonts w:ascii="宋体" w:hAnsi="宋体" w:cs="宋体" w:eastAsia="宋体" w:hint="default"/>
                <w:spacing w:val="-77"/>
                <w:sz w:val="18"/>
                <w:szCs w:val="18"/>
              </w:rPr>
              <w:t>，</w:t>
            </w:r>
            <w:r>
              <w:rPr>
                <w:rFonts w:ascii="宋体" w:hAnsi="宋体" w:cs="宋体" w:eastAsia="宋体" w:hint="default"/>
                <w:sz w:val="18"/>
                <w:szCs w:val="18"/>
              </w:rPr>
              <w:t>股票收</w:t>
            </w:r>
          </w:p>
        </w:tc>
        <w:tc>
          <w:tcPr>
            <w:tcW w:w="544" w:type="dxa"/>
            <w:tcBorders>
              <w:top w:val="single" w:sz="4" w:space="0" w:color="000000"/>
              <w:left w:val="single" w:sz="4" w:space="0" w:color="000000"/>
              <w:bottom w:val="nil" w:sz="6" w:space="0" w:color="auto"/>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shd w:val="clear" w:color="auto" w:fill="CCE8CF"/>
          </w:tcPr>
          <w:p>
            <w:pPr/>
          </w:p>
        </w:tc>
        <w:tc>
          <w:tcPr>
            <w:tcW w:w="1178"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1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盘价格连续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个交易日出现低于每股净资产（指公</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司最近一期经审计的每股净资产</w:t>
            </w:r>
            <w:r>
              <w:rPr>
                <w:rFonts w:ascii="宋体" w:hAnsi="宋体" w:cs="宋体" w:eastAsia="宋体" w:hint="default"/>
                <w:spacing w:val="-77"/>
                <w:sz w:val="18"/>
                <w:szCs w:val="18"/>
              </w:rPr>
              <w:t>，</w:t>
            </w:r>
            <w:r>
              <w:rPr>
                <w:rFonts w:ascii="宋体" w:hAnsi="宋体" w:cs="宋体" w:eastAsia="宋体" w:hint="default"/>
                <w:sz w:val="18"/>
                <w:szCs w:val="18"/>
              </w:rPr>
              <w:t>如果公司因派发现</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12"/>
                <w:sz w:val="18"/>
                <w:szCs w:val="18"/>
              </w:rPr>
              <w:t>金红利、送股、转增股本、增发</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除息的</w:t>
            </w:r>
            <w:r>
              <w:rPr>
                <w:rFonts w:ascii="宋体" w:hAnsi="宋体" w:cs="宋体" w:eastAsia="宋体" w:hint="default"/>
                <w:spacing w:val="-77"/>
                <w:sz w:val="18"/>
                <w:szCs w:val="18"/>
              </w:rPr>
              <w:t>，</w:t>
            </w:r>
            <w:r>
              <w:rPr>
                <w:rFonts w:ascii="宋体" w:hAnsi="宋体" w:cs="宋体" w:eastAsia="宋体" w:hint="default"/>
                <w:sz w:val="18"/>
                <w:szCs w:val="18"/>
              </w:rPr>
              <w:t>则相关的计算对比方法按照深圳证券交易所</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的有关规定作除权除息处理，下同）的情况时，本人</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将启动稳定股价预案</w:t>
            </w:r>
            <w:r>
              <w:rPr>
                <w:rFonts w:ascii="宋体" w:hAnsi="宋体" w:cs="宋体" w:eastAsia="宋体" w:hint="default"/>
                <w:spacing w:val="-77"/>
                <w:sz w:val="18"/>
                <w:szCs w:val="18"/>
              </w:rPr>
              <w:t>。</w:t>
            </w:r>
            <w:r>
              <w:rPr>
                <w:rFonts w:ascii="宋体" w:hAnsi="宋体" w:cs="宋体" w:eastAsia="宋体" w:hint="default"/>
                <w:sz w:val="18"/>
                <w:szCs w:val="18"/>
              </w:rPr>
              <w:t>本人应在不迟于股东大会审议</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通过稳定股价具体方案后的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w:t>
            </w:r>
            <w:r>
              <w:rPr>
                <w:rFonts w:ascii="宋体" w:hAnsi="宋体" w:cs="宋体" w:eastAsia="宋体" w:hint="default"/>
                <w:spacing w:val="-77"/>
                <w:sz w:val="18"/>
                <w:szCs w:val="18"/>
              </w:rPr>
              <w:t>，</w:t>
            </w:r>
            <w:r>
              <w:rPr>
                <w:rFonts w:ascii="宋体" w:hAnsi="宋体" w:cs="宋体" w:eastAsia="宋体" w:hint="default"/>
                <w:sz w:val="18"/>
                <w:szCs w:val="18"/>
              </w:rPr>
              <w:t>根据股东</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29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大会审议通过的稳定股价具体方案</w:t>
            </w:r>
            <w:r>
              <w:rPr>
                <w:rFonts w:ascii="宋体" w:hAnsi="宋体" w:cs="宋体" w:eastAsia="宋体" w:hint="default"/>
                <w:spacing w:val="-77"/>
                <w:sz w:val="18"/>
                <w:szCs w:val="18"/>
              </w:rPr>
              <w:t>，</w:t>
            </w:r>
            <w:r>
              <w:rPr>
                <w:rFonts w:ascii="宋体" w:hAnsi="宋体" w:cs="宋体" w:eastAsia="宋体" w:hint="default"/>
                <w:sz w:val="18"/>
                <w:szCs w:val="18"/>
              </w:rPr>
              <w:t>积极采取下述措</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188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51"/>
              <w:jc w:val="left"/>
              <w:rPr>
                <w:rFonts w:ascii="宋体" w:hAnsi="宋体" w:cs="宋体" w:eastAsia="宋体" w:hint="default"/>
                <w:sz w:val="18"/>
                <w:szCs w:val="18"/>
              </w:rPr>
            </w:pPr>
            <w:r>
              <w:rPr>
                <w:rFonts w:ascii="宋体" w:hAnsi="宋体" w:cs="宋体" w:eastAsia="宋体" w:hint="default"/>
                <w:sz w:val="18"/>
                <w:szCs w:val="18"/>
              </w:rPr>
              <w:t>公司实际控制人及董 事长于伟</w:t>
            </w: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4" w:lineRule="auto" w:before="20"/>
              <w:ind w:left="26" w:right="19"/>
              <w:jc w:val="left"/>
              <w:rPr>
                <w:rFonts w:ascii="宋体" w:hAnsi="宋体" w:cs="宋体" w:eastAsia="宋体" w:hint="default"/>
                <w:sz w:val="18"/>
                <w:szCs w:val="18"/>
              </w:rPr>
            </w:pPr>
            <w:r>
              <w:rPr>
                <w:rFonts w:ascii="宋体" w:hAnsi="宋体" w:cs="宋体" w:eastAsia="宋体" w:hint="default"/>
                <w:sz w:val="18"/>
                <w:szCs w:val="18"/>
              </w:rPr>
              <w:t>施以稳定高伟达股价，并保证股价稳定措施实施后 </w:t>
            </w:r>
            <w:r>
              <w:rPr>
                <w:rFonts w:ascii="宋体" w:hAnsi="宋体" w:cs="宋体" w:eastAsia="宋体" w:hint="default"/>
                <w:spacing w:val="-7"/>
                <w:sz w:val="18"/>
                <w:szCs w:val="18"/>
              </w:rPr>
              <w:t>高伟达的股权分布仍符合上市条件：（</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）在符合股票</w:t>
            </w:r>
            <w:r>
              <w:rPr>
                <w:rFonts w:ascii="宋体" w:hAnsi="宋体" w:cs="宋体" w:eastAsia="宋体" w:hint="default"/>
                <w:sz w:val="18"/>
                <w:szCs w:val="18"/>
              </w:rPr>
              <w:t> </w:t>
            </w:r>
            <w:r>
              <w:rPr>
                <w:rFonts w:ascii="宋体" w:hAnsi="宋体" w:cs="宋体" w:eastAsia="宋体" w:hint="default"/>
                <w:spacing w:val="-4"/>
                <w:sz w:val="18"/>
                <w:szCs w:val="18"/>
              </w:rPr>
              <w:t>交易相关规定的前提下，按照高伟达关于稳定股价具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体方案中确定的增持金额和期间，通过交易所集中竞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价交易方式增持高伟达股票。购买所增持股票的总金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额不低于其上年度初至董事会审议通过稳定股价具</w:t>
            </w:r>
          </w:p>
        </w:tc>
        <w:tc>
          <w:tcPr>
            <w:tcW w:w="54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99"/>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9" w:lineRule="auto" w:before="1"/>
              <w:ind w:left="22" w:right="191"/>
              <w:jc w:val="both"/>
              <w:rPr>
                <w:rFonts w:ascii="宋体" w:hAnsi="宋体" w:cs="宋体" w:eastAsia="宋体" w:hint="default"/>
                <w:sz w:val="18"/>
                <w:szCs w:val="18"/>
              </w:rPr>
            </w:pPr>
            <w:r>
              <w:rPr>
                <w:rFonts w:ascii="宋体" w:hAnsi="宋体" w:cs="宋体" w:eastAsia="宋体" w:hint="default"/>
                <w:sz w:val="18"/>
                <w:szCs w:val="18"/>
              </w:rPr>
              <w:t>自上 市之 日起 三十 六个 月</w:t>
            </w: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9" w:lineRule="auto" w:before="157"/>
              <w:ind w:left="23" w:right="62"/>
              <w:jc w:val="both"/>
              <w:rPr>
                <w:rFonts w:ascii="宋体" w:hAnsi="宋体" w:cs="宋体" w:eastAsia="宋体" w:hint="default"/>
                <w:sz w:val="18"/>
                <w:szCs w:val="18"/>
              </w:rPr>
            </w:pPr>
            <w:r>
              <w:rPr>
                <w:rFonts w:ascii="宋体" w:hAnsi="宋体" w:cs="宋体" w:eastAsia="宋体" w:hint="default"/>
                <w:sz w:val="18"/>
                <w:szCs w:val="18"/>
              </w:rPr>
              <w:t>截止本报告期 末，承诺人严 格信守承诺， 未出现违反承 诺的情况</w:t>
            </w: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体方案日期间</w:t>
            </w:r>
            <w:r>
              <w:rPr>
                <w:rFonts w:ascii="宋体" w:hAnsi="宋体" w:cs="宋体" w:eastAsia="宋体" w:hint="default"/>
                <w:spacing w:val="-77"/>
                <w:sz w:val="18"/>
                <w:szCs w:val="18"/>
              </w:rPr>
              <w:t>，</w:t>
            </w:r>
            <w:r>
              <w:rPr>
                <w:rFonts w:ascii="宋体" w:hAnsi="宋体" w:cs="宋体" w:eastAsia="宋体" w:hint="default"/>
                <w:sz w:val="18"/>
                <w:szCs w:val="18"/>
              </w:rPr>
              <w:t>从高伟达直接获取的税后薪酬及税后</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现金分红总额的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r>
              <w:rPr>
                <w:rFonts w:ascii="宋体" w:hAnsi="宋体" w:cs="宋体" w:eastAsia="宋体" w:hint="default"/>
                <w:spacing w:val="-3"/>
                <w:sz w:val="18"/>
                <w:szCs w:val="18"/>
              </w:rPr>
              <w:t>除</w:t>
            </w:r>
            <w:r>
              <w:rPr>
                <w:rFonts w:ascii="宋体" w:hAnsi="宋体" w:cs="宋体" w:eastAsia="宋体" w:hint="default"/>
                <w:sz w:val="18"/>
                <w:szCs w:val="18"/>
              </w:rPr>
              <w:t>因继承、被强制执行</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或上市公司重组等情形必须转股或触发前述股价稳</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定措施的停止条件外</w:t>
            </w:r>
            <w:r>
              <w:rPr>
                <w:rFonts w:ascii="宋体" w:hAnsi="宋体" w:cs="宋体" w:eastAsia="宋体" w:hint="default"/>
                <w:spacing w:val="-77"/>
                <w:sz w:val="18"/>
                <w:szCs w:val="18"/>
              </w:rPr>
              <w:t>，</w:t>
            </w:r>
            <w:r>
              <w:rPr>
                <w:rFonts w:ascii="宋体" w:hAnsi="宋体" w:cs="宋体" w:eastAsia="宋体" w:hint="default"/>
                <w:sz w:val="18"/>
                <w:szCs w:val="18"/>
              </w:rPr>
              <w:t>在股东大会审议稳定股价具体</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方案及方案实施期间，不转让其持有的高伟达股份</w:t>
            </w:r>
          </w:p>
        </w:tc>
        <w:tc>
          <w:tcPr>
            <w:tcW w:w="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除经股东大会非关联股东同意外</w:t>
            </w:r>
            <w:r>
              <w:rPr>
                <w:rFonts w:ascii="宋体" w:hAnsi="宋体" w:cs="宋体" w:eastAsia="宋体" w:hint="default"/>
                <w:spacing w:val="-77"/>
                <w:sz w:val="18"/>
                <w:szCs w:val="18"/>
              </w:rPr>
              <w:t>，</w:t>
            </w:r>
            <w:r>
              <w:rPr>
                <w:rFonts w:ascii="宋体" w:hAnsi="宋体" w:cs="宋体" w:eastAsia="宋体" w:hint="default"/>
                <w:sz w:val="18"/>
                <w:szCs w:val="18"/>
              </w:rPr>
              <w:t>不由高伟达回购其</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持有的股份</w:t>
            </w:r>
            <w:r>
              <w:rPr>
                <w:rFonts w:ascii="宋体" w:hAnsi="宋体" w:cs="宋体" w:eastAsia="宋体" w:hint="default"/>
                <w:spacing w:val="-11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20"/>
                <w:sz w:val="18"/>
                <w:szCs w:val="18"/>
              </w:rPr>
              <w:t>）</w:t>
            </w:r>
            <w:r>
              <w:rPr>
                <w:rFonts w:ascii="宋体" w:hAnsi="宋体" w:cs="宋体" w:eastAsia="宋体" w:hint="default"/>
                <w:sz w:val="18"/>
                <w:szCs w:val="18"/>
              </w:rPr>
              <w:t>法律</w:t>
            </w:r>
            <w:r>
              <w:rPr>
                <w:rFonts w:ascii="宋体" w:hAnsi="宋体" w:cs="宋体" w:eastAsia="宋体" w:hint="default"/>
                <w:spacing w:val="-20"/>
                <w:sz w:val="18"/>
                <w:szCs w:val="18"/>
              </w:rPr>
              <w:t>、</w:t>
            </w:r>
            <w:r>
              <w:rPr>
                <w:rFonts w:ascii="宋体" w:hAnsi="宋体" w:cs="宋体" w:eastAsia="宋体" w:hint="default"/>
                <w:sz w:val="18"/>
                <w:szCs w:val="18"/>
              </w:rPr>
              <w:t>行政法规</w:t>
            </w:r>
            <w:r>
              <w:rPr>
                <w:rFonts w:ascii="宋体" w:hAnsi="宋体" w:cs="宋体" w:eastAsia="宋体" w:hint="default"/>
                <w:spacing w:val="-20"/>
                <w:sz w:val="18"/>
                <w:szCs w:val="18"/>
              </w:rPr>
              <w:t>、</w:t>
            </w:r>
            <w:r>
              <w:rPr>
                <w:rFonts w:ascii="宋体" w:hAnsi="宋体" w:cs="宋体" w:eastAsia="宋体" w:hint="default"/>
                <w:sz w:val="18"/>
                <w:szCs w:val="18"/>
              </w:rPr>
              <w:t>规范性文件规定</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以及中国证监会认可的其他方式</w:t>
            </w:r>
            <w:r>
              <w:rPr>
                <w:rFonts w:ascii="宋体" w:hAnsi="宋体" w:cs="宋体" w:eastAsia="宋体" w:hint="default"/>
                <w:spacing w:val="-77"/>
                <w:sz w:val="18"/>
                <w:szCs w:val="18"/>
              </w:rPr>
              <w:t>。</w:t>
            </w:r>
            <w:r>
              <w:rPr>
                <w:rFonts w:ascii="宋体" w:hAnsi="宋体" w:cs="宋体" w:eastAsia="宋体" w:hint="default"/>
                <w:sz w:val="18"/>
                <w:szCs w:val="18"/>
              </w:rPr>
              <w:t>触发前述股价稳定</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9"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single" w:sz="4" w:space="0" w:color="000000"/>
              <w:right w:val="single" w:sz="4" w:space="0" w:color="000000"/>
            </w:tcBorders>
            <w:shd w:val="clear" w:color="auto" w:fill="CCE8CF"/>
          </w:tcPr>
          <w:p>
            <w:pPr/>
          </w:p>
        </w:tc>
        <w:tc>
          <w:tcPr>
            <w:tcW w:w="398" w:type="dxa"/>
            <w:vMerge/>
            <w:tcBorders>
              <w:left w:val="single" w:sz="4" w:space="0" w:color="000000"/>
              <w:bottom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措施的启动条件时本人不因在股东大会审议稳定股</w:t>
            </w:r>
          </w:p>
        </w:tc>
        <w:tc>
          <w:tcPr>
            <w:tcW w:w="544" w:type="dxa"/>
            <w:tcBorders>
              <w:top w:val="nil" w:sz="6" w:space="0" w:color="auto"/>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shd w:val="clear" w:color="auto" w:fill="CCE8CF"/>
          </w:tcPr>
          <w:p>
            <w:pPr/>
          </w:p>
        </w:tc>
        <w:tc>
          <w:tcPr>
            <w:tcW w:w="1178" w:type="dxa"/>
            <w:tcBorders>
              <w:top w:val="nil" w:sz="6" w:space="0" w:color="auto"/>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r>
        <w:rPr/>
        <w:pict>
          <v:group style="position:absolute;margin-left:424.98999pt;margin-top:478.519989pt;width:26.8pt;height:108.3pt;mso-position-horizontal-relative:page;mso-position-vertical-relative:page;z-index:-1028752" coordorigin="8500,9570" coordsize="536,2166">
            <v:shape style="position:absolute;left:8500;top:9570;width:536;height:2166" coordorigin="8500,9570" coordsize="536,2166" path="m8500,11736l9035,11736,9035,9570,8500,9570,8500,1173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136"/>
        <w:gridCol w:w="1706"/>
        <w:gridCol w:w="398"/>
        <w:gridCol w:w="4121"/>
        <w:gridCol w:w="544"/>
        <w:gridCol w:w="584"/>
        <w:gridCol w:w="1181"/>
      </w:tblGrid>
      <w:tr>
        <w:trPr>
          <w:trHeight w:val="675" w:hRule="exact"/>
        </w:trPr>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8"/>
              <w:ind w:left="26" w:right="20"/>
              <w:jc w:val="left"/>
              <w:rPr>
                <w:rFonts w:ascii="宋体" w:hAnsi="宋体" w:cs="宋体" w:eastAsia="宋体" w:hint="default"/>
                <w:sz w:val="18"/>
                <w:szCs w:val="18"/>
              </w:rPr>
            </w:pPr>
            <w:r>
              <w:rPr>
                <w:rFonts w:ascii="宋体" w:hAnsi="宋体" w:cs="宋体" w:eastAsia="宋体" w:hint="default"/>
                <w:spacing w:val="-4"/>
                <w:sz w:val="18"/>
                <w:szCs w:val="18"/>
              </w:rPr>
              <w:t>价具体方案及方案实施期间内由于职务变更、离职等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情形而拒绝实施上述稳定股价的措施。</w:t>
            </w:r>
          </w:p>
        </w:tc>
        <w:tc>
          <w:tcPr>
            <w:tcW w:w="54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2273" w:hRule="exact"/>
        </w:trPr>
        <w:tc>
          <w:tcPr>
            <w:tcW w:w="1136" w:type="dxa"/>
            <w:vMerge/>
            <w:tcBorders>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公司实际控制人及董 事长于伟</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82"/>
              <w:jc w:val="both"/>
              <w:rPr>
                <w:rFonts w:ascii="宋体" w:hAnsi="宋体" w:cs="宋体" w:eastAsia="宋体" w:hint="default"/>
                <w:sz w:val="18"/>
                <w:szCs w:val="18"/>
              </w:rPr>
            </w:pPr>
            <w:r>
              <w:rPr>
                <w:rFonts w:ascii="宋体" w:hAnsi="宋体" w:cs="宋体" w:eastAsia="宋体" w:hint="default"/>
                <w:sz w:val="18"/>
                <w:szCs w:val="18"/>
              </w:rPr>
              <w:t>其 他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both"/>
              <w:rPr>
                <w:rFonts w:ascii="宋体" w:hAnsi="宋体" w:cs="宋体" w:eastAsia="宋体" w:hint="default"/>
                <w:sz w:val="18"/>
                <w:szCs w:val="18"/>
              </w:rPr>
            </w:pPr>
            <w:r>
              <w:rPr>
                <w:rFonts w:ascii="宋体" w:hAnsi="宋体" w:cs="宋体" w:eastAsia="宋体" w:hint="default"/>
                <w:sz w:val="18"/>
                <w:szCs w:val="18"/>
              </w:rPr>
              <w:t>实际控制人于伟针对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月无形资产出资一事</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出具如下承诺：公司已于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月对此次无形资</w:t>
            </w:r>
          </w:p>
          <w:p>
            <w:pPr>
              <w:pStyle w:val="TableParagraph"/>
              <w:spacing w:line="314" w:lineRule="auto" w:before="63"/>
              <w:ind w:left="26" w:right="19"/>
              <w:jc w:val="both"/>
              <w:rPr>
                <w:rFonts w:ascii="宋体" w:hAnsi="宋体" w:cs="宋体" w:eastAsia="宋体" w:hint="default"/>
                <w:sz w:val="18"/>
                <w:szCs w:val="18"/>
              </w:rPr>
            </w:pPr>
            <w:r>
              <w:rPr>
                <w:rFonts w:ascii="宋体" w:hAnsi="宋体" w:cs="宋体" w:eastAsia="宋体" w:hint="default"/>
                <w:sz w:val="18"/>
                <w:szCs w:val="18"/>
              </w:rPr>
              <w:t>产增资行为进行了纠正，以截至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月的未分 </w:t>
            </w:r>
            <w:r>
              <w:rPr>
                <w:rFonts w:ascii="宋体" w:hAnsi="宋体" w:cs="宋体" w:eastAsia="宋体" w:hint="default"/>
                <w:spacing w:val="-4"/>
                <w:sz w:val="18"/>
                <w:szCs w:val="18"/>
              </w:rPr>
              <w:t>配利润补足了该次出资。如因此次出资相关事宜导致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高伟达软件股份有限公司及股东利益遭受损害，相应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责任及损失将全部由本人承担，且在承担相应损失后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不向高伟达软件股份有限公司寻求补偿。</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65"/>
              <w:jc w:val="both"/>
              <w:rPr>
                <w:rFonts w:ascii="宋体" w:hAnsi="宋体" w:cs="宋体" w:eastAsia="宋体" w:hint="default"/>
                <w:sz w:val="18"/>
                <w:szCs w:val="18"/>
              </w:rPr>
            </w:pPr>
            <w:r>
              <w:rPr>
                <w:rFonts w:ascii="宋体" w:hAnsi="宋体" w:cs="宋体" w:eastAsia="宋体" w:hint="default"/>
                <w:sz w:val="18"/>
                <w:szCs w:val="18"/>
              </w:rPr>
              <w:t>截止本报告期 末，承诺人严 格信守承诺， 未出现违反承 诺的情况</w:t>
            </w:r>
          </w:p>
        </w:tc>
      </w:tr>
      <w:tr>
        <w:trPr>
          <w:trHeight w:val="3212" w:hRule="exact"/>
        </w:trPr>
        <w:tc>
          <w:tcPr>
            <w:tcW w:w="1136" w:type="dxa"/>
            <w:vMerge/>
            <w:tcBorders>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公司实际控制人及董 事长于伟</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82"/>
              <w:jc w:val="both"/>
              <w:rPr>
                <w:rFonts w:ascii="宋体" w:hAnsi="宋体" w:cs="宋体" w:eastAsia="宋体" w:hint="default"/>
                <w:sz w:val="18"/>
                <w:szCs w:val="18"/>
              </w:rPr>
            </w:pPr>
            <w:r>
              <w:rPr>
                <w:rFonts w:ascii="宋体" w:hAnsi="宋体" w:cs="宋体" w:eastAsia="宋体" w:hint="default"/>
                <w:sz w:val="18"/>
                <w:szCs w:val="18"/>
              </w:rPr>
              <w:t>其 他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19"/>
              <w:jc w:val="both"/>
              <w:rPr>
                <w:rFonts w:ascii="宋体" w:hAnsi="宋体" w:cs="宋体" w:eastAsia="宋体" w:hint="default"/>
                <w:sz w:val="18"/>
                <w:szCs w:val="18"/>
              </w:rPr>
            </w:pPr>
            <w:r>
              <w:rPr>
                <w:rFonts w:ascii="宋体" w:hAnsi="宋体" w:cs="宋体" w:eastAsia="宋体" w:hint="default"/>
                <w:spacing w:val="-4"/>
                <w:sz w:val="18"/>
                <w:szCs w:val="18"/>
              </w:rPr>
              <w:t>实际控制人于伟针对拟境外上市架构事宜出具了《针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对高伟达控股存续期间有关事项的承诺函》，承诺如</w:t>
            </w:r>
            <w:r>
              <w:rPr>
                <w:rFonts w:ascii="宋体" w:hAnsi="宋体" w:cs="宋体" w:eastAsia="宋体" w:hint="default"/>
                <w:sz w:val="18"/>
                <w:szCs w:val="18"/>
              </w:rPr>
              <w:t> </w:t>
            </w:r>
            <w:r>
              <w:rPr>
                <w:rFonts w:ascii="宋体" w:hAnsi="宋体" w:cs="宋体" w:eastAsia="宋体" w:hint="default"/>
                <w:spacing w:val="-4"/>
                <w:sz w:val="18"/>
                <w:szCs w:val="18"/>
              </w:rPr>
              <w:t>下：在拟境外上市架构建立及解除的整个过程中，全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部事项（包括但不限于高伟达控股设立、历次股权转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让、优先股发行、股份回购、对境内控制公司增资及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注销等）均符合英属维尔京群岛当地及中国国内相关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法律规定，不存在纠纷或潜在的纠纷。如因上述事项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产生纠纷导致发行人及其股东利益遭受损害，所有损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失及开支均由本人承担，且不以任何形式向发行人寻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求补偿。</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截止本报告期 末，承诺人严 格信守承诺， 未出现违反承 诺的情况</w:t>
            </w:r>
          </w:p>
        </w:tc>
      </w:tr>
      <w:tr>
        <w:trPr>
          <w:trHeight w:val="1961" w:hRule="exact"/>
        </w:trPr>
        <w:tc>
          <w:tcPr>
            <w:tcW w:w="1136" w:type="dxa"/>
            <w:vMerge/>
            <w:tcBorders>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本公司控股股东鹰高 投资</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182"/>
              <w:jc w:val="both"/>
              <w:rPr>
                <w:rFonts w:ascii="宋体" w:hAnsi="宋体" w:cs="宋体" w:eastAsia="宋体" w:hint="default"/>
                <w:sz w:val="18"/>
                <w:szCs w:val="18"/>
              </w:rPr>
            </w:pPr>
            <w:r>
              <w:rPr>
                <w:rFonts w:ascii="宋体" w:hAnsi="宋体" w:cs="宋体" w:eastAsia="宋体" w:hint="default"/>
                <w:sz w:val="18"/>
                <w:szCs w:val="18"/>
              </w:rPr>
              <w:t>股 份 限 售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20"/>
              <w:jc w:val="both"/>
              <w:rPr>
                <w:rFonts w:ascii="宋体" w:hAnsi="宋体" w:cs="宋体" w:eastAsia="宋体" w:hint="default"/>
                <w:sz w:val="18"/>
                <w:szCs w:val="18"/>
              </w:rPr>
            </w:pPr>
            <w:r>
              <w:rPr>
                <w:rFonts w:ascii="宋体" w:hAnsi="宋体" w:cs="宋体" w:eastAsia="宋体" w:hint="default"/>
                <w:spacing w:val="-4"/>
                <w:sz w:val="18"/>
                <w:szCs w:val="18"/>
              </w:rPr>
              <w:t>自高伟达股票上市之日起三十六个月内，不转让或委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托他人管理其已持有的本公司股份，也不由本公司回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购该部分股份。</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91"/>
              <w:jc w:val="both"/>
              <w:rPr>
                <w:rFonts w:ascii="宋体" w:hAnsi="宋体" w:cs="宋体" w:eastAsia="宋体" w:hint="default"/>
                <w:sz w:val="18"/>
                <w:szCs w:val="18"/>
              </w:rPr>
            </w:pPr>
            <w:r>
              <w:rPr>
                <w:rFonts w:ascii="宋体" w:hAnsi="宋体" w:cs="宋体" w:eastAsia="宋体" w:hint="default"/>
                <w:sz w:val="18"/>
                <w:szCs w:val="18"/>
              </w:rPr>
              <w:t>自上 市之 日起 三十 六个 月</w:t>
            </w: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65"/>
              <w:jc w:val="both"/>
              <w:rPr>
                <w:rFonts w:ascii="宋体" w:hAnsi="宋体" w:cs="宋体" w:eastAsia="宋体" w:hint="default"/>
                <w:sz w:val="18"/>
                <w:szCs w:val="18"/>
              </w:rPr>
            </w:pPr>
            <w:r>
              <w:rPr>
                <w:rFonts w:ascii="宋体" w:hAnsi="宋体" w:cs="宋体" w:eastAsia="宋体" w:hint="default"/>
                <w:sz w:val="18"/>
                <w:szCs w:val="18"/>
              </w:rPr>
              <w:t>截止本报告期 末，承诺人严 格信守承诺， 未出现违反承 诺的情况</w:t>
            </w:r>
          </w:p>
        </w:tc>
      </w:tr>
      <w:tr>
        <w:trPr>
          <w:trHeight w:val="5667"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本公司控股股东鹰高 投资</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4" w:right="182"/>
              <w:jc w:val="both"/>
              <w:rPr>
                <w:rFonts w:ascii="宋体" w:hAnsi="宋体" w:cs="宋体" w:eastAsia="宋体" w:hint="default"/>
                <w:sz w:val="18"/>
                <w:szCs w:val="18"/>
              </w:rPr>
            </w:pPr>
            <w:r>
              <w:rPr>
                <w:rFonts w:ascii="宋体" w:hAnsi="宋体" w:cs="宋体" w:eastAsia="宋体" w:hint="default"/>
                <w:sz w:val="18"/>
                <w:szCs w:val="18"/>
              </w:rPr>
              <w:t>股 份 减 持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49"/>
              <w:ind w:left="26"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、本公司将长期持有公司股票。</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、本公司将严格根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据证券监管机构、自律机构及证券交易所等有权部门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颁布的相关法律法规及规范性文件的有关规定以及 本公司就持股锁定事项出具的相关承诺执行有关股 </w:t>
            </w:r>
            <w:r>
              <w:rPr>
                <w:rFonts w:ascii="宋体" w:hAnsi="宋体" w:cs="宋体" w:eastAsia="宋体" w:hint="default"/>
                <w:spacing w:val="-4"/>
                <w:sz w:val="18"/>
                <w:szCs w:val="18"/>
              </w:rPr>
              <w:t>份限售事项，在证券监管机构、自律机构及证券交易</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所等有权部门颁布的相关法律法规及规范性文件的 有关规定以及本公司股份锁定承诺规定的限售期内 本公司不会进行任何违反相关规定及股份锁定承诺 的股份减持行为。</w:t>
            </w:r>
            <w:r>
              <w:rPr>
                <w:rFonts w:ascii="Times New Roman" w:hAnsi="Times New Roman" w:cs="Times New Roman" w:eastAsia="Times New Roman" w:hint="default"/>
                <w:sz w:val="18"/>
                <w:szCs w:val="18"/>
              </w:rPr>
              <w:t>3</w:t>
            </w:r>
            <w:r>
              <w:rPr>
                <w:rFonts w:ascii="宋体" w:hAnsi="宋体" w:cs="宋体" w:eastAsia="宋体" w:hint="default"/>
                <w:sz w:val="18"/>
                <w:szCs w:val="18"/>
              </w:rPr>
              <w:t>、持股限售期结束后，本公司届 </w:t>
            </w:r>
            <w:r>
              <w:rPr>
                <w:rFonts w:ascii="宋体" w:hAnsi="宋体" w:cs="宋体" w:eastAsia="宋体" w:hint="default"/>
                <w:spacing w:val="-4"/>
                <w:sz w:val="18"/>
                <w:szCs w:val="18"/>
              </w:rPr>
              <w:t>时将综合考虑资金需求、投资安排等各方面因素审慎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制定股票减持计划，如本公司确定依法减持公司股份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的，应提前三个交易日予以公告；</w:t>
            </w:r>
            <w:r>
              <w:rPr>
                <w:rFonts w:ascii="Times New Roman" w:hAnsi="Times New Roman" w:cs="Times New Roman" w:eastAsia="Times New Roman" w:hint="default"/>
                <w:sz w:val="18"/>
                <w:szCs w:val="18"/>
              </w:rPr>
              <w:t>4</w:t>
            </w:r>
            <w:r>
              <w:rPr>
                <w:rFonts w:ascii="宋体" w:hAnsi="宋体" w:cs="宋体" w:eastAsia="宋体" w:hint="default"/>
                <w:sz w:val="18"/>
                <w:szCs w:val="18"/>
              </w:rPr>
              <w:t>、持股限售期结 </w:t>
            </w:r>
            <w:r>
              <w:rPr>
                <w:rFonts w:ascii="宋体" w:hAnsi="宋体" w:cs="宋体" w:eastAsia="宋体" w:hint="default"/>
                <w:spacing w:val="-4"/>
                <w:sz w:val="18"/>
                <w:szCs w:val="18"/>
              </w:rPr>
              <w:t>束后，如本公司确定依法减持公司股份的，将在满足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7"/>
                <w:sz w:val="18"/>
                <w:szCs w:val="18"/>
              </w:rPr>
              <w:t>以下条件后减持：（</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）公司股价不低于最近一期经审</w:t>
            </w:r>
            <w:r>
              <w:rPr>
                <w:rFonts w:ascii="宋体" w:hAnsi="宋体" w:cs="宋体" w:eastAsia="宋体" w:hint="default"/>
                <w:sz w:val="18"/>
                <w:szCs w:val="18"/>
              </w:rPr>
              <w:t> </w:t>
            </w:r>
            <w:r>
              <w:rPr>
                <w:rFonts w:ascii="宋体" w:hAnsi="宋体" w:cs="宋体" w:eastAsia="宋体" w:hint="default"/>
                <w:spacing w:val="-2"/>
                <w:sz w:val="18"/>
                <w:szCs w:val="18"/>
              </w:rPr>
              <w:t>计的每股净资产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）公司运营正常、减持对公司二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7"/>
                <w:sz w:val="18"/>
                <w:szCs w:val="18"/>
              </w:rPr>
              <w:t>级市场不构成重大干扰。（</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）本公司减持价格不低于</w:t>
            </w:r>
            <w:r>
              <w:rPr>
                <w:rFonts w:ascii="宋体" w:hAnsi="宋体" w:cs="宋体" w:eastAsia="宋体" w:hint="default"/>
                <w:sz w:val="18"/>
                <w:szCs w:val="18"/>
              </w:rPr>
              <w:t> </w:t>
            </w:r>
            <w:r>
              <w:rPr>
                <w:rFonts w:ascii="宋体" w:hAnsi="宋体" w:cs="宋体" w:eastAsia="宋体" w:hint="default"/>
                <w:spacing w:val="-4"/>
                <w:sz w:val="18"/>
                <w:szCs w:val="18"/>
              </w:rPr>
              <w:t>公司首次公开发行股票的发行价格，如自公司首次公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开发行股票至上述减持公告之日公司发生过除权除</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99"/>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截止本报告期 末，承诺人严 格信守承诺， 未出现违反承 诺的情况</w:t>
            </w:r>
          </w:p>
        </w:tc>
      </w:tr>
    </w:tbl>
    <w:p>
      <w:pPr>
        <w:spacing w:after="0" w:line="316" w:lineRule="auto"/>
        <w:jc w:val="both"/>
        <w:rPr>
          <w:rFonts w:ascii="宋体" w:hAnsi="宋体" w:cs="宋体" w:eastAsia="宋体" w:hint="default"/>
          <w:sz w:val="18"/>
          <w:szCs w:val="18"/>
        </w:rPr>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r>
        <w:rPr/>
        <w:pict>
          <v:group style="position:absolute;margin-left:424.98999pt;margin-top:72.47998pt;width:26.8pt;height:353.6pt;mso-position-horizontal-relative:page;mso-position-vertical-relative:page;z-index:-1028728" coordorigin="8500,1450" coordsize="536,7072">
            <v:group style="position:absolute;left:8500;top:1450;width:536;height:5658" coordorigin="8500,1450" coordsize="536,5658">
              <v:shape style="position:absolute;left:8500;top:1450;width:536;height:5658" coordorigin="8500,1450" coordsize="536,5658" path="m8500,7107l9035,7107,9035,1450,8500,1450,8500,7107xe" filled="true" fillcolor="#ffffff" stroked="false">
                <v:path arrowok="t"/>
                <v:fill type="solid"/>
              </v:shape>
            </v:group>
            <v:group style="position:absolute;left:8500;top:7117;width:536;height:1405" coordorigin="8500,7117" coordsize="536,1405">
              <v:shape style="position:absolute;left:8500;top:7117;width:536;height:1405" coordorigin="8500,7117" coordsize="536,1405" path="m8500,8521l9035,8521,9035,7117,8500,7117,8500,852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136"/>
        <w:gridCol w:w="1706"/>
        <w:gridCol w:w="398"/>
        <w:gridCol w:w="4121"/>
        <w:gridCol w:w="544"/>
        <w:gridCol w:w="584"/>
        <w:gridCol w:w="1178"/>
      </w:tblGrid>
      <w:tr>
        <w:trPr>
          <w:trHeight w:val="5667" w:hRule="exact"/>
        </w:trPr>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8"/>
              <w:ind w:left="26" w:right="17"/>
              <w:jc w:val="left"/>
              <w:rPr>
                <w:rFonts w:ascii="宋体" w:hAnsi="宋体" w:cs="宋体" w:eastAsia="宋体" w:hint="default"/>
                <w:sz w:val="18"/>
                <w:szCs w:val="18"/>
              </w:rPr>
            </w:pPr>
            <w:r>
              <w:rPr>
                <w:rFonts w:ascii="宋体" w:hAnsi="宋体" w:cs="宋体" w:eastAsia="宋体" w:hint="default"/>
                <w:sz w:val="18"/>
                <w:szCs w:val="18"/>
              </w:rPr>
              <w:t>息等事项的，发行价格应相应调整。</w:t>
            </w:r>
            <w:r>
              <w:rPr>
                <w:rFonts w:ascii="Times New Roman" w:hAnsi="Times New Roman" w:cs="Times New Roman" w:eastAsia="Times New Roman" w:hint="default"/>
                <w:sz w:val="18"/>
                <w:szCs w:val="18"/>
              </w:rPr>
              <w:t>5</w:t>
            </w:r>
            <w:r>
              <w:rPr>
                <w:rFonts w:ascii="宋体" w:hAnsi="宋体" w:cs="宋体" w:eastAsia="宋体" w:hint="default"/>
                <w:sz w:val="18"/>
                <w:szCs w:val="18"/>
              </w:rPr>
              <w:t>、在遵守股份 转让相关法律法规及证券交易所相关规定的条件下 </w:t>
            </w:r>
            <w:r>
              <w:rPr>
                <w:rFonts w:ascii="宋体" w:hAnsi="宋体" w:cs="宋体" w:eastAsia="宋体" w:hint="default"/>
                <w:spacing w:val="-4"/>
                <w:sz w:val="18"/>
                <w:szCs w:val="18"/>
              </w:rPr>
              <w:t>本公司将在公告中明确减持的具体数量或区间、减持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的执行期限等信息；本公司将在公告的减持期限内以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证券监管机构、自律机构及证券交易所等有权部门允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许的方式进行减持，具体方式包括但不限于交易所集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中竞价交易方式、大宗交易方式、协议转让方式等 </w:t>
            </w:r>
            <w:r>
              <w:rPr>
                <w:rFonts w:ascii="Times New Roman" w:hAnsi="Times New Roman" w:cs="Times New Roman" w:eastAsia="Times New Roman" w:hint="default"/>
                <w:sz w:val="18"/>
                <w:szCs w:val="18"/>
              </w:rPr>
              <w:t>6</w:t>
            </w:r>
            <w:r>
              <w:rPr>
                <w:rFonts w:ascii="宋体" w:hAnsi="宋体" w:cs="宋体" w:eastAsia="宋体" w:hint="default"/>
                <w:sz w:val="18"/>
                <w:szCs w:val="18"/>
              </w:rPr>
              <w:t>、如本公司未来依法发生任何增持或减持公司股份 </w:t>
            </w:r>
            <w:r>
              <w:rPr>
                <w:rFonts w:ascii="宋体" w:hAnsi="宋体" w:cs="宋体" w:eastAsia="宋体" w:hint="default"/>
                <w:spacing w:val="-4"/>
                <w:sz w:val="18"/>
                <w:szCs w:val="18"/>
              </w:rPr>
              <w:t>情形的，本公司将严格按照证券监管机构、自律机构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及证券交易所等有权部门颁布的相关法律法规及规 </w:t>
            </w:r>
            <w:r>
              <w:rPr>
                <w:rFonts w:ascii="宋体" w:hAnsi="宋体" w:cs="宋体" w:eastAsia="宋体" w:hint="default"/>
                <w:spacing w:val="-4"/>
                <w:sz w:val="18"/>
                <w:szCs w:val="18"/>
              </w:rPr>
              <w:t>范性文件的规定进行相应增持或减持操作，并及时履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行有关信息披露义务。本公司持有公司股份低于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以下时除外。</w:t>
            </w:r>
            <w:r>
              <w:rPr>
                <w:rFonts w:ascii="Times New Roman" w:hAnsi="Times New Roman" w:cs="Times New Roman" w:eastAsia="Times New Roman" w:hint="default"/>
                <w:sz w:val="18"/>
                <w:szCs w:val="18"/>
              </w:rPr>
              <w:t>7</w:t>
            </w:r>
            <w:r>
              <w:rPr>
                <w:rFonts w:ascii="宋体" w:hAnsi="宋体" w:cs="宋体" w:eastAsia="宋体" w:hint="default"/>
                <w:sz w:val="18"/>
                <w:szCs w:val="18"/>
              </w:rPr>
              <w:t>、如果本公司未履行上述减持意向， 本公司将在股东大会及中国证监会指定的披露媒体 上公开说明未履行承诺的具体原因并向公司股东和 社会公众投资者道歉。</w:t>
            </w:r>
            <w:r>
              <w:rPr>
                <w:rFonts w:ascii="Times New Roman" w:hAnsi="Times New Roman" w:cs="Times New Roman" w:eastAsia="Times New Roman" w:hint="default"/>
                <w:sz w:val="18"/>
                <w:szCs w:val="18"/>
              </w:rPr>
              <w:t>8</w:t>
            </w:r>
            <w:r>
              <w:rPr>
                <w:rFonts w:ascii="宋体" w:hAnsi="宋体" w:cs="宋体" w:eastAsia="宋体" w:hint="default"/>
                <w:sz w:val="18"/>
                <w:szCs w:val="18"/>
              </w:rPr>
              <w:t>、如果本公司未履行上述减 </w:t>
            </w:r>
            <w:r>
              <w:rPr>
                <w:rFonts w:ascii="宋体" w:hAnsi="宋体" w:cs="宋体" w:eastAsia="宋体" w:hint="default"/>
                <w:spacing w:val="-4"/>
                <w:sz w:val="18"/>
                <w:szCs w:val="18"/>
              </w:rPr>
              <w:t>持意向，本公司持有的公司股份自本公司未履行上述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减持意向之日起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个月内不得减持。</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7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145" w:hRule="exact"/>
        </w:trPr>
        <w:tc>
          <w:tcPr>
            <w:tcW w:w="1136" w:type="dxa"/>
            <w:vMerge/>
            <w:tcBorders>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51"/>
              <w:jc w:val="left"/>
              <w:rPr>
                <w:rFonts w:ascii="宋体" w:hAnsi="宋体" w:cs="宋体" w:eastAsia="宋体" w:hint="default"/>
                <w:sz w:val="18"/>
                <w:szCs w:val="18"/>
              </w:rPr>
            </w:pPr>
            <w:r>
              <w:rPr>
                <w:rFonts w:ascii="宋体" w:hAnsi="宋体" w:cs="宋体" w:eastAsia="宋体" w:hint="default"/>
                <w:sz w:val="18"/>
                <w:szCs w:val="18"/>
              </w:rPr>
              <w:t>本公司控股股东鹰高 投资</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82"/>
              <w:jc w:val="both"/>
              <w:rPr>
                <w:rFonts w:ascii="宋体" w:hAnsi="宋体" w:cs="宋体" w:eastAsia="宋体" w:hint="default"/>
                <w:sz w:val="18"/>
                <w:szCs w:val="18"/>
              </w:rPr>
            </w:pPr>
            <w:r>
              <w:rPr>
                <w:rFonts w:ascii="宋体" w:hAnsi="宋体" w:cs="宋体" w:eastAsia="宋体" w:hint="default"/>
                <w:sz w:val="18"/>
                <w:szCs w:val="18"/>
              </w:rPr>
              <w:t>避 免 关 联 交 易 的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本人及本人实际控制的企业将继续严格按照《公司 </w:t>
            </w:r>
            <w:r>
              <w:rPr>
                <w:rFonts w:ascii="宋体" w:hAnsi="宋体" w:cs="宋体" w:eastAsia="宋体" w:hint="default"/>
                <w:spacing w:val="-4"/>
                <w:sz w:val="18"/>
                <w:szCs w:val="18"/>
              </w:rPr>
              <w:t>法》等法律法规以及高伟达软件股份有限公司章程的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有关规定行使股东权利；在股东大会对有关涉及本人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或本人实际控制的企业的关联交易事项进行表决时 </w:t>
            </w:r>
            <w:r>
              <w:rPr>
                <w:rFonts w:ascii="宋体" w:hAnsi="宋体" w:cs="宋体" w:eastAsia="宋体" w:hint="default"/>
                <w:spacing w:val="-4"/>
                <w:sz w:val="18"/>
                <w:szCs w:val="18"/>
              </w:rPr>
              <w:t>履行回避表决的义务；本人承诺杜绝一切非法占用上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市公司的资金、资产的行为；在任何情况下，不要求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上市公司向本人或本人直接或间接持股的企业提供 </w:t>
            </w:r>
            <w:r>
              <w:rPr>
                <w:rFonts w:ascii="宋体" w:hAnsi="宋体" w:cs="宋体" w:eastAsia="宋体" w:hint="default"/>
                <w:spacing w:val="-4"/>
                <w:sz w:val="18"/>
                <w:szCs w:val="18"/>
              </w:rPr>
              <w:t>任何形式的担保；在双方的关联交易上，严格遵循市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场原则，尽量避免不必要的关联交易发生，对持续经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营所发生的必要的关联交易，应以双方协议规定的方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式进行处理，遵循市场化的定价原则，避免损害高伟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达软件股份有限公司及广大中小股东权益的情况发 生。</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截止本报告期 末，承诺人严 格信守承诺， 未出现违反承 诺的情况</w:t>
            </w:r>
          </w:p>
        </w:tc>
      </w:tr>
      <w:tr>
        <w:trPr>
          <w:trHeight w:val="3795"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2" w:right="51"/>
              <w:jc w:val="left"/>
              <w:rPr>
                <w:rFonts w:ascii="宋体" w:hAnsi="宋体" w:cs="宋体" w:eastAsia="宋体" w:hint="default"/>
                <w:sz w:val="18"/>
                <w:szCs w:val="18"/>
              </w:rPr>
            </w:pPr>
            <w:r>
              <w:rPr>
                <w:rFonts w:ascii="宋体" w:hAnsi="宋体" w:cs="宋体" w:eastAsia="宋体" w:hint="default"/>
                <w:sz w:val="18"/>
                <w:szCs w:val="18"/>
              </w:rPr>
              <w:t>本公司控股股东鹰高 投资</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16" w:lineRule="auto"/>
              <w:ind w:left="24" w:right="182"/>
              <w:jc w:val="both"/>
              <w:rPr>
                <w:rFonts w:ascii="宋体" w:hAnsi="宋体" w:cs="宋体" w:eastAsia="宋体" w:hint="default"/>
                <w:sz w:val="18"/>
                <w:szCs w:val="18"/>
              </w:rPr>
            </w:pPr>
            <w:r>
              <w:rPr>
                <w:rFonts w:ascii="宋体" w:hAnsi="宋体" w:cs="宋体" w:eastAsia="宋体" w:hint="default"/>
                <w:sz w:val="18"/>
                <w:szCs w:val="18"/>
              </w:rPr>
              <w:t>避 免 同 业 竞 争 的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49"/>
              <w:ind w:left="2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、如拟出售本企业与公司生产、经营相关的任何其 </w:t>
            </w:r>
            <w:r>
              <w:rPr>
                <w:rFonts w:ascii="宋体" w:hAnsi="宋体" w:cs="宋体" w:eastAsia="宋体" w:hint="default"/>
                <w:spacing w:val="-4"/>
                <w:sz w:val="18"/>
                <w:szCs w:val="18"/>
              </w:rPr>
              <w:t>它资产、业务或权益，公司均有优先购买的权利；本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企业将尽最大努力使有关交易的价格公平合理，且该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等交易价格按与独立第三方进行正常商业交易的交 易价格为基础确定。</w:t>
            </w:r>
            <w:r>
              <w:rPr>
                <w:rFonts w:ascii="Times New Roman" w:hAnsi="Times New Roman" w:cs="Times New Roman" w:eastAsia="Times New Roman" w:hint="default"/>
                <w:sz w:val="18"/>
                <w:szCs w:val="18"/>
              </w:rPr>
              <w:t>2</w:t>
            </w:r>
            <w:r>
              <w:rPr>
                <w:rFonts w:ascii="宋体" w:hAnsi="宋体" w:cs="宋体" w:eastAsia="宋体" w:hint="default"/>
                <w:sz w:val="18"/>
                <w:szCs w:val="18"/>
              </w:rPr>
              <w:t>、本企业目前没有在中国境内 </w:t>
            </w:r>
            <w:r>
              <w:rPr>
                <w:rFonts w:ascii="宋体" w:hAnsi="宋体" w:cs="宋体" w:eastAsia="宋体" w:hint="default"/>
                <w:spacing w:val="-4"/>
                <w:sz w:val="18"/>
                <w:szCs w:val="18"/>
              </w:rPr>
              <w:t>任何地方或中国境外，直接或间接发展、经营或协助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经营或参与与公司业务存在竞争的任何活动，亦没有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在任何与公司业务有直接或间接竞争的公司或企业 </w:t>
            </w:r>
            <w:r>
              <w:rPr>
                <w:rFonts w:ascii="宋体" w:hAnsi="宋体" w:cs="宋体" w:eastAsia="宋体" w:hint="default"/>
                <w:spacing w:val="-8"/>
                <w:sz w:val="18"/>
                <w:szCs w:val="18"/>
              </w:rPr>
              <w:t>拥有任何权益（不论直接或间接）。</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、本企业保证及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承诺除非经公司书面同意，不会直接或间接发展、经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营或协助经营或参与或从事与公司业务相竞争的任 何活动。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、本企业将依法律、法规及公司的规定向</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截止本报告期 末，承诺人严 格信守承诺， 未出现违反承 诺的情况</w:t>
            </w:r>
          </w:p>
        </w:tc>
      </w:tr>
    </w:tbl>
    <w:p>
      <w:pPr>
        <w:spacing w:after="0" w:line="316" w:lineRule="auto"/>
        <w:jc w:val="both"/>
        <w:rPr>
          <w:rFonts w:ascii="宋体" w:hAnsi="宋体" w:cs="宋体" w:eastAsia="宋体" w:hint="default"/>
          <w:sz w:val="18"/>
          <w:szCs w:val="18"/>
        </w:rPr>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r>
        <w:rPr/>
        <w:pict>
          <v:shape style="position:absolute;margin-left:400.843994pt;margin-top:168.62999pt;width:50.95pt;height:202.85pt;mso-position-horizontal-relative:page;mso-position-vertical-relative:page;z-index:-10287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送股、</w:t>
                  </w:r>
                </w:p>
              </w:txbxContent>
            </v:textbox>
            <w10:wrap type="none"/>
          </v:shape>
        </w:pict>
      </w:r>
      <w:r>
        <w:rPr/>
        <w:pict>
          <v:group style="position:absolute;margin-left:424.98999pt;margin-top:168.62999pt;width:26.8pt;height:220.5pt;mso-position-horizontal-relative:page;mso-position-vertical-relative:page;z-index:-1028680" coordorigin="8500,3373" coordsize="536,4410">
            <v:group style="position:absolute;left:8500;top:3373;width:536;height:4057" coordorigin="8500,3373" coordsize="536,4057">
              <v:shape style="position:absolute;left:8500;top:3373;width:536;height:4057" coordorigin="8500,3373" coordsize="536,4057" path="m8500,7429l9035,7429,9035,3373,8500,3373,8500,7429xe" filled="true" fillcolor="#ffffff" stroked="false">
                <v:path arrowok="t"/>
                <v:fill type="solid"/>
              </v:shape>
            </v:group>
            <v:group style="position:absolute;left:8524;top:7429;width:488;height:353" coordorigin="8524,7429" coordsize="488,353">
              <v:shape style="position:absolute;left:8524;top:7429;width:488;height:353" coordorigin="8524,7429" coordsize="488,353" path="m8524,7782l9011,7782,9011,7429,8524,7429,8524,778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136"/>
        <w:gridCol w:w="1706"/>
        <w:gridCol w:w="398"/>
        <w:gridCol w:w="4121"/>
        <w:gridCol w:w="544"/>
        <w:gridCol w:w="584"/>
        <w:gridCol w:w="1178"/>
      </w:tblGrid>
      <w:tr>
        <w:trPr>
          <w:trHeight w:val="315" w:hRule="exact"/>
        </w:trPr>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706" w:type="dxa"/>
            <w:vMerge w:val="restart"/>
            <w:tcBorders>
              <w:top w:val="single" w:sz="4" w:space="0" w:color="000000"/>
              <w:left w:val="single" w:sz="4" w:space="0" w:color="000000"/>
              <w:right w:val="single" w:sz="4" w:space="0" w:color="000000"/>
            </w:tcBorders>
            <w:shd w:val="clear" w:color="auto" w:fill="CCE8CF"/>
          </w:tcPr>
          <w:p>
            <w:pPr/>
          </w:p>
        </w:tc>
        <w:tc>
          <w:tcPr>
            <w:tcW w:w="398" w:type="dxa"/>
            <w:vMerge w:val="restart"/>
            <w:tcBorders>
              <w:top w:val="single" w:sz="4" w:space="0" w:color="000000"/>
              <w:left w:val="single" w:sz="4" w:space="0" w:color="000000"/>
              <w:right w:val="single" w:sz="4" w:space="0" w:color="000000"/>
            </w:tcBorders>
            <w:shd w:val="clear" w:color="auto" w:fill="CCE8CF"/>
          </w:tcPr>
          <w:p>
            <w:pPr/>
          </w:p>
        </w:tc>
        <w:tc>
          <w:tcPr>
            <w:tcW w:w="4121"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公司及有关机构或部门及时披露与公司业务构成竞</w:t>
            </w:r>
          </w:p>
        </w:tc>
        <w:tc>
          <w:tcPr>
            <w:tcW w:w="54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shd w:val="clear" w:color="auto" w:fill="CCE8CF"/>
          </w:tcPr>
          <w:p>
            <w:pPr/>
          </w:p>
        </w:tc>
        <w:tc>
          <w:tcPr>
            <w:tcW w:w="1178" w:type="dxa"/>
            <w:vMerge w:val="restart"/>
            <w:tcBorders>
              <w:top w:val="single" w:sz="4" w:space="0" w:color="000000"/>
              <w:left w:val="single" w:sz="4" w:space="0" w:color="000000"/>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vMerge/>
            <w:tcBorders>
              <w:left w:val="single" w:sz="4" w:space="0" w:color="000000"/>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争或可能构成竞争的任何业务或权益的详情</w:t>
            </w:r>
            <w:r>
              <w:rPr>
                <w:rFonts w:ascii="宋体" w:hAnsi="宋体" w:cs="宋体" w:eastAsia="宋体" w:hint="default"/>
                <w:spacing w:val="-77"/>
                <w:sz w:val="18"/>
                <w:szCs w:val="18"/>
              </w:rPr>
              <w:t>，</w:t>
            </w:r>
            <w:r>
              <w:rPr>
                <w:rFonts w:ascii="宋体" w:hAnsi="宋体" w:cs="宋体" w:eastAsia="宋体" w:hint="default"/>
                <w:sz w:val="18"/>
                <w:szCs w:val="18"/>
              </w:rPr>
              <w:t>直至本</w:t>
            </w:r>
          </w:p>
        </w:tc>
        <w:tc>
          <w:tcPr>
            <w:tcW w:w="54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shd w:val="clear" w:color="auto" w:fill="CCE8CF"/>
          </w:tcPr>
          <w:p>
            <w:pPr/>
          </w:p>
        </w:tc>
        <w:tc>
          <w:tcPr>
            <w:tcW w:w="1178" w:type="dxa"/>
            <w:vMerge/>
            <w:tcBorders>
              <w:left w:val="single" w:sz="4" w:space="0" w:color="000000"/>
              <w:right w:val="single" w:sz="4" w:space="0" w:color="000000"/>
            </w:tcBorders>
            <w:shd w:val="clear" w:color="auto" w:fill="CCE8CF"/>
          </w:tcPr>
          <w:p>
            <w:pPr/>
          </w:p>
        </w:tc>
      </w:tr>
      <w:tr>
        <w:trPr>
          <w:trHeight w:val="317" w:hRule="exact"/>
        </w:trPr>
        <w:tc>
          <w:tcPr>
            <w:tcW w:w="1136" w:type="dxa"/>
            <w:vMerge/>
            <w:tcBorders>
              <w:left w:val="single" w:sz="4" w:space="0" w:color="000000"/>
              <w:right w:val="single" w:sz="4" w:space="0" w:color="000000"/>
            </w:tcBorders>
            <w:shd w:val="clear" w:color="auto" w:fill="D2D2D2"/>
          </w:tcPr>
          <w:p>
            <w:pPr/>
          </w:p>
        </w:tc>
        <w:tc>
          <w:tcPr>
            <w:tcW w:w="1706" w:type="dxa"/>
            <w:vMerge/>
            <w:tcBorders>
              <w:left w:val="single" w:sz="4" w:space="0" w:color="000000"/>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企业不再作为公司股东为止。</w:t>
            </w:r>
            <w:r>
              <w:rPr>
                <w:rFonts w:ascii="Times New Roman" w:hAnsi="Times New Roman" w:cs="Times New Roman" w:eastAsia="Times New Roman" w:hint="default"/>
                <w:sz w:val="18"/>
                <w:szCs w:val="18"/>
              </w:rPr>
              <w:t>5</w:t>
            </w:r>
            <w:r>
              <w:rPr>
                <w:rFonts w:ascii="宋体" w:hAnsi="宋体" w:cs="宋体" w:eastAsia="宋体" w:hint="default"/>
                <w:sz w:val="18"/>
                <w:szCs w:val="18"/>
              </w:rPr>
              <w:t>、本企业将不会利用</w:t>
            </w:r>
          </w:p>
        </w:tc>
        <w:tc>
          <w:tcPr>
            <w:tcW w:w="54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shd w:val="clear" w:color="auto" w:fill="CCE8CF"/>
          </w:tcPr>
          <w:p>
            <w:pPr/>
          </w:p>
        </w:tc>
        <w:tc>
          <w:tcPr>
            <w:tcW w:w="1178" w:type="dxa"/>
            <w:vMerge/>
            <w:tcBorders>
              <w:left w:val="single" w:sz="4" w:space="0" w:color="000000"/>
              <w:right w:val="single" w:sz="4" w:space="0" w:color="000000"/>
            </w:tcBorders>
            <w:shd w:val="clear" w:color="auto" w:fill="CCE8CF"/>
          </w:tcPr>
          <w:p>
            <w:pPr/>
          </w:p>
        </w:tc>
      </w:tr>
      <w:tr>
        <w:trPr>
          <w:trHeight w:val="307" w:hRule="exact"/>
        </w:trPr>
        <w:tc>
          <w:tcPr>
            <w:tcW w:w="1136" w:type="dxa"/>
            <w:vMerge/>
            <w:tcBorders>
              <w:left w:val="single" w:sz="4" w:space="0" w:color="000000"/>
              <w:right w:val="single" w:sz="4" w:space="0" w:color="000000"/>
            </w:tcBorders>
            <w:shd w:val="clear" w:color="auto" w:fill="D2D2D2"/>
          </w:tcPr>
          <w:p>
            <w:pPr/>
          </w:p>
        </w:tc>
        <w:tc>
          <w:tcPr>
            <w:tcW w:w="1706" w:type="dxa"/>
            <w:vMerge/>
            <w:tcBorders>
              <w:left w:val="single" w:sz="4" w:space="0" w:color="000000"/>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公司股东的身份进行损害公司及其它股东利益的经</w:t>
            </w:r>
          </w:p>
        </w:tc>
        <w:tc>
          <w:tcPr>
            <w:tcW w:w="54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shd w:val="clear" w:color="auto" w:fill="CCE8CF"/>
          </w:tcPr>
          <w:p>
            <w:pPr/>
          </w:p>
        </w:tc>
        <w:tc>
          <w:tcPr>
            <w:tcW w:w="1178" w:type="dxa"/>
            <w:vMerge/>
            <w:tcBorders>
              <w:left w:val="single" w:sz="4" w:space="0" w:color="000000"/>
              <w:right w:val="single" w:sz="4" w:space="0" w:color="000000"/>
            </w:tcBorders>
            <w:shd w:val="clear" w:color="auto" w:fill="CCE8CF"/>
          </w:tcPr>
          <w:p>
            <w:pPr/>
          </w:p>
        </w:tc>
      </w:tr>
      <w:tr>
        <w:trPr>
          <w:trHeight w:val="317" w:hRule="exact"/>
        </w:trPr>
        <w:tc>
          <w:tcPr>
            <w:tcW w:w="1136" w:type="dxa"/>
            <w:vMerge/>
            <w:tcBorders>
              <w:left w:val="single" w:sz="4" w:space="0" w:color="000000"/>
              <w:right w:val="single" w:sz="4" w:space="0" w:color="000000"/>
            </w:tcBorders>
            <w:shd w:val="clear" w:color="auto" w:fill="D2D2D2"/>
          </w:tcPr>
          <w:p>
            <w:pPr/>
          </w:p>
        </w:tc>
        <w:tc>
          <w:tcPr>
            <w:tcW w:w="1706" w:type="dxa"/>
            <w:vMerge/>
            <w:tcBorders>
              <w:left w:val="single" w:sz="4" w:space="0" w:color="000000"/>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营活动。</w:t>
            </w:r>
            <w:r>
              <w:rPr>
                <w:rFonts w:ascii="Times New Roman" w:hAnsi="Times New Roman" w:cs="Times New Roman" w:eastAsia="Times New Roman" w:hint="default"/>
                <w:sz w:val="18"/>
                <w:szCs w:val="18"/>
              </w:rPr>
              <w:t>6</w:t>
            </w:r>
            <w:r>
              <w:rPr>
                <w:rFonts w:ascii="宋体" w:hAnsi="宋体" w:cs="宋体" w:eastAsia="宋体" w:hint="default"/>
                <w:sz w:val="18"/>
                <w:szCs w:val="18"/>
              </w:rPr>
              <w:t>、本企业愿意承担因违反上述承诺而给公</w:t>
            </w:r>
          </w:p>
        </w:tc>
        <w:tc>
          <w:tcPr>
            <w:tcW w:w="54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shd w:val="clear" w:color="auto" w:fill="CCE8CF"/>
          </w:tcPr>
          <w:p>
            <w:pPr/>
          </w:p>
        </w:tc>
        <w:tc>
          <w:tcPr>
            <w:tcW w:w="1178" w:type="dxa"/>
            <w:vMerge/>
            <w:tcBorders>
              <w:left w:val="single" w:sz="4" w:space="0" w:color="000000"/>
              <w:right w:val="single" w:sz="4" w:space="0" w:color="000000"/>
            </w:tcBorders>
            <w:shd w:val="clear" w:color="auto" w:fill="CCE8CF"/>
          </w:tcPr>
          <w:p>
            <w:pPr/>
          </w:p>
        </w:tc>
      </w:tr>
      <w:tr>
        <w:trPr>
          <w:trHeight w:val="355" w:hRule="exact"/>
        </w:trPr>
        <w:tc>
          <w:tcPr>
            <w:tcW w:w="1136" w:type="dxa"/>
            <w:vMerge/>
            <w:tcBorders>
              <w:left w:val="single" w:sz="4" w:space="0" w:color="000000"/>
              <w:right w:val="single" w:sz="4" w:space="0" w:color="000000"/>
            </w:tcBorders>
            <w:shd w:val="clear" w:color="auto" w:fill="D2D2D2"/>
          </w:tcPr>
          <w:p>
            <w:pPr/>
          </w:p>
        </w:tc>
        <w:tc>
          <w:tcPr>
            <w:tcW w:w="1706" w:type="dxa"/>
            <w:vMerge/>
            <w:tcBorders>
              <w:left w:val="single" w:sz="4" w:space="0" w:color="000000"/>
              <w:bottom w:val="single" w:sz="4" w:space="0" w:color="000000"/>
              <w:right w:val="single" w:sz="4" w:space="0" w:color="000000"/>
            </w:tcBorders>
            <w:shd w:val="clear" w:color="auto" w:fill="CCE8CF"/>
          </w:tcPr>
          <w:p>
            <w:pPr/>
          </w:p>
        </w:tc>
        <w:tc>
          <w:tcPr>
            <w:tcW w:w="398" w:type="dxa"/>
            <w:vMerge/>
            <w:tcBorders>
              <w:left w:val="single" w:sz="4" w:space="0" w:color="000000"/>
              <w:bottom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司造成的全部经济损失。</w:t>
            </w:r>
          </w:p>
        </w:tc>
        <w:tc>
          <w:tcPr>
            <w:tcW w:w="54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shd w:val="clear" w:color="auto" w:fill="CCE8CF"/>
          </w:tcPr>
          <w:p>
            <w:pPr/>
          </w:p>
        </w:tc>
        <w:tc>
          <w:tcPr>
            <w:tcW w:w="1178" w:type="dxa"/>
            <w:vMerge/>
            <w:tcBorders>
              <w:left w:val="single" w:sz="4" w:space="0" w:color="000000"/>
              <w:bottom w:val="single" w:sz="4" w:space="0" w:color="000000"/>
              <w:right w:val="single" w:sz="4" w:space="0" w:color="000000"/>
            </w:tcBorders>
            <w:shd w:val="clear" w:color="auto" w:fill="CCE8CF"/>
          </w:tcPr>
          <w:p>
            <w:pPr/>
          </w:p>
        </w:tc>
      </w:tr>
      <w:tr>
        <w:trPr>
          <w:trHeight w:val="355" w:hRule="exact"/>
        </w:trPr>
        <w:tc>
          <w:tcPr>
            <w:tcW w:w="1136" w:type="dxa"/>
            <w:vMerge/>
            <w:tcBorders>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nil" w:sz="6" w:space="0" w:color="auto"/>
              <w:right w:val="single" w:sz="4" w:space="0" w:color="000000"/>
            </w:tcBorders>
            <w:shd w:val="clear" w:color="auto" w:fill="CCE8CF"/>
          </w:tcPr>
          <w:p>
            <w:pPr/>
          </w:p>
        </w:tc>
        <w:tc>
          <w:tcPr>
            <w:tcW w:w="398"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4" w:right="182"/>
              <w:jc w:val="both"/>
              <w:rPr>
                <w:rFonts w:ascii="宋体" w:hAnsi="宋体" w:cs="宋体" w:eastAsia="宋体" w:hint="default"/>
                <w:sz w:val="18"/>
                <w:szCs w:val="18"/>
              </w:rPr>
            </w:pPr>
            <w:r>
              <w:rPr>
                <w:rFonts w:ascii="宋体" w:hAnsi="宋体" w:cs="宋体" w:eastAsia="宋体" w:hint="default"/>
                <w:sz w:val="18"/>
                <w:szCs w:val="18"/>
              </w:rPr>
              <w:t>稳 定 股 价 的 承 诺</w:t>
            </w:r>
          </w:p>
        </w:tc>
        <w:tc>
          <w:tcPr>
            <w:tcW w:w="4121"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发行人控股股东鹰高投资承诺</w:t>
            </w:r>
            <w:r>
              <w:rPr>
                <w:rFonts w:ascii="宋体" w:hAnsi="宋体" w:cs="宋体" w:eastAsia="宋体" w:hint="default"/>
                <w:spacing w:val="-77"/>
                <w:sz w:val="18"/>
                <w:szCs w:val="18"/>
              </w:rPr>
              <w:t>，</w:t>
            </w:r>
            <w:r>
              <w:rPr>
                <w:rFonts w:ascii="宋体" w:hAnsi="宋体" w:cs="宋体" w:eastAsia="宋体" w:hint="default"/>
                <w:sz w:val="18"/>
                <w:szCs w:val="18"/>
              </w:rPr>
              <w:t>如果高伟达首次公开</w:t>
            </w:r>
          </w:p>
        </w:tc>
        <w:tc>
          <w:tcPr>
            <w:tcW w:w="544" w:type="dxa"/>
            <w:tcBorders>
              <w:top w:val="single" w:sz="4" w:space="0" w:color="000000"/>
              <w:left w:val="single" w:sz="4" w:space="0" w:color="000000"/>
              <w:bottom w:val="nil" w:sz="6" w:space="0" w:color="auto"/>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shd w:val="clear" w:color="auto" w:fill="CCE8CF"/>
          </w:tcPr>
          <w:p>
            <w:pPr/>
          </w:p>
        </w:tc>
        <w:tc>
          <w:tcPr>
            <w:tcW w:w="1178"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1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发行股票并上市后三年内，股票收盘价格连续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交易日出现低于每股净资</w:t>
            </w:r>
            <w:r>
              <w:rPr>
                <w:rFonts w:ascii="宋体" w:hAnsi="宋体" w:cs="宋体" w:eastAsia="宋体" w:hint="default"/>
                <w:spacing w:val="-77"/>
                <w:sz w:val="18"/>
                <w:szCs w:val="18"/>
              </w:rPr>
              <w:t>产</w:t>
            </w:r>
            <w:r>
              <w:rPr>
                <w:rFonts w:ascii="宋体" w:hAnsi="宋体" w:cs="宋体" w:eastAsia="宋体" w:hint="default"/>
                <w:sz w:val="18"/>
                <w:szCs w:val="18"/>
              </w:rPr>
              <w:t>（指高伟达最近一期经审</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计的每股净资产</w:t>
            </w:r>
            <w:r>
              <w:rPr>
                <w:rFonts w:ascii="宋体" w:hAnsi="宋体" w:cs="宋体" w:eastAsia="宋体" w:hint="default"/>
                <w:spacing w:val="-85"/>
                <w:sz w:val="18"/>
                <w:szCs w:val="18"/>
              </w:rPr>
              <w:t>，</w:t>
            </w:r>
            <w:r>
              <w:rPr>
                <w:rFonts w:ascii="宋体" w:hAnsi="宋体" w:cs="宋体" w:eastAsia="宋体" w:hint="default"/>
                <w:sz w:val="18"/>
                <w:szCs w:val="18"/>
              </w:rPr>
              <w:t>如果高伟达因派发现金红利、</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转增股本、增发新股等原因进行除权、除息的，则相</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关的计算对比方法按照深圳证券交易所的有关规定</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作除权除息处理，下同）的情况时，本公司将启动稳</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定股价预案：当触发前述股价稳定措施的启动条件</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时，本公司应依照法律、法规、规范性文件和公司章</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程的规定</w:t>
            </w:r>
            <w:r>
              <w:rPr>
                <w:rFonts w:ascii="宋体" w:hAnsi="宋体" w:cs="宋体" w:eastAsia="宋体" w:hint="default"/>
                <w:spacing w:val="-77"/>
                <w:sz w:val="18"/>
                <w:szCs w:val="18"/>
              </w:rPr>
              <w:t>，</w:t>
            </w:r>
            <w:r>
              <w:rPr>
                <w:rFonts w:ascii="宋体" w:hAnsi="宋体" w:cs="宋体" w:eastAsia="宋体" w:hint="default"/>
                <w:sz w:val="18"/>
                <w:szCs w:val="18"/>
              </w:rPr>
              <w:t>积极配合并保证高伟达按照要求制定并启</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动稳定股价的预案</w:t>
            </w:r>
            <w:r>
              <w:rPr>
                <w:rFonts w:ascii="宋体" w:hAnsi="宋体" w:cs="宋体" w:eastAsia="宋体" w:hint="default"/>
                <w:spacing w:val="-77"/>
                <w:sz w:val="18"/>
                <w:szCs w:val="18"/>
              </w:rPr>
              <w:t>。</w:t>
            </w:r>
            <w:r>
              <w:rPr>
                <w:rFonts w:ascii="宋体" w:hAnsi="宋体" w:cs="宋体" w:eastAsia="宋体" w:hint="default"/>
                <w:sz w:val="18"/>
                <w:szCs w:val="18"/>
              </w:rPr>
              <w:t>本公司应在不迟于股东大会审议</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通过稳定股价具体方案后的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w:t>
            </w:r>
            <w:r>
              <w:rPr>
                <w:rFonts w:ascii="宋体" w:hAnsi="宋体" w:cs="宋体" w:eastAsia="宋体" w:hint="default"/>
                <w:spacing w:val="-77"/>
                <w:sz w:val="18"/>
                <w:szCs w:val="18"/>
              </w:rPr>
              <w:t>，</w:t>
            </w:r>
            <w:r>
              <w:rPr>
                <w:rFonts w:ascii="宋体" w:hAnsi="宋体" w:cs="宋体" w:eastAsia="宋体" w:hint="default"/>
                <w:sz w:val="18"/>
                <w:szCs w:val="18"/>
              </w:rPr>
              <w:t>根据股东</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186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9" w:lineRule="auto"/>
              <w:ind w:left="22" w:right="51"/>
              <w:jc w:val="left"/>
              <w:rPr>
                <w:rFonts w:ascii="宋体" w:hAnsi="宋体" w:cs="宋体" w:eastAsia="宋体" w:hint="default"/>
                <w:sz w:val="18"/>
                <w:szCs w:val="18"/>
              </w:rPr>
            </w:pPr>
            <w:r>
              <w:rPr>
                <w:rFonts w:ascii="宋体" w:hAnsi="宋体" w:cs="宋体" w:eastAsia="宋体" w:hint="default"/>
                <w:sz w:val="18"/>
                <w:szCs w:val="18"/>
              </w:rPr>
              <w:t>本公司控股股东鹰高 投资</w:t>
            </w: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10" w:space="0" w:color="FFFFFF"/>
            </w:tcBorders>
            <w:shd w:val="clear" w:color="auto" w:fill="CCE8CF"/>
          </w:tcPr>
          <w:p>
            <w:pPr>
              <w:pStyle w:val="TableParagraph"/>
              <w:spacing w:line="314" w:lineRule="auto" w:before="5"/>
              <w:ind w:left="26" w:right="-41"/>
              <w:jc w:val="both"/>
              <w:rPr>
                <w:rFonts w:ascii="宋体" w:hAnsi="宋体" w:cs="宋体" w:eastAsia="宋体" w:hint="default"/>
                <w:sz w:val="18"/>
                <w:szCs w:val="18"/>
              </w:rPr>
            </w:pPr>
            <w:r>
              <w:rPr>
                <w:rFonts w:ascii="宋体" w:hAnsi="宋体" w:cs="宋体" w:eastAsia="宋体" w:hint="default"/>
                <w:spacing w:val="-4"/>
                <w:sz w:val="18"/>
                <w:szCs w:val="18"/>
              </w:rPr>
              <w:t>大会审议通过的稳定股价具体方案，积极采取下述措</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施以稳定高伟达股价，并保证股价稳定措施实施后，</w:t>
            </w:r>
            <w:r>
              <w:rPr>
                <w:rFonts w:ascii="宋体" w:hAnsi="宋体" w:cs="宋体" w:eastAsia="宋体" w:hint="default"/>
                <w:spacing w:val="-22"/>
                <w:sz w:val="18"/>
                <w:szCs w:val="18"/>
              </w:rPr>
              <w:t> </w:t>
            </w:r>
            <w:r>
              <w:rPr>
                <w:rFonts w:ascii="宋体" w:hAnsi="宋体" w:cs="宋体" w:eastAsia="宋体" w:hint="default"/>
                <w:spacing w:val="-7"/>
                <w:sz w:val="18"/>
                <w:szCs w:val="18"/>
              </w:rPr>
              <w:t>高伟达的股权分布仍符合上市条件：（</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）在符合股票</w:t>
            </w:r>
            <w:r>
              <w:rPr>
                <w:rFonts w:ascii="宋体" w:hAnsi="宋体" w:cs="宋体" w:eastAsia="宋体" w:hint="default"/>
                <w:sz w:val="18"/>
                <w:szCs w:val="18"/>
              </w:rPr>
              <w:t> </w:t>
            </w:r>
            <w:r>
              <w:rPr>
                <w:rFonts w:ascii="宋体" w:hAnsi="宋体" w:cs="宋体" w:eastAsia="宋体" w:hint="default"/>
                <w:spacing w:val="-4"/>
                <w:sz w:val="18"/>
                <w:szCs w:val="18"/>
              </w:rPr>
              <w:t>交易相关规定的前提下，按照高伟达关于稳定股价具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体方案中确定的增持金额和期间，通过交易所集中竞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价交易方式增持高伟达股票。购买所增持股票的总金</w:t>
            </w:r>
          </w:p>
        </w:tc>
        <w:tc>
          <w:tcPr>
            <w:tcW w:w="544" w:type="dxa"/>
            <w:tcBorders>
              <w:top w:val="nil" w:sz="6" w:space="0" w:color="auto"/>
              <w:left w:val="single" w:sz="10"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6"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5"/>
              <w:ind w:left="22" w:right="191"/>
              <w:jc w:val="both"/>
              <w:rPr>
                <w:rFonts w:ascii="宋体" w:hAnsi="宋体" w:cs="宋体" w:eastAsia="宋体" w:hint="default"/>
                <w:sz w:val="18"/>
                <w:szCs w:val="18"/>
              </w:rPr>
            </w:pPr>
            <w:r>
              <w:rPr>
                <w:rFonts w:ascii="宋体" w:hAnsi="宋体" w:cs="宋体" w:eastAsia="宋体" w:hint="default"/>
                <w:sz w:val="18"/>
                <w:szCs w:val="18"/>
              </w:rPr>
              <w:t>自上 市之 日起 三十 六个 月</w:t>
            </w: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9" w:lineRule="auto" w:before="161"/>
              <w:ind w:left="23" w:right="62"/>
              <w:jc w:val="both"/>
              <w:rPr>
                <w:rFonts w:ascii="宋体" w:hAnsi="宋体" w:cs="宋体" w:eastAsia="宋体" w:hint="default"/>
                <w:sz w:val="18"/>
                <w:szCs w:val="18"/>
              </w:rPr>
            </w:pPr>
            <w:r>
              <w:rPr>
                <w:rFonts w:ascii="宋体" w:hAnsi="宋体" w:cs="宋体" w:eastAsia="宋体" w:hint="default"/>
                <w:sz w:val="18"/>
                <w:szCs w:val="18"/>
              </w:rPr>
              <w:t>截止本报告期 末，承诺人严 格信守承诺， 未出现违反承 诺的情况</w:t>
            </w: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额不低于其上年度初至董事会审议通过稳定股价具</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体方案日期间</w:t>
            </w:r>
            <w:r>
              <w:rPr>
                <w:rFonts w:ascii="宋体" w:hAnsi="宋体" w:cs="宋体" w:eastAsia="宋体" w:hint="default"/>
                <w:spacing w:val="-77"/>
                <w:sz w:val="18"/>
                <w:szCs w:val="18"/>
              </w:rPr>
              <w:t>，</w:t>
            </w:r>
            <w:r>
              <w:rPr>
                <w:rFonts w:ascii="宋体" w:hAnsi="宋体" w:cs="宋体" w:eastAsia="宋体" w:hint="default"/>
                <w:sz w:val="18"/>
                <w:szCs w:val="18"/>
              </w:rPr>
              <w:t>从高伟达直接获取的税后现金分红总</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）除因继承、</w:t>
            </w:r>
            <w:r>
              <w:rPr>
                <w:rFonts w:ascii="宋体" w:hAnsi="宋体" w:cs="宋体" w:eastAsia="宋体" w:hint="default"/>
                <w:spacing w:val="-3"/>
                <w:sz w:val="18"/>
                <w:szCs w:val="18"/>
              </w:rPr>
              <w:t>被</w:t>
            </w:r>
            <w:r>
              <w:rPr>
                <w:rFonts w:ascii="宋体" w:hAnsi="宋体" w:cs="宋体" w:eastAsia="宋体" w:hint="default"/>
                <w:sz w:val="18"/>
                <w:szCs w:val="18"/>
              </w:rPr>
              <w:t>强制执行或上市公司</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重组等情形必须转股或触发前述股价稳定措施的停</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止条件外</w:t>
            </w:r>
            <w:r>
              <w:rPr>
                <w:rFonts w:ascii="宋体" w:hAnsi="宋体" w:cs="宋体" w:eastAsia="宋体" w:hint="default"/>
                <w:spacing w:val="-77"/>
                <w:sz w:val="18"/>
                <w:szCs w:val="18"/>
              </w:rPr>
              <w:t>，</w:t>
            </w:r>
            <w:r>
              <w:rPr>
                <w:rFonts w:ascii="宋体" w:hAnsi="宋体" w:cs="宋体" w:eastAsia="宋体" w:hint="default"/>
                <w:sz w:val="18"/>
                <w:szCs w:val="18"/>
              </w:rPr>
              <w:t>在股东大会审议稳定股价具体方案及方案</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实施期间，不转让其持有的高伟达股份。除经股东大</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会非关联股东同意外，不由高伟达回购其持有的股</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11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20"/>
                <w:sz w:val="18"/>
                <w:szCs w:val="18"/>
              </w:rPr>
              <w:t>）</w:t>
            </w:r>
            <w:r>
              <w:rPr>
                <w:rFonts w:ascii="宋体" w:hAnsi="宋体" w:cs="宋体" w:eastAsia="宋体" w:hint="default"/>
                <w:sz w:val="18"/>
                <w:szCs w:val="18"/>
              </w:rPr>
              <w:t>法律</w:t>
            </w:r>
            <w:r>
              <w:rPr>
                <w:rFonts w:ascii="宋体" w:hAnsi="宋体" w:cs="宋体" w:eastAsia="宋体" w:hint="default"/>
                <w:spacing w:val="-20"/>
                <w:sz w:val="18"/>
                <w:szCs w:val="18"/>
              </w:rPr>
              <w:t>、</w:t>
            </w:r>
            <w:r>
              <w:rPr>
                <w:rFonts w:ascii="宋体" w:hAnsi="宋体" w:cs="宋体" w:eastAsia="宋体" w:hint="default"/>
                <w:sz w:val="18"/>
                <w:szCs w:val="18"/>
              </w:rPr>
              <w:t>行政法规</w:t>
            </w:r>
            <w:r>
              <w:rPr>
                <w:rFonts w:ascii="宋体" w:hAnsi="宋体" w:cs="宋体" w:eastAsia="宋体" w:hint="default"/>
                <w:spacing w:val="-20"/>
                <w:sz w:val="18"/>
                <w:szCs w:val="18"/>
              </w:rPr>
              <w:t>、</w:t>
            </w:r>
            <w:r>
              <w:rPr>
                <w:rFonts w:ascii="宋体" w:hAnsi="宋体" w:cs="宋体" w:eastAsia="宋体" w:hint="default"/>
                <w:sz w:val="18"/>
                <w:szCs w:val="18"/>
              </w:rPr>
              <w:t>规范性文件规定以及中国</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证监会认可的其他方式</w:t>
            </w:r>
            <w:r>
              <w:rPr>
                <w:rFonts w:ascii="宋体" w:hAnsi="宋体" w:cs="宋体" w:eastAsia="宋体" w:hint="default"/>
                <w:spacing w:val="-77"/>
                <w:sz w:val="18"/>
                <w:szCs w:val="18"/>
              </w:rPr>
              <w:t>。</w:t>
            </w:r>
            <w:r>
              <w:rPr>
                <w:rFonts w:ascii="宋体" w:hAnsi="宋体" w:cs="宋体" w:eastAsia="宋体" w:hint="default"/>
                <w:sz w:val="18"/>
                <w:szCs w:val="18"/>
              </w:rPr>
              <w:t>触发前述股价稳定措施的启</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动条件时本公司不因在股东大会审议稳定股价具体</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方案及方案实施期间内不再作为控股股东等情形而</w:t>
            </w:r>
          </w:p>
        </w:tc>
        <w:tc>
          <w:tcPr>
            <w:tcW w:w="544" w:type="dxa"/>
            <w:tcBorders>
              <w:top w:val="nil" w:sz="6" w:space="0" w:color="auto"/>
              <w:left w:val="single" w:sz="4" w:space="0" w:color="000000"/>
              <w:bottom w:val="nil" w:sz="6" w:space="0" w:color="auto"/>
              <w:right w:val="single" w:sz="4" w:space="0" w:color="000000"/>
            </w:tcBorders>
          </w:tcPr>
          <w:p>
            <w:pPr/>
          </w:p>
        </w:tc>
        <w:tc>
          <w:tcPr>
            <w:tcW w:w="584" w:type="dxa"/>
            <w:tcBorders>
              <w:top w:val="nil" w:sz="6" w:space="0" w:color="auto"/>
              <w:left w:val="single" w:sz="4" w:space="0" w:color="000000"/>
              <w:bottom w:val="nil" w:sz="6" w:space="0" w:color="auto"/>
              <w:right w:val="single" w:sz="4" w:space="0" w:color="000000"/>
            </w:tcBorders>
            <w:shd w:val="clear" w:color="auto" w:fill="CCE8CF"/>
          </w:tcPr>
          <w:p>
            <w:pP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68"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single" w:sz="4" w:space="0" w:color="000000"/>
              <w:right w:val="single" w:sz="4" w:space="0" w:color="000000"/>
            </w:tcBorders>
            <w:shd w:val="clear" w:color="auto" w:fill="CCE8CF"/>
          </w:tcPr>
          <w:p>
            <w:pPr/>
          </w:p>
        </w:tc>
        <w:tc>
          <w:tcPr>
            <w:tcW w:w="398" w:type="dxa"/>
            <w:vMerge/>
            <w:tcBorders>
              <w:left w:val="single" w:sz="4" w:space="0" w:color="000000"/>
              <w:bottom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拒绝实施上述稳定股价的措施。</w:t>
            </w:r>
          </w:p>
        </w:tc>
        <w:tc>
          <w:tcPr>
            <w:tcW w:w="544" w:type="dxa"/>
            <w:tcBorders>
              <w:top w:val="nil" w:sz="6" w:space="0" w:color="auto"/>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shd w:val="clear" w:color="auto" w:fill="CCE8CF"/>
          </w:tcPr>
          <w:p>
            <w:pPr/>
          </w:p>
        </w:tc>
        <w:tc>
          <w:tcPr>
            <w:tcW w:w="1178"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360" w:hRule="exact"/>
        </w:trPr>
        <w:tc>
          <w:tcPr>
            <w:tcW w:w="1136" w:type="dxa"/>
            <w:vMerge/>
            <w:tcBorders>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nil" w:sz="6" w:space="0" w:color="auto"/>
              <w:right w:val="single" w:sz="4" w:space="0" w:color="000000"/>
            </w:tcBorders>
            <w:shd w:val="clear" w:color="auto" w:fill="CCE8CF"/>
          </w:tcPr>
          <w:p>
            <w:pPr/>
          </w:p>
        </w:tc>
        <w:tc>
          <w:tcPr>
            <w:tcW w:w="398"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38"/>
              <w:ind w:left="24" w:right="182"/>
              <w:jc w:val="both"/>
              <w:rPr>
                <w:rFonts w:ascii="宋体" w:hAnsi="宋体" w:cs="宋体" w:eastAsia="宋体" w:hint="default"/>
                <w:sz w:val="18"/>
                <w:szCs w:val="18"/>
              </w:rPr>
            </w:pPr>
            <w:r>
              <w:rPr>
                <w:rFonts w:ascii="宋体" w:hAnsi="宋体" w:cs="宋体" w:eastAsia="宋体" w:hint="default"/>
                <w:sz w:val="18"/>
                <w:szCs w:val="18"/>
              </w:rPr>
              <w:t>股 份 减 持 的 承 诺</w:t>
            </w:r>
          </w:p>
        </w:tc>
        <w:tc>
          <w:tcPr>
            <w:tcW w:w="4121"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9"/>
              <w:ind w:left="26"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、本机构所持有的公司股份具体减持计划为</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p>
        </w:tc>
        <w:tc>
          <w:tcPr>
            <w:tcW w:w="544" w:type="dxa"/>
            <w:tcBorders>
              <w:top w:val="single" w:sz="4" w:space="0" w:color="000000"/>
              <w:left w:val="single" w:sz="4" w:space="0" w:color="000000"/>
              <w:bottom w:val="nil" w:sz="6" w:space="0" w:color="auto"/>
              <w:right w:val="single" w:sz="4" w:space="0" w:color="000000"/>
            </w:tcBorders>
          </w:tcPr>
          <w:p>
            <w:pPr/>
          </w:p>
        </w:tc>
        <w:tc>
          <w:tcPr>
            <w:tcW w:w="584" w:type="dxa"/>
            <w:tcBorders>
              <w:top w:val="single" w:sz="4" w:space="0" w:color="000000"/>
              <w:left w:val="single" w:sz="4" w:space="0" w:color="000000"/>
              <w:bottom w:val="nil" w:sz="6" w:space="0" w:color="auto"/>
              <w:right w:val="single" w:sz="4" w:space="0" w:color="000000"/>
            </w:tcBorders>
            <w:shd w:val="clear" w:color="auto" w:fill="CCE8CF"/>
          </w:tcPr>
          <w:p>
            <w:pPr/>
          </w:p>
        </w:tc>
        <w:tc>
          <w:tcPr>
            <w:tcW w:w="1178"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38"/>
              <w:ind w:left="23" w:right="0"/>
              <w:jc w:val="left"/>
              <w:rPr>
                <w:rFonts w:ascii="宋体" w:hAnsi="宋体" w:cs="宋体" w:eastAsia="宋体" w:hint="default"/>
                <w:sz w:val="18"/>
                <w:szCs w:val="18"/>
              </w:rPr>
            </w:pPr>
            <w:r>
              <w:rPr>
                <w:rFonts w:ascii="宋体" w:hAnsi="宋体" w:cs="宋体" w:eastAsia="宋体" w:hint="default"/>
                <w:sz w:val="18"/>
                <w:szCs w:val="18"/>
              </w:rPr>
              <w:t>截止本报告期</w:t>
            </w:r>
          </w:p>
        </w:tc>
      </w:tr>
      <w:tr>
        <w:trPr>
          <w:trHeight w:val="1554" w:hRule="exact"/>
        </w:trPr>
        <w:tc>
          <w:tcPr>
            <w:tcW w:w="1136" w:type="dxa"/>
            <w:vMerge/>
            <w:tcBorders>
              <w:left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00" w:lineRule="auto"/>
              <w:ind w:left="22" w:right="125"/>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 银联科技</w:t>
            </w:r>
          </w:p>
        </w:tc>
        <w:tc>
          <w:tcPr>
            <w:tcW w:w="398" w:type="dxa"/>
            <w:vMerge/>
            <w:tcBorders>
              <w:left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00" w:lineRule="auto" w:before="14"/>
              <w:ind w:left="26" w:right="19"/>
              <w:jc w:val="left"/>
              <w:rPr>
                <w:rFonts w:ascii="宋体" w:hAnsi="宋体" w:cs="宋体" w:eastAsia="宋体" w:hint="default"/>
                <w:sz w:val="18"/>
                <w:szCs w:val="18"/>
              </w:rPr>
            </w:pPr>
            <w:r>
              <w:rPr>
                <w:rFonts w:ascii="宋体" w:hAnsi="宋体" w:cs="宋体" w:eastAsia="宋体" w:hint="default"/>
                <w:sz w:val="18"/>
                <w:szCs w:val="18"/>
              </w:rPr>
              <w:t>在所持有公司股份锁定期满后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个月内，累计减持 股份总数不超过本机构持股数量的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，减持价格 </w:t>
            </w:r>
            <w:r>
              <w:rPr>
                <w:rFonts w:ascii="宋体" w:hAnsi="宋体" w:cs="宋体" w:eastAsia="宋体" w:hint="default"/>
                <w:spacing w:val="-7"/>
                <w:sz w:val="18"/>
                <w:szCs w:val="18"/>
              </w:rPr>
              <w:t>不低于最近一期经审计的每股净资产；（</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）在所持公</w:t>
            </w:r>
            <w:r>
              <w:rPr>
                <w:rFonts w:ascii="宋体" w:hAnsi="宋体" w:cs="宋体" w:eastAsia="宋体" w:hint="default"/>
                <w:sz w:val="18"/>
                <w:szCs w:val="18"/>
              </w:rPr>
              <w:t> 司股份锁定期满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13-24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个月内，本机构减持数量不受</w:t>
            </w:r>
            <w:r>
              <w:rPr>
                <w:rFonts w:ascii="宋体" w:hAnsi="宋体" w:cs="宋体" w:eastAsia="宋体" w:hint="default"/>
                <w:sz w:val="18"/>
                <w:szCs w:val="18"/>
              </w:rPr>
              <w:t> 限制，减持价格不低于最近一期经审计的每股净资</w:t>
            </w:r>
          </w:p>
        </w:tc>
        <w:tc>
          <w:tcPr>
            <w:tcW w:w="54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7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9" w:lineRule="auto"/>
              <w:ind w:left="23" w:right="62"/>
              <w:jc w:val="left"/>
              <w:rPr>
                <w:rFonts w:ascii="宋体" w:hAnsi="宋体" w:cs="宋体" w:eastAsia="宋体" w:hint="default"/>
                <w:sz w:val="18"/>
                <w:szCs w:val="18"/>
              </w:rPr>
            </w:pPr>
            <w:r>
              <w:rPr>
                <w:rFonts w:ascii="宋体" w:hAnsi="宋体" w:cs="宋体" w:eastAsia="宋体" w:hint="default"/>
                <w:sz w:val="18"/>
                <w:szCs w:val="18"/>
              </w:rPr>
              <w:t>末，银联科技 严格信守承 诺，未出现违 反承诺的情 况；贵昌有限</w:t>
            </w:r>
          </w:p>
        </w:tc>
      </w:tr>
      <w:tr>
        <w:trPr>
          <w:trHeight w:val="350"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706" w:type="dxa"/>
            <w:tcBorders>
              <w:top w:val="nil" w:sz="6" w:space="0" w:color="auto"/>
              <w:left w:val="single" w:sz="4" w:space="0" w:color="000000"/>
              <w:bottom w:val="single" w:sz="4" w:space="0" w:color="000000"/>
              <w:right w:val="single" w:sz="4" w:space="0" w:color="000000"/>
            </w:tcBorders>
            <w:shd w:val="clear" w:color="auto" w:fill="CCE8CF"/>
          </w:tcPr>
          <w:p>
            <w:pPr/>
          </w:p>
        </w:tc>
        <w:tc>
          <w:tcPr>
            <w:tcW w:w="398" w:type="dxa"/>
            <w:vMerge/>
            <w:tcBorders>
              <w:left w:val="single" w:sz="4" w:space="0" w:color="000000"/>
              <w:bottom w:val="single" w:sz="4" w:space="0" w:color="000000"/>
              <w:right w:val="single" w:sz="4" w:space="0" w:color="000000"/>
            </w:tcBorders>
            <w:shd w:val="clear" w:color="auto" w:fill="CCE8CF"/>
          </w:tcPr>
          <w:p>
            <w:pPr/>
          </w:p>
        </w:tc>
        <w:tc>
          <w:tcPr>
            <w:tcW w:w="4121"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）在所持公司股份锁定期满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个月后，本机</w:t>
            </w:r>
          </w:p>
        </w:tc>
        <w:tc>
          <w:tcPr>
            <w:tcW w:w="544" w:type="dxa"/>
            <w:tcBorders>
              <w:top w:val="nil" w:sz="6" w:space="0" w:color="auto"/>
              <w:left w:val="single" w:sz="4" w:space="0" w:color="000000"/>
              <w:bottom w:val="single" w:sz="4" w:space="0" w:color="000000"/>
              <w:right w:val="single" w:sz="4" w:space="0" w:color="000000"/>
            </w:tcBorders>
          </w:tcPr>
          <w:p>
            <w:pPr/>
          </w:p>
        </w:tc>
        <w:tc>
          <w:tcPr>
            <w:tcW w:w="584" w:type="dxa"/>
            <w:tcBorders>
              <w:top w:val="nil" w:sz="6" w:space="0" w:color="auto"/>
              <w:left w:val="single" w:sz="4" w:space="0" w:color="000000"/>
              <w:bottom w:val="single" w:sz="4" w:space="0" w:color="000000"/>
              <w:right w:val="single" w:sz="4" w:space="0" w:color="000000"/>
            </w:tcBorders>
            <w:shd w:val="clear" w:color="auto" w:fill="CCE8CF"/>
          </w:tcPr>
          <w:p>
            <w:pPr/>
          </w:p>
        </w:tc>
        <w:tc>
          <w:tcPr>
            <w:tcW w:w="1178"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6"/>
        <w:gridCol w:w="1706"/>
        <w:gridCol w:w="398"/>
        <w:gridCol w:w="4121"/>
        <w:gridCol w:w="544"/>
        <w:gridCol w:w="584"/>
        <w:gridCol w:w="1181"/>
      </w:tblGrid>
      <w:tr>
        <w:trPr>
          <w:trHeight w:val="3795" w:hRule="exact"/>
        </w:trPr>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8"/>
              <w:ind w:left="26" w:right="19"/>
              <w:jc w:val="left"/>
              <w:rPr>
                <w:rFonts w:ascii="宋体" w:hAnsi="宋体" w:cs="宋体" w:eastAsia="宋体" w:hint="default"/>
                <w:sz w:val="18"/>
                <w:szCs w:val="18"/>
              </w:rPr>
            </w:pPr>
            <w:r>
              <w:rPr>
                <w:rFonts w:ascii="宋体" w:hAnsi="宋体" w:cs="宋体" w:eastAsia="宋体" w:hint="default"/>
                <w:sz w:val="18"/>
                <w:szCs w:val="18"/>
              </w:rPr>
              <w:t>构减持数量和价格均不受限制。</w:t>
            </w:r>
            <w:r>
              <w:rPr>
                <w:rFonts w:ascii="Times New Roman" w:hAnsi="Times New Roman" w:cs="Times New Roman" w:eastAsia="Times New Roman" w:hint="default"/>
                <w:sz w:val="18"/>
                <w:szCs w:val="18"/>
              </w:rPr>
              <w:t>2</w:t>
            </w:r>
            <w:r>
              <w:rPr>
                <w:rFonts w:ascii="宋体" w:hAnsi="宋体" w:cs="宋体" w:eastAsia="宋体" w:hint="default"/>
                <w:sz w:val="18"/>
                <w:szCs w:val="18"/>
              </w:rPr>
              <w:t>、本机构减持公司 </w:t>
            </w:r>
            <w:r>
              <w:rPr>
                <w:rFonts w:ascii="宋体" w:hAnsi="宋体" w:cs="宋体" w:eastAsia="宋体" w:hint="default"/>
                <w:spacing w:val="-4"/>
                <w:sz w:val="18"/>
                <w:szCs w:val="18"/>
              </w:rPr>
              <w:t>股份应符合相关法律、法规、规章的规定，具体方式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包括但不限于交易所集中竞价交易方式、大宗交易方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式、协议转让方式等。</w:t>
            </w:r>
            <w:r>
              <w:rPr>
                <w:rFonts w:ascii="Times New Roman" w:hAnsi="Times New Roman" w:cs="Times New Roman" w:eastAsia="Times New Roman" w:hint="default"/>
                <w:sz w:val="18"/>
                <w:szCs w:val="18"/>
              </w:rPr>
              <w:t>3</w:t>
            </w:r>
            <w:r>
              <w:rPr>
                <w:rFonts w:ascii="宋体" w:hAnsi="宋体" w:cs="宋体" w:eastAsia="宋体" w:hint="default"/>
                <w:sz w:val="18"/>
                <w:szCs w:val="18"/>
              </w:rPr>
              <w:t>、本机构减持公司股份前， </w:t>
            </w:r>
            <w:r>
              <w:rPr>
                <w:rFonts w:ascii="宋体" w:hAnsi="宋体" w:cs="宋体" w:eastAsia="宋体" w:hint="default"/>
                <w:spacing w:val="-4"/>
                <w:sz w:val="18"/>
                <w:szCs w:val="18"/>
              </w:rPr>
              <w:t>应提前三个交易日予以公告，并按照证券交易所的规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则及时、准确地履行信息披露义务；本机构持有公司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股份低于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以下时除外。</w:t>
            </w:r>
            <w:r>
              <w:rPr>
                <w:rFonts w:ascii="Times New Roman" w:hAnsi="Times New Roman" w:cs="Times New Roman" w:eastAsia="Times New Roman" w:hint="default"/>
                <w:sz w:val="18"/>
                <w:szCs w:val="18"/>
              </w:rPr>
              <w:t>4</w:t>
            </w:r>
            <w:r>
              <w:rPr>
                <w:rFonts w:ascii="宋体" w:hAnsi="宋体" w:cs="宋体" w:eastAsia="宋体" w:hint="default"/>
                <w:sz w:val="18"/>
                <w:szCs w:val="18"/>
              </w:rPr>
              <w:t>、如果本机构未履行上 </w:t>
            </w:r>
            <w:r>
              <w:rPr>
                <w:rFonts w:ascii="宋体" w:hAnsi="宋体" w:cs="宋体" w:eastAsia="宋体" w:hint="default"/>
                <w:spacing w:val="-4"/>
                <w:sz w:val="18"/>
                <w:szCs w:val="18"/>
              </w:rPr>
              <w:t>述减持意向，本机构将在股东大会及中国证监会指定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的披露媒体上公开说明未履行承诺的具体原因并向 公司股东和社会公众投资者道歉。</w:t>
            </w:r>
            <w:r>
              <w:rPr>
                <w:rFonts w:ascii="Times New Roman" w:hAnsi="Times New Roman" w:cs="Times New Roman" w:eastAsia="Times New Roman" w:hint="default"/>
                <w:sz w:val="18"/>
                <w:szCs w:val="18"/>
              </w:rPr>
              <w:t>5</w:t>
            </w:r>
            <w:r>
              <w:rPr>
                <w:rFonts w:ascii="宋体" w:hAnsi="宋体" w:cs="宋体" w:eastAsia="宋体" w:hint="default"/>
                <w:sz w:val="18"/>
                <w:szCs w:val="18"/>
              </w:rPr>
              <w:t>、如果本机构未 </w:t>
            </w:r>
            <w:r>
              <w:rPr>
                <w:rFonts w:ascii="宋体" w:hAnsi="宋体" w:cs="宋体" w:eastAsia="宋体" w:hint="default"/>
                <w:spacing w:val="-4"/>
                <w:sz w:val="18"/>
                <w:szCs w:val="18"/>
              </w:rPr>
              <w:t>履行上述减持意向，本机构持有的公司股份自本机构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未履行上述减持意向之日起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个月内不得减持。</w:t>
            </w:r>
          </w:p>
        </w:tc>
        <w:tc>
          <w:tcPr>
            <w:tcW w:w="54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5705" w:hRule="exact"/>
        </w:trPr>
        <w:tc>
          <w:tcPr>
            <w:tcW w:w="1136" w:type="dxa"/>
            <w:vMerge/>
            <w:tcBorders>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00" w:lineRule="auto"/>
              <w:ind w:left="22" w:right="125"/>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 银联科技</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82"/>
              <w:jc w:val="both"/>
              <w:rPr>
                <w:rFonts w:ascii="宋体" w:hAnsi="宋体" w:cs="宋体" w:eastAsia="宋体" w:hint="default"/>
                <w:sz w:val="18"/>
                <w:szCs w:val="18"/>
              </w:rPr>
            </w:pPr>
            <w:r>
              <w:rPr>
                <w:rFonts w:ascii="宋体" w:hAnsi="宋体" w:cs="宋体" w:eastAsia="宋体" w:hint="default"/>
                <w:sz w:val="18"/>
                <w:szCs w:val="18"/>
              </w:rPr>
              <w:t>避 免 同 业 竞 争 的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49"/>
              <w:ind w:left="2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、如拟出售本企业与公司生产、经营相关的任何其 </w:t>
            </w:r>
            <w:r>
              <w:rPr>
                <w:rFonts w:ascii="宋体" w:hAnsi="宋体" w:cs="宋体" w:eastAsia="宋体" w:hint="default"/>
                <w:spacing w:val="-4"/>
                <w:sz w:val="18"/>
                <w:szCs w:val="18"/>
              </w:rPr>
              <w:t>它资产、业务或权益，公司均有优先购买的权利；本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企业将尽最大努力使有关交易的价格公平合理，且该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等交易价格按与独立第三方进行正常商业交易的交 易价格为基础确定。</w:t>
            </w:r>
            <w:r>
              <w:rPr>
                <w:rFonts w:ascii="Times New Roman" w:hAnsi="Times New Roman" w:cs="Times New Roman" w:eastAsia="Times New Roman" w:hint="default"/>
                <w:sz w:val="18"/>
                <w:szCs w:val="18"/>
              </w:rPr>
              <w:t>2</w:t>
            </w:r>
            <w:r>
              <w:rPr>
                <w:rFonts w:ascii="宋体" w:hAnsi="宋体" w:cs="宋体" w:eastAsia="宋体" w:hint="default"/>
                <w:sz w:val="18"/>
                <w:szCs w:val="18"/>
              </w:rPr>
              <w:t>、本企业目前没有在中国境内 </w:t>
            </w:r>
            <w:r>
              <w:rPr>
                <w:rFonts w:ascii="宋体" w:hAnsi="宋体" w:cs="宋体" w:eastAsia="宋体" w:hint="default"/>
                <w:spacing w:val="-4"/>
                <w:sz w:val="18"/>
                <w:szCs w:val="18"/>
              </w:rPr>
              <w:t>任何地方或中国境外，直接或间接发展、经营或协助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经营或参与与公司业务存在竞争的任何活动，亦没有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在任何与公司业务有直接或间接竞争的公司或企业 </w:t>
            </w:r>
            <w:r>
              <w:rPr>
                <w:rFonts w:ascii="宋体" w:hAnsi="宋体" w:cs="宋体" w:eastAsia="宋体" w:hint="default"/>
                <w:spacing w:val="-8"/>
                <w:sz w:val="18"/>
                <w:szCs w:val="18"/>
              </w:rPr>
              <w:t>拥有任何权益（不论直接或间接）。</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、本企业保证及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承诺除非经公司书面同意，不会直接或间接发展、经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营或协助经营或参与或从事与公司业务相竞争的任 何活动。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、本企业将依法律、法规及公司的规定向 公司及有关机构或部门及时披露与公司业务构成竞 </w:t>
            </w:r>
            <w:r>
              <w:rPr>
                <w:rFonts w:ascii="宋体" w:hAnsi="宋体" w:cs="宋体" w:eastAsia="宋体" w:hint="default"/>
                <w:spacing w:val="-4"/>
                <w:sz w:val="18"/>
                <w:szCs w:val="18"/>
              </w:rPr>
              <w:t>争或可能构成竞争的任何业务或权益的详情，直至本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企业不再作为公司股东为止。</w:t>
            </w:r>
            <w:r>
              <w:rPr>
                <w:rFonts w:ascii="Times New Roman" w:hAnsi="Times New Roman" w:cs="Times New Roman" w:eastAsia="Times New Roman" w:hint="default"/>
                <w:sz w:val="18"/>
                <w:szCs w:val="18"/>
              </w:rPr>
              <w:t>5</w:t>
            </w:r>
            <w:r>
              <w:rPr>
                <w:rFonts w:ascii="宋体" w:hAnsi="宋体" w:cs="宋体" w:eastAsia="宋体" w:hint="default"/>
                <w:sz w:val="18"/>
                <w:szCs w:val="18"/>
              </w:rPr>
              <w:t>、本企业将不会利用 公司股东的身份进行损害公司及其它股东利益的经 营活动。</w:t>
            </w:r>
            <w:r>
              <w:rPr>
                <w:rFonts w:ascii="Times New Roman" w:hAnsi="Times New Roman" w:cs="Times New Roman" w:eastAsia="Times New Roman" w:hint="default"/>
                <w:sz w:val="18"/>
                <w:szCs w:val="18"/>
              </w:rPr>
              <w:t>6</w:t>
            </w:r>
            <w:r>
              <w:rPr>
                <w:rFonts w:ascii="宋体" w:hAnsi="宋体" w:cs="宋体" w:eastAsia="宋体" w:hint="default"/>
                <w:sz w:val="18"/>
                <w:szCs w:val="18"/>
              </w:rPr>
              <w:t>、本企业愿意承担因违反上述承诺而给公 司造成的全部经济损失。</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65"/>
              <w:jc w:val="left"/>
              <w:rPr>
                <w:rFonts w:ascii="宋体" w:hAnsi="宋体" w:cs="宋体" w:eastAsia="宋体" w:hint="default"/>
                <w:sz w:val="18"/>
                <w:szCs w:val="18"/>
              </w:rPr>
            </w:pPr>
            <w:r>
              <w:rPr>
                <w:rFonts w:ascii="宋体" w:hAnsi="宋体" w:cs="宋体" w:eastAsia="宋体" w:hint="default"/>
                <w:sz w:val="18"/>
                <w:szCs w:val="18"/>
              </w:rPr>
              <w:t>截止本报告期 末，银联科技 严格信守承 诺，未出现违 反承诺的情 况；贵昌有限 已履行完毕</w:t>
            </w:r>
          </w:p>
        </w:tc>
      </w:tr>
      <w:tr>
        <w:trPr>
          <w:trHeight w:val="2276" w:hRule="exact"/>
        </w:trPr>
        <w:tc>
          <w:tcPr>
            <w:tcW w:w="1136" w:type="dxa"/>
            <w:vMerge/>
            <w:tcBorders>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华鹰投资、锐鹰投资</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4" w:right="182"/>
              <w:jc w:val="both"/>
              <w:rPr>
                <w:rFonts w:ascii="宋体" w:hAnsi="宋体" w:cs="宋体" w:eastAsia="宋体" w:hint="default"/>
                <w:sz w:val="18"/>
                <w:szCs w:val="18"/>
              </w:rPr>
            </w:pPr>
            <w:r>
              <w:rPr>
                <w:rFonts w:ascii="宋体" w:hAnsi="宋体" w:cs="宋体" w:eastAsia="宋体" w:hint="default"/>
                <w:sz w:val="18"/>
                <w:szCs w:val="18"/>
              </w:rPr>
              <w:t>股 份 限 售 的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6" w:right="19"/>
              <w:jc w:val="both"/>
              <w:rPr>
                <w:rFonts w:ascii="宋体" w:hAnsi="宋体" w:cs="宋体" w:eastAsia="宋体" w:hint="default"/>
                <w:sz w:val="18"/>
                <w:szCs w:val="18"/>
              </w:rPr>
            </w:pPr>
            <w:r>
              <w:rPr>
                <w:rFonts w:ascii="宋体" w:hAnsi="宋体" w:cs="宋体" w:eastAsia="宋体" w:hint="default"/>
                <w:spacing w:val="-4"/>
                <w:sz w:val="18"/>
                <w:szCs w:val="18"/>
              </w:rPr>
              <w:t>自高伟达股票上市之日起三十六个月内，不转让或委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托他人管理其已持有的本公司股份，也不由本公司回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购该部分股份。</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00" w:lineRule="auto"/>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65"/>
              <w:jc w:val="both"/>
              <w:rPr>
                <w:rFonts w:ascii="宋体" w:hAnsi="宋体" w:cs="宋体" w:eastAsia="宋体" w:hint="default"/>
                <w:sz w:val="18"/>
                <w:szCs w:val="18"/>
              </w:rPr>
            </w:pPr>
            <w:r>
              <w:rPr>
                <w:rFonts w:ascii="宋体" w:hAnsi="宋体" w:cs="宋体" w:eastAsia="宋体" w:hint="default"/>
                <w:sz w:val="18"/>
                <w:szCs w:val="18"/>
              </w:rPr>
              <w:t>截止本报告期 末，所有承诺 人严格信守承 诺，未出现违 反承诺的情况</w:t>
            </w:r>
          </w:p>
        </w:tc>
      </w:tr>
      <w:tr>
        <w:trPr>
          <w:trHeight w:val="1923"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2" w:right="51"/>
              <w:jc w:val="both"/>
              <w:rPr>
                <w:rFonts w:ascii="宋体" w:hAnsi="宋体" w:cs="宋体" w:eastAsia="宋体" w:hint="default"/>
                <w:sz w:val="18"/>
                <w:szCs w:val="18"/>
              </w:rPr>
            </w:pPr>
            <w:r>
              <w:rPr>
                <w:rFonts w:ascii="宋体" w:hAnsi="宋体" w:cs="宋体" w:eastAsia="宋体" w:hint="default"/>
                <w:sz w:val="18"/>
                <w:szCs w:val="18"/>
              </w:rPr>
              <w:t>本公司董事、监事、 高级管理人员且为鹰 高投资、华鹰投资、 锐鹰投资股东的相关 人员</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182"/>
              <w:jc w:val="both"/>
              <w:rPr>
                <w:rFonts w:ascii="宋体" w:hAnsi="宋体" w:cs="宋体" w:eastAsia="宋体" w:hint="default"/>
                <w:sz w:val="18"/>
                <w:szCs w:val="18"/>
              </w:rPr>
            </w:pPr>
            <w:r>
              <w:rPr>
                <w:rFonts w:ascii="宋体" w:hAnsi="宋体" w:cs="宋体" w:eastAsia="宋体" w:hint="default"/>
                <w:sz w:val="18"/>
                <w:szCs w:val="18"/>
              </w:rPr>
              <w:t>股 份 限 售 的 承</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6" w:right="19"/>
              <w:jc w:val="left"/>
              <w:rPr>
                <w:rFonts w:ascii="宋体" w:hAnsi="宋体" w:cs="宋体" w:eastAsia="宋体" w:hint="default"/>
                <w:sz w:val="18"/>
                <w:szCs w:val="18"/>
              </w:rPr>
            </w:pPr>
            <w:r>
              <w:rPr>
                <w:rFonts w:ascii="宋体" w:hAnsi="宋体" w:cs="宋体" w:eastAsia="宋体" w:hint="default"/>
                <w:spacing w:val="-4"/>
                <w:sz w:val="18"/>
                <w:szCs w:val="18"/>
              </w:rPr>
              <w:t>自本公司股票上市之日起三十六个月内，不转让或委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托他人管理其通过鹰高投资、华鹰投资、锐鹰投资间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接持有的本公司股份，也不由本公司回购该部分股 份。</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97" w:lineRule="auto"/>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截止本报告期 末，所有承诺 人严格信守承 诺，未出现违 反承诺的情况</w:t>
            </w:r>
          </w:p>
        </w:tc>
      </w:tr>
    </w:tbl>
    <w:p>
      <w:pPr>
        <w:spacing w:after="0" w:line="316" w:lineRule="auto"/>
        <w:jc w:val="both"/>
        <w:rPr>
          <w:rFonts w:ascii="宋体" w:hAnsi="宋体" w:cs="宋体" w:eastAsia="宋体" w:hint="default"/>
          <w:sz w:val="18"/>
          <w:szCs w:val="18"/>
        </w:rPr>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r>
        <w:rPr/>
        <w:pict>
          <v:group style="position:absolute;margin-left:424.98999pt;margin-top:250.609985pt;width:26.8pt;height:93.6pt;mso-position-horizontal-relative:page;mso-position-vertical-relative:page;z-index:-1028656" coordorigin="8500,5012" coordsize="536,1872">
            <v:shape style="position:absolute;left:8500;top:5012;width:536;height:1872" coordorigin="8500,5012" coordsize="536,1872" path="m8500,6884l9035,6884,9035,5012,8500,5012,8500,688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136"/>
        <w:gridCol w:w="1706"/>
        <w:gridCol w:w="398"/>
        <w:gridCol w:w="4121"/>
        <w:gridCol w:w="544"/>
        <w:gridCol w:w="584"/>
        <w:gridCol w:w="1181"/>
      </w:tblGrid>
      <w:tr>
        <w:trPr>
          <w:trHeight w:val="363" w:hRule="exact"/>
        </w:trPr>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5081" w:hRule="exact"/>
        </w:trPr>
        <w:tc>
          <w:tcPr>
            <w:tcW w:w="1136" w:type="dxa"/>
            <w:vMerge/>
            <w:tcBorders>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2" w:lineRule="auto"/>
              <w:ind w:left="22" w:right="21"/>
              <w:jc w:val="both"/>
              <w:rPr>
                <w:rFonts w:ascii="宋体" w:hAnsi="宋体" w:cs="宋体" w:eastAsia="宋体" w:hint="default"/>
                <w:sz w:val="18"/>
                <w:szCs w:val="18"/>
              </w:rPr>
            </w:pPr>
            <w:r>
              <w:rPr>
                <w:rFonts w:ascii="宋体" w:hAnsi="宋体" w:cs="宋体" w:eastAsia="宋体" w:hint="default"/>
                <w:sz w:val="18"/>
                <w:szCs w:val="18"/>
              </w:rPr>
              <w:t>本公司董事、监事、 高级管理人员于伟、 </w:t>
            </w:r>
            <w:r>
              <w:rPr>
                <w:rFonts w:ascii="宋体" w:hAnsi="宋体" w:cs="宋体" w:eastAsia="宋体" w:hint="default"/>
                <w:spacing w:val="-3"/>
                <w:sz w:val="18"/>
                <w:szCs w:val="18"/>
              </w:rPr>
              <w:t>张小玲、</w:t>
            </w:r>
            <w:r>
              <w:rPr>
                <w:rFonts w:ascii="Times New Roman" w:hAnsi="Times New Roman" w:cs="Times New Roman" w:eastAsia="Times New Roman" w:hint="default"/>
                <w:spacing w:val="-3"/>
                <w:sz w:val="18"/>
                <w:szCs w:val="18"/>
              </w:rPr>
              <w:t>Kwong </w:t>
            </w:r>
            <w:r>
              <w:rPr>
                <w:rFonts w:ascii="Times New Roman" w:hAnsi="Times New Roman" w:cs="Times New Roman" w:eastAsia="Times New Roman" w:hint="default"/>
                <w:spacing w:val="-5"/>
                <w:sz w:val="18"/>
                <w:szCs w:val="18"/>
              </w:rPr>
              <w:t>Yong</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9"/>
                <w:w w:val="99"/>
                <w:sz w:val="18"/>
                <w:szCs w:val="18"/>
              </w:rPr>
              <w:t>Sin</w:t>
            </w:r>
            <w:r>
              <w:rPr>
                <w:rFonts w:ascii="宋体" w:hAnsi="宋体" w:cs="宋体" w:eastAsia="宋体" w:hint="default"/>
                <w:spacing w:val="-9"/>
                <w:w w:val="99"/>
                <w:sz w:val="18"/>
                <w:szCs w:val="18"/>
              </w:rPr>
              <w:t>（关银星）、张文</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利、孙文、赵永莉、 程军、李勇、孙颖、 武京双</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4" w:right="182"/>
              <w:jc w:val="both"/>
              <w:rPr>
                <w:rFonts w:ascii="宋体" w:hAnsi="宋体" w:cs="宋体" w:eastAsia="宋体" w:hint="default"/>
                <w:sz w:val="18"/>
                <w:szCs w:val="18"/>
              </w:rPr>
            </w:pPr>
            <w:r>
              <w:rPr>
                <w:rFonts w:ascii="宋体" w:hAnsi="宋体" w:cs="宋体" w:eastAsia="宋体" w:hint="default"/>
                <w:sz w:val="18"/>
                <w:szCs w:val="18"/>
              </w:rPr>
              <w:t>股 份 减 持 的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4"/>
                <w:sz w:val="18"/>
                <w:szCs w:val="18"/>
              </w:rPr>
              <w:t>前述锁定期限届满后，在任职期间每年转让的股份不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超过其间接所持股份总数的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 </w:t>
            </w:r>
            <w:r>
              <w:rPr>
                <w:rFonts w:ascii="宋体" w:hAnsi="宋体" w:cs="宋体" w:eastAsia="宋体" w:hint="default"/>
                <w:spacing w:val="-4"/>
                <w:sz w:val="18"/>
                <w:szCs w:val="18"/>
              </w:rPr>
              <w:t>转让其间接所持有的公司股份。如果其在本公司首次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公开发行股票上市之日起六个月内申报离职的，自申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报离职之日起十八个月内不转让其间接持有的本公 </w:t>
            </w:r>
            <w:r>
              <w:rPr>
                <w:rFonts w:ascii="宋体" w:hAnsi="宋体" w:cs="宋体" w:eastAsia="宋体" w:hint="default"/>
                <w:spacing w:val="-4"/>
                <w:sz w:val="18"/>
                <w:szCs w:val="18"/>
              </w:rPr>
              <w:t>司股份；在首次公开发行股票上市之日起第七个月至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第十二个月之间申报离职的，自申报离职之日起十二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个月内不转让其间接持有的公司股份。因本公司进行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权益分派等导致其间接持有的本公司股份发生变化 </w:t>
            </w:r>
            <w:r>
              <w:rPr>
                <w:rFonts w:ascii="宋体" w:hAnsi="宋体" w:cs="宋体" w:eastAsia="宋体" w:hint="default"/>
                <w:spacing w:val="-4"/>
                <w:sz w:val="18"/>
                <w:szCs w:val="18"/>
              </w:rPr>
              <w:t>的，仍遵守上述承诺。本人所持公司股票在锁定期满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后两年内减持的，减持价格不低于发行价。公司上市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个月内如公司股票连续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w:t>
            </w:r>
          </w:p>
          <w:p>
            <w:pPr>
              <w:pStyle w:val="TableParagraph"/>
              <w:spacing w:line="248" w:lineRule="exact"/>
              <w:ind w:left="26" w:right="0"/>
              <w:jc w:val="left"/>
              <w:rPr>
                <w:rFonts w:ascii="宋体" w:hAnsi="宋体" w:cs="宋体" w:eastAsia="宋体" w:hint="default"/>
                <w:sz w:val="18"/>
                <w:szCs w:val="18"/>
              </w:rPr>
            </w:pPr>
            <w:r>
              <w:rPr>
                <w:rFonts w:ascii="宋体" w:hAnsi="宋体" w:cs="宋体" w:eastAsia="宋体" w:hint="default"/>
                <w:sz w:val="18"/>
                <w:szCs w:val="18"/>
              </w:rPr>
              <w:t>低于发行价</w:t>
            </w:r>
            <w:r>
              <w:rPr>
                <w:rFonts w:ascii="宋体" w:hAnsi="宋体" w:cs="宋体" w:eastAsia="宋体" w:hint="default"/>
                <w:spacing w:val="-77"/>
                <w:sz w:val="18"/>
                <w:szCs w:val="18"/>
              </w:rPr>
              <w:t>，</w:t>
            </w:r>
            <w:r>
              <w:rPr>
                <w:rFonts w:ascii="宋体" w:hAnsi="宋体" w:cs="宋体" w:eastAsia="宋体" w:hint="default"/>
                <w:sz w:val="18"/>
                <w:szCs w:val="18"/>
              </w:rPr>
              <w:t>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3"/>
                <w:sz w:val="18"/>
                <w:szCs w:val="18"/>
              </w:rPr>
              <w:t>月</w:t>
            </w:r>
            <w:r>
              <w:rPr>
                <w:rFonts w:ascii="宋体" w:hAnsi="宋体" w:cs="宋体" w:eastAsia="宋体" w:hint="default"/>
                <w:sz w:val="18"/>
                <w:szCs w:val="18"/>
              </w:rPr>
              <w:t>期末收盘价低于发行</w:t>
            </w:r>
          </w:p>
          <w:p>
            <w:pPr>
              <w:pStyle w:val="TableParagraph"/>
              <w:spacing w:line="309" w:lineRule="auto" w:before="63"/>
              <w:ind w:left="26" w:right="20"/>
              <w:jc w:val="left"/>
              <w:rPr>
                <w:rFonts w:ascii="宋体" w:hAnsi="宋体" w:cs="宋体" w:eastAsia="宋体" w:hint="default"/>
                <w:sz w:val="18"/>
                <w:szCs w:val="18"/>
              </w:rPr>
            </w:pPr>
            <w:r>
              <w:rPr>
                <w:rFonts w:ascii="宋体" w:hAnsi="宋体" w:cs="宋体" w:eastAsia="宋体" w:hint="default"/>
                <w:sz w:val="18"/>
                <w:szCs w:val="18"/>
              </w:rPr>
              <w:t>价，本人持有公司股票的锁定期限自动延长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4"/>
                <w:sz w:val="18"/>
                <w:szCs w:val="18"/>
              </w:rPr>
              <w:t>上述减持价格和股份锁定承诺不因本人职务变更、离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职等原因放弃履行承诺。</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23" w:right="65"/>
              <w:jc w:val="both"/>
              <w:rPr>
                <w:rFonts w:ascii="宋体" w:hAnsi="宋体" w:cs="宋体" w:eastAsia="宋体" w:hint="default"/>
                <w:sz w:val="18"/>
                <w:szCs w:val="18"/>
              </w:rPr>
            </w:pPr>
            <w:r>
              <w:rPr>
                <w:rFonts w:ascii="宋体" w:hAnsi="宋体" w:cs="宋体" w:eastAsia="宋体" w:hint="default"/>
                <w:sz w:val="18"/>
                <w:szCs w:val="18"/>
              </w:rPr>
              <w:t>截止本报告期 末，所有承诺 人严格信守承 诺，未出现违 反承诺的情况</w:t>
            </w:r>
          </w:p>
        </w:tc>
      </w:tr>
      <w:tr>
        <w:trPr>
          <w:trHeight w:val="2900" w:hRule="exact"/>
        </w:trPr>
        <w:tc>
          <w:tcPr>
            <w:tcW w:w="1136" w:type="dxa"/>
            <w:vMerge/>
            <w:tcBorders>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51"/>
              <w:jc w:val="both"/>
              <w:rPr>
                <w:rFonts w:ascii="宋体" w:hAnsi="宋体" w:cs="宋体" w:eastAsia="宋体" w:hint="default"/>
                <w:sz w:val="18"/>
                <w:szCs w:val="18"/>
              </w:rPr>
            </w:pPr>
            <w:r>
              <w:rPr>
                <w:rFonts w:ascii="宋体" w:hAnsi="宋体" w:cs="宋体" w:eastAsia="宋体" w:hint="default"/>
                <w:sz w:val="18"/>
                <w:szCs w:val="18"/>
              </w:rPr>
              <w:t>鹰潭市鹰高投资咨询 有限公司、余江县泰 和睿思技术服务中心</w:t>
            </w:r>
          </w:p>
          <w:p>
            <w:pPr>
              <w:pStyle w:val="TableParagraph"/>
              <w:spacing w:line="240" w:lineRule="auto" w:before="17"/>
              <w:ind w:left="22"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82"/>
              <w:jc w:val="both"/>
              <w:rPr>
                <w:rFonts w:ascii="宋体" w:hAnsi="宋体" w:cs="宋体" w:eastAsia="宋体" w:hint="default"/>
                <w:sz w:val="18"/>
                <w:szCs w:val="18"/>
              </w:rPr>
            </w:pPr>
            <w:r>
              <w:rPr>
                <w:rFonts w:ascii="宋体" w:hAnsi="宋体" w:cs="宋体" w:eastAsia="宋体" w:hint="default"/>
                <w:sz w:val="18"/>
                <w:szCs w:val="18"/>
              </w:rPr>
              <w:t>股 份 限 售 的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20"/>
              <w:jc w:val="left"/>
              <w:rPr>
                <w:rFonts w:ascii="宋体" w:hAnsi="宋体" w:cs="宋体" w:eastAsia="宋体" w:hint="default"/>
                <w:sz w:val="18"/>
                <w:szCs w:val="18"/>
              </w:rPr>
            </w:pPr>
            <w:r>
              <w:rPr>
                <w:rFonts w:ascii="宋体" w:hAnsi="宋体" w:cs="宋体" w:eastAsia="宋体" w:hint="default"/>
                <w:spacing w:val="-4"/>
                <w:sz w:val="18"/>
                <w:szCs w:val="18"/>
              </w:rPr>
              <w:t>承诺人本次认购的上市公司股份，自标的股份发行结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束之日起三十六个月内不得转让。</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91"/>
              <w:jc w:val="both"/>
              <w:rPr>
                <w:rFonts w:ascii="宋体" w:hAnsi="宋体" w:cs="宋体" w:eastAsia="宋体" w:hint="default"/>
                <w:sz w:val="18"/>
                <w:szCs w:val="18"/>
              </w:rPr>
            </w:pPr>
            <w:r>
              <w:rPr>
                <w:rFonts w:ascii="宋体" w:hAnsi="宋体" w:cs="宋体" w:eastAsia="宋体" w:hint="default"/>
                <w:sz w:val="18"/>
                <w:szCs w:val="18"/>
              </w:rPr>
              <w:t>自标 的股 份发 行结 束之 日起 三十 六个 月内</w:t>
            </w: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65"/>
              <w:jc w:val="both"/>
              <w:rPr>
                <w:rFonts w:ascii="宋体" w:hAnsi="宋体" w:cs="宋体" w:eastAsia="宋体" w:hint="default"/>
                <w:sz w:val="18"/>
                <w:szCs w:val="18"/>
              </w:rPr>
            </w:pPr>
            <w:r>
              <w:rPr>
                <w:rFonts w:ascii="宋体" w:hAnsi="宋体" w:cs="宋体" w:eastAsia="宋体" w:hint="default"/>
                <w:sz w:val="18"/>
                <w:szCs w:val="18"/>
              </w:rPr>
              <w:t>截止本报告期 末，所有承诺 人严格信守承 诺，未出现违 反承诺的情况</w:t>
            </w:r>
          </w:p>
        </w:tc>
      </w:tr>
      <w:tr>
        <w:trPr>
          <w:trHeight w:val="5355"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6" w:lineRule="auto"/>
              <w:ind w:left="22" w:right="51"/>
              <w:jc w:val="both"/>
              <w:rPr>
                <w:rFonts w:ascii="宋体" w:hAnsi="宋体" w:cs="宋体" w:eastAsia="宋体" w:hint="default"/>
                <w:sz w:val="18"/>
                <w:szCs w:val="18"/>
              </w:rPr>
            </w:pPr>
            <w:r>
              <w:rPr>
                <w:rFonts w:ascii="宋体" w:hAnsi="宋体" w:cs="宋体" w:eastAsia="宋体" w:hint="default"/>
                <w:sz w:val="18"/>
                <w:szCs w:val="18"/>
              </w:rPr>
              <w:t>鹰潭市鹰高投资咨询 有限公司、余江县泰 和睿思技术服务中心</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4" w:right="182"/>
              <w:jc w:val="both"/>
              <w:rPr>
                <w:rFonts w:ascii="宋体" w:hAnsi="宋体" w:cs="宋体" w:eastAsia="宋体" w:hint="default"/>
                <w:sz w:val="18"/>
                <w:szCs w:val="18"/>
              </w:rPr>
            </w:pPr>
            <w:r>
              <w:rPr>
                <w:rFonts w:ascii="宋体" w:hAnsi="宋体" w:cs="宋体" w:eastAsia="宋体" w:hint="default"/>
                <w:sz w:val="18"/>
                <w:szCs w:val="18"/>
              </w:rPr>
              <w:t>避 免 同 业 竞 争 的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pacing w:val="-4"/>
                <w:sz w:val="18"/>
                <w:szCs w:val="18"/>
              </w:rPr>
              <w:t>承诺人及承诺人下属全资、单独或与他人联合控股或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能够形成实际控制的子公司目前未从事与上市公司 及其各下属全资或控股子公司主营业务存在任何直 </w:t>
            </w:r>
            <w:r>
              <w:rPr>
                <w:rFonts w:ascii="宋体" w:hAnsi="宋体" w:cs="宋体" w:eastAsia="宋体" w:hint="default"/>
                <w:spacing w:val="-4"/>
                <w:sz w:val="18"/>
                <w:szCs w:val="18"/>
              </w:rPr>
              <w:t>接或间接竞争的业务或活动。承诺人承诺不在中国境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内及境外直接或间接从事任何在商业上对上市公司 或其下属全资或控股子公司主营业务构成竞争或可 </w:t>
            </w:r>
            <w:r>
              <w:rPr>
                <w:rFonts w:ascii="宋体" w:hAnsi="宋体" w:cs="宋体" w:eastAsia="宋体" w:hint="default"/>
                <w:spacing w:val="-4"/>
                <w:sz w:val="18"/>
                <w:szCs w:val="18"/>
              </w:rPr>
              <w:t>能构成竞争的业务或活动；承诺人促使承诺人下属其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他全资或控股子公司不在中国境内及境外直接或间 接从事任何在商业上对上市公司或其下属全资或控 股子公司主营业务构成竞争或可能构成竞争的业务 </w:t>
            </w:r>
            <w:r>
              <w:rPr>
                <w:rFonts w:ascii="宋体" w:hAnsi="宋体" w:cs="宋体" w:eastAsia="宋体" w:hint="default"/>
                <w:spacing w:val="-4"/>
                <w:sz w:val="18"/>
                <w:szCs w:val="18"/>
              </w:rPr>
              <w:t>或活动。如因政策调整等不可抗力原因导致承诺人及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承诺人下属全资、单独或与他人联合控股或能够形成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实际控制的子公司将来从事的业务与上市公司或其 下属全资或控股子公司之间的同业竞争可能构成或 </w:t>
            </w:r>
            <w:r>
              <w:rPr>
                <w:rFonts w:ascii="宋体" w:hAnsi="宋体" w:cs="宋体" w:eastAsia="宋体" w:hint="default"/>
                <w:spacing w:val="-4"/>
                <w:sz w:val="18"/>
                <w:szCs w:val="18"/>
              </w:rPr>
              <w:t>不可避免时，则承诺人将在上市公司提出异议后及时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转让或终止上述业务或促使其控制的企业及时转让 </w:t>
            </w:r>
            <w:r>
              <w:rPr>
                <w:rFonts w:ascii="宋体" w:hAnsi="宋体" w:cs="宋体" w:eastAsia="宋体" w:hint="default"/>
                <w:spacing w:val="-4"/>
                <w:sz w:val="18"/>
                <w:szCs w:val="18"/>
              </w:rPr>
              <w:t>或终止上述业务；如上市公司进一步要求受让上述业</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8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截止本报告期 末，所有承诺 人严格信守承 诺，未出现违 反承诺的情况</w:t>
            </w:r>
          </w:p>
        </w:tc>
      </w:tr>
    </w:tbl>
    <w:p>
      <w:pPr>
        <w:spacing w:after="0" w:line="316" w:lineRule="auto"/>
        <w:jc w:val="both"/>
        <w:rPr>
          <w:rFonts w:ascii="宋体" w:hAnsi="宋体" w:cs="宋体" w:eastAsia="宋体" w:hint="default"/>
          <w:sz w:val="18"/>
          <w:szCs w:val="18"/>
        </w:rPr>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r>
        <w:rPr/>
        <w:pict>
          <v:group style="position:absolute;margin-left:424.98999pt;margin-top:106.219986pt;width:26.8pt;height:132.6pt;mso-position-horizontal-relative:page;mso-position-vertical-relative:page;z-index:-1028632" coordorigin="8500,2124" coordsize="536,2652">
            <v:shape style="position:absolute;left:8500;top:2124;width:536;height:2652" coordorigin="8500,2124" coordsize="536,2652" path="m8500,4776l9035,4776,9035,2124,8500,2124,8500,4776xe" filled="true" fillcolor="#ffffff" stroked="false">
              <v:path arrowok="t"/>
              <v:fill type="solid"/>
            </v:shape>
            <w10:wrap type="none"/>
          </v:group>
        </w:pict>
      </w:r>
      <w:r>
        <w:rPr/>
        <w:pict>
          <v:shape style="position:absolute;margin-left:199.009995pt;margin-top:509.709991pt;width:19.543367pt;height:35.25pt;mso-position-horizontal-relative:page;mso-position-vertical-relative:page;z-index:1696" type="#_x0000_t75" stroked="false">
            <v:imagedata r:id="rId13" o:title=""/>
          </v:shape>
        </w:pict>
      </w:r>
    </w:p>
    <w:tbl>
      <w:tblPr>
        <w:tblW w:w="0" w:type="auto"/>
        <w:jc w:val="left"/>
        <w:tblInd w:w="149" w:type="dxa"/>
        <w:tblLayout w:type="fixed"/>
        <w:tblCellMar>
          <w:top w:w="0" w:type="dxa"/>
          <w:left w:w="0" w:type="dxa"/>
          <w:bottom w:w="0" w:type="dxa"/>
          <w:right w:w="0" w:type="dxa"/>
        </w:tblCellMar>
        <w:tblLook w:val="01E0"/>
      </w:tblPr>
      <w:tblGrid>
        <w:gridCol w:w="1136"/>
        <w:gridCol w:w="1706"/>
        <w:gridCol w:w="398"/>
        <w:gridCol w:w="4121"/>
        <w:gridCol w:w="544"/>
        <w:gridCol w:w="584"/>
        <w:gridCol w:w="1178"/>
      </w:tblGrid>
      <w:tr>
        <w:trPr>
          <w:trHeight w:val="675" w:hRule="exact"/>
        </w:trPr>
        <w:tc>
          <w:tcPr>
            <w:tcW w:w="1136" w:type="dxa"/>
            <w:vMerge w:val="restart"/>
            <w:tcBorders>
              <w:top w:val="single" w:sz="4" w:space="0" w:color="000000"/>
              <w:left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8"/>
              <w:ind w:left="26" w:right="20"/>
              <w:jc w:val="left"/>
              <w:rPr>
                <w:rFonts w:ascii="宋体" w:hAnsi="宋体" w:cs="宋体" w:eastAsia="宋体" w:hint="default"/>
                <w:sz w:val="18"/>
                <w:szCs w:val="18"/>
              </w:rPr>
            </w:pPr>
            <w:r>
              <w:rPr>
                <w:rFonts w:ascii="宋体" w:hAnsi="宋体" w:cs="宋体" w:eastAsia="宋体" w:hint="default"/>
                <w:spacing w:val="-4"/>
                <w:sz w:val="18"/>
                <w:szCs w:val="18"/>
              </w:rPr>
              <w:t>务，则在同等条件下承诺人应将上述业务优先转让于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上市公司。</w:t>
            </w:r>
          </w:p>
        </w:tc>
        <w:tc>
          <w:tcPr>
            <w:tcW w:w="54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7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6642"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7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2" w:right="51"/>
              <w:jc w:val="both"/>
              <w:rPr>
                <w:rFonts w:ascii="宋体" w:hAnsi="宋体" w:cs="宋体" w:eastAsia="宋体" w:hint="default"/>
                <w:sz w:val="18"/>
                <w:szCs w:val="18"/>
              </w:rPr>
            </w:pPr>
            <w:r>
              <w:rPr>
                <w:rFonts w:ascii="宋体" w:hAnsi="宋体" w:cs="宋体" w:eastAsia="宋体" w:hint="default"/>
                <w:sz w:val="18"/>
                <w:szCs w:val="18"/>
              </w:rPr>
              <w:t>鹰潭市鹰高投资咨询 有限公司、余江县泰 和睿思技术服务中心</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182"/>
              <w:jc w:val="both"/>
              <w:rPr>
                <w:rFonts w:ascii="宋体" w:hAnsi="宋体" w:cs="宋体" w:eastAsia="宋体" w:hint="default"/>
                <w:sz w:val="18"/>
                <w:szCs w:val="18"/>
              </w:rPr>
            </w:pPr>
            <w:r>
              <w:rPr>
                <w:rFonts w:ascii="宋体" w:hAnsi="宋体" w:cs="宋体" w:eastAsia="宋体" w:hint="default"/>
                <w:sz w:val="18"/>
                <w:szCs w:val="18"/>
              </w:rPr>
              <w:t>减 少 关 联 交 易 的 承 诺</w:t>
            </w: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4"/>
                <w:sz w:val="18"/>
                <w:szCs w:val="18"/>
              </w:rPr>
              <w:t>本次交易前，承诺人及承诺人实际控制企业与上市公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司及其关联方之间不存在关联关系。本次交易完成 </w:t>
            </w:r>
            <w:r>
              <w:rPr>
                <w:rFonts w:ascii="宋体" w:hAnsi="宋体" w:cs="宋体" w:eastAsia="宋体" w:hint="default"/>
                <w:spacing w:val="-4"/>
                <w:sz w:val="18"/>
                <w:szCs w:val="18"/>
              </w:rPr>
              <w:t>后，承诺人及承诺人实际控制企业与上市公司及其子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公司之间将尽量减少关联交易，不会利用自身作为上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市公司股东之地位谋求与上市公司在业务合作等方 </w:t>
            </w:r>
            <w:r>
              <w:rPr>
                <w:rFonts w:ascii="宋体" w:hAnsi="宋体" w:cs="宋体" w:eastAsia="宋体" w:hint="default"/>
                <w:spacing w:val="-4"/>
                <w:sz w:val="18"/>
                <w:szCs w:val="18"/>
              </w:rPr>
              <w:t>面给予优于市场第三方的权利；不会利用自身作为上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市公司股东之地位谋求与上市公司达成交易的优先 权利。对于无法避免或有合理理由存在的关联交易 将与上市公司及其子公司依法签订规范的关联交易 </w:t>
            </w:r>
            <w:r>
              <w:rPr>
                <w:rFonts w:ascii="宋体" w:hAnsi="宋体" w:cs="宋体" w:eastAsia="宋体" w:hint="default"/>
                <w:spacing w:val="-4"/>
                <w:sz w:val="18"/>
                <w:szCs w:val="18"/>
              </w:rPr>
              <w:t>协议，并按照有关法律、法规、规章、其他规范性文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件和公司章程的规定履行批准程序；关联交易价格依</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照与无关联关系的独立第三方进行相同或相似交易 </w:t>
            </w:r>
            <w:r>
              <w:rPr>
                <w:rFonts w:ascii="宋体" w:hAnsi="宋体" w:cs="宋体" w:eastAsia="宋体" w:hint="default"/>
                <w:spacing w:val="-4"/>
                <w:sz w:val="18"/>
                <w:szCs w:val="18"/>
              </w:rPr>
              <w:t>时的价格确定，保证关联交易价格具有公允性；保证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按照有关法律、法规和公司章程的规定履行关联交易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的信息披露义务；保证不通过关联交易损害上市公司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及其他股东的合法权益。承诺人及承诺人实际控制企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业保证将按照法律法规和公司章程的规定参加股东 </w:t>
            </w:r>
            <w:r>
              <w:rPr>
                <w:rFonts w:ascii="宋体" w:hAnsi="宋体" w:cs="宋体" w:eastAsia="宋体" w:hint="default"/>
                <w:spacing w:val="-4"/>
                <w:sz w:val="18"/>
                <w:szCs w:val="18"/>
              </w:rPr>
              <w:t>大会，平等地行使相应权利，承担相应义务，不利用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股东地位谋取不正当利益；在审议涉及承诺人及承诺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人实际控制企业的关联交易时，切实遵守在公司董事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会</w:t>
            </w:r>
            <w:r>
              <w:rPr>
                <w:rFonts w:ascii="Times New Roman" w:hAnsi="Times New Roman" w:cs="Times New Roman" w:eastAsia="Times New Roman" w:hint="default"/>
                <w:sz w:val="18"/>
                <w:szCs w:val="18"/>
              </w:rPr>
              <w:t>/</w:t>
            </w:r>
            <w:r>
              <w:rPr>
                <w:rFonts w:ascii="宋体" w:hAnsi="宋体" w:cs="宋体" w:eastAsia="宋体" w:hint="default"/>
                <w:sz w:val="18"/>
                <w:szCs w:val="18"/>
              </w:rPr>
              <w:t>股东大会上进行关联交易表决时的回避程序。</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截止本报告期 末，所有承诺 人严格信守承 诺，未出现违 反承诺的情况</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706" w:type="dxa"/>
            <w:tcBorders>
              <w:top w:val="single" w:sz="4" w:space="0" w:color="000000"/>
              <w:left w:val="single" w:sz="10" w:space="0" w:color="D2D2D2"/>
              <w:bottom w:val="single" w:sz="4" w:space="0" w:color="000000"/>
              <w:right w:val="single" w:sz="4" w:space="0" w:color="000000"/>
            </w:tcBorders>
            <w:shd w:val="clear" w:color="auto" w:fill="CCE8CF"/>
          </w:tcPr>
          <w:p>
            <w:pP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7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706" w:type="dxa"/>
            <w:tcBorders>
              <w:top w:val="single" w:sz="4" w:space="0" w:color="000000"/>
              <w:left w:val="single" w:sz="10" w:space="0" w:color="D2D2D2"/>
              <w:bottom w:val="single" w:sz="4" w:space="0" w:color="000000"/>
              <w:right w:val="single" w:sz="4" w:space="0" w:color="000000"/>
            </w:tcBorders>
            <w:shd w:val="clear" w:color="auto" w:fill="CCE8CF"/>
          </w:tcPr>
          <w:p>
            <w:pPr/>
          </w:p>
        </w:tc>
        <w:tc>
          <w:tcPr>
            <w:tcW w:w="3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7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61"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706"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39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tc>
        <w:tc>
          <w:tcPr>
            <w:tcW w:w="4121" w:type="dxa"/>
            <w:tcBorders>
              <w:top w:val="single" w:sz="4" w:space="0" w:color="000000"/>
              <w:left w:val="single" w:sz="4" w:space="0" w:color="000000"/>
              <w:bottom w:val="nil" w:sz="6" w:space="0" w:color="auto"/>
              <w:right w:val="single" w:sz="4" w:space="0" w:color="000000"/>
            </w:tcBorders>
            <w:shd w:val="clear" w:color="auto" w:fill="D2D2D2"/>
          </w:tcPr>
          <w:p>
            <w:pPr/>
          </w:p>
        </w:tc>
        <w:tc>
          <w:tcPr>
            <w:tcW w:w="54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136" w:type="dxa"/>
            <w:vMerge/>
            <w:tcBorders>
              <w:left w:val="single" w:sz="4" w:space="0" w:color="000000"/>
              <w:right w:val="single" w:sz="4" w:space="0" w:color="000000"/>
            </w:tcBorders>
            <w:shd w:val="clear" w:color="auto" w:fill="D2D2D2"/>
          </w:tcPr>
          <w:p>
            <w:pPr/>
          </w:p>
        </w:tc>
        <w:tc>
          <w:tcPr>
            <w:tcW w:w="1706" w:type="dxa"/>
            <w:vMerge/>
            <w:tcBorders>
              <w:left w:val="single" w:sz="10" w:space="0" w:color="D2D2D2"/>
              <w:right w:val="single" w:sz="4" w:space="0" w:color="000000"/>
            </w:tcBorders>
          </w:tcPr>
          <w:p>
            <w:pPr/>
          </w:p>
        </w:tc>
        <w:tc>
          <w:tcPr>
            <w:tcW w:w="398" w:type="dxa"/>
            <w:vMerge/>
            <w:tcBorders>
              <w:left w:val="single" w:sz="4" w:space="0" w:color="000000"/>
              <w:right w:val="single" w:sz="10" w:space="0" w:color="D2D2D2"/>
            </w:tcBorders>
          </w:tcPr>
          <w:p>
            <w:pPr/>
          </w:p>
        </w:tc>
        <w:tc>
          <w:tcPr>
            <w:tcW w:w="4121" w:type="dxa"/>
            <w:tcBorders>
              <w:top w:val="nil" w:sz="6" w:space="0" w:color="auto"/>
              <w:left w:val="single" w:sz="4" w:space="0" w:color="000000"/>
              <w:bottom w:val="nil" w:sz="6" w:space="0" w:color="auto"/>
              <w:right w:val="single" w:sz="4" w:space="0" w:color="000000"/>
            </w:tcBorders>
            <w:shd w:val="clear" w:color="auto" w:fill="D2D2D2"/>
          </w:tcPr>
          <w:p>
            <w:pPr/>
          </w:p>
        </w:tc>
        <w:tc>
          <w:tcPr>
            <w:tcW w:w="544" w:type="dxa"/>
            <w:tcBorders>
              <w:top w:val="nil" w:sz="6" w:space="0" w:color="auto"/>
              <w:left w:val="single" w:sz="4" w:space="0" w:color="000000"/>
              <w:bottom w:val="nil" w:sz="6" w:space="0" w:color="auto"/>
              <w:right w:val="single" w:sz="4" w:space="0" w:color="000000"/>
            </w:tcBorders>
            <w:shd w:val="clear" w:color="auto" w:fill="D2D2D2"/>
          </w:tcPr>
          <w:p>
            <w:pPr/>
          </w:p>
        </w:tc>
        <w:tc>
          <w:tcPr>
            <w:tcW w:w="584" w:type="dxa"/>
            <w:tcBorders>
              <w:top w:val="nil" w:sz="6" w:space="0" w:color="auto"/>
              <w:left w:val="single" w:sz="4" w:space="0" w:color="000000"/>
              <w:bottom w:val="nil" w:sz="6" w:space="0" w:color="auto"/>
              <w:right w:val="single" w:sz="4" w:space="0" w:color="000000"/>
            </w:tcBorders>
            <w:shd w:val="clear" w:color="auto" w:fill="D2D2D2"/>
          </w:tcPr>
          <w:p>
            <w:pPr/>
          </w:p>
        </w:tc>
        <w:tc>
          <w:tcPr>
            <w:tcW w:w="1178"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61"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706" w:type="dxa"/>
            <w:vMerge/>
            <w:tcBorders>
              <w:left w:val="single" w:sz="10" w:space="0" w:color="D2D2D2"/>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10" w:space="0" w:color="D2D2D2"/>
            </w:tcBorders>
          </w:tcPr>
          <w:p>
            <w:pPr/>
          </w:p>
        </w:tc>
        <w:tc>
          <w:tcPr>
            <w:tcW w:w="4121" w:type="dxa"/>
            <w:tcBorders>
              <w:top w:val="nil" w:sz="6" w:space="0" w:color="auto"/>
              <w:left w:val="single" w:sz="4" w:space="0" w:color="000000"/>
              <w:bottom w:val="single" w:sz="4" w:space="0" w:color="000000"/>
              <w:right w:val="single" w:sz="4" w:space="0" w:color="000000"/>
            </w:tcBorders>
            <w:shd w:val="clear" w:color="auto" w:fill="D2D2D2"/>
          </w:tcPr>
          <w:p>
            <w:pPr/>
          </w:p>
        </w:tc>
        <w:tc>
          <w:tcPr>
            <w:tcW w:w="544" w:type="dxa"/>
            <w:tcBorders>
              <w:top w:val="nil" w:sz="6" w:space="0" w:color="auto"/>
              <w:left w:val="single" w:sz="4" w:space="0" w:color="000000"/>
              <w:bottom w:val="single" w:sz="4" w:space="0" w:color="000000"/>
              <w:right w:val="single" w:sz="4" w:space="0" w:color="000000"/>
            </w:tcBorders>
            <w:shd w:val="clear" w:color="auto" w:fill="D2D2D2"/>
          </w:tcPr>
          <w:p>
            <w:pPr/>
          </w:p>
        </w:tc>
        <w:tc>
          <w:tcPr>
            <w:tcW w:w="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27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1"/>
              <w:jc w:val="both"/>
              <w:rPr>
                <w:rFonts w:ascii="宋体" w:hAnsi="宋体" w:cs="宋体" w:eastAsia="宋体" w:hint="default"/>
                <w:sz w:val="18"/>
                <w:szCs w:val="18"/>
              </w:rPr>
            </w:pPr>
            <w:r>
              <w:rPr>
                <w:rFonts w:ascii="宋体" w:hAnsi="宋体" w:cs="宋体" w:eastAsia="宋体" w:hint="default"/>
                <w:sz w:val="18"/>
                <w:szCs w:val="18"/>
              </w:rPr>
              <w:t>如承诺超期未 履行完毕的， 应当详细说明 未完成履行的 具体原因及下 一步的工作计 划</w:t>
            </w:r>
          </w:p>
        </w:tc>
        <w:tc>
          <w:tcPr>
            <w:tcW w:w="8532" w:type="dxa"/>
            <w:gridSpan w:val="6"/>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5" w:right="0"/>
              <w:jc w:val="left"/>
              <w:rPr>
                <w:rFonts w:ascii="宋体" w:hAnsi="宋体" w:cs="宋体" w:eastAsia="宋体" w:hint="default"/>
                <w:sz w:val="18"/>
                <w:szCs w:val="18"/>
              </w:rPr>
            </w:pPr>
            <w:r>
              <w:rPr>
                <w:rFonts w:ascii="宋体" w:hAnsi="宋体" w:cs="宋体" w:eastAsia="宋体" w:hint="default"/>
                <w:sz w:val="18"/>
                <w:szCs w:val="18"/>
              </w:rPr>
              <w:t>截止本报告期末，所有承诺人严格信守承诺，未出现违反承诺的情况。</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32"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6" w:lineRule="auto" w:before="36"/>
        <w:ind w:right="1117"/>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86" w:footer="1267" w:top="1100" w:bottom="146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194"/>
        <w:gridCol w:w="1195"/>
        <w:gridCol w:w="1196"/>
        <w:gridCol w:w="1198"/>
        <w:gridCol w:w="1196"/>
        <w:gridCol w:w="1195"/>
        <w:gridCol w:w="1199"/>
        <w:gridCol w:w="1196"/>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0" w:right="50"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4" w:right="52"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2"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900"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4"/>
              <w:ind w:left="22" w:right="81"/>
              <w:jc w:val="left"/>
              <w:rPr>
                <w:rFonts w:ascii="宋体" w:hAnsi="宋体" w:cs="宋体" w:eastAsia="宋体" w:hint="default"/>
                <w:sz w:val="18"/>
                <w:szCs w:val="18"/>
              </w:rPr>
            </w:pPr>
            <w:r>
              <w:rPr>
                <w:rFonts w:ascii="宋体" w:hAnsi="宋体" w:cs="宋体" w:eastAsia="宋体" w:hint="default"/>
                <w:sz w:val="18"/>
                <w:szCs w:val="18"/>
              </w:rPr>
              <w:t>收购上海睿民 互联网科技有 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2016</w:t>
            </w:r>
            <w:r>
              <w:rPr>
                <w:rFonts w:ascii="Times New Roman" w:hAnsi="Times New Roman" w:cs="Times New Roman" w:eastAsia="Times New Roman" w:hint="default"/>
                <w:spacing w:val="-24"/>
                <w:w w:val="85"/>
                <w:sz w:val="18"/>
                <w:szCs w:val="18"/>
              </w:rPr>
              <w:t> </w:t>
            </w:r>
            <w:r>
              <w:rPr>
                <w:rFonts w:ascii="宋体" w:hAnsi="宋体" w:cs="宋体" w:eastAsia="宋体" w:hint="default"/>
                <w:w w:val="85"/>
                <w:sz w:val="18"/>
                <w:szCs w:val="18"/>
              </w:rPr>
              <w:t>年</w:t>
            </w:r>
            <w:r>
              <w:rPr>
                <w:rFonts w:ascii="宋体" w:hAnsi="宋体" w:cs="宋体" w:eastAsia="宋体" w:hint="default"/>
                <w:spacing w:val="-61"/>
                <w:w w:val="85"/>
                <w:sz w:val="18"/>
                <w:szCs w:val="18"/>
              </w:rPr>
              <w:t> </w:t>
            </w:r>
            <w:r>
              <w:rPr>
                <w:rFonts w:ascii="Times New Roman" w:hAnsi="Times New Roman" w:cs="Times New Roman" w:eastAsia="Times New Roman" w:hint="default"/>
                <w:spacing w:val="-5"/>
                <w:w w:val="85"/>
                <w:sz w:val="18"/>
                <w:szCs w:val="18"/>
              </w:rPr>
              <w:t>11</w:t>
            </w:r>
            <w:r>
              <w:rPr>
                <w:rFonts w:ascii="Times New Roman" w:hAnsi="Times New Roman" w:cs="Times New Roman" w:eastAsia="Times New Roman" w:hint="default"/>
                <w:spacing w:val="-24"/>
                <w:w w:val="85"/>
                <w:sz w:val="18"/>
                <w:szCs w:val="18"/>
              </w:rPr>
              <w:t> </w:t>
            </w:r>
            <w:r>
              <w:rPr>
                <w:rFonts w:ascii="宋体" w:hAnsi="宋体" w:cs="宋体" w:eastAsia="宋体" w:hint="default"/>
                <w:w w:val="85"/>
                <w:sz w:val="18"/>
                <w:szCs w:val="18"/>
              </w:rPr>
              <w:t>月</w:t>
            </w:r>
            <w:r>
              <w:rPr>
                <w:rFonts w:ascii="宋体" w:hAnsi="宋体" w:cs="宋体" w:eastAsia="宋体" w:hint="default"/>
                <w:spacing w:val="-61"/>
                <w:w w:val="85"/>
                <w:sz w:val="18"/>
                <w:szCs w:val="18"/>
              </w:rPr>
              <w:t> </w:t>
            </w:r>
            <w:r>
              <w:rPr>
                <w:rFonts w:ascii="Times New Roman" w:hAnsi="Times New Roman" w:cs="Times New Roman" w:eastAsia="Times New Roman" w:hint="default"/>
                <w:w w:val="85"/>
                <w:sz w:val="18"/>
                <w:szCs w:val="18"/>
              </w:rPr>
              <w:t>28</w:t>
            </w:r>
            <w:r>
              <w:rPr>
                <w:rFonts w:ascii="Times New Roman" w:hAnsi="Times New Roman" w:cs="Times New Roman" w:eastAsia="Times New Roman" w:hint="default"/>
                <w:spacing w:val="-24"/>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2018</w:t>
            </w:r>
            <w:r>
              <w:rPr>
                <w:rFonts w:ascii="Times New Roman" w:hAnsi="Times New Roman" w:cs="Times New Roman" w:eastAsia="Times New Roman" w:hint="default"/>
                <w:spacing w:val="-25"/>
                <w:w w:val="85"/>
                <w:sz w:val="18"/>
                <w:szCs w:val="18"/>
              </w:rPr>
              <w:t> </w:t>
            </w:r>
            <w:r>
              <w:rPr>
                <w:rFonts w:ascii="宋体" w:hAnsi="宋体" w:cs="宋体" w:eastAsia="宋体" w:hint="default"/>
                <w:w w:val="85"/>
                <w:sz w:val="18"/>
                <w:szCs w:val="18"/>
              </w:rPr>
              <w:t>年</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12</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月</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31</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3,494.03</w:t>
            </w:r>
          </w:p>
        </w:tc>
        <w:tc>
          <w:tcPr>
            <w:tcW w:w="11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2016</w:t>
            </w:r>
            <w:r>
              <w:rPr>
                <w:rFonts w:ascii="Times New Roman" w:hAnsi="Times New Roman" w:cs="Times New Roman" w:eastAsia="Times New Roman" w:hint="default"/>
                <w:spacing w:val="-24"/>
                <w:w w:val="85"/>
                <w:sz w:val="18"/>
                <w:szCs w:val="18"/>
              </w:rPr>
              <w:t> </w:t>
            </w:r>
            <w:r>
              <w:rPr>
                <w:rFonts w:ascii="宋体" w:hAnsi="宋体" w:cs="宋体" w:eastAsia="宋体" w:hint="default"/>
                <w:w w:val="85"/>
                <w:sz w:val="18"/>
                <w:szCs w:val="18"/>
              </w:rPr>
              <w:t>年</w:t>
            </w:r>
            <w:r>
              <w:rPr>
                <w:rFonts w:ascii="宋体" w:hAnsi="宋体" w:cs="宋体" w:eastAsia="宋体" w:hint="default"/>
                <w:spacing w:val="-60"/>
                <w:w w:val="85"/>
                <w:sz w:val="18"/>
                <w:szCs w:val="18"/>
              </w:rPr>
              <w:t> </w:t>
            </w:r>
            <w:r>
              <w:rPr>
                <w:rFonts w:ascii="Times New Roman" w:hAnsi="Times New Roman" w:cs="Times New Roman" w:eastAsia="Times New Roman" w:hint="default"/>
                <w:spacing w:val="-4"/>
                <w:w w:val="85"/>
                <w:sz w:val="18"/>
                <w:szCs w:val="18"/>
              </w:rPr>
              <w:t>11</w:t>
            </w:r>
            <w:r>
              <w:rPr>
                <w:rFonts w:ascii="Times New Roman" w:hAnsi="Times New Roman" w:cs="Times New Roman" w:eastAsia="Times New Roman" w:hint="default"/>
                <w:spacing w:val="-25"/>
                <w:w w:val="85"/>
                <w:sz w:val="18"/>
                <w:szCs w:val="18"/>
              </w:rPr>
              <w:t> </w:t>
            </w:r>
            <w:r>
              <w:rPr>
                <w:rFonts w:ascii="宋体" w:hAnsi="宋体" w:cs="宋体" w:eastAsia="宋体" w:hint="default"/>
                <w:w w:val="85"/>
                <w:sz w:val="18"/>
                <w:szCs w:val="18"/>
              </w:rPr>
              <w:t>月</w:t>
            </w:r>
            <w:r>
              <w:rPr>
                <w:rFonts w:ascii="宋体" w:hAnsi="宋体" w:cs="宋体" w:eastAsia="宋体" w:hint="default"/>
                <w:spacing w:val="-61"/>
                <w:w w:val="85"/>
                <w:sz w:val="18"/>
                <w:szCs w:val="18"/>
              </w:rPr>
              <w:t> </w:t>
            </w:r>
            <w:r>
              <w:rPr>
                <w:rFonts w:ascii="Times New Roman" w:hAnsi="Times New Roman" w:cs="Times New Roman" w:eastAsia="Times New Roman" w:hint="default"/>
                <w:w w:val="85"/>
                <w:sz w:val="18"/>
                <w:szCs w:val="18"/>
              </w:rPr>
              <w:t>29</w:t>
            </w:r>
            <w:r>
              <w:rPr>
                <w:rFonts w:ascii="Times New Roman" w:hAnsi="Times New Roman" w:cs="Times New Roman" w:eastAsia="Times New Roman" w:hint="default"/>
                <w:spacing w:val="-24"/>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3"/>
              <w:ind w:left="22" w:right="20"/>
              <w:jc w:val="left"/>
              <w:rPr>
                <w:rFonts w:ascii="Times New Roman" w:hAnsi="Times New Roman" w:cs="Times New Roman" w:eastAsia="Times New Roman" w:hint="default"/>
                <w:sz w:val="18"/>
                <w:szCs w:val="18"/>
              </w:rPr>
            </w:pPr>
            <w:r>
              <w:rPr>
                <w:rFonts w:ascii="Times New Roman"/>
                <w:sz w:val="18"/>
              </w:rPr>
              <w:t>http://www.cni nfo.com.cn/cni nfo-new/disclo sure/szse_gem/ bulletin_detail/t rue/120243729 8?announceTi me=2016-06-3 0</w:t>
            </w:r>
          </w:p>
        </w:tc>
      </w:tr>
      <w:tr>
        <w:trPr>
          <w:trHeight w:val="2897"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81"/>
              <w:jc w:val="left"/>
              <w:rPr>
                <w:rFonts w:ascii="宋体" w:hAnsi="宋体" w:cs="宋体" w:eastAsia="宋体" w:hint="default"/>
                <w:sz w:val="18"/>
                <w:szCs w:val="18"/>
              </w:rPr>
            </w:pPr>
            <w:r>
              <w:rPr>
                <w:rFonts w:ascii="宋体" w:hAnsi="宋体" w:cs="宋体" w:eastAsia="宋体" w:hint="default"/>
                <w:sz w:val="18"/>
                <w:szCs w:val="18"/>
              </w:rPr>
              <w:t>收购海南坚果 创娱信息技术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2016</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年</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09</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月</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28</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2019</w:t>
            </w:r>
            <w:r>
              <w:rPr>
                <w:rFonts w:ascii="Times New Roman" w:hAnsi="Times New Roman" w:cs="Times New Roman" w:eastAsia="Times New Roman" w:hint="default"/>
                <w:spacing w:val="-25"/>
                <w:w w:val="85"/>
                <w:sz w:val="18"/>
                <w:szCs w:val="18"/>
              </w:rPr>
              <w:t> </w:t>
            </w:r>
            <w:r>
              <w:rPr>
                <w:rFonts w:ascii="宋体" w:hAnsi="宋体" w:cs="宋体" w:eastAsia="宋体" w:hint="default"/>
                <w:w w:val="85"/>
                <w:sz w:val="18"/>
                <w:szCs w:val="18"/>
              </w:rPr>
              <w:t>年</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12</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月</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31</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2,340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w w:val="95"/>
                <w:sz w:val="18"/>
              </w:rPr>
              <w:t>2,380.77</w:t>
            </w:r>
          </w:p>
        </w:tc>
        <w:tc>
          <w:tcPr>
            <w:tcW w:w="11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2016</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年</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09</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月</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1"/>
              <w:ind w:left="22" w:right="20"/>
              <w:jc w:val="left"/>
              <w:rPr>
                <w:rFonts w:ascii="Times New Roman" w:hAnsi="Times New Roman" w:cs="Times New Roman" w:eastAsia="Times New Roman" w:hint="default"/>
                <w:sz w:val="18"/>
                <w:szCs w:val="18"/>
              </w:rPr>
            </w:pPr>
            <w:r>
              <w:rPr>
                <w:rFonts w:ascii="Times New Roman"/>
                <w:sz w:val="18"/>
              </w:rPr>
              <w:t>http://www.cni nfo.com.cn/cni nfo-new/disclo sure/szse_gem/ bulletin_detail/t rue/120267699 5?announceTi me=2016-09-0 5%2019:46</w:t>
            </w:r>
          </w:p>
        </w:tc>
      </w:tr>
      <w:tr>
        <w:trPr>
          <w:trHeight w:val="2900"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5"/>
              <w:ind w:left="22" w:right="81"/>
              <w:jc w:val="left"/>
              <w:rPr>
                <w:rFonts w:ascii="宋体" w:hAnsi="宋体" w:cs="宋体" w:eastAsia="宋体" w:hint="default"/>
                <w:sz w:val="18"/>
                <w:szCs w:val="18"/>
              </w:rPr>
            </w:pPr>
            <w:r>
              <w:rPr>
                <w:rFonts w:ascii="宋体" w:hAnsi="宋体" w:cs="宋体" w:eastAsia="宋体" w:hint="default"/>
                <w:sz w:val="18"/>
                <w:szCs w:val="18"/>
              </w:rPr>
              <w:t>收购喀什尚河 信息科技有限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2016</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年</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10</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月</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20</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2018</w:t>
            </w:r>
            <w:r>
              <w:rPr>
                <w:rFonts w:ascii="Times New Roman" w:hAnsi="Times New Roman" w:cs="Times New Roman" w:eastAsia="Times New Roman" w:hint="default"/>
                <w:spacing w:val="-25"/>
                <w:w w:val="85"/>
                <w:sz w:val="18"/>
                <w:szCs w:val="18"/>
              </w:rPr>
              <w:t> </w:t>
            </w:r>
            <w:r>
              <w:rPr>
                <w:rFonts w:ascii="宋体" w:hAnsi="宋体" w:cs="宋体" w:eastAsia="宋体" w:hint="default"/>
                <w:w w:val="85"/>
                <w:sz w:val="18"/>
                <w:szCs w:val="18"/>
              </w:rPr>
              <w:t>年</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12</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月</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31</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1,525.69</w:t>
            </w:r>
          </w:p>
        </w:tc>
        <w:tc>
          <w:tcPr>
            <w:tcW w:w="11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2016</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年</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12</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月</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17</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4"/>
              <w:ind w:left="22" w:right="20"/>
              <w:jc w:val="left"/>
              <w:rPr>
                <w:rFonts w:ascii="Times New Roman" w:hAnsi="Times New Roman" w:cs="Times New Roman" w:eastAsia="Times New Roman" w:hint="default"/>
                <w:sz w:val="18"/>
                <w:szCs w:val="18"/>
              </w:rPr>
            </w:pPr>
            <w:r>
              <w:rPr>
                <w:rFonts w:ascii="Times New Roman"/>
                <w:sz w:val="18"/>
              </w:rPr>
              <w:t>http://www.cni nfo.com.cn/cni nfo-new/disclo sure/szse_gem/ bulletin_detail/t rue/120276585 5?announceTi me=2016-10-1 7%2019:21</w:t>
            </w:r>
          </w:p>
        </w:tc>
      </w:tr>
      <w:tr>
        <w:trPr>
          <w:trHeight w:val="2900"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收购深圳市快 读科技有限公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2017</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年</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06</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月</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08</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2020</w:t>
            </w:r>
            <w:r>
              <w:rPr>
                <w:rFonts w:ascii="Times New Roman" w:hAnsi="Times New Roman" w:cs="Times New Roman" w:eastAsia="Times New Roman" w:hint="default"/>
                <w:spacing w:val="-25"/>
                <w:w w:val="85"/>
                <w:sz w:val="18"/>
                <w:szCs w:val="18"/>
              </w:rPr>
              <w:t> </w:t>
            </w:r>
            <w:r>
              <w:rPr>
                <w:rFonts w:ascii="宋体" w:hAnsi="宋体" w:cs="宋体" w:eastAsia="宋体" w:hint="default"/>
                <w:w w:val="85"/>
                <w:sz w:val="18"/>
                <w:szCs w:val="18"/>
              </w:rPr>
              <w:t>年</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12</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月</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31</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3,981.56</w:t>
            </w:r>
          </w:p>
        </w:tc>
        <w:tc>
          <w:tcPr>
            <w:tcW w:w="11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4"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2017</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年</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月</w:t>
            </w:r>
            <w:r>
              <w:rPr>
                <w:rFonts w:ascii="宋体" w:hAnsi="宋体" w:cs="宋体" w:eastAsia="宋体" w:hint="default"/>
                <w:spacing w:val="-63"/>
                <w:w w:val="85"/>
                <w:sz w:val="18"/>
                <w:szCs w:val="18"/>
              </w:rPr>
              <w:t> </w:t>
            </w:r>
            <w:r>
              <w:rPr>
                <w:rFonts w:ascii="Times New Roman" w:hAnsi="Times New Roman" w:cs="Times New Roman" w:eastAsia="Times New Roman" w:hint="default"/>
                <w:w w:val="85"/>
                <w:sz w:val="18"/>
                <w:szCs w:val="18"/>
              </w:rPr>
              <w:t>03</w:t>
            </w:r>
            <w:r>
              <w:rPr>
                <w:rFonts w:ascii="Times New Roman" w:hAnsi="Times New Roman" w:cs="Times New Roman" w:eastAsia="Times New Roman" w:hint="default"/>
                <w:spacing w:val="-2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1"/>
              <w:ind w:left="22" w:right="20"/>
              <w:jc w:val="left"/>
              <w:rPr>
                <w:rFonts w:ascii="Times New Roman" w:hAnsi="Times New Roman" w:cs="Times New Roman" w:eastAsia="Times New Roman" w:hint="default"/>
                <w:sz w:val="18"/>
                <w:szCs w:val="18"/>
              </w:rPr>
            </w:pPr>
            <w:r>
              <w:rPr>
                <w:rFonts w:ascii="Times New Roman"/>
                <w:sz w:val="18"/>
              </w:rPr>
              <w:t>http://www.cni nfo.com.cn/cni nfo-new/disclo sure/szse_gem/ bulletin_detail/t rue/120347013 2?announceTi me=2017-05-0 3</w:t>
            </w:r>
          </w:p>
        </w:tc>
      </w:tr>
    </w:tbl>
    <w:p>
      <w:pPr>
        <w:pStyle w:val="BodyText"/>
        <w:spacing w:line="240" w:lineRule="auto" w:before="49"/>
        <w:ind w:right="1117"/>
        <w:jc w:val="left"/>
      </w:pPr>
      <w:r>
        <w:rPr/>
        <w:t>公司股东、交易对手方对公司或相关资产年度经营业绩作出的承诺情况</w:t>
      </w:r>
    </w:p>
    <w:p>
      <w:pPr>
        <w:pStyle w:val="BodyText"/>
        <w:spacing w:line="319" w:lineRule="auto" w:before="115"/>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spacing w:val="-1"/>
        </w:rPr>
        <w:t>1</w:t>
      </w:r>
      <w:r>
        <w:rPr>
          <w:spacing w:val="-1"/>
        </w:rPr>
        <w:t>、上海睿民互联网科技有限公司原股东在收购协议中对该公司</w:t>
      </w:r>
      <w:r>
        <w:rPr>
          <w:rFonts w:ascii="Times New Roman" w:hAnsi="Times New Roman" w:cs="Times New Roman" w:eastAsia="Times New Roman" w:hint="default"/>
          <w:spacing w:val="-1"/>
        </w:rPr>
        <w:t>2018</w:t>
      </w:r>
      <w:r>
        <w:rPr>
          <w:spacing w:val="-1"/>
        </w:rPr>
        <w:t>年业绩承诺为实现扣除非经常性损益后的净利润</w:t>
      </w:r>
      <w:r>
        <w:rPr>
          <w:rFonts w:ascii="Times New Roman" w:hAnsi="Times New Roman" w:cs="Times New Roman" w:eastAsia="Times New Roman" w:hint="default"/>
          <w:spacing w:val="-1"/>
        </w:rPr>
        <w:t>3,380</w:t>
      </w:r>
      <w:r>
        <w:rPr>
          <w:spacing w:val="-1"/>
        </w:rPr>
        <w:t>万</w:t>
      </w:r>
      <w:r>
        <w:rPr>
          <w:spacing w:val="-72"/>
        </w:rPr>
        <w:t> </w:t>
      </w:r>
      <w:r>
        <w:rPr/>
        <w:t>元。</w:t>
      </w:r>
    </w:p>
    <w:p>
      <w:pPr>
        <w:spacing w:after="0" w:line="319" w:lineRule="auto"/>
        <w:jc w:val="left"/>
        <w:sectPr>
          <w:pgSz w:w="11910" w:h="16840"/>
          <w:pgMar w:header="786" w:footer="1267" w:top="1100" w:bottom="1460" w:left="980" w:right="0"/>
        </w:sectPr>
      </w:pPr>
    </w:p>
    <w:p>
      <w:pPr>
        <w:spacing w:line="240" w:lineRule="auto" w:before="8"/>
        <w:rPr>
          <w:rFonts w:ascii="宋体" w:hAnsi="宋体" w:cs="宋体" w:eastAsia="宋体" w:hint="default"/>
          <w:sz w:val="22"/>
          <w:szCs w:val="22"/>
        </w:rPr>
      </w:pPr>
    </w:p>
    <w:p>
      <w:pPr>
        <w:pStyle w:val="BodyText"/>
        <w:spacing w:line="309" w:lineRule="auto" w:before="44"/>
        <w:ind w:right="934"/>
        <w:jc w:val="left"/>
      </w:pPr>
      <w:r>
        <w:rPr>
          <w:rFonts w:ascii="Times New Roman" w:hAnsi="Times New Roman" w:cs="Times New Roman" w:eastAsia="Times New Roman" w:hint="default"/>
        </w:rPr>
        <w:t>2</w:t>
      </w:r>
      <w:r>
        <w:rPr/>
        <w:t>、海南坚果创娱信息技术有限公司原股东在收购协议中对该公司</w:t>
      </w:r>
      <w:r>
        <w:rPr>
          <w:rFonts w:ascii="Times New Roman" w:hAnsi="Times New Roman" w:cs="Times New Roman" w:eastAsia="Times New Roman" w:hint="default"/>
        </w:rPr>
        <w:t>2018</w:t>
      </w:r>
      <w:r>
        <w:rPr/>
        <w:t>年业绩承诺为实现扣除非经常性损益后的净利润</w:t>
      </w:r>
      <w:r>
        <w:rPr>
          <w:rFonts w:ascii="Times New Roman" w:hAnsi="Times New Roman" w:cs="Times New Roman" w:eastAsia="Times New Roman" w:hint="default"/>
        </w:rPr>
        <w:t>2,340 </w:t>
      </w:r>
      <w:r>
        <w:rPr/>
        <w:t>万元。 </w:t>
      </w:r>
      <w:r>
        <w:rPr>
          <w:rFonts w:ascii="Times New Roman" w:hAnsi="Times New Roman" w:cs="Times New Roman" w:eastAsia="Times New Roman" w:hint="default"/>
          <w:spacing w:val="-1"/>
        </w:rPr>
        <w:t>3</w:t>
      </w:r>
      <w:r>
        <w:rPr>
          <w:spacing w:val="-1"/>
        </w:rPr>
        <w:t>、喀什尚河信息科技有限公司原股东在收购协议中对该公司</w:t>
      </w:r>
      <w:r>
        <w:rPr>
          <w:rFonts w:ascii="Times New Roman" w:hAnsi="Times New Roman" w:cs="Times New Roman" w:eastAsia="Times New Roman" w:hint="default"/>
          <w:spacing w:val="-1"/>
        </w:rPr>
        <w:t>2018</w:t>
      </w:r>
      <w:r>
        <w:rPr>
          <w:spacing w:val="-1"/>
        </w:rPr>
        <w:t>年业绩承诺为实现扣除非经常性损益后的净利润</w:t>
      </w:r>
      <w:r>
        <w:rPr>
          <w:rFonts w:ascii="Times New Roman" w:hAnsi="Times New Roman" w:cs="Times New Roman" w:eastAsia="Times New Roman" w:hint="default"/>
          <w:spacing w:val="-1"/>
        </w:rPr>
        <w:t>1,470</w:t>
      </w:r>
      <w:r>
        <w:rPr>
          <w:spacing w:val="-1"/>
        </w:rPr>
        <w:t>万元。</w:t>
      </w:r>
    </w:p>
    <w:p>
      <w:pPr>
        <w:pStyle w:val="BodyText"/>
        <w:spacing w:line="240" w:lineRule="auto" w:before="5"/>
        <w:ind w:right="991"/>
        <w:jc w:val="left"/>
      </w:pPr>
      <w:r>
        <w:rPr>
          <w:rFonts w:ascii="Times New Roman" w:hAnsi="Times New Roman" w:cs="Times New Roman" w:eastAsia="Times New Roman" w:hint="default"/>
        </w:rPr>
        <w:t>4</w:t>
      </w:r>
      <w:r>
        <w:rPr/>
        <w:t>、</w:t>
      </w:r>
      <w:r>
        <w:rPr>
          <w:spacing w:val="-44"/>
        </w:rPr>
        <w:t> </w:t>
      </w:r>
      <w:r>
        <w:rPr/>
        <w:t>深圳市快读科技有限公司原股东在收购协议中对该公司</w:t>
      </w:r>
      <w:r>
        <w:rPr>
          <w:rFonts w:ascii="Times New Roman" w:hAnsi="Times New Roman" w:cs="Times New Roman" w:eastAsia="Times New Roman" w:hint="default"/>
        </w:rPr>
        <w:t>2018</w:t>
      </w:r>
      <w:r>
        <w:rPr/>
        <w:t>年业绩承诺为实现扣除非经常性损益后的净利润</w:t>
      </w:r>
      <w:r>
        <w:rPr>
          <w:rFonts w:ascii="Times New Roman" w:hAnsi="Times New Roman" w:cs="Times New Roman" w:eastAsia="Times New Roman" w:hint="default"/>
        </w:rPr>
        <w:t>3,900</w:t>
      </w:r>
      <w:r>
        <w:rPr/>
        <w:t>万元。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1117"/>
        <w:jc w:val="left"/>
      </w:pPr>
      <w:r>
        <w:rPr/>
        <w:t>业绩承诺的完成情况及其对商誉减值测试的影响</w:t>
      </w:r>
    </w:p>
    <w:p>
      <w:pPr>
        <w:pStyle w:val="BodyText"/>
        <w:spacing w:line="304" w:lineRule="auto" w:before="115"/>
        <w:ind w:right="934"/>
        <w:jc w:val="left"/>
      </w:pPr>
      <w:r>
        <w:rPr>
          <w:rFonts w:ascii="Times New Roman" w:hAnsi="Times New Roman" w:cs="Times New Roman" w:eastAsia="Times New Roman" w:hint="default"/>
        </w:rPr>
        <w:t>1</w:t>
      </w:r>
      <w:r>
        <w:rPr/>
        <w:t>、上海睿民互联网科技有限公司原股东在收购协议中对该公司</w:t>
      </w:r>
      <w:r>
        <w:rPr>
          <w:rFonts w:ascii="Times New Roman" w:hAnsi="Times New Roman" w:cs="Times New Roman" w:eastAsia="Times New Roman" w:hint="default"/>
        </w:rPr>
        <w:t>2018</w:t>
      </w:r>
      <w:r>
        <w:rPr/>
        <w:t>年业绩承诺为实现扣除非经常性损益后的净利润</w:t>
      </w:r>
      <w:r>
        <w:rPr>
          <w:rFonts w:ascii="Times New Roman" w:hAnsi="Times New Roman" w:cs="Times New Roman" w:eastAsia="Times New Roman" w:hint="default"/>
        </w:rPr>
        <w:t>3,380</w:t>
      </w:r>
      <w:r>
        <w:rPr/>
        <w:t>万 元，上海睿民</w:t>
      </w:r>
      <w:r>
        <w:rPr>
          <w:rFonts w:ascii="Times New Roman" w:hAnsi="Times New Roman" w:cs="Times New Roman" w:eastAsia="Times New Roman" w:hint="default"/>
        </w:rPr>
        <w:t>2018</w:t>
      </w:r>
      <w:r>
        <w:rPr/>
        <w:t>年度经审计的扣除非经常性损益后归属于母公司所有者的净利润</w:t>
      </w:r>
      <w:r>
        <w:rPr>
          <w:rFonts w:ascii="Times New Roman" w:hAnsi="Times New Roman" w:cs="Times New Roman" w:eastAsia="Times New Roman" w:hint="default"/>
        </w:rPr>
        <w:t>3,494.03</w:t>
      </w:r>
      <w:r>
        <w:rPr/>
        <w:t>万元，</w:t>
      </w:r>
      <w:r>
        <w:rPr>
          <w:rFonts w:ascii="Times New Roman" w:hAnsi="Times New Roman" w:cs="Times New Roman" w:eastAsia="Times New Roman" w:hint="default"/>
        </w:rPr>
        <w:t>2018</w:t>
      </w:r>
      <w:r>
        <w:rPr/>
        <w:t>年已实现收购协议承 诺的业绩。 </w:t>
      </w:r>
      <w:r>
        <w:rPr>
          <w:rFonts w:ascii="Times New Roman" w:hAnsi="Times New Roman" w:cs="Times New Roman" w:eastAsia="Times New Roman" w:hint="default"/>
        </w:rPr>
        <w:t>2</w:t>
      </w:r>
      <w:r>
        <w:rPr/>
        <w:t>、海南坚果创娱信息技术有限公司原股东在收购协议中对该公司</w:t>
      </w:r>
      <w:r>
        <w:rPr>
          <w:rFonts w:ascii="Times New Roman" w:hAnsi="Times New Roman" w:cs="Times New Roman" w:eastAsia="Times New Roman" w:hint="default"/>
        </w:rPr>
        <w:t>2018</w:t>
      </w:r>
      <w:r>
        <w:rPr/>
        <w:t>年业绩承诺为实现扣除非经常性损益后的净利润</w:t>
      </w:r>
      <w:r>
        <w:rPr>
          <w:rFonts w:ascii="Times New Roman" w:hAnsi="Times New Roman" w:cs="Times New Roman" w:eastAsia="Times New Roman" w:hint="default"/>
        </w:rPr>
        <w:t>2,340 </w:t>
      </w:r>
      <w:r>
        <w:rPr/>
        <w:t>万元，坚果技术</w:t>
      </w:r>
      <w:r>
        <w:rPr>
          <w:rFonts w:ascii="Times New Roman" w:hAnsi="Times New Roman" w:cs="Times New Roman" w:eastAsia="Times New Roman" w:hint="default"/>
        </w:rPr>
        <w:t>2018</w:t>
      </w:r>
      <w:r>
        <w:rPr/>
        <w:t>年度经审计的扣除非经常性损益后归属于母公司所有者的净利润</w:t>
      </w:r>
      <w:r>
        <w:rPr>
          <w:rFonts w:ascii="Times New Roman" w:hAnsi="Times New Roman" w:cs="Times New Roman" w:eastAsia="Times New Roman" w:hint="default"/>
        </w:rPr>
        <w:t>2,380.77</w:t>
      </w:r>
      <w:r>
        <w:rPr/>
        <w:t>万元，</w:t>
      </w:r>
      <w:r>
        <w:rPr>
          <w:rFonts w:ascii="Times New Roman" w:hAnsi="Times New Roman" w:cs="Times New Roman" w:eastAsia="Times New Roman" w:hint="default"/>
        </w:rPr>
        <w:t>2018</w:t>
      </w:r>
      <w:r>
        <w:rPr/>
        <w:t>年已实现收购协议 承诺的业绩。 </w:t>
      </w:r>
      <w:r>
        <w:rPr>
          <w:rFonts w:ascii="Times New Roman" w:hAnsi="Times New Roman" w:cs="Times New Roman" w:eastAsia="Times New Roman" w:hint="default"/>
          <w:spacing w:val="-1"/>
        </w:rPr>
        <w:t>3</w:t>
      </w:r>
      <w:r>
        <w:rPr>
          <w:spacing w:val="-1"/>
        </w:rPr>
        <w:t>、喀什尚河信息科技有限公司原股东在收购协议中对该公司</w:t>
      </w:r>
      <w:r>
        <w:rPr>
          <w:rFonts w:ascii="Times New Roman" w:hAnsi="Times New Roman" w:cs="Times New Roman" w:eastAsia="Times New Roman" w:hint="default"/>
          <w:spacing w:val="-1"/>
        </w:rPr>
        <w:t>2018</w:t>
      </w:r>
      <w:r>
        <w:rPr>
          <w:spacing w:val="-1"/>
        </w:rPr>
        <w:t>年业绩承诺为实现扣除非经常性损益后的净利润</w:t>
      </w:r>
      <w:r>
        <w:rPr>
          <w:rFonts w:ascii="Times New Roman" w:hAnsi="Times New Roman" w:cs="Times New Roman" w:eastAsia="Times New Roman" w:hint="default"/>
          <w:spacing w:val="-1"/>
        </w:rPr>
        <w:t>1,470</w:t>
      </w:r>
      <w:r>
        <w:rPr>
          <w:spacing w:val="-1"/>
        </w:rPr>
        <w:t>万元，</w:t>
      </w:r>
      <w:r>
        <w:rPr>
          <w:spacing w:val="-69"/>
        </w:rPr>
        <w:t> </w:t>
      </w:r>
      <w:r>
        <w:rPr>
          <w:spacing w:val="-69"/>
        </w:rPr>
      </w:r>
      <w:r>
        <w:rPr/>
        <w:t>尚河科技</w:t>
      </w:r>
      <w:r>
        <w:rPr>
          <w:rFonts w:ascii="Times New Roman" w:hAnsi="Times New Roman" w:cs="Times New Roman" w:eastAsia="Times New Roman" w:hint="default"/>
        </w:rPr>
        <w:t>2018</w:t>
      </w:r>
      <w:r>
        <w:rPr/>
        <w:t>年度经审计的扣除非经常性损益后归属于母公司所有者的净利润</w:t>
      </w:r>
      <w:r>
        <w:rPr>
          <w:rFonts w:ascii="Times New Roman" w:hAnsi="Times New Roman" w:cs="Times New Roman" w:eastAsia="Times New Roman" w:hint="default"/>
        </w:rPr>
        <w:t>1,525.69</w:t>
      </w:r>
      <w:r>
        <w:rPr/>
        <w:t>万元，</w:t>
      </w:r>
      <w:r>
        <w:rPr>
          <w:rFonts w:ascii="Times New Roman" w:hAnsi="Times New Roman" w:cs="Times New Roman" w:eastAsia="Times New Roman" w:hint="default"/>
        </w:rPr>
        <w:t>2018</w:t>
      </w:r>
      <w:r>
        <w:rPr/>
        <w:t>年已实现收购协议承诺的 业绩。</w:t>
      </w:r>
    </w:p>
    <w:p>
      <w:pPr>
        <w:pStyle w:val="BodyText"/>
        <w:spacing w:line="300" w:lineRule="auto" w:before="28"/>
        <w:ind w:right="1032"/>
        <w:jc w:val="left"/>
      </w:pPr>
      <w:r>
        <w:rPr>
          <w:rFonts w:ascii="Times New Roman" w:hAnsi="Times New Roman" w:cs="Times New Roman" w:eastAsia="Times New Roman" w:hint="default"/>
        </w:rPr>
        <w:t>4</w:t>
      </w:r>
      <w:r>
        <w:rPr/>
        <w:t>、</w:t>
      </w:r>
      <w:r>
        <w:rPr>
          <w:spacing w:val="-43"/>
        </w:rPr>
        <w:t> </w:t>
      </w:r>
      <w:r>
        <w:rPr/>
        <w:t>深圳市快读科技有限公司原股东在收购协议中对该公司</w:t>
      </w:r>
      <w:r>
        <w:rPr>
          <w:rFonts w:ascii="Times New Roman" w:hAnsi="Times New Roman" w:cs="Times New Roman" w:eastAsia="Times New Roman" w:hint="default"/>
        </w:rPr>
        <w:t>2018</w:t>
      </w:r>
      <w:r>
        <w:rPr/>
        <w:t>年业绩承诺为实现扣除非经常性损益后的净利润</w:t>
      </w:r>
      <w:r>
        <w:rPr>
          <w:rFonts w:ascii="Times New Roman" w:hAnsi="Times New Roman" w:cs="Times New Roman" w:eastAsia="Times New Roman" w:hint="default"/>
        </w:rPr>
        <w:t>3,900</w:t>
      </w:r>
      <w:r>
        <w:rPr/>
        <w:t>万元，</w:t>
      </w:r>
      <w:r>
        <w:rPr>
          <w:spacing w:val="-3"/>
        </w:rPr>
        <w:t> </w:t>
      </w:r>
      <w:r>
        <w:rPr/>
        <w:t>快读科技</w:t>
      </w:r>
      <w:r>
        <w:rPr>
          <w:rFonts w:ascii="Times New Roman" w:hAnsi="Times New Roman" w:cs="Times New Roman" w:eastAsia="Times New Roman" w:hint="default"/>
        </w:rPr>
        <w:t>2018</w:t>
      </w:r>
      <w:r>
        <w:rPr/>
        <w:t>年度经审计的扣除非经常性损益后归属于母公司所有者的净利润</w:t>
      </w:r>
      <w:r>
        <w:rPr>
          <w:rFonts w:ascii="Times New Roman" w:hAnsi="Times New Roman" w:cs="Times New Roman" w:eastAsia="Times New Roman" w:hint="default"/>
        </w:rPr>
        <w:t>3,981.56</w:t>
      </w:r>
      <w:r>
        <w:rPr/>
        <w:t>万元，</w:t>
      </w:r>
      <w:r>
        <w:rPr>
          <w:rFonts w:ascii="Times New Roman" w:hAnsi="Times New Roman" w:cs="Times New Roman" w:eastAsia="Times New Roman" w:hint="default"/>
        </w:rPr>
        <w:t>2018</w:t>
      </w:r>
      <w:r>
        <w:rPr/>
        <w:t>年已实现收购协议承诺的 业绩。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6"/>
        <w:ind w:right="1117"/>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1117"/>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91"/>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117"/>
        <w:jc w:val="left"/>
      </w:pPr>
      <w:r>
        <w:rPr/>
        <w:t>同第四节经营情况讨论与分析</w:t>
      </w:r>
      <w:r>
        <w:rPr>
          <w:rFonts w:ascii="Times New Roman" w:hAnsi="Times New Roman" w:cs="Times New Roman" w:eastAsia="Times New Roman" w:hint="default"/>
        </w:rPr>
        <w:t>-2</w:t>
      </w:r>
      <w:r>
        <w:rPr/>
        <w:t>、收入与成本</w:t>
      </w:r>
      <w:r>
        <w:rPr>
          <w:rFonts w:ascii="Times New Roman" w:hAnsi="Times New Roman" w:cs="Times New Roman" w:eastAsia="Times New Roman" w:hint="default"/>
        </w:rPr>
        <w:t>-</w:t>
      </w:r>
      <w:r>
        <w:rPr/>
        <w:t>（</w:t>
      </w:r>
      <w:r>
        <w:rPr>
          <w:rFonts w:ascii="Times New Roman" w:hAnsi="Times New Roman" w:cs="Times New Roman" w:eastAsia="Times New Roman" w:hint="default"/>
        </w:rPr>
        <w:t>6</w:t>
      </w:r>
      <w:r>
        <w:rPr/>
        <w:t>）报告期内合并范围是否发生变动</w:t>
      </w:r>
    </w:p>
    <w:p>
      <w:pPr>
        <w:spacing w:after="0" w:line="240" w:lineRule="auto"/>
        <w:jc w:val="left"/>
        <w:sectPr>
          <w:pgSz w:w="11910" w:h="16840"/>
          <w:pgMar w:header="786" w:footer="1267" w:top="1100" w:bottom="146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1117"/>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7"/>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1"/>
        <w:gridCol w:w="4778"/>
      </w:tblGrid>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潘高峰、张军伟</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17"/>
        <w:jc w:val="left"/>
      </w:pPr>
      <w:r>
        <w:rPr/>
        <w:t>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17"/>
        <w:jc w:val="left"/>
        <w:rPr>
          <w:b w:val="0"/>
          <w:bCs w:val="0"/>
        </w:rPr>
      </w:pP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9"/>
          <w:szCs w:val="19"/>
        </w:rPr>
      </w:pPr>
    </w:p>
    <w:p>
      <w:pPr>
        <w:pStyle w:val="Heading2"/>
        <w:spacing w:line="240" w:lineRule="auto"/>
        <w:ind w:right="1117"/>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17"/>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267" w:top="1100" w:bottom="146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1117"/>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日，公司召开第三届董事会第三十四次会议，审议通过了《关于回购注销部分限制性股票及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 </w:t>
      </w:r>
      <w:r>
        <w:rPr>
          <w:spacing w:val="-2"/>
        </w:rPr>
        <w:t>年股权激励计划已获授但未达到第二个解锁期解锁条件的限制性股票的议案，鉴于原</w:t>
      </w:r>
      <w:r>
        <w:rPr>
          <w:rFonts w:ascii="Times New Roman" w:hAnsi="Times New Roman" w:cs="Times New Roman" w:eastAsia="Times New Roman" w:hint="default"/>
          <w:spacing w:val="-2"/>
        </w:rPr>
        <w:t>15</w:t>
      </w:r>
      <w:r>
        <w:rPr>
          <w:spacing w:val="-2"/>
        </w:rPr>
        <w:t>名</w:t>
      </w:r>
      <w:r>
        <w:rPr>
          <w:rFonts w:ascii="Times New Roman" w:hAnsi="Times New Roman" w:cs="Times New Roman" w:eastAsia="Times New Roman" w:hint="default"/>
          <w:spacing w:val="-2"/>
        </w:rPr>
        <w:t>2015</w:t>
      </w:r>
      <w:r>
        <w:rPr>
          <w:spacing w:val="-2"/>
        </w:rPr>
        <w:t>年限制性股票股权激励对象及</w:t>
      </w:r>
    </w:p>
    <w:p>
      <w:pPr>
        <w:pStyle w:val="BodyText"/>
        <w:spacing w:line="302" w:lineRule="auto"/>
        <w:ind w:right="1124"/>
        <w:jc w:val="left"/>
      </w:pPr>
      <w:r>
        <w:rPr>
          <w:spacing w:val="-2"/>
        </w:rPr>
        <w:t>原</w:t>
      </w:r>
      <w:r>
        <w:rPr>
          <w:rFonts w:ascii="Times New Roman" w:hAnsi="Times New Roman" w:cs="Times New Roman" w:eastAsia="Times New Roman" w:hint="default"/>
          <w:spacing w:val="-2"/>
        </w:rPr>
        <w:t>10</w:t>
      </w:r>
      <w:r>
        <w:rPr>
          <w:spacing w:val="-2"/>
        </w:rPr>
        <w:t>名</w:t>
      </w:r>
      <w:r>
        <w:rPr>
          <w:rFonts w:ascii="Times New Roman" w:hAnsi="Times New Roman" w:cs="Times New Roman" w:eastAsia="Times New Roman" w:hint="default"/>
          <w:spacing w:val="-2"/>
        </w:rPr>
        <w:t>2016</w:t>
      </w:r>
      <w:r>
        <w:rPr>
          <w:spacing w:val="-2"/>
        </w:rPr>
        <w:t>年限制性股票股权激励对象因离职已不符合激励条件，公司对离职的原激励对象已获授但未解锁的限制性股票共</w:t>
      </w:r>
      <w:r>
        <w:rPr>
          <w:spacing w:val="-61"/>
        </w:rPr>
        <w:t> </w:t>
      </w:r>
      <w:r>
        <w:rPr>
          <w:spacing w:val="-61"/>
        </w:rPr>
      </w:r>
      <w:r>
        <w:rPr/>
        <w:t>计</w:t>
      </w:r>
      <w:r>
        <w:rPr>
          <w:rFonts w:ascii="Times New Roman" w:hAnsi="Times New Roman" w:cs="Times New Roman" w:eastAsia="Times New Roman" w:hint="default"/>
        </w:rPr>
        <w:t>98.56</w:t>
      </w:r>
      <w:r>
        <w:rPr/>
        <w:t>万股进行回购注销；鉴于公司</w:t>
      </w:r>
      <w:r>
        <w:rPr>
          <w:rFonts w:ascii="Times New Roman" w:hAnsi="Times New Roman" w:cs="Times New Roman" w:eastAsia="Times New Roman" w:hint="default"/>
        </w:rPr>
        <w:t>2015</w:t>
      </w:r>
      <w:r>
        <w:rPr/>
        <w:t>年限制性股票第二个解锁期解锁条件及</w:t>
      </w:r>
      <w:r>
        <w:rPr>
          <w:rFonts w:ascii="Times New Roman" w:hAnsi="Times New Roman" w:cs="Times New Roman" w:eastAsia="Times New Roman" w:hint="default"/>
        </w:rPr>
        <w:t>2016</w:t>
      </w:r>
      <w:r>
        <w:rPr/>
        <w:t>年已获授限制性股票第二个解锁期解 </w:t>
      </w:r>
      <w:r>
        <w:rPr>
          <w:spacing w:val="-2"/>
        </w:rPr>
        <w:t>锁条件未达成，公司对其他激励对象已获授但未达到</w:t>
      </w:r>
      <w:r>
        <w:rPr>
          <w:rFonts w:ascii="Times New Roman" w:hAnsi="Times New Roman" w:cs="Times New Roman" w:eastAsia="Times New Roman" w:hint="default"/>
          <w:spacing w:val="-2"/>
        </w:rPr>
        <w:t>2015</w:t>
      </w:r>
      <w:r>
        <w:rPr>
          <w:spacing w:val="-2"/>
        </w:rPr>
        <w:t>年第二个解锁期解锁条件及</w:t>
      </w:r>
      <w:r>
        <w:rPr>
          <w:rFonts w:ascii="Times New Roman" w:hAnsi="Times New Roman" w:cs="Times New Roman" w:eastAsia="Times New Roman" w:hint="default"/>
          <w:spacing w:val="-2"/>
        </w:rPr>
        <w:t>2016</w:t>
      </w:r>
      <w:r>
        <w:rPr>
          <w:spacing w:val="-2"/>
        </w:rPr>
        <w:t>年第二个解锁期解锁条件的限制性</w:t>
      </w:r>
      <w:r>
        <w:rPr>
          <w:spacing w:val="-60"/>
        </w:rPr>
        <w:t> </w:t>
      </w:r>
      <w:r>
        <w:rPr>
          <w:spacing w:val="-60"/>
        </w:rPr>
      </w:r>
      <w:r>
        <w:rPr/>
        <w:t>股票共计</w:t>
      </w:r>
      <w:r>
        <w:rPr>
          <w:rFonts w:ascii="Times New Roman" w:hAnsi="Times New Roman" w:cs="Times New Roman" w:eastAsia="Times New Roman" w:hint="default"/>
        </w:rPr>
        <w:t>163.2</w:t>
      </w:r>
      <w:r>
        <w:rPr/>
        <w:t>万股进行回购注销。公司本次共计回购注销限制性股票合计</w:t>
      </w:r>
      <w:r>
        <w:rPr>
          <w:rFonts w:ascii="Times New Roman" w:hAnsi="Times New Roman" w:cs="Times New Roman" w:eastAsia="Times New Roman" w:hint="default"/>
        </w:rPr>
        <w:t>261.76</w:t>
      </w:r>
      <w:r>
        <w:rPr/>
        <w:t>万股。公司于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日在中国证券登 记结算有限责任公司深圳分公司完成回购注销。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日，公司召开第三届董事会第十七次会议，审议通过了《关于回购注销部分限制性股票的议案》，鉴于原</w:t>
      </w:r>
      <w:r>
        <w:rPr>
          <w:rFonts w:ascii="Times New Roman" w:hAnsi="Times New Roman" w:cs="Times New Roman" w:eastAsia="Times New Roman" w:hint="default"/>
        </w:rPr>
        <w:t>7 </w:t>
      </w:r>
      <w:r>
        <w:rPr/>
        <w:t>名</w:t>
      </w:r>
      <w:r>
        <w:rPr>
          <w:rFonts w:ascii="Times New Roman" w:hAnsi="Times New Roman" w:cs="Times New Roman" w:eastAsia="Times New Roman" w:hint="default"/>
        </w:rPr>
        <w:t>2015</w:t>
      </w:r>
      <w:r>
        <w:rPr/>
        <w:t>年限制性股票股权激励对象及原</w:t>
      </w:r>
      <w:r>
        <w:rPr>
          <w:rFonts w:ascii="Times New Roman" w:hAnsi="Times New Roman" w:cs="Times New Roman" w:eastAsia="Times New Roman" w:hint="default"/>
        </w:rPr>
        <w:t>1</w:t>
      </w:r>
      <w:r>
        <w:rPr/>
        <w:t>名</w:t>
      </w:r>
      <w:r>
        <w:rPr>
          <w:rFonts w:ascii="Times New Roman" w:hAnsi="Times New Roman" w:cs="Times New Roman" w:eastAsia="Times New Roman" w:hint="default"/>
        </w:rPr>
        <w:t>2016</w:t>
      </w:r>
      <w:r>
        <w:rPr/>
        <w:t>年限制性股票股权激励对象因离职已不符合激励条件，公司对离职的原激励 </w:t>
      </w:r>
      <w:r>
        <w:rPr>
          <w:spacing w:val="-1"/>
        </w:rPr>
        <w:t>对象已获授但未解锁的限制性股票共计</w:t>
      </w:r>
      <w:r>
        <w:rPr>
          <w:rFonts w:ascii="Times New Roman" w:hAnsi="Times New Roman" w:cs="Times New Roman" w:eastAsia="Times New Roman" w:hint="default"/>
          <w:spacing w:val="-1"/>
        </w:rPr>
        <w:t>19.2</w:t>
      </w:r>
      <w:r>
        <w:rPr>
          <w:spacing w:val="-1"/>
        </w:rPr>
        <w:t>万股进行回购注销。公司于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30</w:t>
      </w:r>
      <w:r>
        <w:rPr>
          <w:spacing w:val="-1"/>
        </w:rPr>
        <w:t>日在中国证券登记结算有限责任公司深</w:t>
      </w:r>
      <w:r>
        <w:rPr>
          <w:spacing w:val="-71"/>
        </w:rPr>
        <w:t> </w:t>
      </w:r>
      <w:r>
        <w:rPr>
          <w:spacing w:val="-71"/>
        </w:rPr>
      </w:r>
      <w:r>
        <w:rPr/>
        <w:t>圳分公司完成回购注销。</w:t>
      </w:r>
    </w:p>
    <w:p>
      <w:pPr>
        <w:pStyle w:val="BodyText"/>
        <w:spacing w:line="300" w:lineRule="auto" w:before="70"/>
        <w:ind w:right="1131"/>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日，公司召开第三届董事会第二十一次会议，审议通过《关于</w:t>
      </w:r>
      <w:r>
        <w:rPr>
          <w:rFonts w:ascii="Times New Roman" w:hAnsi="Times New Roman" w:cs="Times New Roman" w:eastAsia="Times New Roman" w:hint="default"/>
          <w:spacing w:val="-2"/>
        </w:rPr>
        <w:t>2015</w:t>
      </w:r>
      <w:r>
        <w:rPr>
          <w:spacing w:val="-2"/>
        </w:rPr>
        <w:t>年限制性股票股权激励计划第三个解锁期</w:t>
      </w:r>
      <w:r>
        <w:rPr>
          <w:spacing w:val="-57"/>
        </w:rPr>
        <w:t> </w:t>
      </w:r>
      <w:r>
        <w:rPr>
          <w:spacing w:val="-57"/>
        </w:rPr>
      </w:r>
      <w:r>
        <w:rPr>
          <w:spacing w:val="-2"/>
        </w:rPr>
        <w:t>解锁条件成就的议案》，鉴于公司</w:t>
      </w:r>
      <w:r>
        <w:rPr>
          <w:rFonts w:ascii="Times New Roman" w:hAnsi="Times New Roman" w:cs="Times New Roman" w:eastAsia="Times New Roman" w:hint="default"/>
          <w:spacing w:val="-2"/>
        </w:rPr>
        <w:t>2015</w:t>
      </w:r>
      <w:r>
        <w:rPr>
          <w:spacing w:val="-2"/>
        </w:rPr>
        <w:t>年限制性股票激励计划授予的限制性股票第三个解锁期解锁条件已经满足，根据《高</w:t>
      </w:r>
      <w:r>
        <w:rPr>
          <w:spacing w:val="-63"/>
        </w:rPr>
        <w:t> </w:t>
      </w:r>
      <w:r>
        <w:rPr>
          <w:spacing w:val="-63"/>
        </w:rPr>
      </w:r>
      <w:r>
        <w:rPr>
          <w:spacing w:val="-2"/>
        </w:rPr>
        <w:t>伟达软件股份有限公司</w:t>
      </w:r>
      <w:r>
        <w:rPr>
          <w:rFonts w:ascii="Times New Roman" w:hAnsi="Times New Roman" w:cs="Times New Roman" w:eastAsia="Times New Roman" w:hint="default"/>
          <w:spacing w:val="-2"/>
        </w:rPr>
        <w:t>2015</w:t>
      </w:r>
      <w:r>
        <w:rPr>
          <w:spacing w:val="-2"/>
        </w:rPr>
        <w:t>年限制性股票激励计划》的相关规定，公司将按照规定办理</w:t>
      </w:r>
      <w:r>
        <w:rPr>
          <w:rFonts w:ascii="Times New Roman" w:hAnsi="Times New Roman" w:cs="Times New Roman" w:eastAsia="Times New Roman" w:hint="default"/>
          <w:spacing w:val="-2"/>
        </w:rPr>
        <w:t>2015</w:t>
      </w:r>
      <w:r>
        <w:rPr>
          <w:spacing w:val="-2"/>
        </w:rPr>
        <w:t>年激励计划第三个解锁期限制性</w:t>
      </w:r>
      <w:r>
        <w:rPr>
          <w:spacing w:val="-59"/>
        </w:rPr>
        <w:t> </w:t>
      </w:r>
      <w:r>
        <w:rPr/>
        <w:t>股票总额的</w:t>
      </w:r>
      <w:r>
        <w:rPr>
          <w:rFonts w:ascii="Times New Roman" w:hAnsi="Times New Roman" w:cs="Times New Roman" w:eastAsia="Times New Roman" w:hint="default"/>
        </w:rPr>
        <w:t>40%</w:t>
      </w:r>
      <w:r>
        <w:rPr/>
        <w:t>的解锁相关事宜；审议通过《关于回购注销部分限制性股票的议案》，鉴于原</w:t>
      </w:r>
      <w:r>
        <w:rPr>
          <w:rFonts w:ascii="Times New Roman" w:hAnsi="Times New Roman" w:cs="Times New Roman" w:eastAsia="Times New Roman" w:hint="default"/>
        </w:rPr>
        <w:t>8</w:t>
      </w:r>
      <w:r>
        <w:rPr/>
        <w:t>名</w:t>
      </w:r>
      <w:r>
        <w:rPr>
          <w:rFonts w:ascii="Times New Roman" w:hAnsi="Times New Roman" w:cs="Times New Roman" w:eastAsia="Times New Roman" w:hint="default"/>
        </w:rPr>
        <w:t>2015</w:t>
      </w:r>
      <w:r>
        <w:rPr/>
        <w:t>年限制性股票股权激</w:t>
      </w:r>
      <w:r>
        <w:rPr>
          <w:spacing w:val="-57"/>
        </w:rPr>
        <w:t> </w:t>
      </w:r>
      <w:r>
        <w:rPr>
          <w:spacing w:val="-57"/>
        </w:rPr>
      </w:r>
      <w:r>
        <w:rPr/>
        <w:t>励对象及原</w:t>
      </w:r>
      <w:r>
        <w:rPr>
          <w:rFonts w:ascii="Times New Roman" w:hAnsi="Times New Roman" w:cs="Times New Roman" w:eastAsia="Times New Roman" w:hint="default"/>
        </w:rPr>
        <w:t>6</w:t>
      </w:r>
      <w:r>
        <w:rPr/>
        <w:t>名</w:t>
      </w:r>
      <w:r>
        <w:rPr>
          <w:rFonts w:ascii="Times New Roman" w:hAnsi="Times New Roman" w:cs="Times New Roman" w:eastAsia="Times New Roman" w:hint="default"/>
        </w:rPr>
        <w:t>2016</w:t>
      </w:r>
      <w:r>
        <w:rPr/>
        <w:t>年限制性股票股权激励对象因离职已不符合激励条件，公司拟对离职的原激励对象已获授但未解锁的限</w:t>
      </w:r>
      <w:r>
        <w:rPr>
          <w:spacing w:val="-85"/>
        </w:rPr>
        <w:t> </w:t>
      </w:r>
      <w:r>
        <w:rPr>
          <w:spacing w:val="-85"/>
        </w:rPr>
      </w:r>
      <w:r>
        <w:rPr/>
        <w:t>制性股票共计</w:t>
      </w:r>
      <w:r>
        <w:rPr>
          <w:rFonts w:ascii="Times New Roman" w:hAnsi="Times New Roman" w:cs="Times New Roman" w:eastAsia="Times New Roman" w:hint="default"/>
        </w:rPr>
        <w:t>26.88</w:t>
      </w:r>
      <w:r>
        <w:rPr/>
        <w:t>万股进行回购注销。尚需在中国证券登记结算有限责任公司深圳分公司完成回购注销登记。</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240" w:lineRule="auto"/>
        <w:ind w:right="11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right="1117"/>
        <w:jc w:val="left"/>
      </w:pPr>
      <w:r>
        <w:rPr>
          <w:rFonts w:ascii="Times New Roman" w:hAnsi="Times New Roman" w:cs="Times New Roman" w:eastAsia="Times New Roman" w:hint="default"/>
        </w:rPr>
        <w:t>2018</w:t>
      </w:r>
      <w:r>
        <w:rPr/>
        <w:t>年因实施股权激励计提的股份支付费用为</w:t>
      </w:r>
      <w:r>
        <w:rPr>
          <w:rFonts w:ascii="Times New Roman" w:hAnsi="Times New Roman" w:cs="Times New Roman" w:eastAsia="Times New Roman" w:hint="default"/>
        </w:rPr>
        <w:t>1,980,451.73</w:t>
      </w:r>
      <w:r>
        <w:rPr/>
        <w:t>元，对上市公司净利润的影响为</w:t>
      </w:r>
      <w:r>
        <w:rPr>
          <w:rFonts w:ascii="Times New Roman" w:hAnsi="Times New Roman" w:cs="Times New Roman" w:eastAsia="Times New Roman" w:hint="default"/>
        </w:rPr>
        <w:t>1,980,451.73</w:t>
      </w:r>
      <w:r>
        <w:rPr/>
        <w:t>元。</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4"/>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after="0" w:line="340" w:lineRule="auto"/>
        <w:jc w:val="left"/>
        <w:sectPr>
          <w:pgSz w:w="11910" w:h="16840"/>
          <w:pgMar w:header="786" w:footer="1267" w:top="1100" w:bottom="146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9"/>
        <w:rPr>
          <w:rFonts w:ascii="宋体" w:hAnsi="宋体" w:cs="宋体" w:eastAsia="宋体" w:hint="default"/>
          <w:sz w:val="19"/>
          <w:szCs w:val="19"/>
        </w:rPr>
      </w:pPr>
    </w:p>
    <w:p>
      <w:pPr>
        <w:pStyle w:val="Heading2"/>
        <w:spacing w:line="240" w:lineRule="auto"/>
        <w:ind w:right="1117"/>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5"/>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7"/>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86" w:footer="1267" w:top="1100" w:bottom="14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100" w:bottom="70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53"/>
        <w:gridCol w:w="1991"/>
        <w:gridCol w:w="1911"/>
        <w:gridCol w:w="1846"/>
      </w:tblGrid>
      <w:tr>
        <w:trPr>
          <w:trHeight w:val="404"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91"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28,900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70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869"/>
        <w:gridCol w:w="1963"/>
        <w:gridCol w:w="1980"/>
        <w:gridCol w:w="1911"/>
        <w:gridCol w:w="1846"/>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31,900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17"/>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1"/>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117"/>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3914"/>
        <w:jc w:val="left"/>
      </w:pPr>
      <w:r>
        <w:rPr>
          <w:rFonts w:ascii="Times New Roman" w:hAnsi="Times New Roman" w:cs="Times New Roman" w:eastAsia="Times New Roman" w:hint="default"/>
        </w:rPr>
        <w:t>2018</w:t>
      </w:r>
      <w:r>
        <w:rPr/>
        <w:t>年，公司积极履行各项社会责任与义务，努力促进公司和社会的和谐发展与共处。 一、诚信为本，保障客户利益</w:t>
      </w:r>
    </w:p>
    <w:p>
      <w:pPr>
        <w:pStyle w:val="BodyText"/>
        <w:spacing w:line="338" w:lineRule="auto" w:before="41"/>
        <w:ind w:right="1117"/>
        <w:jc w:val="left"/>
      </w:pPr>
      <w:r>
        <w:rPr>
          <w:spacing w:val="-2"/>
        </w:rPr>
        <w:t>公司在与客户业务中，强调诚实守信，以满足客户需求、帮助客户解决问题为己任，实时了解客户行业政策变动，把握客户</w:t>
      </w:r>
      <w:r>
        <w:rPr>
          <w:spacing w:val="-67"/>
        </w:rPr>
        <w:t> </w:t>
      </w:r>
      <w:r>
        <w:rPr>
          <w:spacing w:val="-67"/>
        </w:rPr>
      </w:r>
      <w:r>
        <w:rPr/>
        <w:t>需求，提高研发能力，以优质服务提升客户的满意度和运行效率。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月，公司及三家子公司成功通过（</w:t>
      </w:r>
      <w:r>
        <w:rPr>
          <w:rFonts w:ascii="Times New Roman" w:hAnsi="Times New Roman" w:cs="Times New Roman" w:eastAsia="Times New Roman" w:hint="default"/>
        </w:rPr>
        <w:t>ISMS</w:t>
      </w:r>
      <w:r>
        <w:rPr/>
        <w:t>）信息安全管理体系（</w:t>
      </w:r>
      <w:r>
        <w:rPr>
          <w:rFonts w:ascii="Times New Roman" w:hAnsi="Times New Roman" w:cs="Times New Roman" w:eastAsia="Times New Roman" w:hint="default"/>
        </w:rPr>
        <w:t>ISO</w:t>
      </w:r>
      <w:r>
        <w:rPr>
          <w:rFonts w:ascii="Times New Roman" w:hAnsi="Times New Roman" w:cs="Times New Roman" w:eastAsia="Times New Roman" w:hint="default"/>
          <w:spacing w:val="-19"/>
        </w:rPr>
        <w:t> </w:t>
      </w:r>
      <w:r>
        <w:rPr>
          <w:rFonts w:ascii="Times New Roman" w:hAnsi="Times New Roman" w:cs="Times New Roman" w:eastAsia="Times New Roman" w:hint="default"/>
        </w:rPr>
        <w:t>/</w:t>
      </w:r>
      <w:r>
        <w:rPr>
          <w:rFonts w:ascii="Times New Roman" w:hAnsi="Times New Roman" w:cs="Times New Roman" w:eastAsia="Times New Roman" w:hint="default"/>
          <w:spacing w:val="-19"/>
        </w:rPr>
        <w:t> </w:t>
      </w:r>
      <w:r>
        <w:rPr>
          <w:rFonts w:ascii="Times New Roman" w:hAnsi="Times New Roman" w:cs="Times New Roman" w:eastAsia="Times New Roman" w:hint="default"/>
        </w:rPr>
        <w:t>IEC</w:t>
      </w:r>
      <w:r>
        <w:rPr>
          <w:rFonts w:ascii="Times New Roman" w:hAnsi="Times New Roman" w:cs="Times New Roman" w:eastAsia="Times New Roman" w:hint="default"/>
          <w:spacing w:val="-19"/>
        </w:rPr>
        <w:t> </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rFonts w:ascii="Times New Roman" w:hAnsi="Times New Roman" w:cs="Times New Roman" w:eastAsia="Times New Roman" w:hint="default"/>
        </w:rPr>
        <w:t>27001</w:t>
      </w:r>
      <w:r>
        <w:rPr/>
        <w:t>）认证，获得</w:t>
      </w:r>
      <w:r>
        <w:rPr>
          <w:rFonts w:ascii="Times New Roman" w:hAnsi="Times New Roman" w:cs="Times New Roman" w:eastAsia="Times New Roman" w:hint="default"/>
        </w:rPr>
        <w:t>ISO</w:t>
      </w:r>
      <w:r>
        <w:rPr>
          <w:rFonts w:ascii="Times New Roman" w:hAnsi="Times New Roman" w:cs="Times New Roman" w:eastAsia="Times New Roman" w:hint="default"/>
          <w:spacing w:val="-19"/>
        </w:rPr>
        <w:t> </w:t>
      </w:r>
      <w:r>
        <w:rPr>
          <w:rFonts w:ascii="Times New Roman" w:hAnsi="Times New Roman" w:cs="Times New Roman" w:eastAsia="Times New Roman" w:hint="default"/>
        </w:rPr>
        <w:t>27001</w:t>
      </w:r>
      <w:r>
        <w:rPr/>
        <w:t>证书，将进</w:t>
      </w:r>
    </w:p>
    <w:p>
      <w:pPr>
        <w:pStyle w:val="BodyText"/>
        <w:spacing w:line="217" w:lineRule="exact"/>
        <w:ind w:right="991"/>
        <w:jc w:val="left"/>
      </w:pPr>
      <w:r>
        <w:rPr/>
        <w:t>一步增强高伟达全员信息安全意识，有助于我们更好地保护公司资产和客户资产，降低法律和运营风险、更安全高效服务于</w:t>
      </w:r>
    </w:p>
    <w:p>
      <w:pPr>
        <w:pStyle w:val="BodyText"/>
        <w:spacing w:line="360" w:lineRule="auto" w:before="76"/>
        <w:ind w:right="1134"/>
        <w:jc w:val="left"/>
      </w:pPr>
      <w:r>
        <w:rPr/>
        <w:t>客户，提高客户满意度，为公司业务可持续发展保驾护航。 此外，</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月，公司荣获国家开发银行</w:t>
      </w:r>
      <w:r>
        <w:rPr>
          <w:rFonts w:ascii="Times New Roman" w:hAnsi="Times New Roman" w:cs="Times New Roman" w:eastAsia="Times New Roman" w:hint="default"/>
        </w:rPr>
        <w:t>2017</w:t>
      </w:r>
      <w:r>
        <w:rPr/>
        <w:t>年度应用系统建设领域优秀外包商；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月，在</w:t>
      </w:r>
      <w:r>
        <w:rPr>
          <w:rFonts w:ascii="Times New Roman" w:hAnsi="Times New Roman" w:cs="Times New Roman" w:eastAsia="Times New Roman" w:hint="default"/>
        </w:rPr>
        <w:t>“</w:t>
      </w:r>
      <w:r>
        <w:rPr/>
        <w:t>华为中国生态伙伴大会</w:t>
      </w:r>
    </w:p>
    <w:p>
      <w:pPr>
        <w:pStyle w:val="BodyText"/>
        <w:spacing w:line="212" w:lineRule="exact"/>
        <w:ind w:right="1117"/>
        <w:jc w:val="left"/>
      </w:pPr>
      <w:r>
        <w:rPr>
          <w:rFonts w:ascii="Times New Roman" w:hAnsi="Times New Roman" w:cs="Times New Roman" w:eastAsia="Times New Roman" w:hint="default"/>
        </w:rPr>
        <w:t>2018”</w:t>
      </w:r>
      <w:r>
        <w:rPr/>
        <w:t>中荣获</w:t>
      </w:r>
      <w:r>
        <w:rPr>
          <w:rFonts w:ascii="Times New Roman" w:hAnsi="Times New Roman" w:cs="Times New Roman" w:eastAsia="Times New Roman" w:hint="default"/>
        </w:rPr>
        <w:t>“</w:t>
      </w:r>
      <w:r>
        <w:rPr/>
        <w:t>华为领先解决方案合作伙伴</w:t>
      </w:r>
      <w:r>
        <w:rPr>
          <w:rFonts w:ascii="Times New Roman" w:hAnsi="Times New Roman" w:cs="Times New Roman" w:eastAsia="Times New Roman" w:hint="default"/>
        </w:rPr>
        <w:t>”</w:t>
      </w:r>
      <w:r>
        <w:rPr/>
        <w:t>荣誉。</w:t>
      </w:r>
    </w:p>
    <w:p>
      <w:pPr>
        <w:pStyle w:val="BodyText"/>
        <w:spacing w:line="338" w:lineRule="auto" w:before="104"/>
        <w:ind w:right="1034"/>
        <w:jc w:val="left"/>
      </w:pPr>
      <w:r>
        <w:rPr/>
        <w:t>二、依法纳税，奉献社会 公司始终将依法经营作为公司运行的基本原则，注重企业经济效益与社会效益的和谐共赢。公司积极依法纳税，促进就业，</w:t>
      </w:r>
      <w:r>
        <w:rPr>
          <w:spacing w:val="-83"/>
        </w:rPr>
        <w:t> </w:t>
      </w:r>
      <w:r>
        <w:rPr>
          <w:spacing w:val="-83"/>
        </w:rPr>
      </w:r>
      <w:r>
        <w:rPr/>
        <w:t>支持地方经济的发展。通过开展扶贫捐助等活动，积极参与社会公益事业，履行社会责任。</w:t>
      </w:r>
    </w:p>
    <w:p>
      <w:pPr>
        <w:pStyle w:val="BodyText"/>
        <w:spacing w:line="338" w:lineRule="auto" w:before="43"/>
        <w:ind w:right="1117"/>
        <w:jc w:val="left"/>
      </w:pPr>
      <w:r>
        <w:rPr/>
        <w:t>三、投身公益，传播爱的能量 </w:t>
      </w:r>
      <w:r>
        <w:rPr>
          <w:spacing w:val="-2"/>
        </w:rPr>
        <w:t>上市以来，公司共向上百所乡村贫困学校捐赠公司电脑，供学校师生使用，帮助了乡村教师提高教学水平，拓展山村孩子们</w:t>
      </w:r>
      <w:r>
        <w:rPr>
          <w:spacing w:val="-65"/>
        </w:rPr>
        <w:t> </w:t>
      </w:r>
      <w:r>
        <w:rPr>
          <w:spacing w:val="-65"/>
        </w:rPr>
      </w:r>
      <w:r>
        <w:rPr/>
        <w:t>的视野，填补信息鸿沟，缩短城乡教育差距。激励广大贫困学子以一颗感恩的心发奋学习、回报社会。</w:t>
      </w:r>
    </w:p>
    <w:p>
      <w:pPr>
        <w:spacing w:after="0" w:line="338" w:lineRule="auto"/>
        <w:jc w:val="left"/>
        <w:sectPr>
          <w:pgSz w:w="11910" w:h="16840"/>
          <w:pgMar w:header="786" w:footer="1267" w:top="1100" w:bottom="146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81"/>
      </w:tblGrid>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240" w:lineRule="auto" w:before="25"/>
        <w:ind w:right="1117"/>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1117"/>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8"/>
        <w:rPr>
          <w:rFonts w:ascii="宋体" w:hAnsi="宋体" w:cs="宋体" w:eastAsia="宋体" w:hint="default"/>
          <w:sz w:val="19"/>
          <w:szCs w:val="19"/>
        </w:rPr>
      </w:pPr>
    </w:p>
    <w:p>
      <w:pPr>
        <w:pStyle w:val="Heading2"/>
        <w:spacing w:line="240" w:lineRule="auto"/>
        <w:ind w:right="1117"/>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267" w:top="110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2964" w:right="1117"/>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7"/>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3"/>
        <w:gridCol w:w="969"/>
        <w:gridCol w:w="701"/>
        <w:gridCol w:w="775"/>
        <w:gridCol w:w="415"/>
        <w:gridCol w:w="958"/>
        <w:gridCol w:w="1015"/>
        <w:gridCol w:w="1016"/>
        <w:gridCol w:w="958"/>
        <w:gridCol w:w="701"/>
      </w:tblGrid>
      <w:tr>
        <w:trPr>
          <w:trHeight w:val="206"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7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94"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833" w:type="dxa"/>
            <w:vMerge w:val="restart"/>
            <w:tcBorders>
              <w:top w:val="nil" w:sz="6" w:space="0" w:color="auto"/>
              <w:left w:val="single" w:sz="4" w:space="0" w:color="000000"/>
              <w:right w:val="single" w:sz="4" w:space="0" w:color="000000"/>
            </w:tcBorders>
            <w:shd w:val="clear" w:color="auto" w:fill="D2D2D2"/>
          </w:tcPr>
          <w:p>
            <w:pPr/>
          </w:p>
        </w:tc>
        <w:tc>
          <w:tcPr>
            <w:tcW w:w="1670" w:type="dxa"/>
            <w:gridSpan w:val="2"/>
            <w:vMerge/>
            <w:tcBorders>
              <w:left w:val="single" w:sz="4" w:space="0" w:color="000000"/>
              <w:bottom w:val="single" w:sz="4" w:space="0" w:color="000000"/>
              <w:right w:val="single" w:sz="4" w:space="0" w:color="000000"/>
            </w:tcBorders>
            <w:shd w:val="clear" w:color="auto" w:fill="D2D2D2"/>
          </w:tcPr>
          <w:p>
            <w:pPr/>
          </w:p>
        </w:tc>
        <w:tc>
          <w:tcPr>
            <w:tcW w:w="4179" w:type="dxa"/>
            <w:gridSpan w:val="5"/>
            <w:vMerge/>
            <w:tcBorders>
              <w:left w:val="single" w:sz="4" w:space="0" w:color="000000"/>
              <w:bottom w:val="single" w:sz="4" w:space="0" w:color="000000"/>
              <w:right w:val="single" w:sz="4" w:space="0" w:color="000000"/>
            </w:tcBorders>
            <w:shd w:val="clear" w:color="auto" w:fill="D2D2D2"/>
          </w:tcPr>
          <w:p>
            <w:pPr/>
          </w:p>
        </w:tc>
        <w:tc>
          <w:tcPr>
            <w:tcW w:w="165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833" w:type="dxa"/>
            <w:vMerge/>
            <w:tcBorders>
              <w:left w:val="single" w:sz="4" w:space="0" w:color="000000"/>
              <w:bottom w:val="nil" w:sz="6" w:space="0" w:color="auto"/>
              <w:right w:val="single" w:sz="4" w:space="0" w:color="000000"/>
            </w:tcBorders>
            <w:shd w:val="clear" w:color="auto" w:fill="D2D2D2"/>
          </w:tcPr>
          <w:p>
            <w:pPr/>
          </w:p>
        </w:tc>
        <w:tc>
          <w:tcPr>
            <w:tcW w:w="9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969"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415"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1015" w:type="dxa"/>
            <w:vMerge/>
            <w:tcBorders>
              <w:left w:val="single" w:sz="4" w:space="0" w:color="000000"/>
              <w:bottom w:val="single" w:sz="4" w:space="0" w:color="000000"/>
              <w:right w:val="single" w:sz="4" w:space="0" w:color="000000"/>
            </w:tcBorders>
            <w:shd w:val="clear" w:color="auto" w:fill="D2D2D2"/>
          </w:tcPr>
          <w:p>
            <w:pPr/>
          </w:p>
        </w:tc>
        <w:tc>
          <w:tcPr>
            <w:tcW w:w="1016"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180,906,257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40.21%</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-160,537,600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-160,537,600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20,368,657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180,906,257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40.21%</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-160,537,600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-160,537,600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20,368,657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176,112,657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39.14%</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-157,728,000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-157,728,000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18,384,657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4,793,600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-2,809,600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-2,809,600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268,960,000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59.79%</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157,728,000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157,728,000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426,688,000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95.44%</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268,960,000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59.79%</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157,728,000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157,728,000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426,688,000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95.44%</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449,866,257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-2,809,600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-2,809,600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447,056,657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17"/>
        <w:jc w:val="left"/>
      </w:pPr>
      <w:r>
        <w:rPr/>
        <w:t>股份变动的原因</w:t>
      </w:r>
    </w:p>
    <w:p>
      <w:pPr>
        <w:pStyle w:val="BodyText"/>
        <w:spacing w:line="240" w:lineRule="auto" w:before="115"/>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17"/>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日，鹰潭市鹰高投资咨询有限公司、鹰潭市锐鹰投资咨询有限公司及鹰潭市华鹰投资咨询有限公司共解除</w:t>
      </w:r>
      <w:r>
        <w:rPr>
          <w:spacing w:val="-63"/>
        </w:rPr>
        <w:t> </w:t>
      </w:r>
      <w:r>
        <w:rPr>
          <w:spacing w:val="-63"/>
        </w:rPr>
      </w:r>
      <w:r>
        <w:rPr/>
        <w:t>首次公司发行限售股票合计</w:t>
      </w:r>
      <w:r>
        <w:rPr>
          <w:rFonts w:ascii="Times New Roman" w:hAnsi="Times New Roman" w:cs="Times New Roman" w:eastAsia="Times New Roman" w:hint="default"/>
        </w:rPr>
        <w:t>157,728,000</w:t>
      </w:r>
      <w:r>
        <w:rPr/>
        <w:t>股。</w:t>
      </w:r>
    </w:p>
    <w:p>
      <w:pPr>
        <w:pStyle w:val="BodyText"/>
        <w:spacing w:line="300" w:lineRule="auto" w:before="13"/>
        <w:ind w:right="1131"/>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日，公司</w:t>
      </w:r>
      <w:r>
        <w:rPr>
          <w:rFonts w:ascii="Times New Roman" w:hAnsi="Times New Roman" w:cs="Times New Roman" w:eastAsia="Times New Roman" w:hint="default"/>
          <w:spacing w:val="-2"/>
        </w:rPr>
        <w:t>2017</w:t>
      </w:r>
      <w:r>
        <w:rPr>
          <w:spacing w:val="-2"/>
        </w:rPr>
        <w:t>年年度股东大会审议通过了《关于回购注销部分限制性股票及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2016</w:t>
      </w:r>
      <w:r>
        <w:rPr>
          <w:spacing w:val="-2"/>
        </w:rPr>
        <w:t>年股权激励计划</w:t>
      </w:r>
      <w:r>
        <w:rPr>
          <w:spacing w:val="-52"/>
        </w:rPr>
        <w:t> </w:t>
      </w:r>
      <w:r>
        <w:rPr/>
        <w:t>已获授但未达到第二个解锁期解锁条件的限制性股票的议案》，共计回购</w:t>
      </w:r>
      <w:r>
        <w:rPr>
          <w:rFonts w:ascii="Times New Roman" w:hAnsi="Times New Roman" w:cs="Times New Roman" w:eastAsia="Times New Roman" w:hint="default"/>
        </w:rPr>
        <w:t>261.76</w:t>
      </w:r>
      <w:r>
        <w:rPr/>
        <w:t>万股限制性股票，公司于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日在</w:t>
      </w:r>
      <w:r>
        <w:rPr>
          <w:spacing w:val="-3"/>
        </w:rPr>
        <w:t> </w:t>
      </w:r>
      <w:r>
        <w:rPr/>
        <w:t>中国证券登记结算有限责任公司深圳分公司完成回购注销</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公司股份总数</w:t>
      </w:r>
      <w:r>
        <w:rPr>
          <w:rFonts w:ascii="Times New Roman" w:hAnsi="Times New Roman" w:cs="Times New Roman" w:eastAsia="Times New Roman" w:hint="default"/>
        </w:rPr>
        <w:t>449,866,257</w:t>
      </w:r>
      <w:r>
        <w:rPr/>
        <w:t>股变更为</w:t>
      </w:r>
      <w:r>
        <w:rPr>
          <w:rFonts w:ascii="Times New Roman" w:hAnsi="Times New Roman" w:cs="Times New Roman" w:eastAsia="Times New Roman" w:hint="default"/>
        </w:rPr>
        <w:t>448,147,857</w:t>
      </w:r>
      <w:r>
        <w:rPr/>
        <w:t>股。</w:t>
      </w:r>
    </w:p>
    <w:p>
      <w:pPr>
        <w:pStyle w:val="BodyText"/>
        <w:spacing w:line="300" w:lineRule="auto" w:before="13"/>
        <w:ind w:right="1117"/>
        <w:jc w:val="left"/>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29</w:t>
      </w:r>
      <w:r>
        <w:rPr>
          <w:spacing w:val="-1"/>
        </w:rPr>
        <w:t>日，公司第三届董事会第十七次会议审议通过了《关于回购注销部分限制性股票的议案》，共计回购</w:t>
      </w:r>
      <w:r>
        <w:rPr>
          <w:rFonts w:ascii="Times New Roman" w:hAnsi="Times New Roman" w:cs="Times New Roman" w:eastAsia="Times New Roman" w:hint="default"/>
          <w:spacing w:val="-1"/>
        </w:rPr>
        <w:t>19.2</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万股限制性股票，公司于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日在中国证券登记结算有限责任公司深圳分公司完成回购注销，公司股份总数由 </w:t>
      </w:r>
      <w:r>
        <w:rPr>
          <w:rFonts w:ascii="Times New Roman" w:hAnsi="Times New Roman" w:cs="Times New Roman" w:eastAsia="Times New Roman" w:hint="default"/>
        </w:rPr>
        <w:t>448,147,857</w:t>
      </w:r>
      <w:r>
        <w:rPr/>
        <w:t>股变更为</w:t>
      </w:r>
      <w:r>
        <w:rPr>
          <w:spacing w:val="-4"/>
        </w:rPr>
        <w:t> </w:t>
      </w:r>
      <w:r>
        <w:rPr>
          <w:rFonts w:ascii="Times New Roman" w:hAnsi="Times New Roman" w:cs="Times New Roman" w:eastAsia="Times New Roman" w:hint="default"/>
        </w:rPr>
        <w:t>447,056,657</w:t>
      </w:r>
      <w:r>
        <w:rPr/>
        <w:t>股。</w:t>
      </w:r>
    </w:p>
    <w:p>
      <w:pPr>
        <w:spacing w:line="240" w:lineRule="auto" w:before="0"/>
        <w:rPr>
          <w:rFonts w:ascii="宋体" w:hAnsi="宋体" w:cs="宋体" w:eastAsia="宋体" w:hint="default"/>
          <w:sz w:val="18"/>
          <w:szCs w:val="18"/>
        </w:rPr>
      </w:pPr>
    </w:p>
    <w:p>
      <w:pPr>
        <w:pStyle w:val="BodyText"/>
        <w:spacing w:line="240" w:lineRule="auto" w:before="130"/>
        <w:ind w:right="1117"/>
        <w:jc w:val="left"/>
      </w:pPr>
      <w:r>
        <w:rPr/>
        <w:t>股份变动的批准情况</w:t>
      </w:r>
    </w:p>
    <w:p>
      <w:pPr>
        <w:spacing w:after="0" w:line="240" w:lineRule="auto"/>
        <w:jc w:val="left"/>
        <w:sectPr>
          <w:footerReference w:type="default" r:id="rId14"/>
          <w:pgSz w:w="11910" w:h="16840"/>
          <w:pgMar w:footer="1267" w:header="786" w:top="1100" w:bottom="1460" w:left="980" w:right="0"/>
          <w:pgNumType w:start="56"/>
        </w:sectPr>
      </w:pPr>
    </w:p>
    <w:p>
      <w:pPr>
        <w:spacing w:line="240" w:lineRule="auto" w:before="8"/>
        <w:rPr>
          <w:rFonts w:ascii="宋体" w:hAnsi="宋体" w:cs="宋体" w:eastAsia="宋体" w:hint="default"/>
          <w:sz w:val="22"/>
          <w:szCs w:val="22"/>
        </w:rPr>
      </w:pPr>
      <w:r>
        <w:rPr/>
        <w:pict>
          <v:shape style="position:absolute;margin-left:73.919998pt;margin-top:591.940002pt;width:119.1pt;height:15.6pt;mso-position-horizontal-relative:page;mso-position-vertical-relative:page;z-index:-1028584" type="#_x0000_t202" filled="false" stroked="false">
            <v:textbox inset="0,0,0,0">
              <w:txbxContent>
                <w:p>
                  <w:pPr>
                    <w:pStyle w:val="BodyText"/>
                    <w:spacing w:line="205" w:lineRule="exact"/>
                    <w:ind w:left="0" w:right="0"/>
                    <w:jc w:val="left"/>
                  </w:pPr>
                  <w:r>
                    <w:rPr/>
                    <w:t>（有限合伙）</w:t>
                  </w:r>
                </w:p>
              </w:txbxContent>
            </v:textbox>
            <w10:wrap type="none"/>
          </v:shape>
        </w:pict>
      </w:r>
      <w:r>
        <w:rPr/>
        <w:pict>
          <v:group style="position:absolute;margin-left:125.059998pt;margin-top:591.940002pt;width:67.95pt;height:15.6pt;mso-position-horizontal-relative:page;mso-position-vertical-relative:page;z-index:-1028560" coordorigin="2501,11839" coordsize="1359,312">
            <v:shape style="position:absolute;left:2501;top:11839;width:1359;height:312" coordorigin="2501,11839" coordsize="1359,312" path="m2501,12151l3860,12151,3860,11839,2501,11839,2501,12151xe" filled="true" fillcolor="#ffffff" stroked="false">
              <v:path arrowok="t"/>
              <v:fill type="solid"/>
            </v:shape>
            <w10:wrap type="none"/>
          </v:group>
        </w:pict>
      </w:r>
    </w:p>
    <w:p>
      <w:pPr>
        <w:pStyle w:val="BodyText"/>
        <w:spacing w:line="340" w:lineRule="auto" w:before="44"/>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39"/>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同</w:t>
      </w:r>
      <w:r>
        <w:rPr>
          <w:rFonts w:ascii="Times New Roman" w:hAnsi="Times New Roman" w:cs="Times New Roman" w:eastAsia="Times New Roman" w:hint="default"/>
        </w:rPr>
        <w:t>“</w:t>
      </w:r>
      <w:r>
        <w:rPr/>
        <w:t>股份变动的原因</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5"/>
          <w:szCs w:val="25"/>
        </w:rPr>
      </w:pPr>
    </w:p>
    <w:p>
      <w:pPr>
        <w:pStyle w:val="BodyText"/>
        <w:spacing w:line="240" w:lineRule="auto"/>
        <w:ind w:right="1117"/>
        <w:jc w:val="left"/>
      </w:pPr>
      <w:r>
        <w:rPr/>
        <w:t>股份回购的实施进展情况</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38" w:lineRule="auto" w:before="4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4"/>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39"/>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342"/>
        <w:gridCol w:w="1027"/>
        <w:gridCol w:w="1368"/>
        <w:gridCol w:w="1371"/>
        <w:gridCol w:w="1369"/>
        <w:gridCol w:w="1243"/>
        <w:gridCol w:w="1488"/>
      </w:tblGrid>
      <w:tr>
        <w:trPr>
          <w:trHeight w:val="716"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鹰潭市鹰高投资 咨询有限公司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140,843,740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138,329,600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2,514,140</w:t>
            </w:r>
          </w:p>
        </w:tc>
        <w:tc>
          <w:tcPr>
            <w:tcW w:w="12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非公开限售</w:t>
            </w:r>
          </w:p>
        </w:tc>
        <w:tc>
          <w:tcPr>
            <w:tcW w:w="14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715"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鹰潭市华鹰投资 咨询有限公司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9,638,400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9,638,400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鹰潭市锐鹰投资 咨询有限公司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9,760,000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9,760,000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北京睿韬科技有 限责任公司</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8,847,265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8,847,265</w:t>
            </w:r>
          </w:p>
        </w:tc>
        <w:tc>
          <w:tcPr>
            <w:tcW w:w="12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资产重组限售</w:t>
            </w:r>
          </w:p>
        </w:tc>
        <w:tc>
          <w:tcPr>
            <w:tcW w:w="14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1025"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69"/>
              <w:jc w:val="both"/>
              <w:rPr>
                <w:rFonts w:ascii="宋体" w:hAnsi="宋体" w:cs="宋体" w:eastAsia="宋体" w:hint="default"/>
                <w:sz w:val="18"/>
                <w:szCs w:val="18"/>
              </w:rPr>
            </w:pPr>
            <w:r>
              <w:rPr>
                <w:rFonts w:ascii="宋体" w:hAnsi="宋体" w:cs="宋体" w:eastAsia="宋体" w:hint="default"/>
                <w:sz w:val="18"/>
                <w:szCs w:val="18"/>
              </w:rPr>
              <w:t>宁波镇海翔易融 联投资管理合伙 企业</w:t>
            </w:r>
          </w:p>
        </w:tc>
        <w:tc>
          <w:tcPr>
            <w:tcW w:w="342" w:type="dxa"/>
            <w:tcBorders>
              <w:top w:val="single" w:sz="4" w:space="0" w:color="000000"/>
              <w:left w:val="single" w:sz="4" w:space="0" w:color="000000"/>
              <w:bottom w:val="single" w:sz="4" w:space="0" w:color="000000"/>
              <w:right w:val="nil" w:sz="6" w:space="0" w:color="auto"/>
            </w:tcBorders>
          </w:tcPr>
          <w:p>
            <w:pPr/>
          </w:p>
        </w:tc>
        <w:tc>
          <w:tcPr>
            <w:tcW w:w="102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5,898,177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5,898,177</w:t>
            </w:r>
          </w:p>
        </w:tc>
        <w:tc>
          <w:tcPr>
            <w:tcW w:w="12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资产重组限售</w:t>
            </w:r>
          </w:p>
        </w:tc>
        <w:tc>
          <w:tcPr>
            <w:tcW w:w="14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1027"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余江县泰和睿思 技术服务中心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1,125,075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1,125,075</w:t>
            </w:r>
          </w:p>
        </w:tc>
        <w:tc>
          <w:tcPr>
            <w:tcW w:w="12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非公开限售</w:t>
            </w:r>
          </w:p>
        </w:tc>
        <w:tc>
          <w:tcPr>
            <w:tcW w:w="14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年度股权激 励参与人</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3,292,800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1,872,000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1,420,800</w:t>
            </w:r>
          </w:p>
        </w:tc>
        <w:tc>
          <w:tcPr>
            <w:tcW w:w="12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4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年度股权激 励参与人</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1,500,800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937,600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563,200</w:t>
            </w:r>
          </w:p>
        </w:tc>
        <w:tc>
          <w:tcPr>
            <w:tcW w:w="12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4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180,906,257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160,537,600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20,368,657</w:t>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1117"/>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pict>
          <v:shape style="position:absolute;margin-left:449.22699pt;margin-top:70.691719pt;width:85.75pt;height:31.2pt;mso-position-horizontal-relative:page;mso-position-vertical-relative:paragraph;z-index:-1028536"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5pt;margin-top:70.691719pt;width:52.45pt;height:31.2pt;mso-position-horizontal-relative:page;mso-position-vertical-relative:paragraph;z-index:-1028512" coordorigin="9650,1414" coordsize="1049,624">
            <v:shape style="position:absolute;left:9650;top:1414;width:1049;height:624" coordorigin="9650,1414" coordsize="1049,624" path="m9650,2038l10699,2038,10699,1414,9650,1414,9650,2038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226"/>
        <w:gridCol w:w="583"/>
        <w:gridCol w:w="737"/>
        <w:gridCol w:w="744"/>
        <w:gridCol w:w="1054"/>
        <w:gridCol w:w="122"/>
        <w:gridCol w:w="730"/>
        <w:gridCol w:w="575"/>
        <w:gridCol w:w="416"/>
        <w:gridCol w:w="670"/>
        <w:gridCol w:w="322"/>
        <w:gridCol w:w="986"/>
        <w:gridCol w:w="150"/>
        <w:gridCol w:w="919"/>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9"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45,068</w:t>
            </w:r>
          </w:p>
        </w:tc>
        <w:tc>
          <w:tcPr>
            <w:tcW w:w="1481" w:type="dxa"/>
            <w:gridSpan w:val="2"/>
            <w:vMerge w:val="restart"/>
            <w:tcBorders>
              <w:top w:val="single" w:sz="4" w:space="0" w:color="000000"/>
              <w:left w:val="single" w:sz="4" w:space="0" w:color="000000"/>
              <w:right w:val="single" w:sz="4" w:space="0" w:color="000000"/>
            </w:tcBorders>
            <w:shd w:val="clear" w:color="auto" w:fill="D2D2D2"/>
          </w:tcPr>
          <w:p>
            <w:pPr/>
          </w:p>
        </w:tc>
        <w:tc>
          <w:tcPr>
            <w:tcW w:w="1176"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48,287</w:t>
            </w:r>
          </w:p>
        </w:tc>
        <w:tc>
          <w:tcPr>
            <w:tcW w:w="13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7"/>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50" w:type="dxa"/>
            <w:vMerge w:val="restart"/>
            <w:tcBorders>
              <w:top w:val="single" w:sz="4" w:space="0" w:color="000000"/>
              <w:left w:val="single" w:sz="12" w:space="0" w:color="D2D2D2"/>
              <w:right w:val="nil" w:sz="6" w:space="0" w:color="auto"/>
            </w:tcBorders>
          </w:tcPr>
          <w:p>
            <w:pPr/>
          </w:p>
        </w:tc>
        <w:tc>
          <w:tcPr>
            <w:tcW w:w="919"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3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1" w:right="21"/>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7"/>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6"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50" w:type="dxa"/>
            <w:vMerge/>
            <w:tcBorders>
              <w:left w:val="single" w:sz="12" w:space="0" w:color="D2D2D2"/>
              <w:right w:val="nil" w:sz="6" w:space="0" w:color="auto"/>
            </w:tcBorders>
          </w:tcPr>
          <w:p>
            <w:pPr/>
          </w:p>
        </w:tc>
        <w:tc>
          <w:tcPr>
            <w:tcW w:w="91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50" w:type="dxa"/>
            <w:vMerge/>
            <w:tcBorders>
              <w:left w:val="single" w:sz="12" w:space="0" w:color="D2D2D2"/>
              <w:right w:val="nil" w:sz="6" w:space="0" w:color="auto"/>
            </w:tcBorders>
          </w:tcPr>
          <w:p>
            <w:pPr/>
          </w:p>
        </w:tc>
        <w:tc>
          <w:tcPr>
            <w:tcW w:w="919"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50" w:type="dxa"/>
            <w:vMerge/>
            <w:tcBorders>
              <w:left w:val="single" w:sz="12" w:space="0" w:color="D2D2D2"/>
              <w:right w:val="nil" w:sz="6" w:space="0" w:color="auto"/>
            </w:tcBorders>
          </w:tcPr>
          <w:p>
            <w:pPr/>
          </w:p>
        </w:tc>
        <w:tc>
          <w:tcPr>
            <w:tcW w:w="91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50" w:type="dxa"/>
            <w:vMerge/>
            <w:tcBorders>
              <w:left w:val="single" w:sz="12" w:space="0" w:color="D2D2D2"/>
              <w:right w:val="nil" w:sz="6" w:space="0" w:color="auto"/>
            </w:tcBorders>
          </w:tcPr>
          <w:p>
            <w:pPr/>
          </w:p>
        </w:tc>
        <w:tc>
          <w:tcPr>
            <w:tcW w:w="91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305"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150" w:type="dxa"/>
            <w:vMerge/>
            <w:tcBorders>
              <w:left w:val="single" w:sz="12" w:space="0" w:color="D2D2D2"/>
              <w:right w:val="nil" w:sz="6" w:space="0" w:color="auto"/>
            </w:tcBorders>
          </w:tcPr>
          <w:p>
            <w:pPr/>
          </w:p>
        </w:tc>
        <w:tc>
          <w:tcPr>
            <w:tcW w:w="919" w:type="dxa"/>
            <w:tcBorders>
              <w:top w:val="nil" w:sz="6" w:space="0" w:color="auto"/>
              <w:left w:val="nil" w:sz="6" w:space="0" w:color="auto"/>
              <w:bottom w:val="nil" w:sz="6" w:space="0" w:color="auto"/>
              <w:right w:val="single" w:sz="4" w:space="0" w:color="000000"/>
            </w:tcBorders>
          </w:tcPr>
          <w:p>
            <w:pPr/>
          </w:p>
        </w:tc>
      </w:tr>
      <w:tr>
        <w:trPr>
          <w:trHeight w:val="168"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9" w:type="dxa"/>
            <w:gridSpan w:val="2"/>
            <w:vMerge/>
            <w:tcBorders>
              <w:left w:val="single" w:sz="9" w:space="0" w:color="D2D2D2"/>
              <w:bottom w:val="single" w:sz="4" w:space="0" w:color="000000"/>
              <w:right w:val="single" w:sz="10" w:space="0" w:color="D2D2D2"/>
            </w:tcBorders>
          </w:tcPr>
          <w:p>
            <w:pPr/>
          </w:p>
        </w:tc>
        <w:tc>
          <w:tcPr>
            <w:tcW w:w="1481" w:type="dxa"/>
            <w:gridSpan w:val="2"/>
            <w:vMerge/>
            <w:tcBorders>
              <w:left w:val="single" w:sz="4" w:space="0" w:color="000000"/>
              <w:bottom w:val="single" w:sz="4" w:space="0" w:color="000000"/>
              <w:right w:val="single" w:sz="4" w:space="0" w:color="000000"/>
            </w:tcBorders>
            <w:shd w:val="clear" w:color="auto" w:fill="D2D2D2"/>
          </w:tcPr>
          <w:p>
            <w:pPr/>
          </w:p>
        </w:tc>
        <w:tc>
          <w:tcPr>
            <w:tcW w:w="1176" w:type="dxa"/>
            <w:gridSpan w:val="2"/>
            <w:vMerge/>
            <w:tcBorders>
              <w:left w:val="single" w:sz="10" w:space="0" w:color="D2D2D2"/>
              <w:bottom w:val="single" w:sz="4" w:space="0" w:color="000000"/>
              <w:right w:val="single" w:sz="10" w:space="0" w:color="D2D2D2"/>
            </w:tcBorders>
          </w:tcPr>
          <w:p>
            <w:pPr/>
          </w:p>
        </w:tc>
        <w:tc>
          <w:tcPr>
            <w:tcW w:w="13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150" w:type="dxa"/>
            <w:vMerge/>
            <w:tcBorders>
              <w:left w:val="single" w:sz="12" w:space="0" w:color="D2D2D2"/>
              <w:bottom w:val="single" w:sz="4" w:space="0" w:color="000000"/>
              <w:right w:val="nil" w:sz="6" w:space="0" w:color="auto"/>
            </w:tcBorders>
          </w:tcPr>
          <w:p>
            <w:pPr/>
          </w:p>
        </w:tc>
        <w:tc>
          <w:tcPr>
            <w:tcW w:w="919"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560" w:type="dxa"/>
            <w:gridSpan w:val="2"/>
            <w:vMerge w:val="restart"/>
            <w:tcBorders>
              <w:top w:val="single" w:sz="4" w:space="0" w:color="000000"/>
              <w:left w:val="single" w:sz="4" w:space="0" w:color="000000"/>
              <w:right w:val="single" w:sz="4" w:space="0" w:color="000000"/>
            </w:tcBorders>
            <w:shd w:val="clear" w:color="auto" w:fill="D2D2D2"/>
          </w:tcPr>
          <w:p>
            <w:pPr/>
          </w:p>
        </w:tc>
        <w:tc>
          <w:tcPr>
            <w:tcW w:w="132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9" w:right="6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560" w:type="dxa"/>
            <w:gridSpan w:val="2"/>
            <w:vMerge/>
            <w:tcBorders>
              <w:left w:val="single" w:sz="4" w:space="0" w:color="000000"/>
              <w:bottom w:val="nil" w:sz="6" w:space="0" w:color="auto"/>
              <w:right w:val="single" w:sz="4" w:space="0" w:color="000000"/>
            </w:tcBorders>
            <w:shd w:val="clear" w:color="auto" w:fill="D2D2D2"/>
          </w:tcPr>
          <w:p>
            <w:pPr/>
          </w:p>
        </w:tc>
        <w:tc>
          <w:tcPr>
            <w:tcW w:w="132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73" w:right="4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2055" w:type="dxa"/>
            <w:gridSpan w:val="3"/>
            <w:vMerge/>
            <w:tcBorders>
              <w:left w:val="single" w:sz="4" w:space="0" w:color="000000"/>
              <w:right w:val="single" w:sz="4" w:space="0" w:color="000000"/>
            </w:tcBorders>
            <w:shd w:val="clear" w:color="auto" w:fill="D2D2D2"/>
          </w:tcPr>
          <w:p>
            <w:pPr/>
          </w:p>
        </w:tc>
      </w:tr>
      <w:tr>
        <w:trPr>
          <w:trHeight w:val="140" w:hRule="exact"/>
        </w:trPr>
        <w:tc>
          <w:tcPr>
            <w:tcW w:w="156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2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4" w:type="dxa"/>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2055"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560" w:type="dxa"/>
            <w:gridSpan w:val="2"/>
            <w:vMerge/>
            <w:tcBorders>
              <w:left w:val="single" w:sz="4" w:space="0" w:color="000000"/>
              <w:bottom w:val="nil" w:sz="6" w:space="0" w:color="auto"/>
              <w:right w:val="single" w:sz="4" w:space="0" w:color="000000"/>
            </w:tcBorders>
            <w:shd w:val="clear" w:color="auto" w:fill="D2D2D2"/>
          </w:tcPr>
          <w:p>
            <w:pPr/>
          </w:p>
        </w:tc>
        <w:tc>
          <w:tcPr>
            <w:tcW w:w="132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0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560" w:type="dxa"/>
            <w:gridSpan w:val="2"/>
            <w:vMerge w:val="restart"/>
            <w:tcBorders>
              <w:top w:val="nil" w:sz="6" w:space="0" w:color="auto"/>
              <w:left w:val="single" w:sz="4" w:space="0" w:color="000000"/>
              <w:right w:val="single" w:sz="4" w:space="0" w:color="000000"/>
            </w:tcBorders>
            <w:shd w:val="clear" w:color="auto" w:fill="D2D2D2"/>
          </w:tcPr>
          <w:p>
            <w:pPr/>
          </w:p>
        </w:tc>
        <w:tc>
          <w:tcPr>
            <w:tcW w:w="132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919" w:type="dxa"/>
            <w:vMerge/>
            <w:tcBorders>
              <w:left w:val="single" w:sz="4" w:space="0" w:color="000000"/>
              <w:right w:val="single" w:sz="4" w:space="0" w:color="000000"/>
            </w:tcBorders>
            <w:shd w:val="clear" w:color="auto" w:fill="D2D2D2"/>
          </w:tcPr>
          <w:p>
            <w:pPr/>
          </w:p>
        </w:tc>
      </w:tr>
      <w:tr>
        <w:trPr>
          <w:trHeight w:val="161" w:hRule="exact"/>
        </w:trPr>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32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6" w:type="dxa"/>
            <w:gridSpan w:val="2"/>
            <w:vMerge/>
            <w:tcBorders>
              <w:left w:val="single" w:sz="4" w:space="0" w:color="000000"/>
              <w:bottom w:val="single" w:sz="4" w:space="0" w:color="000000"/>
              <w:right w:val="single" w:sz="4" w:space="0" w:color="000000"/>
            </w:tcBorders>
            <w:shd w:val="clear" w:color="auto" w:fill="D2D2D2"/>
          </w:tcPr>
          <w:p>
            <w:pPr/>
          </w:p>
        </w:tc>
        <w:tc>
          <w:tcPr>
            <w:tcW w:w="91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鹰潭市鹰高投资咨 询有限公司</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30.28%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135,375,516</w:t>
            </w:r>
            <w:r>
              <w:rPr>
                <w:rFonts w:ascii="Times New Roman"/>
                <w:spacing w:val="-1"/>
                <w:sz w:val="18"/>
              </w:rPr>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-5,468,224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w w:val="90"/>
                <w:sz w:val="18"/>
              </w:rPr>
              <w:t>2,514,140</w:t>
            </w:r>
            <w:r>
              <w:rPr>
                <w:rFonts w:ascii="Times New Roman"/>
                <w:sz w:val="18"/>
              </w:rPr>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w w:val="90"/>
                <w:sz w:val="18"/>
              </w:rPr>
              <w:t>132,861,376</w:t>
            </w:r>
            <w:r>
              <w:rPr>
                <w:rFonts w:ascii="Times New Roman"/>
                <w:sz w:val="18"/>
              </w:rPr>
            </w:r>
          </w:p>
        </w:tc>
        <w:tc>
          <w:tcPr>
            <w:tcW w:w="1136"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2"/>
              <w:ind w:left="2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19"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41,320,000</w:t>
            </w:r>
          </w:p>
        </w:tc>
      </w:tr>
      <w:tr>
        <w:trPr>
          <w:trHeight w:val="401"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银联科技有限公司</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8.30%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0"/>
                <w:sz w:val="18"/>
              </w:rPr>
              <w:t>37,101,580</w:t>
            </w:r>
            <w:r>
              <w:rPr>
                <w:rFonts w:ascii="Times New Roman"/>
                <w:spacing w:val="-1"/>
                <w:sz w:val="18"/>
              </w:rPr>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0"/>
                <w:sz w:val="18"/>
              </w:rPr>
              <w:t>0</w:t>
            </w:r>
            <w:r>
              <w:rPr>
                <w:rFonts w:ascii="Times New Roman"/>
                <w:sz w:val="18"/>
              </w:rPr>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w w:val="90"/>
                <w:sz w:val="18"/>
              </w:rPr>
              <w:t>37,101,580</w:t>
            </w:r>
            <w:r>
              <w:rPr>
                <w:rFonts w:ascii="Times New Roman"/>
                <w:sz w:val="18"/>
              </w:rPr>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北京睿韬科技有限 责任公司</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8,847,265</w:t>
            </w:r>
            <w:r>
              <w:rPr>
                <w:rFonts w:ascii="Times New Roman"/>
                <w:spacing w:val="-1"/>
                <w:sz w:val="18"/>
              </w:rPr>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w w:val="90"/>
                <w:sz w:val="18"/>
              </w:rPr>
              <w:t>8,847,265</w:t>
            </w:r>
            <w:r>
              <w:rPr>
                <w:rFonts w:ascii="Times New Roman"/>
                <w:sz w:val="18"/>
              </w:rPr>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0"/>
                <w:sz w:val="18"/>
              </w:rPr>
              <w:t>0</w:t>
            </w:r>
            <w:r>
              <w:rPr>
                <w:rFonts w:ascii="Times New Roman"/>
                <w:sz w:val="18"/>
              </w:rPr>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中央汇金资产管理 有限责任公司</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7,521,920</w:t>
            </w:r>
            <w:r>
              <w:rPr>
                <w:rFonts w:ascii="Times New Roman"/>
                <w:spacing w:val="-1"/>
                <w:sz w:val="18"/>
              </w:rPr>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0"/>
                <w:sz w:val="18"/>
              </w:rPr>
              <w:t>0</w:t>
            </w:r>
            <w:r>
              <w:rPr>
                <w:rFonts w:ascii="Times New Roman"/>
                <w:sz w:val="18"/>
              </w:rPr>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w w:val="90"/>
                <w:sz w:val="18"/>
              </w:rPr>
              <w:t>7,521,920</w:t>
            </w:r>
            <w:r>
              <w:rPr>
                <w:rFonts w:ascii="Times New Roman"/>
                <w:sz w:val="18"/>
              </w:rPr>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宁波镇海翔易融联 投资管理合伙企业</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5,898,177</w:t>
            </w:r>
            <w:r>
              <w:rPr>
                <w:rFonts w:ascii="Times New Roman"/>
                <w:spacing w:val="-1"/>
                <w:sz w:val="18"/>
              </w:rPr>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w w:val="90"/>
                <w:sz w:val="18"/>
              </w:rPr>
              <w:t>5,898,177</w:t>
            </w:r>
            <w:r>
              <w:rPr>
                <w:rFonts w:ascii="Times New Roman"/>
                <w:sz w:val="18"/>
              </w:rPr>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0"/>
                <w:sz w:val="18"/>
              </w:rPr>
              <w:t>0</w:t>
            </w:r>
            <w:r>
              <w:rPr>
                <w:rFonts w:ascii="Times New Roman"/>
                <w:sz w:val="18"/>
              </w:rPr>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刘佳玉</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0.86%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0"/>
                <w:sz w:val="18"/>
              </w:rPr>
              <w:t>3,836,140</w:t>
            </w:r>
            <w:r>
              <w:rPr>
                <w:rFonts w:ascii="Times New Roman"/>
                <w:spacing w:val="-1"/>
                <w:sz w:val="18"/>
              </w:rPr>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0"/>
                <w:sz w:val="18"/>
              </w:rPr>
              <w:t>0</w:t>
            </w:r>
            <w:r>
              <w:rPr>
                <w:rFonts w:ascii="Times New Roman"/>
                <w:sz w:val="18"/>
              </w:rPr>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1" w:right="0"/>
              <w:jc w:val="left"/>
              <w:rPr>
                <w:rFonts w:ascii="Times New Roman" w:hAnsi="Times New Roman" w:cs="Times New Roman" w:eastAsia="Times New Roman" w:hint="default"/>
                <w:sz w:val="18"/>
                <w:szCs w:val="18"/>
              </w:rPr>
            </w:pPr>
            <w:r>
              <w:rPr>
                <w:rFonts w:ascii="Times New Roman"/>
                <w:w w:val="90"/>
                <w:sz w:val="18"/>
              </w:rPr>
              <w:t>3,836,140</w:t>
            </w:r>
            <w:r>
              <w:rPr>
                <w:rFonts w:ascii="Times New Roman"/>
                <w:sz w:val="18"/>
              </w:rPr>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中国建设银行股份 有限公司－华宝行</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0.54%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2,394,820</w:t>
            </w:r>
            <w:r>
              <w:rPr>
                <w:rFonts w:ascii="Times New Roman"/>
                <w:spacing w:val="-1"/>
                <w:sz w:val="18"/>
              </w:rPr>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0"/>
                <w:sz w:val="18"/>
              </w:rPr>
              <w:t>0</w:t>
            </w:r>
            <w:r>
              <w:rPr>
                <w:rFonts w:ascii="Times New Roman"/>
                <w:sz w:val="18"/>
              </w:rPr>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w w:val="90"/>
                <w:sz w:val="18"/>
              </w:rPr>
              <w:t>2,394,820</w:t>
            </w:r>
            <w:r>
              <w:rPr>
                <w:rFonts w:ascii="Times New Roman"/>
                <w:sz w:val="18"/>
              </w:rPr>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267" w:top="1100" w:bottom="146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560"/>
        <w:gridCol w:w="1321"/>
        <w:gridCol w:w="240"/>
        <w:gridCol w:w="547"/>
        <w:gridCol w:w="1010"/>
        <w:gridCol w:w="852"/>
        <w:gridCol w:w="991"/>
        <w:gridCol w:w="348"/>
        <w:gridCol w:w="643"/>
        <w:gridCol w:w="706"/>
        <w:gridCol w:w="430"/>
        <w:gridCol w:w="919"/>
      </w:tblGrid>
      <w:tr>
        <w:trPr>
          <w:trHeight w:val="67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84"/>
              <w:jc w:val="left"/>
              <w:rPr>
                <w:rFonts w:ascii="宋体" w:hAnsi="宋体" w:cs="宋体" w:eastAsia="宋体" w:hint="default"/>
                <w:sz w:val="18"/>
                <w:szCs w:val="18"/>
              </w:rPr>
            </w:pPr>
            <w:r>
              <w:rPr>
                <w:rFonts w:ascii="宋体" w:hAnsi="宋体" w:cs="宋体" w:eastAsia="宋体" w:hint="default"/>
                <w:sz w:val="18"/>
                <w:szCs w:val="18"/>
              </w:rPr>
              <w:t>业精选混合型证券 投资基金</w:t>
            </w:r>
          </w:p>
        </w:tc>
        <w:tc>
          <w:tcPr>
            <w:tcW w:w="1321" w:type="dxa"/>
            <w:tcBorders>
              <w:top w:val="single" w:sz="4" w:space="0" w:color="000000"/>
              <w:left w:val="single" w:sz="4" w:space="0" w:color="000000"/>
              <w:bottom w:val="single" w:sz="4" w:space="0" w:color="000000"/>
              <w:right w:val="single" w:sz="4" w:space="0" w:color="000000"/>
            </w:tcBorders>
          </w:tcPr>
          <w:p>
            <w:pPr/>
          </w:p>
        </w:tc>
        <w:tc>
          <w:tcPr>
            <w:tcW w:w="787" w:type="dxa"/>
            <w:gridSpan w:val="2"/>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新华资管－农业银 行－新华资产－景 星系列专项产品第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期</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0.48%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2,147,340</w:t>
            </w:r>
            <w:r>
              <w:rPr>
                <w:rFonts w:ascii="Times New Roman"/>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0"/>
                <w:sz w:val="18"/>
              </w:rPr>
              <w:t>0</w:t>
            </w:r>
            <w:r>
              <w:rPr>
                <w:rFonts w:ascii="Times New Roman"/>
                <w:sz w:val="18"/>
              </w:rPr>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w w:val="90"/>
                <w:sz w:val="18"/>
              </w:rPr>
              <w:t>2,147,340</w:t>
            </w:r>
            <w:r>
              <w:rPr>
                <w:rFonts w:ascii="Times New Roman"/>
                <w:sz w:val="18"/>
              </w:rPr>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余江县泰和睿思技 术服务中心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0.25%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0"/>
                <w:sz w:val="18"/>
              </w:rPr>
              <w:t>1,125,075</w:t>
            </w:r>
            <w:r>
              <w:rPr>
                <w:rFonts w:ascii="Times New Roman"/>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0"/>
                <w:sz w:val="18"/>
              </w:rPr>
              <w:t>1,125,075</w:t>
            </w:r>
            <w:r>
              <w:rPr>
                <w:rFonts w:ascii="Times New Roman"/>
                <w:spacing w:val="-1"/>
                <w:sz w:val="18"/>
              </w:rPr>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0"/>
                <w:sz w:val="18"/>
              </w:rPr>
              <w:t>0</w:t>
            </w:r>
            <w:r>
              <w:rPr>
                <w:rFonts w:ascii="Times New Roman"/>
                <w:sz w:val="18"/>
              </w:rPr>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张振秋</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0.20%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0"/>
                <w:sz w:val="18"/>
              </w:rPr>
              <w:t>888,300</w:t>
            </w:r>
            <w:r>
              <w:rPr>
                <w:rFonts w:ascii="Times New Roman"/>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0"/>
                <w:sz w:val="18"/>
              </w:rPr>
              <w:t>0</w:t>
            </w:r>
            <w:r>
              <w:rPr>
                <w:rFonts w:ascii="Times New Roman"/>
                <w:sz w:val="18"/>
              </w:rPr>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w w:val="90"/>
                <w:sz w:val="18"/>
              </w:rPr>
              <w:t>888,300</w:t>
            </w:r>
            <w:r>
              <w:rPr>
                <w:rFonts w:ascii="Times New Roman"/>
                <w:sz w:val="18"/>
              </w:rPr>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10"/>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0"/>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956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12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312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74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121" w:type="dxa"/>
            <w:gridSpan w:val="3"/>
            <w:vMerge/>
            <w:tcBorders>
              <w:left w:val="single" w:sz="4" w:space="0" w:color="000000"/>
              <w:bottom w:val="nil" w:sz="6" w:space="0" w:color="auto"/>
              <w:right w:val="single" w:sz="4" w:space="0" w:color="000000"/>
            </w:tcBorders>
            <w:shd w:val="clear" w:color="auto" w:fill="D2D2D2"/>
          </w:tcPr>
          <w:p>
            <w:pPr/>
          </w:p>
        </w:tc>
        <w:tc>
          <w:tcPr>
            <w:tcW w:w="3749"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12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74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鹰潭市鹰高投资咨询有限公司</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132,861,376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Times New Roman" w:hAnsi="Times New Roman" w:cs="Times New Roman" w:eastAsia="Times New Roman" w:hint="default"/>
                <w:sz w:val="18"/>
                <w:szCs w:val="18"/>
              </w:rPr>
            </w:pPr>
            <w:r>
              <w:rPr>
                <w:rFonts w:ascii="Times New Roman"/>
                <w:sz w:val="18"/>
              </w:rPr>
              <w:t>132,861,376</w:t>
            </w:r>
          </w:p>
        </w:tc>
      </w:tr>
      <w:tr>
        <w:trPr>
          <w:trHeight w:val="40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银联科技有限公司</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37,101,580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37,101,580</w:t>
            </w:r>
          </w:p>
        </w:tc>
      </w:tr>
      <w:tr>
        <w:trPr>
          <w:trHeight w:val="401"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7,521,920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7,521,920</w:t>
            </w:r>
          </w:p>
        </w:tc>
      </w:tr>
      <w:tr>
        <w:trPr>
          <w:trHeight w:val="40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刘佳玉</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3,836,140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3,836,140</w:t>
            </w:r>
          </w:p>
        </w:tc>
      </w:tr>
      <w:tr>
        <w:trPr>
          <w:trHeight w:val="71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中国建设银行股份有限公司－华宝行业 精选混合型证券投资基金</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2,394,820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2,394,820</w:t>
            </w:r>
          </w:p>
        </w:tc>
      </w:tr>
      <w:tr>
        <w:trPr>
          <w:trHeight w:val="715"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新华资管－农业银行－新华资产－景星 系列专项产品第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2,147,340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2,147,340</w:t>
            </w:r>
          </w:p>
        </w:tc>
      </w:tr>
      <w:tr>
        <w:trPr>
          <w:trHeight w:val="401"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张振秋</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888,300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888,300</w:t>
            </w:r>
          </w:p>
        </w:tc>
      </w:tr>
      <w:tr>
        <w:trPr>
          <w:trHeight w:val="404"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简兆麟</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792,500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792,500</w:t>
            </w:r>
          </w:p>
        </w:tc>
      </w:tr>
      <w:tr>
        <w:trPr>
          <w:trHeight w:val="401"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张立军</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783,313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783,313</w:t>
            </w:r>
          </w:p>
        </w:tc>
      </w:tr>
      <w:tr>
        <w:trPr>
          <w:trHeight w:val="403" w:hRule="exact"/>
        </w:trPr>
        <w:tc>
          <w:tcPr>
            <w:tcW w:w="31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杨林坡</w:t>
            </w:r>
          </w:p>
        </w:tc>
        <w:tc>
          <w:tcPr>
            <w:tcW w:w="3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741,900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1" w:right="0"/>
              <w:jc w:val="left"/>
              <w:rPr>
                <w:rFonts w:ascii="Times New Roman" w:hAnsi="Times New Roman" w:cs="Times New Roman" w:eastAsia="Times New Roman" w:hint="default"/>
                <w:sz w:val="18"/>
                <w:szCs w:val="18"/>
              </w:rPr>
            </w:pPr>
            <w:r>
              <w:rPr>
                <w:rFonts w:ascii="Times New Roman"/>
                <w:sz w:val="18"/>
              </w:rPr>
              <w:t>741,900</w:t>
            </w:r>
          </w:p>
        </w:tc>
      </w:tr>
      <w:tr>
        <w:trPr>
          <w:trHeight w:val="1025" w:hRule="exact"/>
        </w:trPr>
        <w:tc>
          <w:tcPr>
            <w:tcW w:w="31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r>
              <w:rPr>
                <w:rFonts w:ascii="宋体" w:hAnsi="宋体" w:cs="宋体" w:eastAsia="宋体" w:hint="default"/>
                <w:spacing w:val="-3"/>
                <w:sz w:val="18"/>
                <w:szCs w:val="18"/>
              </w:rPr>
              <w:t>间</w:t>
            </w:r>
            <w:r>
              <w:rPr>
                <w:rFonts w:ascii="宋体" w:hAnsi="宋体" w:cs="宋体" w:eastAsia="宋体" w:hint="default"/>
                <w:spacing w:val="-87"/>
                <w:sz w:val="18"/>
                <w:szCs w:val="18"/>
              </w:rPr>
              <w:t>，</w:t>
            </w:r>
            <w:r>
              <w:rPr>
                <w:rFonts w:ascii="宋体" w:hAnsi="宋体" w:cs="宋体" w:eastAsia="宋体" w:hint="default"/>
                <w:sz w:val="18"/>
                <w:szCs w:val="18"/>
              </w:rPr>
              <w:t>以及前</w:t>
            </w:r>
          </w:p>
          <w:p>
            <w:pPr>
              <w:pStyle w:val="TableParagraph"/>
              <w:spacing w:line="300" w:lineRule="auto" w:before="63"/>
              <w:ind w:left="24"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 之间关联关系或一致行动的说明</w:t>
            </w:r>
          </w:p>
        </w:tc>
        <w:tc>
          <w:tcPr>
            <w:tcW w:w="6447" w:type="dxa"/>
            <w:gridSpan w:val="9"/>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名无限售股股东是否为一致行动人。</w:t>
            </w:r>
          </w:p>
        </w:tc>
      </w:tr>
      <w:tr>
        <w:trPr>
          <w:trHeight w:val="715" w:hRule="exact"/>
        </w:trPr>
        <w:tc>
          <w:tcPr>
            <w:tcW w:w="31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w:t>
            </w:r>
            <w:r>
              <w:rPr>
                <w:rFonts w:ascii="宋体" w:hAnsi="宋体" w:cs="宋体" w:eastAsia="宋体" w:hint="default"/>
                <w:spacing w:val="-87"/>
                <w:sz w:val="18"/>
                <w:szCs w:val="18"/>
              </w:rPr>
              <w:t>明</w:t>
            </w:r>
            <w:r>
              <w:rPr>
                <w:rFonts w:ascii="宋体" w:hAnsi="宋体" w:cs="宋体" w:eastAsia="宋体" w:hint="default"/>
                <w:sz w:val="18"/>
                <w:szCs w:val="18"/>
              </w:rPr>
              <w:t>（如有</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4392" w:type="dxa"/>
            <w:gridSpan w:val="6"/>
            <w:tcBorders>
              <w:top w:val="single" w:sz="4" w:space="0" w:color="000000"/>
              <w:left w:val="single" w:sz="4" w:space="0" w:color="000000"/>
              <w:bottom w:val="single" w:sz="4" w:space="0" w:color="000000"/>
              <w:right w:val="nil" w:sz="6" w:space="0" w:color="auto"/>
            </w:tcBorders>
            <w:shd w:val="clear" w:color="auto" w:fill="CCE8CF"/>
          </w:tcPr>
          <w:p>
            <w:pPr>
              <w:pStyle w:val="TableParagraph"/>
              <w:spacing w:line="196" w:lineRule="exact" w:before="49"/>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22"/>
              <w:jc w:val="left"/>
              <w:rPr>
                <w:rFonts w:ascii="宋体" w:hAnsi="宋体" w:cs="宋体" w:eastAsia="宋体" w:hint="default"/>
                <w:sz w:val="18"/>
                <w:szCs w:val="18"/>
              </w:rPr>
            </w:pPr>
            <w:r>
              <w:rPr>
                <w:rFonts w:ascii="宋体" w:hAnsi="宋体" w:cs="宋体" w:eastAsia="宋体" w:hint="default"/>
                <w:sz w:val="18"/>
                <w:szCs w:val="18"/>
              </w:rPr>
              <w:t>股东张</w:t>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振秋通过投资者信用账户持有公司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706" w:type="dxa"/>
            <w:tcBorders>
              <w:top w:val="single" w:sz="4" w:space="0" w:color="000000"/>
              <w:left w:val="nil" w:sz="6" w:space="0" w:color="auto"/>
              <w:bottom w:val="single" w:sz="4" w:space="0" w:color="000000"/>
              <w:right w:val="nil" w:sz="6" w:space="0" w:color="auto"/>
            </w:tcBorders>
            <w:shd w:val="clear" w:color="auto" w:fill="CCE8CF"/>
          </w:tcPr>
          <w:p>
            <w:pPr/>
          </w:p>
        </w:tc>
        <w:tc>
          <w:tcPr>
            <w:tcW w:w="430" w:type="dxa"/>
            <w:tcBorders>
              <w:top w:val="single" w:sz="4" w:space="0" w:color="000000"/>
              <w:left w:val="nil" w:sz="6" w:space="0" w:color="auto"/>
              <w:bottom w:val="single" w:sz="4" w:space="0" w:color="000000"/>
              <w:right w:val="nil" w:sz="6" w:space="0" w:color="auto"/>
            </w:tcBorders>
            <w:shd w:val="clear" w:color="auto" w:fill="CCE8CF"/>
          </w:tcPr>
          <w:p>
            <w:pPr/>
          </w:p>
        </w:tc>
        <w:tc>
          <w:tcPr>
            <w:tcW w:w="919" w:type="dxa"/>
            <w:tcBorders>
              <w:top w:val="single" w:sz="4" w:space="0" w:color="000000"/>
              <w:left w:val="nil" w:sz="6" w:space="0" w:color="auto"/>
              <w:bottom w:val="single" w:sz="4" w:space="0" w:color="000000"/>
              <w:right w:val="single" w:sz="4" w:space="0" w:color="000000"/>
            </w:tcBorders>
            <w:shd w:val="clear" w:color="auto" w:fill="CCE8CF"/>
          </w:tcPr>
          <w:p>
            <w:pPr/>
          </w:p>
        </w:tc>
      </w:tr>
    </w:tbl>
    <w:p>
      <w:pPr>
        <w:pStyle w:val="BodyText"/>
        <w:spacing w:line="240" w:lineRule="auto" w:before="49"/>
        <w:ind w:right="1117"/>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17"/>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86" w:footer="1267" w:top="1100" w:bottom="1460" w:left="980" w:right="0"/>
        </w:sectPr>
      </w:pPr>
    </w:p>
    <w:p>
      <w:pPr>
        <w:spacing w:line="240" w:lineRule="auto" w:before="11"/>
        <w:rPr>
          <w:rFonts w:ascii="宋体" w:hAnsi="宋体" w:cs="宋体" w:eastAsia="宋体" w:hint="default"/>
          <w:sz w:val="21"/>
          <w:szCs w:val="21"/>
        </w:rPr>
      </w:pPr>
    </w:p>
    <w:p>
      <w:pPr>
        <w:spacing w:line="364" w:lineRule="auto" w:before="36"/>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100"/>
          <w:sz w:val="21"/>
          <w:szCs w:val="21"/>
        </w:rPr>
        <w:t> </w:t>
      </w:r>
      <w:r>
        <w:rPr>
          <w:rFonts w:ascii="宋体" w:hAnsi="宋体" w:cs="宋体" w:eastAsia="宋体" w:hint="default"/>
          <w:sz w:val="18"/>
          <w:szCs w:val="18"/>
        </w:rPr>
        <w:t>控股股东性质：自然人控股 控股股东类型：法人</w:t>
      </w:r>
    </w:p>
    <w:tbl>
      <w:tblPr>
        <w:tblW w:w="0" w:type="auto"/>
        <w:jc w:val="left"/>
        <w:tblInd w:w="148" w:type="dxa"/>
        <w:tblLayout w:type="fixed"/>
        <w:tblCellMar>
          <w:top w:w="0" w:type="dxa"/>
          <w:left w:w="0" w:type="dxa"/>
          <w:bottom w:w="0" w:type="dxa"/>
          <w:right w:w="0" w:type="dxa"/>
        </w:tblCellMar>
        <w:tblLook w:val="01E0"/>
      </w:tblPr>
      <w:tblGrid>
        <w:gridCol w:w="2268"/>
        <w:gridCol w:w="1724"/>
        <w:gridCol w:w="1594"/>
        <w:gridCol w:w="1752"/>
        <w:gridCol w:w="2233"/>
      </w:tblGrid>
      <w:tr>
        <w:trPr>
          <w:trHeight w:val="710"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77" w:right="108" w:hanging="56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6" w:hRule="exact"/>
        </w:trPr>
        <w:tc>
          <w:tcPr>
            <w:tcW w:w="2268"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鹰潭市鹰高投资咨询有限公 司</w:t>
            </w:r>
          </w:p>
        </w:tc>
        <w:tc>
          <w:tcPr>
            <w:tcW w:w="1724" w:type="dxa"/>
            <w:tcBorders>
              <w:top w:val="single" w:sz="4" w:space="0" w:color="000000"/>
              <w:left w:val="single" w:sz="4" w:space="0" w:color="000000"/>
              <w:bottom w:val="nil" w:sz="6" w:space="0" w:color="auto"/>
              <w:right w:val="single" w:sz="4" w:space="0" w:color="000000"/>
            </w:tcBorders>
            <w:shd w:val="clear" w:color="auto" w:fill="CCE8CF"/>
          </w:tcPr>
          <w:p>
            <w:pPr/>
          </w:p>
        </w:tc>
        <w:tc>
          <w:tcPr>
            <w:tcW w:w="1594" w:type="dxa"/>
            <w:vMerge w:val="restart"/>
            <w:tcBorders>
              <w:top w:val="single" w:sz="4" w:space="0" w:color="000000"/>
              <w:left w:val="single" w:sz="9" w:space="0" w:color="CCE8CF"/>
              <w:right w:val="single" w:sz="10" w:space="0" w:color="CCE8CF"/>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nil" w:sz="6" w:space="0" w:color="auto"/>
              <w:right w:val="single" w:sz="4" w:space="0" w:color="000000"/>
            </w:tcBorders>
            <w:shd w:val="clear" w:color="auto" w:fill="CCE8CF"/>
          </w:tcPr>
          <w:p>
            <w:pPr/>
          </w:p>
        </w:tc>
        <w:tc>
          <w:tcPr>
            <w:tcW w:w="2233"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3"/>
              <w:ind w:left="24" w:right="38"/>
              <w:jc w:val="left"/>
              <w:rPr>
                <w:rFonts w:ascii="宋体" w:hAnsi="宋体" w:cs="宋体" w:eastAsia="宋体" w:hint="default"/>
                <w:sz w:val="18"/>
                <w:szCs w:val="18"/>
              </w:rPr>
            </w:pPr>
            <w:r>
              <w:rPr>
                <w:rFonts w:ascii="宋体" w:hAnsi="宋体" w:cs="宋体" w:eastAsia="宋体" w:hint="default"/>
                <w:sz w:val="18"/>
                <w:szCs w:val="18"/>
              </w:rPr>
              <w:t>投资，企业管理咨询；营销 策划</w:t>
            </w:r>
          </w:p>
        </w:tc>
      </w:tr>
      <w:tr>
        <w:trPr>
          <w:trHeight w:val="391" w:hRule="exact"/>
        </w:trPr>
        <w:tc>
          <w:tcPr>
            <w:tcW w:w="2268" w:type="dxa"/>
            <w:vMerge/>
            <w:tcBorders>
              <w:left w:val="single" w:sz="4" w:space="0" w:color="000000"/>
              <w:right w:val="single" w:sz="4" w:space="0" w:color="000000"/>
            </w:tcBorders>
            <w:shd w:val="clear" w:color="auto" w:fill="CCE8CF"/>
          </w:tcPr>
          <w:p>
            <w:pPr/>
          </w:p>
        </w:tc>
        <w:tc>
          <w:tcPr>
            <w:tcW w:w="172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1594" w:type="dxa"/>
            <w:vMerge/>
            <w:tcBorders>
              <w:left w:val="single" w:sz="9" w:space="0" w:color="CCE8CF"/>
              <w:right w:val="single" w:sz="10" w:space="0" w:color="CCE8CF"/>
            </w:tcBorders>
          </w:tcPr>
          <w:p>
            <w:pPr/>
          </w:p>
        </w:tc>
        <w:tc>
          <w:tcPr>
            <w:tcW w:w="175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1"/>
              <w:ind w:right="72"/>
              <w:jc w:val="center"/>
              <w:rPr>
                <w:rFonts w:ascii="Times New Roman" w:hAnsi="Times New Roman" w:cs="Times New Roman" w:eastAsia="Times New Roman" w:hint="default"/>
                <w:sz w:val="18"/>
                <w:szCs w:val="18"/>
              </w:rPr>
            </w:pPr>
            <w:r>
              <w:rPr>
                <w:rFonts w:ascii="Times New Roman"/>
                <w:sz w:val="18"/>
              </w:rPr>
              <w:t>913606005686551309</w:t>
            </w:r>
          </w:p>
        </w:tc>
        <w:tc>
          <w:tcPr>
            <w:tcW w:w="2233" w:type="dxa"/>
            <w:vMerge/>
            <w:tcBorders>
              <w:left w:val="single" w:sz="4" w:space="0" w:color="000000"/>
              <w:right w:val="single" w:sz="4" w:space="0" w:color="000000"/>
            </w:tcBorders>
            <w:shd w:val="clear" w:color="auto" w:fill="CCE8CF"/>
          </w:tcPr>
          <w:p>
            <w:pPr/>
          </w:p>
        </w:tc>
      </w:tr>
      <w:tr>
        <w:trPr>
          <w:trHeight w:val="166" w:hRule="exact"/>
        </w:trPr>
        <w:tc>
          <w:tcPr>
            <w:tcW w:w="2268" w:type="dxa"/>
            <w:vMerge/>
            <w:tcBorders>
              <w:left w:val="single" w:sz="4" w:space="0" w:color="000000"/>
              <w:bottom w:val="single" w:sz="4" w:space="0" w:color="000000"/>
              <w:right w:val="single" w:sz="4" w:space="0" w:color="000000"/>
            </w:tcBorders>
            <w:shd w:val="clear" w:color="auto" w:fill="CCE8CF"/>
          </w:tcPr>
          <w:p>
            <w:pPr/>
          </w:p>
        </w:tc>
        <w:tc>
          <w:tcPr>
            <w:tcW w:w="1724" w:type="dxa"/>
            <w:tcBorders>
              <w:top w:val="nil" w:sz="6" w:space="0" w:color="auto"/>
              <w:left w:val="single" w:sz="4" w:space="0" w:color="000000"/>
              <w:bottom w:val="single" w:sz="4" w:space="0" w:color="000000"/>
              <w:right w:val="single" w:sz="4" w:space="0" w:color="000000"/>
            </w:tcBorders>
            <w:shd w:val="clear" w:color="auto" w:fill="CCE8CF"/>
          </w:tcPr>
          <w:p>
            <w:pPr/>
          </w:p>
        </w:tc>
        <w:tc>
          <w:tcPr>
            <w:tcW w:w="1594" w:type="dxa"/>
            <w:vMerge/>
            <w:tcBorders>
              <w:left w:val="single" w:sz="9" w:space="0" w:color="CCE8CF"/>
              <w:bottom w:val="single" w:sz="4" w:space="0" w:color="000000"/>
              <w:right w:val="single" w:sz="10" w:space="0" w:color="CCE8CF"/>
            </w:tcBorders>
          </w:tcPr>
          <w:p>
            <w:pPr/>
          </w:p>
        </w:tc>
        <w:tc>
          <w:tcPr>
            <w:tcW w:w="1752" w:type="dxa"/>
            <w:tcBorders>
              <w:top w:val="nil" w:sz="6" w:space="0" w:color="auto"/>
              <w:left w:val="single" w:sz="4" w:space="0" w:color="000000"/>
              <w:bottom w:val="single" w:sz="4" w:space="0" w:color="000000"/>
              <w:right w:val="single" w:sz="4" w:space="0" w:color="000000"/>
            </w:tcBorders>
            <w:shd w:val="clear" w:color="auto" w:fill="CCE8CF"/>
          </w:tcPr>
          <w:p>
            <w:pPr/>
          </w:p>
        </w:tc>
        <w:tc>
          <w:tcPr>
            <w:tcW w:w="2233" w:type="dxa"/>
            <w:vMerge/>
            <w:tcBorders>
              <w:left w:val="single" w:sz="4" w:space="0" w:color="000000"/>
              <w:bottom w:val="single" w:sz="4" w:space="0" w:color="000000"/>
              <w:right w:val="single" w:sz="4" w:space="0" w:color="000000"/>
            </w:tcBorders>
            <w:shd w:val="clear" w:color="auto" w:fill="CCE8CF"/>
          </w:tcPr>
          <w:p>
            <w:pPr/>
          </w:p>
        </w:tc>
      </w:tr>
      <w:tr>
        <w:trPr>
          <w:trHeight w:val="312" w:hRule="exact"/>
        </w:trPr>
        <w:tc>
          <w:tcPr>
            <w:tcW w:w="2268" w:type="dxa"/>
            <w:vMerge w:val="restart"/>
            <w:tcBorders>
              <w:top w:val="single" w:sz="4" w:space="0" w:color="000000"/>
              <w:left w:val="single" w:sz="4" w:space="0" w:color="000000"/>
              <w:right w:val="single" w:sz="9" w:space="0" w:color="CCE8CF"/>
            </w:tcBorders>
            <w:shd w:val="clear" w:color="auto" w:fill="D2D2D2"/>
          </w:tcPr>
          <w:p>
            <w:pPr>
              <w:pStyle w:val="TableParagraph"/>
              <w:spacing w:line="319" w:lineRule="auto" w:before="44"/>
              <w:ind w:left="24" w:right="66"/>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2" w:type="dxa"/>
            <w:gridSpan w:val="4"/>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4" w:hRule="exact"/>
        </w:trPr>
        <w:tc>
          <w:tcPr>
            <w:tcW w:w="2268" w:type="dxa"/>
            <w:vMerge/>
            <w:tcBorders>
              <w:left w:val="single" w:sz="4" w:space="0" w:color="000000"/>
              <w:right w:val="single" w:sz="9" w:space="0" w:color="CCE8CF"/>
            </w:tcBorders>
            <w:shd w:val="clear" w:color="auto" w:fill="D2D2D2"/>
          </w:tcPr>
          <w:p>
            <w:pPr/>
          </w:p>
        </w:tc>
        <w:tc>
          <w:tcPr>
            <w:tcW w:w="7302" w:type="dxa"/>
            <w:gridSpan w:val="4"/>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2268" w:type="dxa"/>
            <w:vMerge/>
            <w:tcBorders>
              <w:left w:val="single" w:sz="4" w:space="0" w:color="000000"/>
              <w:bottom w:val="single" w:sz="4" w:space="0" w:color="000000"/>
              <w:right w:val="single" w:sz="9" w:space="0" w:color="CCE8CF"/>
            </w:tcBorders>
            <w:shd w:val="clear" w:color="auto" w:fill="D2D2D2"/>
          </w:tcPr>
          <w:p>
            <w:pPr/>
          </w:p>
        </w:tc>
        <w:tc>
          <w:tcPr>
            <w:tcW w:w="7302" w:type="dxa"/>
            <w:gridSpan w:val="4"/>
            <w:tcBorders>
              <w:top w:val="nil" w:sz="6" w:space="0" w:color="auto"/>
              <w:left w:val="single" w:sz="4" w:space="0" w:color="000000"/>
              <w:bottom w:val="single" w:sz="4" w:space="0" w:color="000000"/>
              <w:right w:val="single" w:sz="4" w:space="0" w:color="000000"/>
            </w:tcBorders>
            <w:shd w:val="clear" w:color="auto" w:fill="CCE8CF"/>
          </w:tcPr>
          <w:p>
            <w:pPr/>
          </w:p>
        </w:tc>
      </w:tr>
    </w:tbl>
    <w:p>
      <w:pPr>
        <w:pStyle w:val="BodyText"/>
        <w:spacing w:line="240" w:lineRule="auto" w:before="62"/>
        <w:ind w:right="1117"/>
        <w:jc w:val="left"/>
      </w:pPr>
      <w:r>
        <w:rPr/>
        <w:t>控股股东报告期内变更</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364" w:lineRule="auto" w:before="102"/>
        <w:ind w:left="152" w:right="6923" w:firstLine="0"/>
        <w:jc w:val="left"/>
        <w:rPr>
          <w:rFonts w:ascii="宋体" w:hAnsi="宋体" w:cs="宋体" w:eastAsia="宋体" w:hint="default"/>
          <w:sz w:val="18"/>
          <w:szCs w:val="18"/>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、公司实际控制人及其一致行动人</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6" w:hRule="exact"/>
        </w:trPr>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2391" w:type="dxa"/>
            <w:tcBorders>
              <w:top w:val="single" w:sz="4" w:space="0" w:color="000000"/>
              <w:left w:val="single" w:sz="13" w:space="0" w:color="CCE8CF"/>
              <w:bottom w:val="single" w:sz="4" w:space="0" w:color="000000"/>
              <w:right w:val="single" w:sz="13" w:space="0" w:color="CCE8CF"/>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393"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53"/>
              <w:ind w:left="1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3"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任公司董事长</w:t>
            </w:r>
          </w:p>
        </w:tc>
      </w:tr>
      <w:tr>
        <w:trPr>
          <w:trHeight w:val="161" w:hRule="exact"/>
        </w:trPr>
        <w:tc>
          <w:tcPr>
            <w:tcW w:w="2393" w:type="dxa"/>
            <w:vMerge w:val="restart"/>
            <w:tcBorders>
              <w:top w:val="single" w:sz="4" w:space="0" w:color="000000"/>
              <w:left w:val="single" w:sz="4" w:space="0" w:color="000000"/>
              <w:right w:val="single" w:sz="10" w:space="0" w:color="CCE8CF"/>
            </w:tcBorders>
            <w:shd w:val="clear" w:color="auto" w:fill="D2D2D2"/>
          </w:tcPr>
          <w:p>
            <w:pPr>
              <w:pStyle w:val="TableParagraph"/>
              <w:spacing w:line="300"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1" w:hRule="exact"/>
        </w:trPr>
        <w:tc>
          <w:tcPr>
            <w:tcW w:w="2393" w:type="dxa"/>
            <w:vMerge/>
            <w:tcBorders>
              <w:left w:val="single" w:sz="4" w:space="0" w:color="000000"/>
              <w:right w:val="single" w:sz="10" w:space="0" w:color="CCE8CF"/>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2393" w:type="dxa"/>
            <w:vMerge/>
            <w:tcBorders>
              <w:left w:val="single" w:sz="4" w:space="0" w:color="000000"/>
              <w:bottom w:val="single" w:sz="4" w:space="0" w:color="000000"/>
              <w:right w:val="single" w:sz="10" w:space="0" w:color="CCE8CF"/>
            </w:tcBorders>
            <w:shd w:val="clear" w:color="auto" w:fill="D2D2D2"/>
          </w:tcPr>
          <w:p>
            <w:pPr/>
          </w:p>
        </w:tc>
        <w:tc>
          <w:tcPr>
            <w:tcW w:w="7178" w:type="dxa"/>
            <w:gridSpan w:val="3"/>
            <w:tcBorders>
              <w:top w:val="nil" w:sz="6" w:space="0" w:color="auto"/>
              <w:left w:val="single" w:sz="4" w:space="0" w:color="000000"/>
              <w:bottom w:val="single" w:sz="4" w:space="0" w:color="000000"/>
              <w:right w:val="single" w:sz="4" w:space="0" w:color="000000"/>
            </w:tcBorders>
            <w:shd w:val="clear" w:color="auto" w:fill="CCE8CF"/>
          </w:tcPr>
          <w:p>
            <w:pPr/>
          </w:p>
        </w:tc>
      </w:tr>
    </w:tbl>
    <w:p>
      <w:pPr>
        <w:pStyle w:val="BodyText"/>
        <w:spacing w:line="240" w:lineRule="auto" w:before="62"/>
        <w:ind w:right="1117"/>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22"/>
          <w:szCs w:val="22"/>
        </w:rPr>
      </w:pPr>
    </w:p>
    <w:p>
      <w:pPr>
        <w:spacing w:line="3799" w:lineRule="exact"/>
        <w:ind w:left="1358"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4541230" cy="2412968"/>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5" cstate="print"/>
                    <a:stretch>
                      <a:fillRect/>
                    </a:stretch>
                  </pic:blipFill>
                  <pic:spPr>
                    <a:xfrm>
                      <a:off x="0" y="0"/>
                      <a:ext cx="4541230" cy="2412968"/>
                    </a:xfrm>
                    <a:prstGeom prst="rect">
                      <a:avLst/>
                    </a:prstGeom>
                  </pic:spPr>
                </pic:pic>
              </a:graphicData>
            </a:graphic>
          </wp:inline>
        </w:drawing>
      </w:r>
      <w:r>
        <w:rPr>
          <w:rFonts w:ascii="宋体" w:hAnsi="宋体" w:cs="宋体" w:eastAsia="宋体" w:hint="default"/>
          <w:position w:val="-75"/>
          <w:sz w:val="20"/>
          <w:szCs w:val="20"/>
        </w:rPr>
      </w:r>
    </w:p>
    <w:p>
      <w:pPr>
        <w:spacing w:after="0" w:line="3799" w:lineRule="exact"/>
        <w:rPr>
          <w:rFonts w:ascii="宋体" w:hAnsi="宋体" w:cs="宋体" w:eastAsia="宋体" w:hint="default"/>
          <w:sz w:val="20"/>
          <w:szCs w:val="20"/>
        </w:rPr>
        <w:sectPr>
          <w:pgSz w:w="11910" w:h="16840"/>
          <w:pgMar w:header="786" w:footer="1267" w:top="1100" w:bottom="1460" w:left="980" w:right="0"/>
        </w:sectPr>
      </w:pPr>
    </w:p>
    <w:p>
      <w:pPr>
        <w:spacing w:line="240" w:lineRule="auto" w:before="7"/>
        <w:rPr>
          <w:rFonts w:ascii="宋体" w:hAnsi="宋体" w:cs="宋体" w:eastAsia="宋体" w:hint="default"/>
          <w:sz w:val="20"/>
          <w:szCs w:val="20"/>
        </w:rPr>
      </w:pPr>
    </w:p>
    <w:p>
      <w:pPr>
        <w:spacing w:before="26"/>
        <w:ind w:left="152" w:right="1117"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267" w:top="110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3285" w:right="1117"/>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86" w:footer="1267" w:top="110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1679" w:right="1117"/>
        <w:jc w:val="left"/>
        <w:rPr>
          <w:b w:val="0"/>
          <w:bCs w:val="0"/>
        </w:rPr>
      </w:pPr>
      <w:bookmarkStart w:name="_bookmark7" w:id="8"/>
      <w:bookmarkEnd w:id="8"/>
      <w:r>
        <w:rPr>
          <w:b w:val="0"/>
          <w:bCs w:val="0"/>
        </w:rPr>
      </w:r>
      <w:r>
        <w:rPr/>
        <w:t>第八节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17"/>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66"/>
        <w:gridCol w:w="852"/>
        <w:gridCol w:w="566"/>
        <w:gridCol w:w="566"/>
        <w:gridCol w:w="569"/>
        <w:gridCol w:w="1274"/>
        <w:gridCol w:w="1419"/>
        <w:gridCol w:w="708"/>
        <w:gridCol w:w="658"/>
        <w:gridCol w:w="797"/>
        <w:gridCol w:w="799"/>
        <w:gridCol w:w="797"/>
      </w:tblGrid>
      <w:tr>
        <w:trPr>
          <w:trHeight w:val="1339"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57"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5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1" w:hRule="exact"/>
        </w:trPr>
        <w:tc>
          <w:tcPr>
            <w:tcW w:w="5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于伟</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2014</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22</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w w:val="85"/>
                <w:sz w:val="18"/>
                <w:szCs w:val="18"/>
              </w:rPr>
              <w:t>2020</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16</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5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程军</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9" w:right="60" w:hanging="180"/>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2016</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01</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w w:val="85"/>
                <w:sz w:val="18"/>
                <w:szCs w:val="18"/>
              </w:rPr>
              <w:t>2020</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16</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5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王月</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2017</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03</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29</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w w:val="85"/>
                <w:sz w:val="18"/>
                <w:szCs w:val="18"/>
              </w:rPr>
              <w:t>2020</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16</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钱英</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2017</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17</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w w:val="85"/>
                <w:sz w:val="18"/>
                <w:szCs w:val="18"/>
              </w:rPr>
              <w:t>2020</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16</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5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188" w:right="96" w:hanging="92"/>
              <w:jc w:val="left"/>
              <w:rPr>
                <w:rFonts w:ascii="宋体" w:hAnsi="宋体" w:cs="宋体" w:eastAsia="宋体" w:hint="default"/>
                <w:sz w:val="18"/>
                <w:szCs w:val="18"/>
              </w:rPr>
            </w:pPr>
            <w:r>
              <w:rPr>
                <w:rFonts w:ascii="宋体" w:hAnsi="宋体" w:cs="宋体" w:eastAsia="宋体" w:hint="default"/>
                <w:sz w:val="18"/>
                <w:szCs w:val="18"/>
              </w:rPr>
              <w:t>郑建 明</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2017</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17</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w w:val="85"/>
                <w:sz w:val="18"/>
                <w:szCs w:val="18"/>
              </w:rPr>
              <w:t>2020</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16</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张勇</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2017</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17</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w w:val="85"/>
                <w:sz w:val="18"/>
                <w:szCs w:val="18"/>
              </w:rPr>
              <w:t>2020</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16</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5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汪挺</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2018</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09</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14</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w w:val="85"/>
                <w:sz w:val="18"/>
                <w:szCs w:val="18"/>
              </w:rPr>
              <w:t>2020</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16</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5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188" w:right="96" w:hanging="92"/>
              <w:jc w:val="left"/>
              <w:rPr>
                <w:rFonts w:ascii="宋体" w:hAnsi="宋体" w:cs="宋体" w:eastAsia="宋体" w:hint="default"/>
                <w:sz w:val="18"/>
                <w:szCs w:val="18"/>
              </w:rPr>
            </w:pPr>
            <w:r>
              <w:rPr>
                <w:rFonts w:ascii="宋体" w:hAnsi="宋体" w:cs="宋体" w:eastAsia="宋体" w:hint="default"/>
                <w:sz w:val="18"/>
                <w:szCs w:val="18"/>
              </w:rPr>
              <w:t>熊桂 生</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2016</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12</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w w:val="85"/>
                <w:sz w:val="18"/>
                <w:szCs w:val="18"/>
              </w:rPr>
              <w:t>2020</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16</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5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李勇</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2014</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28</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w w:val="85"/>
                <w:sz w:val="18"/>
                <w:szCs w:val="18"/>
              </w:rPr>
              <w:t>2020</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16</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5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高源</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59" w:right="60" w:firstLine="91"/>
              <w:jc w:val="left"/>
              <w:rPr>
                <w:rFonts w:ascii="宋体" w:hAnsi="宋体" w:cs="宋体" w:eastAsia="宋体" w:hint="default"/>
                <w:sz w:val="18"/>
                <w:szCs w:val="18"/>
              </w:rPr>
            </w:pPr>
            <w:r>
              <w:rPr>
                <w:rFonts w:ascii="宋体" w:hAnsi="宋体" w:cs="宋体" w:eastAsia="宋体" w:hint="default"/>
                <w:sz w:val="18"/>
                <w:szCs w:val="18"/>
              </w:rPr>
              <w:t>副总经 理；财务 总监；董 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09</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23</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w w:val="85"/>
                <w:sz w:val="18"/>
                <w:szCs w:val="18"/>
              </w:rPr>
              <w:t>2020</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16</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5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188" w:right="96" w:hanging="92"/>
              <w:jc w:val="left"/>
              <w:rPr>
                <w:rFonts w:ascii="宋体" w:hAnsi="宋体" w:cs="宋体" w:eastAsia="宋体" w:hint="default"/>
                <w:sz w:val="18"/>
                <w:szCs w:val="18"/>
              </w:rPr>
            </w:pPr>
            <w:r>
              <w:rPr>
                <w:rFonts w:ascii="宋体" w:hAnsi="宋体" w:cs="宋体" w:eastAsia="宋体" w:hint="default"/>
                <w:sz w:val="18"/>
                <w:szCs w:val="18"/>
              </w:rPr>
              <w:t>沈远 恒</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12</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17</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w w:val="85"/>
                <w:sz w:val="18"/>
                <w:szCs w:val="18"/>
              </w:rPr>
              <w:t>2020</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16</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5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188" w:right="96" w:hanging="92"/>
              <w:jc w:val="left"/>
              <w:rPr>
                <w:rFonts w:ascii="宋体" w:hAnsi="宋体" w:cs="宋体" w:eastAsia="宋体" w:hint="default"/>
                <w:sz w:val="18"/>
                <w:szCs w:val="18"/>
              </w:rPr>
            </w:pPr>
            <w:r>
              <w:rPr>
                <w:rFonts w:ascii="宋体" w:hAnsi="宋体" w:cs="宋体" w:eastAsia="宋体" w:hint="default"/>
                <w:sz w:val="18"/>
                <w:szCs w:val="18"/>
              </w:rPr>
              <w:t>张文 隽</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2017</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17</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w w:val="85"/>
                <w:sz w:val="18"/>
                <w:szCs w:val="18"/>
              </w:rPr>
              <w:t>2020</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05</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16</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5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郑明</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Times New Roman" w:hAnsi="Times New Roman" w:cs="Times New Roman" w:eastAsia="Times New Roman" w:hint="default"/>
                <w:w w:val="85"/>
                <w:sz w:val="18"/>
                <w:szCs w:val="18"/>
              </w:rPr>
              <w:t>2017</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01</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16</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w w:val="85"/>
                <w:sz w:val="18"/>
                <w:szCs w:val="18"/>
              </w:rPr>
              <w:t>2018</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年</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09</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月</w:t>
            </w:r>
            <w:r>
              <w:rPr>
                <w:rFonts w:ascii="宋体" w:hAnsi="宋体" w:cs="宋体" w:eastAsia="宋体" w:hint="default"/>
                <w:spacing w:val="-54"/>
                <w:w w:val="85"/>
                <w:sz w:val="18"/>
                <w:szCs w:val="18"/>
              </w:rPr>
              <w:t> </w:t>
            </w:r>
            <w:r>
              <w:rPr>
                <w:rFonts w:ascii="Times New Roman" w:hAnsi="Times New Roman" w:cs="Times New Roman" w:eastAsia="Times New Roman" w:hint="default"/>
                <w:w w:val="85"/>
                <w:sz w:val="18"/>
                <w:szCs w:val="18"/>
              </w:rPr>
              <w:t>14</w:t>
            </w:r>
            <w:r>
              <w:rPr>
                <w:rFonts w:ascii="Times New Roman" w:hAnsi="Times New Roman" w:cs="Times New Roman" w:eastAsia="Times New Roman" w:hint="default"/>
                <w:spacing w:val="-16"/>
                <w:w w:val="85"/>
                <w:sz w:val="18"/>
                <w:szCs w:val="18"/>
              </w:rPr>
              <w:t> </w:t>
            </w:r>
            <w:r>
              <w:rPr>
                <w:rFonts w:ascii="宋体" w:hAnsi="宋体" w:cs="宋体" w:eastAsia="宋体" w:hint="default"/>
                <w:w w:val="85"/>
                <w:sz w:val="18"/>
                <w:szCs w:val="18"/>
              </w:rPr>
              <w:t>日</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17"/>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19"/>
        <w:gridCol w:w="1340"/>
        <w:gridCol w:w="1541"/>
        <w:gridCol w:w="4027"/>
        <w:gridCol w:w="100"/>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00" w:type="dxa"/>
            <w:tcBorders>
              <w:top w:val="nil" w:sz="6" w:space="0" w:color="auto"/>
              <w:left w:val="single" w:sz="10" w:space="0" w:color="D2D2D2"/>
              <w:bottom w:val="single" w:sz="4" w:space="0" w:color="000000"/>
              <w:right w:val="nil" w:sz="6" w:space="0" w:color="auto"/>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郑明</w:t>
            </w:r>
          </w:p>
        </w:tc>
        <w:tc>
          <w:tcPr>
            <w:tcW w:w="13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40"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26"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个人原因，主动离任</w:t>
            </w:r>
          </w:p>
        </w:tc>
      </w:tr>
    </w:tbl>
    <w:p>
      <w:pPr>
        <w:spacing w:after="0" w:line="240" w:lineRule="auto"/>
        <w:jc w:val="left"/>
        <w:rPr>
          <w:rFonts w:ascii="宋体" w:hAnsi="宋体" w:cs="宋体" w:eastAsia="宋体" w:hint="default"/>
          <w:sz w:val="18"/>
          <w:szCs w:val="18"/>
        </w:rPr>
        <w:sectPr>
          <w:pgSz w:w="11910" w:h="16840"/>
          <w:pgMar w:header="786" w:footer="1267" w:top="1100" w:bottom="146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1117"/>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7"/>
        <w:jc w:val="left"/>
      </w:pPr>
      <w:r>
        <w:rPr/>
        <w:t>公司现任董事、监事、高级管理人员专业背景、主要工作经历以及目前在公司的主要职责</w:t>
      </w:r>
    </w:p>
    <w:p>
      <w:pPr>
        <w:pStyle w:val="BodyText"/>
        <w:spacing w:line="340" w:lineRule="auto" w:before="115"/>
        <w:ind w:left="513" w:right="1117"/>
        <w:jc w:val="left"/>
      </w:pPr>
      <w:r>
        <w:rPr>
          <w:rFonts w:ascii="Times New Roman" w:hAnsi="Times New Roman" w:cs="Times New Roman" w:eastAsia="Times New Roman" w:hint="default"/>
        </w:rPr>
        <w:t>1</w:t>
      </w:r>
      <w:r>
        <w:rPr/>
        <w:t>、董事 </w:t>
      </w:r>
      <w:r>
        <w:rPr>
          <w:spacing w:val="-2"/>
        </w:rPr>
        <w:t>于伟，董事长，</w:t>
      </w:r>
      <w:r>
        <w:rPr>
          <w:rFonts w:ascii="Times New Roman" w:hAnsi="Times New Roman" w:cs="Times New Roman" w:eastAsia="Times New Roman" w:hint="default"/>
          <w:spacing w:val="-2"/>
        </w:rPr>
        <w:t>1958</w:t>
      </w:r>
      <w:r>
        <w:rPr>
          <w:spacing w:val="-2"/>
        </w:rPr>
        <w:t>年出生，中国国籍，无境外永久居留权，毕业于国际关系学院，获学士学位。工作期间历任中国瑞</w:t>
      </w:r>
    </w:p>
    <w:p>
      <w:pPr>
        <w:pStyle w:val="BodyText"/>
        <w:spacing w:line="215" w:lineRule="exact"/>
        <w:ind w:right="991"/>
        <w:jc w:val="left"/>
      </w:pPr>
      <w:r>
        <w:rPr/>
        <w:t>宝开发公司项目经理、阿斯克（中国）软件技术有限公司总经理、西科姆（中国）有限公司总经理、深圳市高伟达投资有限</w:t>
      </w:r>
    </w:p>
    <w:p>
      <w:pPr>
        <w:pStyle w:val="BodyText"/>
        <w:spacing w:line="316" w:lineRule="auto" w:before="76"/>
        <w:ind w:right="1117"/>
        <w:jc w:val="left"/>
      </w:pPr>
      <w:r>
        <w:rPr>
          <w:spacing w:val="-2"/>
        </w:rPr>
        <w:t>公司执行董事兼总经理、北京高伟达科技发展有限公司董事长、北京高伟达系统集成有限公司董事长兼总经理、高伟达控股</w:t>
      </w:r>
      <w:r>
        <w:rPr>
          <w:spacing w:val="-63"/>
        </w:rPr>
        <w:t> </w:t>
      </w:r>
      <w:r>
        <w:rPr>
          <w:spacing w:val="-63"/>
        </w:rPr>
      </w:r>
      <w:r>
        <w:rPr/>
        <w:t>公司董事长，现任公司董事长。</w:t>
      </w:r>
    </w:p>
    <w:p>
      <w:pPr>
        <w:pStyle w:val="BodyText"/>
        <w:spacing w:line="300" w:lineRule="auto" w:before="59"/>
        <w:ind w:right="1132" w:firstLine="360"/>
        <w:jc w:val="right"/>
      </w:pPr>
      <w:r>
        <w:rPr/>
        <w:t>程军，董事、总经理，</w:t>
      </w:r>
      <w:r>
        <w:rPr>
          <w:rFonts w:ascii="Times New Roman" w:hAnsi="Times New Roman" w:cs="Times New Roman" w:eastAsia="Times New Roman" w:hint="default"/>
        </w:rPr>
        <w:t>1968</w:t>
      </w:r>
      <w:r>
        <w:rPr/>
        <w:t>年出生，中国国籍，无境外永久居留权，大专学历。</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-1997</w:t>
      </w:r>
      <w:r>
        <w:rPr/>
        <w:t>年，供职于联合饼干（中 </w:t>
      </w:r>
      <w:r>
        <w:rPr>
          <w:spacing w:val="-1"/>
        </w:rPr>
        <w:t>国）武汉分公司财务部；</w:t>
      </w:r>
      <w:r>
        <w:rPr>
          <w:rFonts w:ascii="Times New Roman" w:hAnsi="Times New Roman" w:cs="Times New Roman" w:eastAsia="Times New Roman" w:hint="default"/>
          <w:spacing w:val="-1"/>
        </w:rPr>
        <w:t>1997</w:t>
      </w:r>
      <w:r>
        <w:rPr>
          <w:spacing w:val="-1"/>
        </w:rPr>
        <w:t>年</w:t>
      </w:r>
      <w:r>
        <w:rPr>
          <w:rFonts w:ascii="Times New Roman" w:hAnsi="Times New Roman" w:cs="Times New Roman" w:eastAsia="Times New Roman" w:hint="default"/>
          <w:spacing w:val="-1"/>
        </w:rPr>
        <w:t>-2006</w:t>
      </w:r>
      <w:r>
        <w:rPr>
          <w:spacing w:val="-1"/>
        </w:rPr>
        <w:t>年，担任北京高伟达科技发展有限公司武汉分公司总经理；</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-2011</w:t>
      </w:r>
      <w:r>
        <w:rPr>
          <w:spacing w:val="-1"/>
        </w:rPr>
        <w:t>年，担任北京</w:t>
      </w:r>
      <w:r>
        <w:rPr>
          <w:spacing w:val="-74"/>
        </w:rPr>
        <w:t> </w:t>
      </w:r>
      <w:r>
        <w:rPr>
          <w:spacing w:val="-74"/>
        </w:rPr>
      </w:r>
      <w:r>
        <w:rPr>
          <w:spacing w:val="-3"/>
          <w:w w:val="95"/>
        </w:rPr>
        <w:t>高伟达软件技术有限公司副总经理；</w:t>
      </w:r>
      <w:r>
        <w:rPr>
          <w:rFonts w:ascii="Times New Roman" w:hAnsi="Times New Roman" w:cs="Times New Roman" w:eastAsia="Times New Roman" w:hint="default"/>
          <w:spacing w:val="-3"/>
          <w:w w:val="95"/>
        </w:rPr>
        <w:t>2011</w:t>
      </w:r>
      <w:r>
        <w:rPr>
          <w:spacing w:val="-3"/>
          <w:w w:val="95"/>
        </w:rPr>
        <w:t>年至</w:t>
      </w:r>
      <w:r>
        <w:rPr>
          <w:rFonts w:ascii="Times New Roman" w:hAnsi="Times New Roman" w:cs="Times New Roman" w:eastAsia="Times New Roman" w:hint="default"/>
          <w:spacing w:val="-3"/>
          <w:w w:val="95"/>
        </w:rPr>
        <w:t>2016</w:t>
      </w:r>
      <w:r>
        <w:rPr>
          <w:spacing w:val="-3"/>
          <w:w w:val="95"/>
        </w:rPr>
        <w:t>年</w:t>
      </w:r>
      <w:r>
        <w:rPr>
          <w:rFonts w:ascii="Times New Roman" w:hAnsi="Times New Roman" w:cs="Times New Roman" w:eastAsia="Times New Roman" w:hint="default"/>
          <w:spacing w:val="-3"/>
          <w:w w:val="95"/>
        </w:rPr>
        <w:t>1</w:t>
      </w:r>
      <w:r>
        <w:rPr>
          <w:spacing w:val="-3"/>
          <w:w w:val="95"/>
        </w:rPr>
        <w:t>月，担任高伟达软件股份有限公司副总经理，现任公司董事、总经理。</w:t>
      </w:r>
    </w:p>
    <w:p>
      <w:pPr>
        <w:pStyle w:val="BodyText"/>
        <w:spacing w:line="300" w:lineRule="auto" w:before="51"/>
        <w:ind w:right="1132" w:firstLine="360"/>
        <w:jc w:val="both"/>
      </w:pPr>
      <w:r>
        <w:rPr>
          <w:spacing w:val="-2"/>
        </w:rPr>
        <w:t>王月，董事，</w:t>
      </w:r>
      <w:r>
        <w:rPr>
          <w:rFonts w:ascii="Times New Roman" w:hAnsi="Times New Roman" w:cs="Times New Roman" w:eastAsia="Times New Roman" w:hint="default"/>
          <w:spacing w:val="-2"/>
        </w:rPr>
        <w:t>1970</w:t>
      </w:r>
      <w:r>
        <w:rPr>
          <w:spacing w:val="-2"/>
        </w:rPr>
        <w:t>年出生，加拿大国籍，研究生学历。工作期间历任平安集团风险管理部银行室经理，兼任平安银行风</w:t>
      </w:r>
      <w:r>
        <w:rPr/>
        <w:t> 险管理委员会工作秘书、平安银行</w:t>
      </w:r>
      <w:r>
        <w:rPr>
          <w:rFonts w:ascii="Times New Roman" w:hAnsi="Times New Roman" w:cs="Times New Roman" w:eastAsia="Times New Roman" w:hint="default"/>
        </w:rPr>
        <w:t>CRO</w:t>
      </w:r>
      <w:r>
        <w:rPr/>
        <w:t>首席风险官办公室高级经理、国家开发银行东北信贷局资产组合分析员、中国投资</w:t>
      </w:r>
      <w:r>
        <w:rPr>
          <w:spacing w:val="-15"/>
        </w:rPr>
        <w:t> </w:t>
      </w:r>
      <w:r>
        <w:rPr>
          <w:spacing w:val="-15"/>
        </w:rPr>
      </w:r>
      <w:r>
        <w:rPr>
          <w:spacing w:val="-2"/>
        </w:rPr>
        <w:t>银行资金计划部行员。</w:t>
      </w:r>
      <w:r>
        <w:rPr>
          <w:rFonts w:ascii="Times New Roman" w:hAnsi="Times New Roman" w:cs="Times New Roman" w:eastAsia="Times New Roman" w:hint="default"/>
          <w:spacing w:val="-2"/>
        </w:rPr>
        <w:t>2011</w:t>
      </w:r>
      <w:r>
        <w:rPr>
          <w:spacing w:val="-2"/>
        </w:rPr>
        <w:t>年加入高伟达公司，历任风险合规部副总监，研发中心副总经理，现任高伟达软件股份有限公司</w:t>
      </w:r>
      <w:r>
        <w:rPr>
          <w:spacing w:val="-62"/>
        </w:rPr>
        <w:t> </w:t>
      </w:r>
      <w:r>
        <w:rPr>
          <w:spacing w:val="-62"/>
        </w:rPr>
      </w:r>
      <w:r>
        <w:rPr/>
        <w:t>研发中心总经理、公司董事。</w:t>
      </w:r>
    </w:p>
    <w:p>
      <w:pPr>
        <w:pStyle w:val="BodyText"/>
        <w:spacing w:line="300" w:lineRule="auto" w:before="72"/>
        <w:ind w:right="1130" w:firstLine="360"/>
        <w:jc w:val="both"/>
      </w:pPr>
      <w:r>
        <w:rPr>
          <w:spacing w:val="-2"/>
        </w:rPr>
        <w:t>钱英，独立董事，</w:t>
      </w:r>
      <w:r>
        <w:rPr>
          <w:rFonts w:ascii="Times New Roman" w:hAnsi="Times New Roman" w:cs="Times New Roman" w:eastAsia="Times New Roman" w:hint="default"/>
          <w:spacing w:val="-2"/>
        </w:rPr>
        <w:t>1963</w:t>
      </w:r>
      <w:r>
        <w:rPr>
          <w:spacing w:val="-2"/>
        </w:rPr>
        <w:t>年出生，中国国籍，中国政法大学毕业，研究生学历，工作期间历任北京国际关系学院从事教学</w:t>
      </w:r>
      <w:r>
        <w:rPr/>
        <w:t> </w:t>
      </w:r>
      <w:r>
        <w:rPr>
          <w:spacing w:val="-2"/>
        </w:rPr>
        <w:t>工作。</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2010</w:t>
      </w:r>
      <w:r>
        <w:rPr>
          <w:spacing w:val="-2"/>
        </w:rPr>
        <w:t>年加入北京五环律师事务所开始从事专职律师工作并为五环所执行合伙人，</w:t>
      </w:r>
      <w:r>
        <w:rPr>
          <w:rFonts w:ascii="Times New Roman" w:hAnsi="Times New Roman" w:cs="Times New Roman" w:eastAsia="Times New Roman" w:hint="default"/>
          <w:spacing w:val="-2"/>
        </w:rPr>
        <w:t>2010</w:t>
      </w:r>
      <w:r>
        <w:rPr>
          <w:spacing w:val="-2"/>
        </w:rPr>
        <w:t>年至今为北京汉卓律师</w:t>
      </w:r>
      <w:r>
        <w:rPr>
          <w:spacing w:val="-56"/>
        </w:rPr>
        <w:t> </w:t>
      </w:r>
      <w:r>
        <w:rPr>
          <w:spacing w:val="-56"/>
        </w:rPr>
      </w:r>
      <w:r>
        <w:rPr>
          <w:spacing w:val="-3"/>
        </w:rPr>
        <w:t>事务所律师并为该所合伙人。</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4</w:t>
      </w:r>
      <w:r>
        <w:rPr>
          <w:spacing w:val="-3"/>
        </w:rPr>
        <w:t>月至今担任青海春天药用资源科技股份有限公司（证券代码</w:t>
      </w:r>
      <w:r>
        <w:rPr>
          <w:rFonts w:ascii="Times New Roman" w:hAnsi="Times New Roman" w:cs="Times New Roman" w:eastAsia="Times New Roman" w:hint="default"/>
          <w:spacing w:val="-3"/>
        </w:rPr>
        <w:t>600381</w:t>
      </w:r>
      <w:r>
        <w:rPr>
          <w:spacing w:val="-3"/>
        </w:rPr>
        <w:t>）董事会独立董事。</w:t>
      </w:r>
      <w:r>
        <w:rPr>
          <w:spacing w:val="-87"/>
        </w:rPr>
        <w:t> </w:t>
      </w:r>
      <w:r>
        <w:rPr>
          <w:spacing w:val="-87"/>
        </w:rPr>
      </w:r>
      <w:r>
        <w:rPr/>
        <w:t>现任公司独立董事。</w:t>
      </w:r>
    </w:p>
    <w:p>
      <w:pPr>
        <w:pStyle w:val="BodyText"/>
        <w:spacing w:line="307" w:lineRule="auto" w:before="72"/>
        <w:ind w:right="1130" w:firstLine="360"/>
        <w:jc w:val="both"/>
      </w:pPr>
      <w:r>
        <w:rPr/>
        <w:t>郑建明，独立董事，</w:t>
      </w:r>
      <w:r>
        <w:rPr>
          <w:rFonts w:ascii="Times New Roman" w:hAnsi="Times New Roman" w:cs="Times New Roman" w:eastAsia="Times New Roman" w:hint="default"/>
        </w:rPr>
        <w:t>1971</w:t>
      </w:r>
      <w:r>
        <w:rPr/>
        <w:t>年出生，中国国籍，中南财经大学毕业，博士，全国会计领军人才，中国</w:t>
      </w:r>
      <w:r>
        <w:rPr>
          <w:rFonts w:ascii="Times New Roman" w:hAnsi="Times New Roman" w:cs="Times New Roman" w:eastAsia="Times New Roman" w:hint="default"/>
        </w:rPr>
        <w:t>WTO</w:t>
      </w:r>
      <w:r>
        <w:rPr/>
        <w:t>研究院特约研 </w:t>
      </w:r>
      <w:r>
        <w:rPr>
          <w:spacing w:val="-5"/>
        </w:rPr>
        <w:t>究员，深圳大学中国经济特区研究中心研究员，中国社会经济系统分析研究会理事，中国会计学会财务管理专业委员会委员，</w:t>
      </w:r>
      <w:r>
        <w:rPr>
          <w:spacing w:val="-76"/>
        </w:rPr>
        <w:t> </w:t>
      </w:r>
      <w:r>
        <w:rPr>
          <w:spacing w:val="-76"/>
        </w:rPr>
      </w:r>
      <w:r>
        <w:rPr/>
        <w:t>中国金融会计学会常务理事，北京区域经济学会理事，北京青年商会顾问。</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w:t>
      </w:r>
      <w:r>
        <w:rPr/>
        <w:t>至今，对外经济贸易大学国际商学院教</w:t>
      </w:r>
      <w:r>
        <w:rPr>
          <w:spacing w:val="-56"/>
        </w:rPr>
        <w:t> </w:t>
      </w:r>
      <w:r>
        <w:rPr>
          <w:spacing w:val="-56"/>
        </w:rPr>
      </w:r>
      <w:r>
        <w:rPr/>
        <w:t>授、博导。现任公司独立董事。</w:t>
      </w:r>
    </w:p>
    <w:p>
      <w:pPr>
        <w:pStyle w:val="BodyText"/>
        <w:spacing w:line="240" w:lineRule="auto" w:before="64"/>
        <w:ind w:left="513" w:right="1117"/>
        <w:jc w:val="left"/>
      </w:pPr>
      <w:r>
        <w:rPr>
          <w:rFonts w:ascii="Times New Roman" w:hAnsi="Times New Roman" w:cs="Times New Roman" w:eastAsia="Times New Roman" w:hint="default"/>
        </w:rPr>
        <w:t>2</w:t>
      </w:r>
      <w:r>
        <w:rPr/>
        <w:t>、监事</w:t>
      </w:r>
    </w:p>
    <w:p>
      <w:pPr>
        <w:pStyle w:val="BodyText"/>
        <w:spacing w:line="300" w:lineRule="auto" w:before="103"/>
        <w:ind w:right="1131" w:firstLine="360"/>
        <w:jc w:val="both"/>
      </w:pPr>
      <w:r>
        <w:rPr>
          <w:spacing w:val="-1"/>
        </w:rPr>
        <w:t>汪挺，监事会主席，</w:t>
      </w:r>
      <w:r>
        <w:rPr>
          <w:rFonts w:ascii="Times New Roman" w:hAnsi="Times New Roman" w:cs="Times New Roman" w:eastAsia="Times New Roman" w:hint="default"/>
          <w:spacing w:val="-1"/>
        </w:rPr>
        <w:t>1962</w:t>
      </w:r>
      <w:r>
        <w:rPr>
          <w:spacing w:val="-1"/>
        </w:rPr>
        <w:t>年出生，中国国籍，大学本科学历。</w:t>
      </w:r>
      <w:r>
        <w:rPr>
          <w:rFonts w:ascii="Times New Roman" w:hAnsi="Times New Roman" w:cs="Times New Roman" w:eastAsia="Times New Roman" w:hint="default"/>
          <w:spacing w:val="-1"/>
        </w:rPr>
        <w:t>1983</w:t>
      </w:r>
      <w:r>
        <w:rPr>
          <w:spacing w:val="-1"/>
        </w:rPr>
        <w:t>年</w:t>
      </w:r>
      <w:r>
        <w:rPr>
          <w:rFonts w:ascii="Times New Roman" w:hAnsi="Times New Roman" w:cs="Times New Roman" w:eastAsia="Times New Roman" w:hint="default"/>
          <w:spacing w:val="-1"/>
        </w:rPr>
        <w:t>-1993</w:t>
      </w:r>
      <w:r>
        <w:rPr>
          <w:spacing w:val="-1"/>
        </w:rPr>
        <w:t>年</w:t>
      </w:r>
      <w:r>
        <w:rPr>
          <w:rFonts w:ascii="Times New Roman" w:hAnsi="Times New Roman" w:cs="Times New Roman" w:eastAsia="Times New Roman" w:hint="default"/>
          <w:spacing w:val="-1"/>
        </w:rPr>
        <w:t>6</w:t>
      </w:r>
      <w:r>
        <w:rPr>
          <w:spacing w:val="-1"/>
        </w:rPr>
        <w:t>月，担任中科院计算技术研究所助理工程</w:t>
      </w:r>
      <w:r>
        <w:rPr/>
        <w:t> 师、工程师，参与国内大型计算机的研发工作；</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2</w:t>
      </w:r>
      <w:r>
        <w:rPr/>
        <w:t>月加入西科姆（中国）有限公司，曾担任软件事业部经</w:t>
      </w:r>
      <w:r>
        <w:rPr>
          <w:spacing w:val="-58"/>
        </w:rPr>
        <w:t> </w:t>
      </w:r>
      <w:r>
        <w:rPr>
          <w:spacing w:val="-58"/>
        </w:rPr>
      </w:r>
      <w:r>
        <w:rPr/>
        <w:t>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3</w:t>
      </w:r>
      <w:r>
        <w:rPr/>
        <w:t>月加入公司，历任公司副总经理、软件中心总经理、金融咨询服务中心总经理，现任深圳分公司总经理。</w:t>
      </w:r>
    </w:p>
    <w:p>
      <w:pPr>
        <w:pStyle w:val="BodyText"/>
        <w:spacing w:line="300" w:lineRule="auto" w:before="53"/>
        <w:ind w:right="1129" w:firstLine="360"/>
        <w:jc w:val="both"/>
      </w:pPr>
      <w:r>
        <w:rPr>
          <w:spacing w:val="-2"/>
        </w:rPr>
        <w:t>张勇，股东代表监事，</w:t>
      </w:r>
      <w:r>
        <w:rPr>
          <w:rFonts w:ascii="Times New Roman" w:hAnsi="Times New Roman" w:cs="Times New Roman" w:eastAsia="Times New Roman" w:hint="default"/>
          <w:spacing w:val="-2"/>
        </w:rPr>
        <w:t>1961</w:t>
      </w:r>
      <w:r>
        <w:rPr>
          <w:spacing w:val="-2"/>
        </w:rPr>
        <w:t>年出生，中国国籍，大学本科学历。工作期间历任原中国轻工业部家用电器产品质量检测中</w:t>
      </w:r>
      <w:r>
        <w:rPr/>
        <w:t> </w:t>
      </w:r>
      <w:r>
        <w:rPr>
          <w:spacing w:val="-2"/>
        </w:rPr>
        <w:t>心清洁器具室主任助理工程师、西科姆中国公司海南分公司副总经理；</w:t>
      </w:r>
      <w:r>
        <w:rPr>
          <w:rFonts w:ascii="Times New Roman" w:hAnsi="Times New Roman" w:cs="Times New Roman" w:eastAsia="Times New Roman" w:hint="default"/>
          <w:spacing w:val="-2"/>
        </w:rPr>
        <w:t>2000</w:t>
      </w:r>
      <w:r>
        <w:rPr>
          <w:spacing w:val="-2"/>
        </w:rPr>
        <w:t>加入高伟达，担任销售副总；现担任市场行政部</w:t>
      </w:r>
      <w:r>
        <w:rPr>
          <w:spacing w:val="-59"/>
        </w:rPr>
        <w:t> </w:t>
      </w:r>
      <w:r>
        <w:rPr>
          <w:spacing w:val="-59"/>
        </w:rPr>
      </w:r>
      <w:r>
        <w:rPr/>
        <w:t>经理、公司监事。</w:t>
      </w:r>
    </w:p>
    <w:p>
      <w:pPr>
        <w:pStyle w:val="BodyText"/>
        <w:spacing w:line="307" w:lineRule="auto" w:before="70"/>
        <w:ind w:right="1130" w:firstLine="360"/>
        <w:jc w:val="both"/>
      </w:pPr>
      <w:r>
        <w:rPr>
          <w:spacing w:val="-2"/>
        </w:rPr>
        <w:t>熊桂生，职工代表监事，</w:t>
      </w:r>
      <w:r>
        <w:rPr>
          <w:rFonts w:ascii="Times New Roman" w:hAnsi="Times New Roman" w:cs="Times New Roman" w:eastAsia="Times New Roman" w:hint="default"/>
          <w:spacing w:val="-2"/>
        </w:rPr>
        <w:t>1975</w:t>
      </w:r>
      <w:r>
        <w:rPr>
          <w:spacing w:val="-2"/>
        </w:rPr>
        <w:t>年出生，中国国籍，无境外永久居留权，学士学位。历任清华华康电力电子有限公司工程</w:t>
      </w:r>
      <w:r>
        <w:rPr/>
        <w:t> </w:t>
      </w:r>
      <w:r>
        <w:rPr>
          <w:spacing w:val="-2"/>
        </w:rPr>
        <w:t>师、研发部主管，北京南天信息工程有限公司高级项目经理，赛迪顾问股份有限公司金融咨询事业部外联经理，</w:t>
      </w:r>
      <w:r>
        <w:rPr>
          <w:rFonts w:ascii="Times New Roman" w:hAnsi="Times New Roman" w:cs="Times New Roman" w:eastAsia="Times New Roman" w:hint="default"/>
          <w:spacing w:val="-2"/>
        </w:rPr>
        <w:t>NCS</w:t>
      </w:r>
      <w:r>
        <w:rPr>
          <w:spacing w:val="-2"/>
        </w:rPr>
        <w:t>宇博公</w:t>
      </w:r>
      <w:r>
        <w:rPr>
          <w:spacing w:val="-54"/>
        </w:rPr>
        <w:t> </w:t>
      </w:r>
      <w:r>
        <w:rPr>
          <w:spacing w:val="-2"/>
        </w:rPr>
        <w:t>司咨询经理，万国华浩信息技术有限公司副总经理，宇博信诚信息技术有限公司售前经理、高伟达软件技术有限公司解决方</w:t>
      </w:r>
      <w:r>
        <w:rPr>
          <w:spacing w:val="-63"/>
        </w:rPr>
        <w:t> </w:t>
      </w:r>
      <w:r>
        <w:rPr>
          <w:spacing w:val="-63"/>
        </w:rPr>
      </w:r>
      <w:r>
        <w:rPr/>
        <w:t>案中心总经理、金融咨询服务中心总经理，现任高伟达软件股份有限公司战略投资部总经理、公司监事。</w:t>
      </w:r>
    </w:p>
    <w:p>
      <w:pPr>
        <w:pStyle w:val="BodyText"/>
        <w:spacing w:line="338" w:lineRule="auto" w:before="67"/>
        <w:ind w:left="513" w:right="1117"/>
        <w:jc w:val="left"/>
      </w:pPr>
      <w:r>
        <w:rPr>
          <w:rFonts w:ascii="Times New Roman" w:hAnsi="Times New Roman" w:cs="Times New Roman" w:eastAsia="Times New Roman" w:hint="default"/>
        </w:rPr>
        <w:t>3</w:t>
      </w:r>
      <w:r>
        <w:rPr/>
        <w:t>、高级管理人员 </w:t>
      </w:r>
      <w:r>
        <w:rPr>
          <w:spacing w:val="-2"/>
        </w:rPr>
        <w:t>李勇，副总经理，</w:t>
      </w:r>
      <w:r>
        <w:rPr>
          <w:rFonts w:ascii="Times New Roman" w:hAnsi="Times New Roman" w:cs="Times New Roman" w:eastAsia="Times New Roman" w:hint="default"/>
          <w:spacing w:val="-2"/>
        </w:rPr>
        <w:t>1968</w:t>
      </w:r>
      <w:r>
        <w:rPr>
          <w:spacing w:val="-2"/>
        </w:rPr>
        <w:t>年出生，中国国籍，无境外永久居留权，毕业于山东大学，获学士学位。工作期间历任山东中创</w:t>
      </w:r>
    </w:p>
    <w:p>
      <w:pPr>
        <w:pStyle w:val="BodyText"/>
        <w:spacing w:line="230" w:lineRule="exact"/>
        <w:ind w:right="991"/>
        <w:jc w:val="left"/>
      </w:pPr>
      <w:r>
        <w:rPr/>
        <w:t>软件工程股份有限公司工程师、部门经理及副总工程师、中钞信用卡信息产业发展有限公司研发中心经理及</w:t>
      </w:r>
      <w:r>
        <w:rPr>
          <w:rFonts w:ascii="Times New Roman" w:hAnsi="Times New Roman" w:cs="Times New Roman" w:eastAsia="Times New Roman" w:hint="default"/>
        </w:rPr>
        <w:t>IC</w:t>
      </w:r>
      <w:r>
        <w:rPr/>
        <w:t>卡事业部总工</w:t>
      </w:r>
    </w:p>
    <w:p>
      <w:pPr>
        <w:pStyle w:val="BodyText"/>
        <w:spacing w:line="360" w:lineRule="auto" w:before="63"/>
        <w:ind w:left="513" w:right="1117" w:hanging="361"/>
        <w:jc w:val="left"/>
      </w:pPr>
      <w:r>
        <w:rPr/>
        <w:t>程师、北京高伟达软件技术有限公司副总经理，现任公司副总经理。 </w:t>
      </w:r>
      <w:r>
        <w:rPr>
          <w:spacing w:val="-2"/>
        </w:rPr>
        <w:t>沈远恒，</w:t>
      </w:r>
      <w:r>
        <w:rPr>
          <w:rFonts w:ascii="Times New Roman" w:hAnsi="Times New Roman" w:cs="Times New Roman" w:eastAsia="Times New Roman" w:hint="default"/>
          <w:spacing w:val="-2"/>
        </w:rPr>
        <w:t>1963</w:t>
      </w:r>
      <w:r>
        <w:rPr>
          <w:spacing w:val="-2"/>
        </w:rPr>
        <w:t>年出生，中国台湾籍及美国国籍，毕业于美国伊利诺理工学院以及美国堪萨斯州立大学，分别获得金融工</w:t>
      </w:r>
    </w:p>
    <w:p>
      <w:pPr>
        <w:pStyle w:val="BodyText"/>
        <w:spacing w:line="212" w:lineRule="exact"/>
        <w:ind w:right="1117"/>
        <w:jc w:val="left"/>
      </w:pPr>
      <w:r>
        <w:rPr/>
        <w:t>程硕士学位以及土木工程硕士学位。</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-1997</w:t>
      </w:r>
      <w:r>
        <w:rPr/>
        <w:t>年担任美国</w:t>
      </w:r>
      <w:r>
        <w:rPr>
          <w:rFonts w:ascii="Times New Roman" w:hAnsi="Times New Roman" w:cs="Times New Roman" w:eastAsia="Times New Roman" w:hint="default"/>
        </w:rPr>
        <w:t>HNTB</w:t>
      </w:r>
      <w:r>
        <w:rPr/>
        <w:t>工程顾问公司结构设计工程师；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-2000</w:t>
      </w:r>
      <w:r>
        <w:rPr/>
        <w:t>年，担任摩</w:t>
      </w:r>
    </w:p>
    <w:p>
      <w:pPr>
        <w:pStyle w:val="BodyText"/>
        <w:spacing w:line="300" w:lineRule="auto" w:before="63"/>
        <w:ind w:right="1131"/>
        <w:jc w:val="left"/>
        <w:rPr>
          <w:rFonts w:ascii="Times New Roman" w:hAnsi="Times New Roman" w:cs="Times New Roman" w:eastAsia="Times New Roman" w:hint="default"/>
        </w:rPr>
      </w:pPr>
      <w:r>
        <w:rPr>
          <w:spacing w:val="-1"/>
        </w:rPr>
        <w:t>根大通集团（美国）全球资本市场部量化投资策略固定收益部负责人；</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-2006</w:t>
      </w:r>
      <w:r>
        <w:rPr>
          <w:spacing w:val="-1"/>
        </w:rPr>
        <w:t>年，担任芝加哥期权交易所</w:t>
      </w:r>
      <w:r>
        <w:rPr>
          <w:rFonts w:ascii="Times New Roman" w:hAnsi="Times New Roman" w:cs="Times New Roman" w:eastAsia="Times New Roman" w:hint="default"/>
          <w:spacing w:val="-1"/>
        </w:rPr>
        <w:t>(CBOE)</w:t>
      </w:r>
      <w:r>
        <w:rPr>
          <w:spacing w:val="-1"/>
        </w:rPr>
        <w:t>、芝</w:t>
      </w:r>
      <w:r>
        <w:rPr>
          <w:spacing w:val="-62"/>
        </w:rPr>
        <w:t> </w:t>
      </w:r>
      <w:r>
        <w:rPr>
          <w:spacing w:val="-5"/>
          <w:w w:val="99"/>
        </w:rPr>
        <w:t>加哥商品期货交易所</w:t>
      </w:r>
      <w:r>
        <w:rPr>
          <w:rFonts w:ascii="Times New Roman" w:hAnsi="Times New Roman" w:cs="Times New Roman" w:eastAsia="Times New Roman" w:hint="default"/>
          <w:spacing w:val="-5"/>
          <w:w w:val="99"/>
        </w:rPr>
        <w:t>(CBOT)</w:t>
      </w:r>
      <w:r>
        <w:rPr>
          <w:spacing w:val="-5"/>
          <w:w w:val="99"/>
        </w:rPr>
        <w:t>资深量化交易风险管理负责人；</w:t>
      </w:r>
      <w:r>
        <w:rPr>
          <w:rFonts w:ascii="Times New Roman" w:hAnsi="Times New Roman" w:cs="Times New Roman" w:eastAsia="Times New Roman" w:hint="default"/>
          <w:spacing w:val="-5"/>
          <w:w w:val="99"/>
        </w:rPr>
        <w:t>2006</w:t>
      </w:r>
      <w:r>
        <w:rPr>
          <w:spacing w:val="-5"/>
          <w:w w:val="99"/>
        </w:rPr>
        <w:t>年</w:t>
      </w:r>
      <w:r>
        <w:rPr>
          <w:rFonts w:ascii="Times New Roman" w:hAnsi="Times New Roman" w:cs="Times New Roman" w:eastAsia="Times New Roman" w:hint="default"/>
          <w:spacing w:val="-5"/>
          <w:w w:val="99"/>
        </w:rPr>
        <w:t>-2009</w:t>
      </w:r>
      <w:r>
        <w:rPr>
          <w:spacing w:val="-5"/>
          <w:w w:val="99"/>
        </w:rPr>
        <w:t>年，担任美国第二大团体人寿险集团（</w:t>
      </w:r>
      <w:r>
        <w:rPr>
          <w:rFonts w:ascii="Times New Roman" w:hAnsi="Times New Roman" w:cs="Times New Roman" w:eastAsia="Times New Roman" w:hint="default"/>
          <w:spacing w:val="-5"/>
          <w:w w:val="99"/>
        </w:rPr>
        <w:t>UNUM</w:t>
      </w:r>
      <w:r>
        <w:rPr>
          <w:rFonts w:ascii="Times New Roman" w:hAnsi="Times New Roman" w:cs="Times New Roman" w:eastAsia="Times New Roman" w:hint="default"/>
          <w:w w:val="99"/>
        </w:rPr>
        <w:t> </w:t>
      </w:r>
      <w:r>
        <w:rPr>
          <w:rFonts w:ascii="Times New Roman" w:hAnsi="Times New Roman" w:cs="Times New Roman" w:eastAsia="Times New Roman" w:hint="default"/>
          <w:spacing w:val="10"/>
          <w:w w:val="99"/>
        </w:rPr>
        <w:t> </w:t>
      </w:r>
      <w:r>
        <w:rPr>
          <w:rFonts w:ascii="Times New Roman" w:hAnsi="Times New Roman" w:cs="Times New Roman" w:eastAsia="Times New Roman" w:hint="default"/>
          <w:w w:val="99"/>
        </w:rPr>
        <w:t>Group)</w:t>
      </w:r>
      <w:r>
        <w:rPr>
          <w:rFonts w:ascii="Times New Roman" w:hAnsi="Times New Roman" w:cs="Times New Roman" w:eastAsia="Times New Roman" w:hint="default"/>
        </w:rPr>
      </w:r>
    </w:p>
    <w:p>
      <w:pPr>
        <w:spacing w:after="0" w:line="300" w:lineRule="auto"/>
        <w:jc w:val="left"/>
        <w:rPr>
          <w:rFonts w:ascii="Times New Roman" w:hAnsi="Times New Roman" w:cs="Times New Roman" w:eastAsia="Times New Roman" w:hint="default"/>
        </w:rPr>
        <w:sectPr>
          <w:pgSz w:w="11910" w:h="16840"/>
          <w:pgMar w:header="786" w:footer="1267" w:top="1100" w:bottom="1460" w:left="980" w:right="0"/>
        </w:sectPr>
      </w:pPr>
    </w:p>
    <w:p>
      <w:pPr>
        <w:spacing w:line="240" w:lineRule="auto" w:before="9"/>
        <w:rPr>
          <w:rFonts w:ascii="Times New Roman" w:hAnsi="Times New Roman" w:cs="Times New Roman" w:eastAsia="Times New Roman" w:hint="default"/>
          <w:sz w:val="25"/>
          <w:szCs w:val="25"/>
        </w:rPr>
      </w:pPr>
    </w:p>
    <w:p>
      <w:pPr>
        <w:pStyle w:val="BodyText"/>
        <w:spacing w:line="300" w:lineRule="auto" w:before="44"/>
        <w:ind w:right="1128"/>
        <w:jc w:val="both"/>
      </w:pPr>
      <w:r>
        <w:rPr>
          <w:spacing w:val="-2"/>
        </w:rPr>
        <w:t>量化投资组合管理副总裁；</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-2011</w:t>
      </w:r>
      <w:r>
        <w:rPr>
          <w:spacing w:val="-2"/>
        </w:rPr>
        <w:t>年，担任中国平安保险（集团）集团风险管理部总经理；</w:t>
      </w:r>
      <w:r>
        <w:rPr>
          <w:spacing w:val="-26"/>
        </w:rPr>
        <w:t> </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-2013</w:t>
      </w:r>
      <w:r>
        <w:rPr>
          <w:spacing w:val="-1"/>
        </w:rPr>
        <w:t>年，担任高伟</w:t>
      </w:r>
      <w:r>
        <w:rPr>
          <w:spacing w:val="-74"/>
        </w:rPr>
        <w:t> </w:t>
      </w:r>
      <w:r>
        <w:rPr>
          <w:spacing w:val="-74"/>
        </w:rPr>
      </w:r>
      <w:r>
        <w:rPr/>
        <w:t>达软件股份有限公司风险管理部总经理；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-2015</w:t>
      </w:r>
      <w:r>
        <w:rPr/>
        <w:t>年，担任先锋产业金融集团首席执行官；</w:t>
      </w:r>
      <w:r>
        <w:rPr>
          <w:rFonts w:ascii="Times New Roman" w:hAnsi="Times New Roman" w:cs="Times New Roman" w:eastAsia="Times New Roman" w:hint="default"/>
        </w:rPr>
        <w:t>2015</w:t>
      </w:r>
      <w:r>
        <w:rPr/>
        <w:t>年至今，担任高伟达软</w:t>
      </w:r>
      <w:r>
        <w:rPr>
          <w:spacing w:val="-57"/>
        </w:rPr>
        <w:t> </w:t>
      </w:r>
      <w:r>
        <w:rPr>
          <w:spacing w:val="-57"/>
        </w:rPr>
      </w:r>
      <w:r>
        <w:rPr/>
        <w:t>件股份有限公司战略发展部总经理、副总经理。</w:t>
      </w:r>
    </w:p>
    <w:p>
      <w:pPr>
        <w:pStyle w:val="BodyText"/>
        <w:spacing w:line="300" w:lineRule="auto" w:before="72"/>
        <w:ind w:right="1126" w:firstLine="360"/>
        <w:jc w:val="both"/>
      </w:pPr>
      <w:r>
        <w:rPr>
          <w:spacing w:val="-2"/>
        </w:rPr>
        <w:t>张文隽，</w:t>
      </w:r>
      <w:r>
        <w:rPr>
          <w:rFonts w:ascii="Times New Roman" w:hAnsi="Times New Roman" w:cs="Times New Roman" w:eastAsia="Times New Roman" w:hint="default"/>
          <w:spacing w:val="-2"/>
        </w:rPr>
        <w:t>1977</w:t>
      </w:r>
      <w:r>
        <w:rPr>
          <w:spacing w:val="-2"/>
        </w:rPr>
        <w:t>年出生，中国国籍，本科学历。工作期间历任北京东南鼎盛科技公司高级工程师、北京和勤技术有限公司</w:t>
      </w:r>
      <w:r>
        <w:rPr/>
        <w:t> </w:t>
      </w:r>
      <w:r>
        <w:rPr>
          <w:spacing w:val="-2"/>
        </w:rPr>
        <w:t>移动增值业务部技术总监、神州数码融信软件有限公司项目总监、塔塔（中国）信息技术有限公司金融部门项目总监。</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0"/>
        </w:rPr>
        <w:t> </w:t>
      </w:r>
      <w:r>
        <w:rPr/>
        <w:t>年加入高伟达公司，现任高伟达软件股份有限公司任软件中心核心线条总经理、公司副总经理。</w:t>
      </w:r>
    </w:p>
    <w:p>
      <w:pPr>
        <w:pStyle w:val="BodyText"/>
        <w:spacing w:line="300" w:lineRule="auto" w:before="70"/>
        <w:ind w:right="1130" w:firstLine="454"/>
        <w:jc w:val="both"/>
      </w:pPr>
      <w:r>
        <w:rPr/>
        <w:t>高源，副总经理、财务总监、董事会秘书，</w:t>
      </w:r>
      <w:r>
        <w:rPr>
          <w:rFonts w:ascii="Times New Roman" w:hAnsi="Times New Roman" w:cs="Times New Roman" w:eastAsia="Times New Roman" w:hint="default"/>
        </w:rPr>
        <w:t>1981</w:t>
      </w:r>
      <w:r>
        <w:rPr/>
        <w:t>年出生，中国国籍，无境外永久居留权。</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2004</w:t>
      </w:r>
      <w:r>
        <w:rPr/>
        <w:t>年，就读于兰 </w:t>
      </w:r>
      <w:r>
        <w:rPr>
          <w:spacing w:val="-1"/>
        </w:rPr>
        <w:t>州大学新闻系，获得学士学位。</w:t>
      </w:r>
      <w:r>
        <w:rPr>
          <w:rFonts w:ascii="Times New Roman" w:hAnsi="Times New Roman" w:cs="Times New Roman" w:eastAsia="Times New Roman" w:hint="default"/>
          <w:spacing w:val="-1"/>
        </w:rPr>
        <w:t>2005</w:t>
      </w:r>
      <w:r>
        <w:rPr>
          <w:spacing w:val="-1"/>
        </w:rPr>
        <w:t>年至</w:t>
      </w:r>
      <w:r>
        <w:rPr>
          <w:rFonts w:ascii="Times New Roman" w:hAnsi="Times New Roman" w:cs="Times New Roman" w:eastAsia="Times New Roman" w:hint="default"/>
          <w:spacing w:val="-1"/>
        </w:rPr>
        <w:t>2007</w:t>
      </w:r>
      <w:r>
        <w:rPr>
          <w:spacing w:val="-1"/>
        </w:rPr>
        <w:t>年就读于比利时</w:t>
      </w:r>
      <w:r>
        <w:rPr>
          <w:rFonts w:ascii="Times New Roman" w:hAnsi="Times New Roman" w:cs="Times New Roman" w:eastAsia="Times New Roman" w:hint="default"/>
          <w:spacing w:val="-1"/>
        </w:rPr>
        <w:t>EHSAL</w:t>
      </w:r>
      <w:r>
        <w:rPr>
          <w:spacing w:val="-1"/>
        </w:rPr>
        <w:t>大学商业管理专业，获得硕士学位。</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2</w:t>
      </w:r>
      <w:r>
        <w:rPr>
          <w:spacing w:val="-1"/>
        </w:rPr>
        <w:t>月至</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w:t>
      </w:r>
      <w:r>
        <w:rPr>
          <w:rFonts w:ascii="Times New Roman" w:hAnsi="Times New Roman" w:cs="Times New Roman" w:eastAsia="Times New Roman" w:hint="default"/>
        </w:rPr>
        <w:t>9</w:t>
      </w:r>
      <w:r>
        <w:rPr/>
        <w:t>月，在中国雨润食品集团股份有限公司投资者关系部，任投资者关系主任。</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月，在慈铭健康体检管 </w:t>
      </w:r>
      <w:r>
        <w:rPr>
          <w:spacing w:val="-2"/>
        </w:rPr>
        <w:t>理集团股份有限公司，任证券事务代表。</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月，在博彦科技股份有限公司任证券事务与投融资总监。</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月，在东易日盛家居装饰集团股份有限公司任副总经理、董事会秘书。</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月至今，在高伟达软件股份 有限公司任副总经理、董事会秘书、财务总监。</w:t>
      </w:r>
    </w:p>
    <w:p>
      <w:pPr>
        <w:pStyle w:val="BodyText"/>
        <w:spacing w:line="240" w:lineRule="auto" w:before="72"/>
        <w:ind w:right="0"/>
        <w:jc w:val="both"/>
      </w:pPr>
      <w:r>
        <w:rPr/>
        <w:t>在股东单位任职情况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2487"/>
        <w:gridCol w:w="1769"/>
        <w:gridCol w:w="1490"/>
        <w:gridCol w:w="1561"/>
        <w:gridCol w:w="1063"/>
      </w:tblGrid>
      <w:tr>
        <w:trPr>
          <w:trHeight w:val="1022"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89" w:right="69" w:hanging="720"/>
              <w:jc w:val="left"/>
              <w:rPr>
                <w:rFonts w:ascii="宋体" w:hAnsi="宋体" w:cs="宋体" w:eastAsia="宋体" w:hint="default"/>
                <w:sz w:val="18"/>
                <w:szCs w:val="18"/>
              </w:rPr>
            </w:pPr>
            <w:r>
              <w:rPr>
                <w:rFonts w:ascii="宋体" w:hAnsi="宋体" w:cs="宋体" w:eastAsia="宋体" w:hint="default"/>
                <w:sz w:val="18"/>
                <w:szCs w:val="18"/>
              </w:rPr>
              <w:t>在股东单位担任的职 务</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在股东单位 是否领取报 酬津贴</w:t>
            </w:r>
          </w:p>
        </w:tc>
      </w:tr>
      <w:tr>
        <w:trPr>
          <w:trHeight w:val="406" w:hRule="exact"/>
        </w:trPr>
        <w:tc>
          <w:tcPr>
            <w:tcW w:w="12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24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right="82"/>
              <w:jc w:val="center"/>
              <w:rPr>
                <w:rFonts w:ascii="宋体" w:hAnsi="宋体" w:cs="宋体" w:eastAsia="宋体" w:hint="default"/>
                <w:sz w:val="18"/>
                <w:szCs w:val="18"/>
              </w:rPr>
            </w:pPr>
            <w:r>
              <w:rPr>
                <w:rFonts w:ascii="宋体" w:hAnsi="宋体" w:cs="宋体" w:eastAsia="宋体" w:hint="default"/>
                <w:sz w:val="18"/>
                <w:szCs w:val="18"/>
              </w:rPr>
              <w:t>鹰潭市鹰高投资咨询有限公司</w:t>
            </w:r>
          </w:p>
        </w:tc>
        <w:tc>
          <w:tcPr>
            <w:tcW w:w="17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490"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3"/>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2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24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鹰潭市锐鹰投资咨询有限公司</w:t>
            </w:r>
          </w:p>
        </w:tc>
        <w:tc>
          <w:tcPr>
            <w:tcW w:w="17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490"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49"/>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56" w:hRule="exact"/>
        </w:trPr>
        <w:tc>
          <w:tcPr>
            <w:tcW w:w="1200" w:type="dxa"/>
            <w:vMerge w:val="restart"/>
            <w:tcBorders>
              <w:top w:val="single" w:sz="4" w:space="0" w:color="000000"/>
              <w:left w:val="single" w:sz="4" w:space="0" w:color="000000"/>
              <w:right w:val="single" w:sz="10" w:space="0" w:color="CCE8CF"/>
            </w:tcBorders>
            <w:shd w:val="clear" w:color="auto" w:fill="D2D2D2"/>
          </w:tcPr>
          <w:p>
            <w:pPr>
              <w:pStyle w:val="TableParagraph"/>
              <w:spacing w:line="316" w:lineRule="auto" w:before="44"/>
              <w:ind w:left="24" w:right="7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2" w:hRule="exact"/>
        </w:trPr>
        <w:tc>
          <w:tcPr>
            <w:tcW w:w="1200" w:type="dxa"/>
            <w:vMerge/>
            <w:tcBorders>
              <w:left w:val="single" w:sz="4" w:space="0" w:color="000000"/>
              <w:right w:val="single" w:sz="10" w:space="0" w:color="CCE8CF"/>
            </w:tcBorders>
            <w:shd w:val="clear" w:color="auto" w:fill="D2D2D2"/>
          </w:tcPr>
          <w:p>
            <w:pPr/>
          </w:p>
        </w:tc>
        <w:tc>
          <w:tcPr>
            <w:tcW w:w="8370" w:type="dxa"/>
            <w:gridSpan w:val="5"/>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200" w:type="dxa"/>
            <w:vMerge/>
            <w:tcBorders>
              <w:left w:val="single" w:sz="4" w:space="0" w:color="000000"/>
              <w:bottom w:val="single" w:sz="4" w:space="0" w:color="000000"/>
              <w:right w:val="single" w:sz="10" w:space="0" w:color="CCE8CF"/>
            </w:tcBorders>
            <w:shd w:val="clear" w:color="auto" w:fill="D2D2D2"/>
          </w:tcPr>
          <w:p>
            <w:pPr/>
          </w:p>
        </w:tc>
        <w:tc>
          <w:tcPr>
            <w:tcW w:w="8370" w:type="dxa"/>
            <w:gridSpan w:val="5"/>
            <w:tcBorders>
              <w:top w:val="nil" w:sz="6" w:space="0" w:color="auto"/>
              <w:left w:val="single" w:sz="4" w:space="0" w:color="000000"/>
              <w:bottom w:val="single" w:sz="4" w:space="0" w:color="000000"/>
              <w:right w:val="single" w:sz="4" w:space="0" w:color="000000"/>
            </w:tcBorders>
            <w:shd w:val="clear" w:color="auto" w:fill="CCE8CF"/>
          </w:tcPr>
          <w:p>
            <w:pPr/>
          </w:p>
        </w:tc>
      </w:tr>
    </w:tbl>
    <w:p>
      <w:pPr>
        <w:pStyle w:val="BodyText"/>
        <w:spacing w:line="240" w:lineRule="auto" w:before="49"/>
        <w:ind w:right="1117"/>
        <w:jc w:val="left"/>
      </w:pPr>
      <w:r>
        <w:rPr/>
        <w:t>在其他单位任职情况</w:t>
      </w:r>
    </w:p>
    <w:p>
      <w:pPr>
        <w:pStyle w:val="BodyText"/>
        <w:spacing w:line="338" w:lineRule="auto" w:before="117"/>
        <w:ind w:right="40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公司现任及报告期内离任董事、监事和高级管理人员近三年证券监管机构处罚的情况</w:t>
      </w:r>
    </w:p>
    <w:p>
      <w:pPr>
        <w:pStyle w:val="BodyText"/>
        <w:spacing w:line="240" w:lineRule="auto" w:before="43"/>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1117" w:hanging="361"/>
        <w:jc w:val="left"/>
      </w:pPr>
      <w:r>
        <w:rPr/>
        <w:t>董事、监事、高级管理人员报酬的决策程序、确定依据、实际支付情况 </w:t>
      </w:r>
      <w:r>
        <w:rPr>
          <w:spacing w:val="-2"/>
        </w:rPr>
        <w:t>董事、监事、高级管理人员报酬根据公司《高伟达软件股份有限公司薪酬与考核委员会议事规则》确定，由董事会薪酬</w:t>
      </w:r>
    </w:p>
    <w:p>
      <w:pPr>
        <w:pStyle w:val="BodyText"/>
        <w:spacing w:line="224" w:lineRule="exact"/>
        <w:ind w:right="1117"/>
        <w:jc w:val="left"/>
      </w:pPr>
      <w:r>
        <w:rPr/>
        <w:t>与考核委员会组织并考核。</w:t>
      </w:r>
    </w:p>
    <w:p>
      <w:pPr>
        <w:spacing w:line="240" w:lineRule="auto" w:before="5"/>
        <w:rPr>
          <w:rFonts w:ascii="宋体" w:hAnsi="宋体" w:cs="宋体" w:eastAsia="宋体" w:hint="default"/>
          <w:sz w:val="29"/>
          <w:szCs w:val="29"/>
        </w:rPr>
      </w:pPr>
    </w:p>
    <w:p>
      <w:pPr>
        <w:pStyle w:val="BodyText"/>
        <w:spacing w:line="240" w:lineRule="auto" w:before="44"/>
        <w:ind w:right="1117"/>
        <w:jc w:val="left"/>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2824"/>
        <w:gridCol w:w="863"/>
        <w:gridCol w:w="850"/>
        <w:gridCol w:w="1025"/>
        <w:gridCol w:w="1366"/>
        <w:gridCol w:w="1368"/>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于伟</w:t>
            </w:r>
          </w:p>
        </w:tc>
        <w:tc>
          <w:tcPr>
            <w:tcW w:w="28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63"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程军</w:t>
            </w:r>
          </w:p>
        </w:tc>
        <w:tc>
          <w:tcPr>
            <w:tcW w:w="28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863"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王月</w:t>
            </w:r>
          </w:p>
        </w:tc>
        <w:tc>
          <w:tcPr>
            <w:tcW w:w="28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63"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钱英</w:t>
            </w:r>
          </w:p>
        </w:tc>
        <w:tc>
          <w:tcPr>
            <w:tcW w:w="28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63"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86" w:footer="1267" w:top="1100" w:bottom="146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2824"/>
        <w:gridCol w:w="863"/>
        <w:gridCol w:w="850"/>
        <w:gridCol w:w="1025"/>
        <w:gridCol w:w="1366"/>
        <w:gridCol w:w="1368"/>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郑建明</w:t>
            </w:r>
          </w:p>
        </w:tc>
        <w:tc>
          <w:tcPr>
            <w:tcW w:w="28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63"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48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李勇</w:t>
            </w:r>
          </w:p>
        </w:tc>
        <w:tc>
          <w:tcPr>
            <w:tcW w:w="28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3"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50"/>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1" w:right="0"/>
              <w:jc w:val="left"/>
              <w:rPr>
                <w:rFonts w:ascii="Times New Roman" w:hAnsi="Times New Roman" w:cs="Times New Roman" w:eastAsia="Times New Roman" w:hint="default"/>
                <w:sz w:val="18"/>
                <w:szCs w:val="18"/>
              </w:rPr>
            </w:pPr>
            <w:r>
              <w:rPr>
                <w:rFonts w:ascii="Times New Roman"/>
                <w:sz w:val="18"/>
              </w:rPr>
              <w:t>51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沈远恒</w:t>
            </w:r>
          </w:p>
        </w:tc>
        <w:tc>
          <w:tcPr>
            <w:tcW w:w="28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3"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张文隽</w:t>
            </w:r>
          </w:p>
        </w:tc>
        <w:tc>
          <w:tcPr>
            <w:tcW w:w="28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3"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50"/>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1" w:right="0"/>
              <w:jc w:val="left"/>
              <w:rPr>
                <w:rFonts w:ascii="Times New Roman" w:hAnsi="Times New Roman" w:cs="Times New Roman" w:eastAsia="Times New Roman" w:hint="default"/>
                <w:sz w:val="18"/>
                <w:szCs w:val="18"/>
              </w:rPr>
            </w:pPr>
            <w:r>
              <w:rPr>
                <w:rFonts w:ascii="Times New Roman"/>
                <w:sz w:val="18"/>
              </w:rPr>
              <w:t>42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高源</w:t>
            </w:r>
          </w:p>
        </w:tc>
        <w:tc>
          <w:tcPr>
            <w:tcW w:w="28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副总经理；财务总监；董事会秘书</w:t>
            </w:r>
          </w:p>
        </w:tc>
        <w:tc>
          <w:tcPr>
            <w:tcW w:w="863"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38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熊桂生</w:t>
            </w:r>
          </w:p>
        </w:tc>
        <w:tc>
          <w:tcPr>
            <w:tcW w:w="28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63"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50"/>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1" w:right="0"/>
              <w:jc w:val="left"/>
              <w:rPr>
                <w:rFonts w:ascii="Times New Roman" w:hAnsi="Times New Roman" w:cs="Times New Roman" w:eastAsia="Times New Roman" w:hint="default"/>
                <w:sz w:val="18"/>
                <w:szCs w:val="18"/>
              </w:rPr>
            </w:pPr>
            <w:r>
              <w:rPr>
                <w:rFonts w:ascii="Times New Roman"/>
                <w:sz w:val="18"/>
              </w:rPr>
              <w:t>44</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张勇</w:t>
            </w:r>
          </w:p>
        </w:tc>
        <w:tc>
          <w:tcPr>
            <w:tcW w:w="28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63"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汪挺</w:t>
            </w:r>
          </w:p>
        </w:tc>
        <w:tc>
          <w:tcPr>
            <w:tcW w:w="28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63"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50"/>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1" w:right="0"/>
              <w:jc w:val="left"/>
              <w:rPr>
                <w:rFonts w:ascii="Times New Roman" w:hAnsi="Times New Roman" w:cs="Times New Roman" w:eastAsia="Times New Roman" w:hint="default"/>
                <w:sz w:val="18"/>
                <w:szCs w:val="18"/>
              </w:rPr>
            </w:pPr>
            <w:r>
              <w:rPr>
                <w:rFonts w:ascii="Times New Roman"/>
                <w:sz w:val="18"/>
              </w:rPr>
              <w:t>56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郑明</w:t>
            </w:r>
          </w:p>
        </w:tc>
        <w:tc>
          <w:tcPr>
            <w:tcW w:w="28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63"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57</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60"/>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60" w:right="0"/>
              <w:jc w:val="left"/>
              <w:rPr>
                <w:rFonts w:ascii="Times New Roman" w:hAnsi="Times New Roman" w:cs="Times New Roman" w:eastAsia="Times New Roman" w:hint="default"/>
                <w:sz w:val="18"/>
                <w:szCs w:val="18"/>
              </w:rPr>
            </w:pPr>
            <w:r>
              <w:rPr>
                <w:rFonts w:ascii="Times New Roman"/>
                <w:sz w:val="18"/>
              </w:rPr>
              <w:t>--</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644.86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7"/>
        <w:jc w:val="left"/>
      </w:pPr>
      <w:r>
        <w:rPr/>
        <w:t>公司董事、高级管理人员报告期内被授予的股权激励情况</w:t>
      </w:r>
    </w:p>
    <w:p>
      <w:pPr>
        <w:pStyle w:val="BodyText"/>
        <w:spacing w:line="240" w:lineRule="auto" w:before="115"/>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2,988</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2,988</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2,988</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本科及以上学历</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2,378</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5"/>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高中及以下学历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2,988</w:t>
            </w:r>
          </w:p>
        </w:tc>
      </w:tr>
    </w:tbl>
    <w:p>
      <w:pPr>
        <w:spacing w:line="240" w:lineRule="auto" w:before="3"/>
        <w:rPr>
          <w:rFonts w:ascii="宋体" w:hAnsi="宋体" w:cs="宋体" w:eastAsia="宋体" w:hint="default"/>
          <w:b/>
          <w:bCs/>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公司员工薪酬政策力求体现工资管理的激励性、竞争性和公平性，把个人业绩和团队业绩有效结合起来，共同分享企业</w:t>
      </w:r>
      <w:r>
        <w:rPr/>
        <w:t> </w:t>
      </w:r>
      <w:r>
        <w:rPr>
          <w:spacing w:val="-2"/>
        </w:rPr>
        <w:t>发展所带来的机遇，促进员工价值观念的凝合，形成留住人才和吸引人才的机制，最终推进公司发展战略的实现。公司薪酬</w:t>
      </w:r>
      <w:r>
        <w:rPr>
          <w:spacing w:val="-65"/>
        </w:rPr>
        <w:t> </w:t>
      </w:r>
      <w:r>
        <w:rPr>
          <w:spacing w:val="-65"/>
        </w:rPr>
      </w:r>
      <w:r>
        <w:rPr/>
        <w:t>政策分为年薪制、月薪制，并通过绩效考核将员工工作目标与企业战略目标以及个人绩效结合，激发员工的积极性。</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40" w:lineRule="auto"/>
        <w:ind w:left="513" w:right="1123"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报告期内，职工薪酬总额（计入成本部分）为</w:t>
      </w:r>
      <w:r>
        <w:rPr>
          <w:rFonts w:ascii="Times New Roman" w:hAnsi="Times New Roman" w:cs="Times New Roman" w:eastAsia="Times New Roman" w:hint="default"/>
        </w:rPr>
        <w:t>351,280,072.92</w:t>
      </w:r>
      <w:r>
        <w:rPr/>
        <w:t>元，占公司营业成本的</w:t>
      </w:r>
      <w:r>
        <w:rPr>
          <w:rFonts w:ascii="Times New Roman" w:hAnsi="Times New Roman" w:cs="Times New Roman" w:eastAsia="Times New Roman" w:hint="default"/>
        </w:rPr>
        <w:t>28.61%</w:t>
      </w:r>
      <w:r>
        <w:rPr/>
        <w:t>。</w:t>
      </w:r>
      <w:r>
        <w:rPr>
          <w:spacing w:val="-60"/>
        </w:rPr>
        <w:t> </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w:t>
      </w:r>
    </w:p>
    <w:p>
      <w:pPr>
        <w:pStyle w:val="BodyText"/>
        <w:spacing w:line="228" w:lineRule="exact"/>
        <w:ind w:right="991"/>
        <w:jc w:val="left"/>
      </w:pPr>
      <w:r>
        <w:rPr>
          <w:spacing w:val="-4"/>
        </w:rPr>
        <w:t>司核心技术人员为</w:t>
      </w:r>
      <w:r>
        <w:rPr>
          <w:rFonts w:ascii="Times New Roman" w:hAnsi="Times New Roman" w:cs="Times New Roman" w:eastAsia="Times New Roman" w:hint="default"/>
          <w:spacing w:val="-4"/>
        </w:rPr>
        <w:t>5</w:t>
      </w:r>
      <w:r>
        <w:rPr>
          <w:spacing w:val="-4"/>
        </w:rPr>
        <w:t>人，占全体员工人数的</w:t>
      </w:r>
      <w:r>
        <w:rPr>
          <w:rFonts w:ascii="Times New Roman" w:hAnsi="Times New Roman" w:cs="Times New Roman" w:eastAsia="Times New Roman" w:hint="default"/>
          <w:spacing w:val="-4"/>
        </w:rPr>
        <w:t>0.16%</w:t>
      </w:r>
      <w:r>
        <w:rPr>
          <w:spacing w:val="-4"/>
        </w:rPr>
        <w:t>，上年同期核心技术人员为</w:t>
      </w:r>
      <w:r>
        <w:rPr>
          <w:rFonts w:ascii="Times New Roman" w:hAnsi="Times New Roman" w:cs="Times New Roman" w:eastAsia="Times New Roman" w:hint="default"/>
          <w:spacing w:val="-4"/>
        </w:rPr>
        <w:t>5</w:t>
      </w:r>
      <w:r>
        <w:rPr>
          <w:spacing w:val="-4"/>
        </w:rPr>
        <w:t>人，占全体员工人</w:t>
      </w:r>
      <w:r>
        <w:rPr>
          <w:spacing w:val="35"/>
        </w:rPr>
        <w:t> </w:t>
      </w:r>
      <w:r>
        <w:rPr>
          <w:spacing w:val="-4"/>
        </w:rPr>
        <w:t>数的</w:t>
      </w:r>
      <w:r>
        <w:rPr>
          <w:rFonts w:ascii="Times New Roman" w:hAnsi="Times New Roman" w:cs="Times New Roman" w:eastAsia="Times New Roman" w:hint="default"/>
          <w:spacing w:val="-4"/>
        </w:rPr>
        <w:t>0.16%</w:t>
      </w:r>
      <w:r>
        <w:rPr>
          <w:spacing w:val="-4"/>
        </w:rPr>
        <w:t>；截至报告期末，</w:t>
      </w:r>
    </w:p>
    <w:p>
      <w:pPr>
        <w:pStyle w:val="BodyText"/>
        <w:spacing w:line="240" w:lineRule="auto" w:before="63"/>
        <w:ind w:right="1117"/>
        <w:jc w:val="left"/>
      </w:pPr>
      <w:r>
        <w:rPr/>
        <w:t>核心技术人员薪酬占全体员工薪酬的</w:t>
      </w:r>
      <w:r>
        <w:rPr>
          <w:rFonts w:ascii="Times New Roman" w:hAnsi="Times New Roman" w:cs="Times New Roman" w:eastAsia="Times New Roman" w:hint="default"/>
        </w:rPr>
        <w:t>0.52%</w:t>
      </w:r>
      <w:r>
        <w:rPr/>
        <w:t>，上年同期为</w:t>
      </w:r>
      <w:r>
        <w:rPr>
          <w:rFonts w:ascii="Times New Roman" w:hAnsi="Times New Roman" w:cs="Times New Roman" w:eastAsia="Times New Roman" w:hint="default"/>
        </w:rPr>
        <w:t>0.48%</w:t>
      </w:r>
      <w:r>
        <w:rPr/>
        <w:t>。</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360"/>
        <w:jc w:val="both"/>
      </w:pPr>
      <w:r>
        <w:rPr>
          <w:spacing w:val="-2"/>
        </w:rPr>
        <w:t>为了提高员工技能与素质，依据公司整体目标、工作重点和专业人员培养需求，由各部门提出培训需求，人力资源部根</w:t>
      </w:r>
      <w:r>
        <w:rPr/>
        <w:t> 据结合组织目标和公司发展需要，汇总编制《年度培训计划》，报公司总经理批准后执行。</w:t>
      </w:r>
    </w:p>
    <w:p>
      <w:pPr>
        <w:pStyle w:val="BodyText"/>
        <w:spacing w:line="309" w:lineRule="auto" w:before="59"/>
        <w:ind w:right="1129" w:firstLine="362"/>
        <w:jc w:val="both"/>
      </w:pPr>
      <w:r>
        <w:rPr>
          <w:rFonts w:ascii="Times New Roman" w:hAnsi="Times New Roman" w:cs="Times New Roman" w:eastAsia="Times New Roman" w:hint="default"/>
          <w:spacing w:val="-2"/>
        </w:rPr>
        <w:t>2018</w:t>
      </w:r>
      <w:r>
        <w:rPr>
          <w:spacing w:val="-2"/>
        </w:rPr>
        <w:t>年培训计划已经基本完成。</w:t>
      </w:r>
      <w:r>
        <w:rPr>
          <w:rFonts w:ascii="Times New Roman" w:hAnsi="Times New Roman" w:cs="Times New Roman" w:eastAsia="Times New Roman" w:hint="default"/>
          <w:spacing w:val="-2"/>
        </w:rPr>
        <w:t>2019</w:t>
      </w:r>
      <w:r>
        <w:rPr>
          <w:spacing w:val="-2"/>
        </w:rPr>
        <w:t>年公司将从知识管理、人才培养体系、课程体系、培训管理制度等方面开展梳理和</w:t>
      </w:r>
      <w:r>
        <w:rPr/>
        <w:t> </w:t>
      </w:r>
      <w:r>
        <w:rPr>
          <w:spacing w:val="-5"/>
        </w:rPr>
        <w:t>优化。基于员工的岗位胜任能力，从知识、技能、心态三方面针对不同的层级、不同的业务线条设置具有针对性的学习内容，</w:t>
      </w:r>
      <w:r>
        <w:rPr>
          <w:spacing w:val="-78"/>
        </w:rPr>
        <w:t> </w:t>
      </w:r>
      <w:r>
        <w:rPr>
          <w:spacing w:val="-78"/>
        </w:rPr>
      </w:r>
      <w:r>
        <w:rPr/>
        <w:t>有序开展培训实施工作，逐步推进人才培养工作和学习型组织建设。</w:t>
      </w:r>
    </w:p>
    <w:p>
      <w:pPr>
        <w:spacing w:line="240" w:lineRule="auto" w:before="3"/>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267" w:top="110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right="976"/>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7"/>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0" w:firstLine="360"/>
        <w:jc w:val="both"/>
      </w:pPr>
      <w:r>
        <w:rPr>
          <w:spacing w:val="-6"/>
        </w:rPr>
        <w:t>报告期内，公司根据《公司法》、《证券法》、《上市公司治理准则》、《深圳证券交易所创业板股票上市规则》、《深</w:t>
      </w:r>
      <w:r>
        <w:rPr/>
        <w:t> </w:t>
      </w:r>
      <w:r>
        <w:rPr>
          <w:spacing w:val="-2"/>
        </w:rPr>
        <w:t>圳证券交易所创业板上市公司规范运作指引》等法律法规的要求，结合公司实际情况建立、健全和完善了《公司章程》和各</w:t>
      </w:r>
      <w:r>
        <w:rPr>
          <w:spacing w:val="-65"/>
        </w:rPr>
        <w:t> </w:t>
      </w:r>
      <w:r>
        <w:rPr>
          <w:spacing w:val="-65"/>
        </w:rPr>
      </w:r>
      <w:r>
        <w:rPr>
          <w:spacing w:val="-2"/>
        </w:rPr>
        <w:t>项内部控制制度，发挥了董事会及下属专门委员会的职能和作用，完善提高了董事会的职能和专业化程度，有效保障了董事</w:t>
      </w:r>
      <w:r>
        <w:rPr>
          <w:spacing w:val="-63"/>
        </w:rPr>
        <w:t> </w:t>
      </w:r>
      <w:r>
        <w:rPr>
          <w:spacing w:val="-63"/>
        </w:rPr>
      </w:r>
      <w:r>
        <w:rPr>
          <w:spacing w:val="-2"/>
        </w:rPr>
        <w:t>会决策的科学性和合规性，不断完善公司法人治理结构和内控体系，进一步规范公司运作，提高公司治理水平。截至报告期</w:t>
      </w:r>
      <w:r>
        <w:rPr>
          <w:spacing w:val="-64"/>
        </w:rPr>
        <w:t> </w:t>
      </w:r>
      <w:r>
        <w:rPr>
          <w:spacing w:val="-64"/>
        </w:rPr>
      </w:r>
      <w:r>
        <w:rPr/>
        <w:t>末，本公司治理实际情况基本符合中国证监会发布的有关上市公司治理的规范性文件的要求。</w:t>
      </w:r>
    </w:p>
    <w:p>
      <w:pPr>
        <w:pStyle w:val="BodyText"/>
        <w:spacing w:line="316" w:lineRule="auto" w:before="58"/>
        <w:ind w:right="1132" w:firstLine="360"/>
        <w:jc w:val="both"/>
      </w:pPr>
      <w:r>
        <w:rPr>
          <w:spacing w:val="-2"/>
        </w:rPr>
        <w:t>公司严格按照有关法律法规以及《信息披露管理办法》、《投资者关系管理制度》等，真实、准确、及时、公平、完整</w:t>
      </w:r>
      <w:r>
        <w:rPr/>
        <w:t> 地披露有关信息。</w:t>
      </w:r>
    </w:p>
    <w:p>
      <w:pPr>
        <w:pStyle w:val="BodyText"/>
        <w:spacing w:line="300" w:lineRule="auto" w:before="57"/>
        <w:ind w:right="1132" w:firstLine="360"/>
        <w:jc w:val="both"/>
      </w:pPr>
      <w:r>
        <w:rPr>
          <w:rFonts w:ascii="Times New Roman" w:hAnsi="Times New Roman" w:cs="Times New Roman" w:eastAsia="Times New Roman" w:hint="default"/>
          <w:spacing w:val="-2"/>
        </w:rPr>
        <w:t>2018</w:t>
      </w:r>
      <w:r>
        <w:rPr>
          <w:spacing w:val="-2"/>
        </w:rPr>
        <w:t>年公司未受到中国证监会、深圳证券交易所就公司内控存在问题的处分，今后公司将进一步优化和完善公司的内控</w:t>
      </w:r>
      <w:r>
        <w:rPr/>
        <w:t> 制度。</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right="1117"/>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19"/>
          <w:szCs w:val="19"/>
        </w:rPr>
      </w:pPr>
    </w:p>
    <w:p>
      <w:pPr>
        <w:pStyle w:val="Heading2"/>
        <w:spacing w:line="240" w:lineRule="auto"/>
        <w:ind w:right="1117"/>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7"/>
        <w:jc w:val="left"/>
      </w:pPr>
      <w:r>
        <w:rPr/>
        <w:t>公司相对于控股股东在业务、人员、资产、机构、财务等方面保持独立。</w:t>
      </w:r>
    </w:p>
    <w:p>
      <w:pPr>
        <w:spacing w:line="240" w:lineRule="auto" w:before="3"/>
        <w:rPr>
          <w:rFonts w:ascii="宋体" w:hAnsi="宋体" w:cs="宋体" w:eastAsia="宋体" w:hint="default"/>
          <w:sz w:val="25"/>
          <w:szCs w:val="25"/>
        </w:rPr>
      </w:pPr>
    </w:p>
    <w:p>
      <w:pPr>
        <w:pStyle w:val="Heading2"/>
        <w:spacing w:line="240" w:lineRule="auto"/>
        <w:ind w:right="1117"/>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0"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44.43%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1"/>
              <w:ind w:left="24" w:right="23"/>
              <w:jc w:val="left"/>
              <w:rPr>
                <w:rFonts w:ascii="Times New Roman" w:hAnsi="Times New Roman" w:cs="Times New Roman" w:eastAsia="Times New Roman" w:hint="default"/>
                <w:sz w:val="18"/>
                <w:szCs w:val="18"/>
              </w:rPr>
            </w:pPr>
            <w:hyperlink r:id="rId16">
              <w:r>
                <w:rPr>
                  <w:rFonts w:ascii="Times New Roman"/>
                  <w:spacing w:val="-1"/>
                  <w:sz w:val="18"/>
                </w:rPr>
                <w:t>http://www.cninfo.co</w:t>
              </w:r>
            </w:hyperlink>
            <w:r>
              <w:rPr>
                <w:rFonts w:ascii="Times New Roman"/>
                <w:sz w:val="18"/>
              </w:rPr>
              <w:t> m.cn/new/disclosure/</w:t>
            </w:r>
            <w:r>
              <w:rPr>
                <w:rFonts w:ascii="Times New Roman"/>
                <w:w w:val="99"/>
                <w:sz w:val="18"/>
              </w:rPr>
              <w:t> </w:t>
            </w:r>
            <w:r>
              <w:rPr>
                <w:rFonts w:ascii="Times New Roman"/>
                <w:sz w:val="18"/>
              </w:rPr>
              <w:t>detail?plate=szse&amp;st</w:t>
            </w:r>
            <w:r>
              <w:rPr>
                <w:rFonts w:ascii="Times New Roman"/>
                <w:w w:val="99"/>
                <w:sz w:val="18"/>
              </w:rPr>
              <w:t> </w:t>
            </w:r>
            <w:r>
              <w:rPr>
                <w:rFonts w:ascii="Times New Roman"/>
                <w:sz w:val="18"/>
              </w:rPr>
              <w:t>ockCode=300465&amp;a</w:t>
            </w:r>
            <w:r>
              <w:rPr>
                <w:rFonts w:ascii="Times New Roman"/>
                <w:spacing w:val="-1"/>
                <w:sz w:val="18"/>
              </w:rPr>
              <w:t> </w:t>
            </w:r>
            <w:r>
              <w:rPr>
                <w:rFonts w:ascii="Times New Roman"/>
                <w:sz w:val="18"/>
              </w:rPr>
              <w:t>nnouncementId=120</w:t>
            </w:r>
            <w:r>
              <w:rPr>
                <w:rFonts w:ascii="Times New Roman"/>
                <w:sz w:val="18"/>
              </w:rPr>
              <w:t> 4530042&amp;announce mentTime=2018-03- 28%2016:05</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35.63%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2"/>
              <w:ind w:right="7"/>
              <w:jc w:val="center"/>
              <w:rPr>
                <w:rFonts w:ascii="Times New Roman" w:hAnsi="Times New Roman" w:cs="Times New Roman" w:eastAsia="Times New Roman" w:hint="default"/>
                <w:sz w:val="18"/>
                <w:szCs w:val="18"/>
              </w:rPr>
            </w:pPr>
            <w:hyperlink r:id="rId16">
              <w:r>
                <w:rPr>
                  <w:rFonts w:ascii="Times New Roman"/>
                  <w:sz w:val="18"/>
                </w:rPr>
                <w:t>http://www.cninfo.co</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5"/>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223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50"/>
              <w:ind w:left="24" w:right="23"/>
              <w:jc w:val="left"/>
              <w:rPr>
                <w:rFonts w:ascii="Times New Roman" w:hAnsi="Times New Roman" w:cs="Times New Roman" w:eastAsia="Times New Roman" w:hint="default"/>
                <w:sz w:val="18"/>
                <w:szCs w:val="18"/>
              </w:rPr>
            </w:pPr>
            <w:r>
              <w:rPr>
                <w:rFonts w:ascii="Times New Roman"/>
                <w:sz w:val="18"/>
              </w:rPr>
              <w:t>m.cn/new/disclosure/</w:t>
            </w:r>
            <w:r>
              <w:rPr>
                <w:rFonts w:ascii="Times New Roman"/>
                <w:w w:val="99"/>
                <w:sz w:val="18"/>
              </w:rPr>
              <w:t> </w:t>
            </w:r>
            <w:r>
              <w:rPr>
                <w:rFonts w:ascii="Times New Roman"/>
                <w:sz w:val="18"/>
              </w:rPr>
              <w:t>detail?plate=szse&amp;st</w:t>
            </w:r>
            <w:r>
              <w:rPr>
                <w:rFonts w:ascii="Times New Roman"/>
                <w:w w:val="99"/>
                <w:sz w:val="18"/>
              </w:rPr>
              <w:t> </w:t>
            </w:r>
            <w:r>
              <w:rPr>
                <w:rFonts w:ascii="Times New Roman"/>
                <w:sz w:val="18"/>
              </w:rPr>
              <w:t>ockCode=300465&amp;a</w:t>
            </w:r>
            <w:r>
              <w:rPr>
                <w:rFonts w:ascii="Times New Roman"/>
                <w:sz w:val="18"/>
              </w:rPr>
              <w:t> nnouncementId=120 4947877&amp;announce mentTime=2018-05- 16%2017:17</w:t>
            </w:r>
          </w:p>
        </w:tc>
      </w:tr>
      <w:tr>
        <w:trPr>
          <w:trHeight w:val="258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0" w:lineRule="auto"/>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515" w:right="0"/>
              <w:jc w:val="left"/>
              <w:rPr>
                <w:rFonts w:ascii="Times New Roman" w:hAnsi="Times New Roman" w:cs="Times New Roman" w:eastAsia="Times New Roman" w:hint="default"/>
                <w:sz w:val="18"/>
                <w:szCs w:val="18"/>
              </w:rPr>
            </w:pPr>
            <w:r>
              <w:rPr>
                <w:rFonts w:ascii="Times New Roman"/>
                <w:sz w:val="18"/>
              </w:rPr>
              <w:t>42.13%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1"/>
              <w:ind w:left="24" w:right="23"/>
              <w:jc w:val="left"/>
              <w:rPr>
                <w:rFonts w:ascii="Times New Roman" w:hAnsi="Times New Roman" w:cs="Times New Roman" w:eastAsia="Times New Roman" w:hint="default"/>
                <w:sz w:val="18"/>
                <w:szCs w:val="18"/>
              </w:rPr>
            </w:pPr>
            <w:hyperlink r:id="rId16">
              <w:r>
                <w:rPr>
                  <w:rFonts w:ascii="Times New Roman"/>
                  <w:spacing w:val="-1"/>
                  <w:sz w:val="18"/>
                </w:rPr>
                <w:t>http://www.cninfo.co</w:t>
              </w:r>
            </w:hyperlink>
            <w:r>
              <w:rPr>
                <w:rFonts w:ascii="Times New Roman"/>
                <w:sz w:val="18"/>
              </w:rPr>
              <w:t> m.cn/new/disclosure/</w:t>
            </w:r>
            <w:r>
              <w:rPr>
                <w:rFonts w:ascii="Times New Roman"/>
                <w:w w:val="99"/>
                <w:sz w:val="18"/>
              </w:rPr>
              <w:t> </w:t>
            </w:r>
            <w:r>
              <w:rPr>
                <w:rFonts w:ascii="Times New Roman"/>
                <w:sz w:val="18"/>
              </w:rPr>
              <w:t>detail?plate=szse&amp;st</w:t>
            </w:r>
            <w:r>
              <w:rPr>
                <w:rFonts w:ascii="Times New Roman"/>
                <w:w w:val="99"/>
                <w:sz w:val="18"/>
              </w:rPr>
              <w:t> </w:t>
            </w:r>
            <w:r>
              <w:rPr>
                <w:rFonts w:ascii="Times New Roman"/>
                <w:sz w:val="18"/>
              </w:rPr>
              <w:t>ockCode=300465&amp;a</w:t>
            </w:r>
            <w:r>
              <w:rPr>
                <w:rFonts w:ascii="Times New Roman"/>
                <w:sz w:val="18"/>
              </w:rPr>
              <w:t> nnouncementId=120 5436294&amp;announce mentTime=2018-09- 14%2015:57</w:t>
            </w:r>
          </w:p>
        </w:tc>
      </w:tr>
    </w:tbl>
    <w:p>
      <w:pPr>
        <w:spacing w:line="240" w:lineRule="auto" w:before="3"/>
        <w:rPr>
          <w:rFonts w:ascii="宋体" w:hAnsi="宋体" w:cs="宋体" w:eastAsia="宋体" w:hint="default"/>
          <w:b/>
          <w:bCs/>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2"/>
        <w:gridCol w:w="1164"/>
        <w:gridCol w:w="1162"/>
        <w:gridCol w:w="1165"/>
        <w:gridCol w:w="1164"/>
      </w:tblGrid>
      <w:tr>
        <w:trPr>
          <w:trHeight w:val="403"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钱英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郑建明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49"/>
        <w:ind w:right="8054"/>
        <w:jc w:val="left"/>
      </w:pPr>
      <w:r>
        <w:rPr/>
        <w:t>连续两次未亲自出席董事会的说明 不适用</w:t>
      </w:r>
    </w:p>
    <w:p>
      <w:pPr>
        <w:spacing w:line="240" w:lineRule="auto" w:before="2"/>
        <w:rPr>
          <w:rFonts w:ascii="宋体" w:hAnsi="宋体" w:cs="宋体" w:eastAsia="宋体" w:hint="default"/>
          <w:sz w:val="20"/>
          <w:szCs w:val="20"/>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7"/>
        <w:jc w:val="left"/>
      </w:pPr>
      <w:r>
        <w:rPr/>
        <w:t>独立董事对公司有关建议是否被采纳</w:t>
      </w:r>
    </w:p>
    <w:p>
      <w:pPr>
        <w:spacing w:after="0" w:line="240" w:lineRule="auto"/>
        <w:jc w:val="left"/>
        <w:sectPr>
          <w:pgSz w:w="11910" w:h="16840"/>
          <w:pgMar w:header="786" w:footer="1267" w:top="1100" w:bottom="1460" w:left="980" w:right="0"/>
        </w:sectPr>
      </w:pPr>
    </w:p>
    <w:p>
      <w:pPr>
        <w:spacing w:line="240" w:lineRule="auto" w:before="8"/>
        <w:rPr>
          <w:rFonts w:ascii="宋体" w:hAnsi="宋体" w:cs="宋体" w:eastAsia="宋体" w:hint="default"/>
          <w:sz w:val="22"/>
          <w:szCs w:val="22"/>
        </w:rPr>
      </w:pPr>
    </w:p>
    <w:p>
      <w:pPr>
        <w:pStyle w:val="BodyText"/>
        <w:spacing w:line="348" w:lineRule="auto" w:before="44"/>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 报告期内独立董事对公司有关事项未提出异议。</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Heading2"/>
        <w:spacing w:line="240" w:lineRule="auto"/>
        <w:ind w:right="1117"/>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3" w:right="1117"/>
        <w:jc w:val="left"/>
      </w:pPr>
      <w:r>
        <w:rPr/>
        <w:t>（一）审计委员会履职情况 </w:t>
      </w:r>
      <w:r>
        <w:rPr>
          <w:spacing w:val="-2"/>
        </w:rPr>
        <w:t>报告期内，审计委员会根据《公司法》、《证券法》、《上市公司治理准则》、《内部审计制度》及《审计与风险控制</w:t>
      </w:r>
    </w:p>
    <w:p>
      <w:pPr>
        <w:pStyle w:val="BodyText"/>
        <w:spacing w:line="236" w:lineRule="exact"/>
        <w:ind w:right="991"/>
        <w:jc w:val="left"/>
      </w:pPr>
      <w:r>
        <w:rPr/>
        <w:t>委员会议事规则》等有关规定，积极履行职责。报告期内，审计委员会共召开了</w:t>
      </w:r>
      <w:r>
        <w:rPr>
          <w:rFonts w:ascii="Times New Roman" w:hAnsi="Times New Roman" w:cs="Times New Roman" w:eastAsia="Times New Roman" w:hint="default"/>
        </w:rPr>
        <w:t>2</w:t>
      </w:r>
      <w:r>
        <w:rPr/>
        <w:t>次会议，对相关事项进行了审议并听取了</w:t>
      </w:r>
    </w:p>
    <w:p>
      <w:pPr>
        <w:pStyle w:val="BodyText"/>
        <w:spacing w:line="240" w:lineRule="auto" w:before="63"/>
        <w:ind w:right="1117"/>
        <w:jc w:val="left"/>
      </w:pPr>
      <w:r>
        <w:rPr/>
        <w:t>内审部相关工作报告。</w:t>
      </w:r>
    </w:p>
    <w:p>
      <w:pPr>
        <w:pStyle w:val="BodyText"/>
        <w:spacing w:line="360" w:lineRule="auto" w:before="115"/>
        <w:ind w:left="513" w:right="1033"/>
        <w:jc w:val="left"/>
      </w:pPr>
      <w:r>
        <w:rPr/>
        <w:t>（二）薪酬与考核委员会履职情况 报告期内，薪酬与考核委员根据《公司法》、《证券法》、《上市公司治理准则》、及《薪酬与考核委员会议事规则》</w:t>
      </w:r>
    </w:p>
    <w:p>
      <w:pPr>
        <w:pStyle w:val="BodyText"/>
        <w:spacing w:line="222" w:lineRule="exact"/>
        <w:ind w:right="1117"/>
        <w:jc w:val="left"/>
      </w:pPr>
      <w:r>
        <w:rPr/>
        <w:t>等有关规定，积极履行职责。</w:t>
      </w:r>
    </w:p>
    <w:p>
      <w:pPr>
        <w:pStyle w:val="BodyText"/>
        <w:spacing w:line="357" w:lineRule="auto" w:before="117"/>
        <w:ind w:left="513" w:right="1117"/>
        <w:jc w:val="left"/>
      </w:pPr>
      <w:r>
        <w:rPr/>
        <w:t>（三）提名委员会履职情况 </w:t>
      </w:r>
      <w:r>
        <w:rPr>
          <w:spacing w:val="-6"/>
        </w:rPr>
        <w:t>报告期内，提名委员会按照《公司法》、《证券法》、《上市公司治理准则》、及《提名委员会议事规则》等有关规定，</w:t>
      </w:r>
    </w:p>
    <w:p>
      <w:pPr>
        <w:pStyle w:val="BodyText"/>
        <w:spacing w:line="224" w:lineRule="exact"/>
        <w:ind w:right="1117"/>
        <w:jc w:val="left"/>
      </w:pPr>
      <w:r>
        <w:rPr/>
        <w:t>积极履行职责。</w:t>
      </w:r>
    </w:p>
    <w:p>
      <w:pPr>
        <w:pStyle w:val="BodyText"/>
        <w:spacing w:line="360" w:lineRule="auto" w:before="117"/>
        <w:ind w:left="513" w:right="1117"/>
        <w:jc w:val="left"/>
      </w:pPr>
      <w:r>
        <w:rPr/>
        <w:t>（四）战略发展委员会履职情况 </w:t>
      </w:r>
      <w:r>
        <w:rPr>
          <w:spacing w:val="-2"/>
        </w:rPr>
        <w:t>报告期内，战略发展委员按照《公司法》、《证券法》、《上市公司治理准则》、及《战略委员会议事规则》等有关规</w:t>
      </w:r>
    </w:p>
    <w:p>
      <w:pPr>
        <w:pStyle w:val="BodyText"/>
        <w:spacing w:line="222" w:lineRule="exact"/>
        <w:ind w:right="1117"/>
        <w:jc w:val="left"/>
      </w:pPr>
      <w:r>
        <w:rPr/>
        <w:t>定，积极履行职责。</w:t>
      </w:r>
    </w:p>
    <w:p>
      <w:pPr>
        <w:spacing w:line="240" w:lineRule="auto" w:before="1"/>
        <w:rPr>
          <w:rFonts w:ascii="宋体" w:hAnsi="宋体" w:cs="宋体" w:eastAsia="宋体" w:hint="default"/>
          <w:sz w:val="25"/>
          <w:szCs w:val="25"/>
        </w:rPr>
      </w:pPr>
    </w:p>
    <w:p>
      <w:pPr>
        <w:pStyle w:val="Heading2"/>
        <w:spacing w:line="240" w:lineRule="auto"/>
        <w:ind w:right="1117"/>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7"/>
        <w:jc w:val="left"/>
      </w:pPr>
      <w:r>
        <w:rPr/>
        <w:t>监事会在报告期内的监督活动中发现公司是否存在风险</w:t>
      </w:r>
    </w:p>
    <w:p>
      <w:pPr>
        <w:pStyle w:val="BodyText"/>
        <w:spacing w:line="338" w:lineRule="auto" w:before="117"/>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1117"/>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17" w:firstLine="360"/>
        <w:jc w:val="left"/>
      </w:pPr>
      <w:r>
        <w:rPr>
          <w:spacing w:val="-2"/>
        </w:rPr>
        <w:t>公司高级管理人员的薪酬与考核以公司经济效益及工作目标为出发点，根据公司年度经营计划和高级管理人员分管工作</w:t>
      </w:r>
      <w:r>
        <w:rPr/>
        <w:t> 的职责，进行综合考核，根据考核结果确定高级管理人员的年度薪酬水平。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2"/>
        <w:ind w:right="1117"/>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786" w:footer="1267" w:top="1100" w:bottom="14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pStyle w:val="BodyText"/>
        <w:spacing w:line="240" w:lineRule="auto" w:before="44"/>
        <w:ind w:left="0" w:right="1163"/>
        <w:jc w:val="right"/>
      </w:pPr>
      <w:r>
        <w:rPr/>
        <w:pict>
          <v:shape style="position:absolute;margin-left:57pt;margin-top:-210.418304pt;width:478.1pt;height:627.3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8"/>
                    <w:gridCol w:w="3327"/>
                    <w:gridCol w:w="304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69" w:type="dxa"/>
                        <w:gridSpan w:val="2"/>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91"/>
                          <w:ind w:right="12"/>
                          <w:jc w:val="right"/>
                          <w:rPr>
                            <w:rFonts w:ascii="Times New Roman" w:hAnsi="Times New Roman" w:cs="Times New Roman" w:eastAsia="Times New Roman" w:hint="default"/>
                            <w:sz w:val="18"/>
                            <w:szCs w:val="18"/>
                          </w:rPr>
                        </w:pPr>
                        <w:hyperlink r:id="rId11">
                          <w:r>
                            <w:rPr>
                              <w:rFonts w:ascii="Times New Roman"/>
                              <w:spacing w:val="-2"/>
                              <w:sz w:val="18"/>
                            </w:rPr>
                            <w:t>www.cninfo.com.cn</w:t>
                          </w:r>
                        </w:hyperlink>
                      </w:p>
                    </w:tc>
                  </w:tr>
                  <w:tr>
                    <w:trPr>
                      <w:trHeight w:val="715"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6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6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7" w:hRule="exact"/>
                    </w:trPr>
                    <w:tc>
                      <w:tcPr>
                        <w:tcW w:w="95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7"/>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79"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3" w:right="38"/>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w:t>
                        </w:r>
                        <w:r>
                          <w:rPr>
                            <w:rFonts w:ascii="宋体" w:hAnsi="宋体" w:cs="宋体" w:eastAsia="宋体" w:hint="default"/>
                            <w:spacing w:val="-5"/>
                            <w:sz w:val="18"/>
                            <w:szCs w:val="18"/>
                          </w:rPr>
                          <w:t>定性标准如下：（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）公司董事、监事和高</w:t>
                        </w:r>
                        <w:r>
                          <w:rPr>
                            <w:rFonts w:ascii="宋体" w:hAnsi="宋体" w:cs="宋体" w:eastAsia="宋体" w:hint="default"/>
                            <w:spacing w:val="-86"/>
                            <w:sz w:val="18"/>
                            <w:szCs w:val="18"/>
                          </w:rPr>
                          <w:t> </w:t>
                        </w:r>
                        <w:r>
                          <w:rPr>
                            <w:rFonts w:ascii="宋体" w:hAnsi="宋体" w:cs="宋体" w:eastAsia="宋体" w:hint="default"/>
                            <w:sz w:val="18"/>
                            <w:szCs w:val="18"/>
                          </w:rPr>
                          <w:t>级管理人员的舞弊行为；</w:t>
                        </w:r>
                        <w:r>
                          <w:rPr>
                            <w:rFonts w:ascii="宋体" w:hAnsi="宋体" w:cs="宋体" w:eastAsia="宋体" w:hint="default"/>
                            <w:spacing w:val="53"/>
                            <w:sz w:val="18"/>
                            <w:szCs w:val="18"/>
                          </w:rPr>
                          <w:t> </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）公</w:t>
                        </w:r>
                        <w:r>
                          <w:rPr>
                            <w:rFonts w:ascii="宋体" w:hAnsi="宋体" w:cs="宋体" w:eastAsia="宋体" w:hint="default"/>
                            <w:spacing w:val="-22"/>
                            <w:sz w:val="18"/>
                            <w:szCs w:val="18"/>
                          </w:rPr>
                          <w:t> </w:t>
                        </w:r>
                        <w:r>
                          <w:rPr>
                            <w:rFonts w:ascii="宋体" w:hAnsi="宋体" w:cs="宋体" w:eastAsia="宋体" w:hint="default"/>
                            <w:sz w:val="18"/>
                            <w:szCs w:val="18"/>
                          </w:rPr>
                          <w:t>司更正已公布的财务报告；</w:t>
                        </w:r>
                      </w:p>
                      <w:p>
                        <w:pPr>
                          <w:pStyle w:val="TableParagraph"/>
                          <w:spacing w:line="300" w:lineRule="auto" w:before="28"/>
                          <w:ind w:left="23"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）注册会计师发现的却未被公司内部控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制识别的当期财务报告中的重大错报；</w:t>
                        </w:r>
                      </w:p>
                      <w:p>
                        <w:pPr>
                          <w:pStyle w:val="TableParagraph"/>
                          <w:spacing w:line="300" w:lineRule="auto" w:before="31"/>
                          <w:ind w:left="23"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）审计委员会和审计部门对公司的对外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财务报告和财务报告内部控制监督无效。</w:t>
                        </w:r>
                      </w:p>
                    </w:tc>
                    <w:tc>
                      <w:tcPr>
                        <w:tcW w:w="3041"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0"/>
                          <w:ind w:left="26" w:right="8"/>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 </w:t>
                        </w:r>
                        <w:r>
                          <w:rPr>
                            <w:rFonts w:ascii="宋体" w:hAnsi="宋体" w:cs="宋体" w:eastAsia="宋体" w:hint="default"/>
                            <w:spacing w:val="-4"/>
                            <w:sz w:val="18"/>
                            <w:szCs w:val="18"/>
                          </w:rPr>
                          <w:t>如果缺陷发生的可能性较小，会降低工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作效率或效果、或加大效果的不确定 性、或使之偏离预期目标为一般缺陷 </w:t>
                        </w:r>
                        <w:r>
                          <w:rPr>
                            <w:rFonts w:ascii="宋体" w:hAnsi="宋体" w:cs="宋体" w:eastAsia="宋体" w:hint="default"/>
                            <w:spacing w:val="-4"/>
                            <w:sz w:val="18"/>
                            <w:szCs w:val="18"/>
                          </w:rPr>
                          <w:t>如果缺陷发生的可能性较高，会显著降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低工作效率或效果、或显著加大效果的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不确定性、或使之显著偏离预期目标为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重要缺陷；如果缺陷发生的可能性高 </w:t>
                        </w:r>
                        <w:r>
                          <w:rPr>
                            <w:rFonts w:ascii="宋体" w:hAnsi="宋体" w:cs="宋体" w:eastAsia="宋体" w:hint="default"/>
                            <w:spacing w:val="-4"/>
                            <w:sz w:val="18"/>
                            <w:szCs w:val="18"/>
                          </w:rPr>
                          <w:t>会严重降低工作效率或效果、或严重加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大效果的不确定性、或使之严重偏离预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期目标为重大缺陷。</w:t>
                        </w: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9" w:space="0" w:color="D2D2D2"/>
                          <w:right w:val="single" w:sz="4" w:space="0" w:color="000000"/>
                        </w:tcBorders>
                        <w:shd w:val="clear" w:color="auto" w:fill="CCE8CF"/>
                      </w:tcPr>
                      <w:p>
                        <w:pPr/>
                      </w:p>
                    </w:tc>
                    <w:tc>
                      <w:tcPr>
                        <w:tcW w:w="3041" w:type="dxa"/>
                        <w:vMerge/>
                        <w:tcBorders>
                          <w:left w:val="single" w:sz="4" w:space="0" w:color="000000"/>
                          <w:right w:val="single" w:sz="4" w:space="0" w:color="000000"/>
                        </w:tcBorders>
                        <w:shd w:val="clear" w:color="auto" w:fill="CCE8CF"/>
                      </w:tcPr>
                      <w:p>
                        <w:pPr/>
                      </w:p>
                    </w:tc>
                  </w:tr>
                  <w:tr>
                    <w:trPr>
                      <w:trHeight w:val="1877"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shd w:val="clear" w:color="auto" w:fill="CCE8CF"/>
                      </w:tcPr>
                      <w:p>
                        <w:pPr/>
                      </w:p>
                    </w:tc>
                    <w:tc>
                      <w:tcPr>
                        <w:tcW w:w="3041" w:type="dxa"/>
                        <w:vMerge/>
                        <w:tcBorders>
                          <w:left w:val="single" w:sz="4" w:space="0" w:color="000000"/>
                          <w:bottom w:val="single" w:sz="4" w:space="0" w:color="000000"/>
                          <w:right w:val="single" w:sz="4" w:space="0" w:color="000000"/>
                        </w:tcBorders>
                        <w:shd w:val="clear" w:color="auto" w:fill="CCE8CF"/>
                      </w:tcPr>
                      <w:p>
                        <w:pPr/>
                      </w:p>
                    </w:tc>
                  </w:tr>
                  <w:tr>
                    <w:trPr>
                      <w:trHeight w:val="1877"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9" w:space="0" w:color="D2D2D2"/>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3" w:right="15"/>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指标。如果该缺陷单独或连同其他缺陷可 能导致或导致的财务报告错报金额小于营 业收入的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，则认定为一般缺陷；如果超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过营业收入的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，则为重要缺 </w:t>
                        </w:r>
                        <w:r>
                          <w:rPr>
                            <w:rFonts w:ascii="宋体" w:hAnsi="宋体" w:cs="宋体" w:eastAsia="宋体" w:hint="default"/>
                            <w:spacing w:val="-4"/>
                            <w:sz w:val="18"/>
                            <w:szCs w:val="18"/>
                          </w:rPr>
                          <w:t>陷；如果超过营业收入的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，则认定为重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大缺陷。</w:t>
                        </w:r>
                        <w:r>
                          <w:rPr>
                            <w:rFonts w:ascii="宋体" w:hAnsi="宋体" w:cs="宋体" w:eastAsia="宋体" w:hint="default"/>
                            <w:spacing w:val="-64"/>
                            <w:sz w:val="18"/>
                            <w:szCs w:val="18"/>
                          </w:rPr>
                          <w:t> </w:t>
                        </w:r>
                        <w:r>
                          <w:rPr>
                            <w:rFonts w:ascii="宋体" w:hAnsi="宋体" w:cs="宋体" w:eastAsia="宋体" w:hint="default"/>
                            <w:sz w:val="18"/>
                            <w:szCs w:val="18"/>
                          </w:rPr>
                          <w:t>如果该缺陷单独或连同其他缺陷</w:t>
                        </w:r>
                        <w:r>
                          <w:rPr>
                            <w:rFonts w:ascii="宋体" w:hAnsi="宋体" w:cs="宋体" w:eastAsia="宋体" w:hint="default"/>
                            <w:sz w:val="18"/>
                            <w:szCs w:val="18"/>
                          </w:rPr>
                          <w:t> 可能导致的财务报告错报金额小于资产总 额的</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，则认定为一般缺陷；如果超过资</w:t>
                        </w:r>
                        <w:r>
                          <w:rPr>
                            <w:rFonts w:ascii="宋体" w:hAnsi="宋体" w:cs="宋体" w:eastAsia="宋体" w:hint="default"/>
                            <w:sz w:val="18"/>
                            <w:szCs w:val="18"/>
                          </w:rPr>
                          <w:t>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认定为重要缺陷； 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 陷。</w:t>
                        </w:r>
                      </w:p>
                    </w:tc>
                    <w:tc>
                      <w:tcPr>
                        <w:tcW w:w="3041" w:type="dxa"/>
                        <w:vMerge w:val="restart"/>
                        <w:tcBorders>
                          <w:top w:val="single" w:sz="4" w:space="0" w:color="000000"/>
                          <w:left w:val="single" w:sz="4" w:space="0" w:color="000000"/>
                          <w:right w:val="single" w:sz="4" w:space="0" w:color="000000"/>
                        </w:tcBorders>
                        <w:shd w:val="clear" w:color="auto" w:fill="CCE8CF"/>
                      </w:tcPr>
                      <w:p>
                        <w:pPr>
                          <w:pStyle w:val="TableParagraph"/>
                          <w:spacing w:line="307" w:lineRule="auto" w:before="49"/>
                          <w:ind w:left="26" w:right="7"/>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量指标。如果该缺陷单独或连同其他缺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陷可能导致或导致的财务报告错报金 额小于营业收入的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 缺陷；如果超过营业收入的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，则为重要缺陷；如果超过营业收 入的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，则认定为重大缺陷。</w:t>
                        </w:r>
                        <w:r>
                          <w:rPr>
                            <w:rFonts w:ascii="宋体" w:hAnsi="宋体" w:cs="宋体" w:eastAsia="宋体" w:hint="default"/>
                            <w:spacing w:val="-37"/>
                            <w:sz w:val="18"/>
                            <w:szCs w:val="18"/>
                          </w:rPr>
                          <w:t> </w:t>
                        </w:r>
                        <w:r>
                          <w:rPr>
                            <w:rFonts w:ascii="宋体" w:hAnsi="宋体" w:cs="宋体" w:eastAsia="宋体" w:hint="default"/>
                            <w:sz w:val="18"/>
                            <w:szCs w:val="18"/>
                          </w:rPr>
                          <w:t>如果该</w:t>
                        </w:r>
                        <w:r>
                          <w:rPr>
                            <w:rFonts w:ascii="宋体" w:hAnsi="宋体" w:cs="宋体" w:eastAsia="宋体" w:hint="default"/>
                            <w:sz w:val="18"/>
                            <w:szCs w:val="18"/>
                          </w:rPr>
                          <w:t> 缺陷单独或连同其他缺陷可能导致的 财务报告错报金额小于资产总额的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，则认定为一般缺陷；如果超过资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认定为重要缺 陷；如果超过资产总额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 重大缺陷。</w:t>
                        </w: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9" w:space="0" w:color="D2D2D2"/>
                          <w:right w:val="single" w:sz="4" w:space="0" w:color="000000"/>
                        </w:tcBorders>
                        <w:shd w:val="clear" w:color="auto" w:fill="CCE8CF"/>
                      </w:tcPr>
                      <w:p>
                        <w:pPr/>
                      </w:p>
                    </w:tc>
                    <w:tc>
                      <w:tcPr>
                        <w:tcW w:w="3041" w:type="dxa"/>
                        <w:vMerge/>
                        <w:tcBorders>
                          <w:left w:val="single" w:sz="4" w:space="0" w:color="000000"/>
                          <w:right w:val="single" w:sz="4" w:space="0" w:color="000000"/>
                        </w:tcBorders>
                        <w:shd w:val="clear" w:color="auto" w:fill="CCE8CF"/>
                      </w:tcPr>
                      <w:p>
                        <w:pPr/>
                      </w:p>
                    </w:tc>
                  </w:tr>
                  <w:tr>
                    <w:trPr>
                      <w:trHeight w:val="1877"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9" w:space="0" w:color="D2D2D2"/>
                          <w:bottom w:val="single" w:sz="4" w:space="0" w:color="000000"/>
                          <w:right w:val="single" w:sz="4" w:space="0" w:color="000000"/>
                        </w:tcBorders>
                        <w:shd w:val="clear" w:color="auto" w:fill="CCE8CF"/>
                      </w:tcPr>
                      <w:p>
                        <w:pPr/>
                      </w:p>
                    </w:tc>
                    <w:tc>
                      <w:tcPr>
                        <w:tcW w:w="3041" w:type="dxa"/>
                        <w:vMerge/>
                        <w:tcBorders>
                          <w:left w:val="single" w:sz="4" w:space="0" w:color="000000"/>
                          <w:bottom w:val="single" w:sz="4" w:space="0" w:color="000000"/>
                          <w:right w:val="single" w:sz="4" w:space="0" w:color="000000"/>
                        </w:tcBorders>
                        <w:shd w:val="clear" w:color="auto" w:fill="CCE8CF"/>
                      </w:tcPr>
                      <w:p>
                        <w:pP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6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6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6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6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16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2"/>
        <w:spacing w:line="240" w:lineRule="auto" w:before="26"/>
        <w:ind w:right="1117"/>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t>不适用</w:t>
      </w:r>
    </w:p>
    <w:p>
      <w:pPr>
        <w:spacing w:after="0" w:line="240" w:lineRule="auto"/>
        <w:jc w:val="left"/>
        <w:sectPr>
          <w:pgSz w:w="11910" w:h="16840"/>
          <w:pgMar w:header="786" w:footer="1267" w:top="110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Heading1"/>
        <w:spacing w:line="240" w:lineRule="auto"/>
        <w:ind w:left="3125" w:right="1117"/>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86" w:footer="1267" w:top="1100" w:bottom="1460" w:left="980" w:right="0"/>
        </w:sectPr>
      </w:pPr>
    </w:p>
    <w:p>
      <w:pPr>
        <w:spacing w:line="240" w:lineRule="auto" w:before="8"/>
        <w:rPr>
          <w:rFonts w:ascii="宋体" w:hAnsi="宋体" w:cs="宋体" w:eastAsia="宋体" w:hint="default"/>
          <w:sz w:val="4"/>
          <w:szCs w:val="4"/>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30.45pt;height:.75pt;mso-position-horizontal-relative:char;mso-position-vertical-relative:line" coordorigin="0,0" coordsize="8609,15">
            <v:group style="position:absolute;left:7;top:7;width:8594;height:2" coordorigin="7,7" coordsize="8594,2">
              <v:shape style="position:absolute;left:7;top:7;width:8594;height:2" coordorigin="7,7" coordsize="8594,0" path="m7,7l860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240" w:lineRule="auto"/>
        <w:ind w:left="3040" w:right="1562"/>
        <w:jc w:val="left"/>
        <w:rPr>
          <w:b w:val="0"/>
          <w:bCs w:val="0"/>
        </w:rPr>
      </w:pPr>
      <w:bookmarkStart w:name="_bookmark10" w:id="11"/>
      <w:bookmarkEnd w:id="11"/>
      <w:r>
        <w:rPr>
          <w:b w:val="0"/>
          <w:bCs w:val="0"/>
        </w:rPr>
      </w:r>
      <w:r>
        <w:rPr/>
        <w:t>第十一节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2"/>
        <w:spacing w:line="240" w:lineRule="auto" w:before="26"/>
        <w:ind w:left="138" w:right="1562"/>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4" w:type="dxa"/>
        <w:tblLayout w:type="fixed"/>
        <w:tblCellMar>
          <w:top w:w="0" w:type="dxa"/>
          <w:left w:w="0" w:type="dxa"/>
          <w:bottom w:w="0" w:type="dxa"/>
          <w:right w:w="0" w:type="dxa"/>
        </w:tblCellMar>
        <w:tblLook w:val="01E0"/>
      </w:tblPr>
      <w:tblGrid>
        <w:gridCol w:w="4773"/>
        <w:gridCol w:w="4787"/>
      </w:tblGrid>
      <w:tr>
        <w:trPr>
          <w:trHeight w:val="325"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4"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4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323" w:hRule="exact"/>
        </w:trPr>
        <w:tc>
          <w:tcPr>
            <w:tcW w:w="4773" w:type="dxa"/>
            <w:tcBorders>
              <w:top w:val="single" w:sz="4" w:space="0" w:color="000000"/>
              <w:left w:val="single" w:sz="4" w:space="0" w:color="000000"/>
              <w:bottom w:val="single" w:sz="4" w:space="0" w:color="000000"/>
              <w:right w:val="single" w:sz="12" w:space="0" w:color="CCE8CF"/>
            </w:tcBorders>
            <w:shd w:val="clear" w:color="auto" w:fill="D2D2D2"/>
          </w:tcPr>
          <w:p>
            <w:pPr>
              <w:pStyle w:val="TableParagraph"/>
              <w:spacing w:line="240" w:lineRule="auto" w:before="9"/>
              <w:ind w:left="10"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left="21" w:right="0"/>
              <w:jc w:val="left"/>
              <w:rPr>
                <w:rFonts w:ascii="宋体" w:hAnsi="宋体" w:cs="宋体" w:eastAsia="宋体" w:hint="default"/>
                <w:sz w:val="18"/>
                <w:szCs w:val="18"/>
              </w:rPr>
            </w:pPr>
            <w:r>
              <w:rPr>
                <w:rFonts w:ascii="宋体" w:hAnsi="宋体" w:cs="宋体" w:eastAsia="宋体" w:hint="default"/>
                <w:sz w:val="18"/>
                <w:szCs w:val="18"/>
              </w:rPr>
              <w:t>中汇会审</w:t>
            </w:r>
            <w:r>
              <w:rPr>
                <w:rFonts w:ascii="Times New Roman" w:hAnsi="Times New Roman" w:cs="Times New Roman" w:eastAsia="Times New Roman" w:hint="default"/>
                <w:sz w:val="18"/>
                <w:szCs w:val="18"/>
              </w:rPr>
              <w:t>[2019]1695 </w:t>
            </w:r>
            <w:r>
              <w:rPr>
                <w:rFonts w:ascii="宋体" w:hAnsi="宋体" w:cs="宋体" w:eastAsia="宋体" w:hint="default"/>
                <w:sz w:val="18"/>
                <w:szCs w:val="18"/>
              </w:rPr>
              <w:t>号</w:t>
            </w:r>
          </w:p>
        </w:tc>
      </w:tr>
      <w:tr>
        <w:trPr>
          <w:trHeight w:val="324" w:hRule="exact"/>
        </w:trPr>
        <w:tc>
          <w:tcPr>
            <w:tcW w:w="4773" w:type="dxa"/>
            <w:tcBorders>
              <w:top w:val="single" w:sz="4" w:space="0" w:color="000000"/>
              <w:left w:val="single" w:sz="4" w:space="0" w:color="000000"/>
              <w:bottom w:val="single" w:sz="4" w:space="0" w:color="000000"/>
              <w:right w:val="single" w:sz="12" w:space="0" w:color="CCE8CF"/>
            </w:tcBorders>
            <w:shd w:val="clear" w:color="auto" w:fill="D2D2D2"/>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潘高峰、张军伟</w:t>
            </w:r>
          </w:p>
        </w:tc>
      </w:tr>
    </w:tbl>
    <w:p>
      <w:pPr>
        <w:spacing w:after="0" w:line="240" w:lineRule="auto"/>
        <w:jc w:val="left"/>
        <w:rPr>
          <w:rFonts w:ascii="宋体" w:hAnsi="宋体" w:cs="宋体" w:eastAsia="宋体" w:hint="default"/>
          <w:sz w:val="18"/>
          <w:szCs w:val="18"/>
        </w:rPr>
        <w:sectPr>
          <w:pgSz w:w="11930" w:h="16850"/>
          <w:pgMar w:header="786" w:footer="1267" w:top="1100" w:bottom="1460" w:left="1660" w:right="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BodyText"/>
        <w:spacing w:line="360" w:lineRule="auto"/>
        <w:ind w:left="498" w:right="-20" w:hanging="360"/>
        <w:jc w:val="left"/>
      </w:pPr>
      <w:r>
        <w:rPr/>
        <w:t>高伟达软件股份有限公司全体股东： 一、审计意见</w:t>
      </w:r>
    </w:p>
    <w:p>
      <w:pPr>
        <w:pStyle w:val="BodyText"/>
        <w:spacing w:line="240" w:lineRule="auto" w:before="8"/>
        <w:ind w:left="138" w:right="-20"/>
        <w:jc w:val="left"/>
      </w:pPr>
      <w:r>
        <w:rPr/>
        <w:br w:type="column"/>
      </w:r>
      <w:r>
        <w:rPr/>
        <w:t>审计报告正文</w:t>
      </w:r>
    </w:p>
    <w:p>
      <w:pPr>
        <w:spacing w:line="240" w:lineRule="auto" w:before="7"/>
        <w:rPr>
          <w:rFonts w:ascii="宋体" w:hAnsi="宋体" w:cs="宋体" w:eastAsia="宋体" w:hint="default"/>
          <w:sz w:val="21"/>
          <w:szCs w:val="21"/>
        </w:rPr>
      </w:pPr>
      <w:r>
        <w:rPr/>
        <w:br w:type="column"/>
      </w:r>
      <w:r>
        <w:rPr>
          <w:rFonts w:ascii="宋体"/>
          <w:sz w:val="21"/>
        </w:rPr>
      </w:r>
    </w:p>
    <w:p>
      <w:pPr>
        <w:pStyle w:val="BodyText"/>
        <w:spacing w:line="240" w:lineRule="auto"/>
        <w:ind w:left="138" w:right="0"/>
        <w:jc w:val="left"/>
      </w:pPr>
      <w:r>
        <w:rPr/>
        <w:t>中汇会审</w:t>
      </w:r>
      <w:r>
        <w:rPr>
          <w:rFonts w:ascii="Times New Roman" w:hAnsi="Times New Roman" w:cs="Times New Roman" w:eastAsia="Times New Roman" w:hint="default"/>
        </w:rPr>
        <w:t>[2019]1695</w:t>
      </w:r>
      <w:r>
        <w:rPr/>
        <w:t>号</w:t>
      </w:r>
    </w:p>
    <w:p>
      <w:pPr>
        <w:spacing w:after="0" w:line="240" w:lineRule="auto"/>
        <w:jc w:val="left"/>
        <w:sectPr>
          <w:type w:val="continuous"/>
          <w:pgSz w:w="11930" w:h="16850"/>
          <w:pgMar w:top="1100" w:bottom="700" w:left="1660" w:right="0"/>
          <w:cols w:num="3" w:equalWidth="0">
            <w:col w:w="3019" w:space="709"/>
            <w:col w:w="1219" w:space="1850"/>
            <w:col w:w="3473"/>
          </w:cols>
        </w:sectPr>
      </w:pPr>
    </w:p>
    <w:p>
      <w:pPr>
        <w:pStyle w:val="BodyText"/>
        <w:spacing w:line="232" w:lineRule="exact" w:before="54"/>
        <w:ind w:left="138" w:right="1584" w:firstLine="359"/>
        <w:jc w:val="both"/>
      </w:pPr>
      <w:r>
        <w:rPr>
          <w:spacing w:val="-1"/>
        </w:rPr>
        <w:t>我们审计了高伟达软件股份有限公司</w:t>
      </w:r>
      <w:r>
        <w:rPr>
          <w:rFonts w:ascii="Times New Roman" w:hAnsi="Times New Roman" w:cs="Times New Roman" w:eastAsia="Times New Roman" w:hint="default"/>
          <w:spacing w:val="-1"/>
        </w:rPr>
        <w:t>(</w:t>
      </w:r>
      <w:r>
        <w:rPr>
          <w:spacing w:val="-1"/>
        </w:rPr>
        <w:t>以下简称高伟达公司</w:t>
      </w:r>
      <w:r>
        <w:rPr>
          <w:rFonts w:ascii="Times New Roman" w:hAnsi="Times New Roman" w:cs="Times New Roman" w:eastAsia="Times New Roman" w:hint="default"/>
          <w:spacing w:val="-1"/>
        </w:rPr>
        <w:t>)</w:t>
      </w:r>
      <w:r>
        <w:rPr>
          <w:spacing w:val="-1"/>
        </w:rPr>
        <w:t>财务报表，包括</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w:t>
      </w:r>
      <w:r>
        <w:rPr/>
        <w:t> 司资产负债表，</w:t>
      </w:r>
      <w:r>
        <w:rPr>
          <w:rFonts w:ascii="Times New Roman" w:hAnsi="Times New Roman" w:cs="Times New Roman" w:eastAsia="Times New Roman" w:hint="default"/>
        </w:rPr>
        <w:t>2018</w:t>
      </w:r>
      <w:r>
        <w:rPr/>
        <w:t>年度的合并及母公司利润表、合并及母公司现金流量表、合并及母公司所有者权益变动</w:t>
      </w:r>
      <w:r>
        <w:rPr>
          <w:spacing w:val="-26"/>
        </w:rPr>
        <w:t> </w:t>
      </w:r>
      <w:r>
        <w:rPr>
          <w:spacing w:val="-26"/>
        </w:rPr>
      </w:r>
      <w:r>
        <w:rPr/>
        <w:t>表以及财务报表附注。</w:t>
      </w:r>
    </w:p>
    <w:p>
      <w:pPr>
        <w:pStyle w:val="BodyText"/>
        <w:spacing w:line="236" w:lineRule="exact" w:before="117"/>
        <w:ind w:left="138" w:right="1581" w:firstLine="359"/>
        <w:jc w:val="both"/>
      </w:pPr>
      <w:r>
        <w:rPr/>
        <w:t>我们认为，后附的财务报表在所有重大方面按照企业会计准则的规定编制，公允反映了高伟达公司</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2018</w:t>
      </w:r>
      <w:r>
        <w:rPr/>
        <w:t>年度的合并及母公司经营成果和现金流量。</w:t>
      </w:r>
    </w:p>
    <w:p>
      <w:pPr>
        <w:pStyle w:val="BodyText"/>
        <w:spacing w:line="352" w:lineRule="exact" w:before="24"/>
        <w:ind w:left="498" w:right="1562"/>
        <w:jc w:val="left"/>
      </w:pPr>
      <w:r>
        <w:rPr/>
        <w:t>二、形成审计意见的基础 我们按照中国注册会计师审计准则的规定执行了审计工作。审计报告的</w:t>
      </w:r>
      <w:r>
        <w:rPr>
          <w:rFonts w:ascii="Times New Roman" w:hAnsi="Times New Roman" w:cs="Times New Roman" w:eastAsia="Times New Roman" w:hint="default"/>
        </w:rPr>
        <w:t>“</w:t>
      </w:r>
      <w:r>
        <w:rPr/>
        <w:t>注册会计师对财务报表审计的责</w:t>
      </w:r>
    </w:p>
    <w:p>
      <w:pPr>
        <w:pStyle w:val="BodyText"/>
        <w:spacing w:line="194" w:lineRule="exact"/>
        <w:ind w:left="138" w:right="0"/>
        <w:jc w:val="both"/>
      </w:pPr>
      <w:r>
        <w:rPr>
          <w:spacing w:val="-3"/>
        </w:rPr>
        <w:t>任</w:t>
      </w:r>
      <w:r>
        <w:rPr>
          <w:rFonts w:ascii="Times New Roman" w:hAnsi="Times New Roman" w:cs="Times New Roman" w:eastAsia="Times New Roman" w:hint="default"/>
          <w:spacing w:val="-3"/>
        </w:rPr>
        <w:t>”</w:t>
      </w:r>
      <w:r>
        <w:rPr>
          <w:spacing w:val="-3"/>
        </w:rPr>
        <w:t>部分进一步阐述了我们在这些准则下的责任。按照中国注册会计师职业道德守则，我们独立于高伟达公司，</w:t>
      </w:r>
    </w:p>
    <w:p>
      <w:pPr>
        <w:pStyle w:val="BodyText"/>
        <w:spacing w:line="232" w:lineRule="exact" w:before="17"/>
        <w:ind w:left="138" w:right="1587"/>
        <w:jc w:val="both"/>
      </w:pPr>
      <w:r>
        <w:rPr/>
        <w:t>并履行了职业道德方面的其他责任。我们相信，我们获取的审计证据是充分、适当的，为发表审计意见提供</w:t>
      </w:r>
      <w:r>
        <w:rPr>
          <w:spacing w:val="-23"/>
        </w:rPr>
        <w:t> </w:t>
      </w:r>
      <w:r>
        <w:rPr>
          <w:spacing w:val="-23"/>
        </w:rPr>
      </w:r>
      <w:r>
        <w:rPr/>
        <w:t>了基础。</w:t>
      </w:r>
    </w:p>
    <w:p>
      <w:pPr>
        <w:pStyle w:val="BodyText"/>
        <w:spacing w:line="240" w:lineRule="auto" w:before="96"/>
        <w:ind w:left="498" w:right="1562"/>
        <w:jc w:val="left"/>
      </w:pPr>
      <w:r>
        <w:rPr/>
        <w:t>三、关键审计事项</w:t>
      </w:r>
    </w:p>
    <w:p>
      <w:pPr>
        <w:pStyle w:val="BodyText"/>
        <w:spacing w:line="237" w:lineRule="auto" w:before="120"/>
        <w:ind w:left="138" w:right="1589"/>
        <w:jc w:val="both"/>
      </w:pPr>
      <w:r>
        <w:rPr/>
        <w:t>关键审计事项是我们根据职业判断，认为对本期财务报表审计最为重要的事项。这些事项的应对以对财务报</w:t>
      </w:r>
      <w:r>
        <w:rPr>
          <w:spacing w:val="-25"/>
        </w:rPr>
        <w:t> </w:t>
      </w:r>
      <w:r>
        <w:rPr>
          <w:spacing w:val="-25"/>
        </w:rPr>
      </w:r>
      <w:r>
        <w:rPr/>
        <w:t>表整体进行审计并形成审计意见为背景，我们不对这些事项单独发表意见。我们确定下列事项是需要在审计</w:t>
      </w:r>
      <w:r>
        <w:rPr>
          <w:spacing w:val="-25"/>
        </w:rPr>
        <w:t> </w:t>
      </w:r>
      <w:r>
        <w:rPr>
          <w:spacing w:val="-25"/>
        </w:rPr>
      </w:r>
      <w:r>
        <w:rPr/>
        <w:t>报告中沟通的关键审计事项。</w:t>
      </w:r>
    </w:p>
    <w:p>
      <w:pPr>
        <w:pStyle w:val="BodyText"/>
        <w:spacing w:line="240" w:lineRule="auto" w:before="117"/>
        <w:ind w:left="498" w:right="156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商誉减值测试</w:t>
      </w:r>
    </w:p>
    <w:p>
      <w:pPr>
        <w:pStyle w:val="BodyText"/>
        <w:spacing w:line="350" w:lineRule="atLeast" w:before="5"/>
        <w:ind w:left="498" w:right="1562"/>
        <w:jc w:val="left"/>
      </w:pPr>
      <w:r>
        <w:rPr>
          <w:rFonts w:ascii="Times New Roman" w:hAnsi="Times New Roman" w:cs="Times New Roman" w:eastAsia="Times New Roman" w:hint="default"/>
        </w:rPr>
        <w:t>1</w:t>
      </w:r>
      <w:r>
        <w:rPr/>
        <w:t>．事项描述 如财务报表附注五（十二）所示，截至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日，高伟达公司因收购子公司而产生的商誉合计金</w:t>
      </w:r>
    </w:p>
    <w:p>
      <w:pPr>
        <w:pStyle w:val="BodyText"/>
        <w:spacing w:line="232" w:lineRule="auto"/>
        <w:ind w:left="138" w:right="1586"/>
        <w:jc w:val="both"/>
      </w:pPr>
      <w:r>
        <w:rPr>
          <w:spacing w:val="-3"/>
        </w:rPr>
        <w:t>额</w:t>
      </w:r>
      <w:r>
        <w:rPr>
          <w:rFonts w:ascii="Times New Roman" w:hAnsi="Times New Roman" w:cs="Times New Roman" w:eastAsia="Times New Roman" w:hint="default"/>
          <w:spacing w:val="-3"/>
        </w:rPr>
        <w:t>91,902.22</w:t>
      </w:r>
      <w:r>
        <w:rPr>
          <w:spacing w:val="-3"/>
        </w:rPr>
        <w:t>万元。管理层在每年年度终了对商誉进行减值测试，并依据减值测试的结果调整商誉的账面价值。</w:t>
      </w:r>
      <w:r>
        <w:rPr>
          <w:spacing w:val="-41"/>
        </w:rPr>
        <w:t> </w:t>
      </w:r>
      <w:r>
        <w:rPr>
          <w:spacing w:val="-41"/>
        </w:rPr>
      </w:r>
      <w:r>
        <w:rPr/>
        <w:t>为评估商誉的可收回金额，管理层委聘外部估值专家基于管理层编制的现金流量预测采用预计未来现金流量</w:t>
      </w:r>
      <w:r>
        <w:rPr>
          <w:spacing w:val="-25"/>
        </w:rPr>
        <w:t> </w:t>
      </w:r>
      <w:r>
        <w:rPr>
          <w:spacing w:val="-25"/>
        </w:rPr>
      </w:r>
      <w:r>
        <w:rPr/>
        <w:t>折现的模型计算各相关资产及资产组的预计未来现金流量现值。商誉减值测试的结果很大程度上依赖于管理</w:t>
      </w:r>
      <w:r>
        <w:rPr>
          <w:spacing w:val="-25"/>
        </w:rPr>
        <w:t> </w:t>
      </w:r>
      <w:r>
        <w:rPr>
          <w:spacing w:val="-25"/>
        </w:rPr>
      </w:r>
      <w:r>
        <w:rPr/>
        <w:t>层所做的估计和采用的假设，例如对资产组或资产组组合预计未来可产生现金流量和折现率的估计。该等估</w:t>
      </w:r>
    </w:p>
    <w:p>
      <w:pPr>
        <w:pStyle w:val="BodyText"/>
        <w:spacing w:line="237" w:lineRule="auto"/>
        <w:ind w:left="138" w:right="1584"/>
        <w:jc w:val="both"/>
      </w:pPr>
      <w:r>
        <w:rPr/>
        <w:t>计受到管理层对未来市场以及对经济环境判断的影响，采用不同的估计和假设会对评估的商誉之可收回价值</w:t>
      </w:r>
      <w:r>
        <w:rPr>
          <w:spacing w:val="-25"/>
        </w:rPr>
        <w:t> </w:t>
      </w:r>
      <w:r>
        <w:rPr>
          <w:spacing w:val="-25"/>
        </w:rPr>
      </w:r>
      <w:r>
        <w:rPr/>
        <w:t>有很大的影响。由于商誉金额重大，且管理层需要作出重大判断，因此我们将商誉的减值测试确定为关键审</w:t>
      </w:r>
      <w:r>
        <w:rPr>
          <w:spacing w:val="-20"/>
        </w:rPr>
        <w:t> </w:t>
      </w:r>
      <w:r>
        <w:rPr>
          <w:spacing w:val="-20"/>
        </w:rPr>
      </w:r>
      <w:r>
        <w:rPr/>
        <w:t>计事项。</w:t>
      </w:r>
    </w:p>
    <w:p>
      <w:pPr>
        <w:pStyle w:val="BodyText"/>
        <w:spacing w:line="350" w:lineRule="auto" w:before="117"/>
        <w:ind w:left="498" w:right="5572"/>
        <w:jc w:val="left"/>
      </w:pPr>
      <w:r>
        <w:rPr>
          <w:rFonts w:ascii="Times New Roman" w:hAnsi="Times New Roman" w:cs="Times New Roman" w:eastAsia="Times New Roman" w:hint="default"/>
        </w:rPr>
        <w:t>2</w:t>
      </w:r>
      <w:r>
        <w:rPr/>
        <w:t>．审计应对 我们对商誉减值测试实施的审计程序主要包括： </w:t>
      </w:r>
      <w:r>
        <w:rPr>
          <w:rFonts w:ascii="Times New Roman" w:hAnsi="Times New Roman" w:cs="Times New Roman" w:eastAsia="Times New Roman" w:hint="default"/>
        </w:rPr>
        <w:t>(1)</w:t>
      </w:r>
      <w:r>
        <w:rPr/>
        <w:t>了解并测试公司与商誉减值相关的关键内部控制；</w:t>
      </w:r>
    </w:p>
    <w:p>
      <w:pPr>
        <w:spacing w:after="0" w:line="350" w:lineRule="auto"/>
        <w:jc w:val="left"/>
        <w:sectPr>
          <w:type w:val="continuous"/>
          <w:pgSz w:w="11930" w:h="16850"/>
          <w:pgMar w:top="1100" w:bottom="70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340" w:lineRule="auto" w:before="44"/>
        <w:ind w:left="498" w:right="2332"/>
        <w:jc w:val="left"/>
      </w:pPr>
      <w:r>
        <w:rPr>
          <w:rFonts w:ascii="Times New Roman" w:hAnsi="Times New Roman" w:cs="Times New Roman" w:eastAsia="Times New Roman" w:hint="default"/>
        </w:rPr>
        <w:t>(2)</w:t>
      </w:r>
      <w:r>
        <w:rPr/>
        <w:t>评价商誉是否按照合理的方法分摊至相关资产组或资产组组合；</w:t>
      </w:r>
      <w:r>
        <w:rPr>
          <w:w w:val="99"/>
        </w:rPr>
        <w:t> </w:t>
      </w:r>
      <w:r>
        <w:rPr>
          <w:rFonts w:ascii="Times New Roman" w:hAnsi="Times New Roman" w:cs="Times New Roman" w:eastAsia="Times New Roman" w:hint="default"/>
        </w:rPr>
        <w:t>(3)</w:t>
      </w:r>
      <w:r>
        <w:rPr/>
        <w:t>了解和评价管理层委聘的外部估值专家的工作；</w:t>
      </w:r>
      <w:r>
        <w:rPr>
          <w:w w:val="99"/>
        </w:rPr>
        <w:t> </w:t>
      </w:r>
      <w:r>
        <w:rPr>
          <w:rFonts w:ascii="Times New Roman" w:hAnsi="Times New Roman" w:cs="Times New Roman" w:eastAsia="Times New Roman" w:hint="default"/>
        </w:rPr>
        <w:t>(4)</w:t>
      </w:r>
      <w:r>
        <w:rPr/>
        <w:t>分析和检查管理层进行商誉减值测试所依据的基础数据、所采用关键假设及判断的合理性；</w:t>
      </w:r>
      <w:r>
        <w:rPr>
          <w:w w:val="99"/>
        </w:rPr>
        <w:t> </w:t>
      </w:r>
      <w:r>
        <w:rPr>
          <w:rFonts w:ascii="Times New Roman" w:hAnsi="Times New Roman" w:cs="Times New Roman" w:eastAsia="Times New Roman" w:hint="default"/>
        </w:rPr>
        <w:t>(5)</w:t>
      </w:r>
      <w:r>
        <w:rPr/>
        <w:t>评价在财务报表中有关商誉减值测试的披露是否符合企业会计准则的要求。</w:t>
      </w:r>
    </w:p>
    <w:p>
      <w:pPr>
        <w:pStyle w:val="BodyText"/>
        <w:spacing w:line="240" w:lineRule="auto" w:before="20"/>
        <w:ind w:left="589" w:right="156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完工百分比法收入确认</w:t>
      </w:r>
    </w:p>
    <w:p>
      <w:pPr>
        <w:pStyle w:val="BodyText"/>
        <w:spacing w:line="356" w:lineRule="exact" w:before="29"/>
        <w:ind w:left="498" w:right="1562"/>
        <w:jc w:val="left"/>
      </w:pPr>
      <w:r>
        <w:rPr>
          <w:rFonts w:ascii="Times New Roman" w:hAnsi="Times New Roman" w:cs="Times New Roman" w:eastAsia="Times New Roman" w:hint="default"/>
        </w:rPr>
        <w:t>1</w:t>
      </w:r>
      <w:r>
        <w:rPr/>
        <w:t>．事项描述 如财务报表附注五（三十三）所示，高伟达公司于</w:t>
      </w:r>
      <w:r>
        <w:rPr>
          <w:rFonts w:ascii="Times New Roman" w:hAnsi="Times New Roman" w:cs="Times New Roman" w:eastAsia="Times New Roman" w:hint="default"/>
        </w:rPr>
        <w:t>2018</w:t>
      </w:r>
      <w:r>
        <w:rPr/>
        <w:t>年度实现营业收入</w:t>
      </w:r>
      <w:r>
        <w:rPr>
          <w:rFonts w:ascii="Times New Roman" w:hAnsi="Times New Roman" w:cs="Times New Roman" w:eastAsia="Times New Roman" w:hint="default"/>
        </w:rPr>
        <w:t>159,191.96</w:t>
      </w:r>
      <w:r>
        <w:rPr/>
        <w:t>万元，其中</w:t>
      </w:r>
      <w:r>
        <w:rPr>
          <w:rFonts w:ascii="Times New Roman" w:hAnsi="Times New Roman" w:cs="Times New Roman" w:eastAsia="Times New Roman" w:hint="default"/>
        </w:rPr>
        <w:t>IT</w:t>
      </w:r>
      <w:r>
        <w:rPr/>
        <w:t>解决方</w:t>
      </w:r>
    </w:p>
    <w:p>
      <w:pPr>
        <w:pStyle w:val="BodyText"/>
        <w:spacing w:line="192" w:lineRule="exact"/>
        <w:ind w:left="138" w:right="0"/>
        <w:jc w:val="both"/>
      </w:pPr>
      <w:r>
        <w:rPr/>
        <w:t>案的营业收入</w:t>
      </w:r>
      <w:r>
        <w:rPr>
          <w:rFonts w:ascii="Times New Roman" w:hAnsi="Times New Roman" w:cs="Times New Roman" w:eastAsia="Times New Roman" w:hint="default"/>
        </w:rPr>
        <w:t>47,705.04</w:t>
      </w:r>
      <w:r>
        <w:rPr/>
        <w:t>万元，占全部营业收入的</w:t>
      </w:r>
      <w:r>
        <w:rPr>
          <w:rFonts w:ascii="Times New Roman" w:hAnsi="Times New Roman" w:cs="Times New Roman" w:eastAsia="Times New Roman" w:hint="default"/>
        </w:rPr>
        <w:t>29.97%</w:t>
      </w:r>
      <w:r>
        <w:rPr/>
        <w:t>。如财务报表附注三（二十四）所示，</w:t>
      </w:r>
      <w:r>
        <w:rPr>
          <w:rFonts w:ascii="Times New Roman" w:hAnsi="Times New Roman" w:cs="Times New Roman" w:eastAsia="Times New Roman" w:hint="default"/>
        </w:rPr>
        <w:t>IT</w:t>
      </w:r>
      <w:r>
        <w:rPr/>
        <w:t>解决方案采</w:t>
      </w:r>
    </w:p>
    <w:p>
      <w:pPr>
        <w:pStyle w:val="BodyText"/>
        <w:spacing w:line="237" w:lineRule="auto"/>
        <w:ind w:left="138" w:right="1589"/>
        <w:jc w:val="both"/>
      </w:pPr>
      <w:r>
        <w:rPr/>
        <w:t>用完工百分比法确认收入。因为采用完工百分比法确认收入涉及管理层的会计估计判断，可能导致该类收入</w:t>
      </w:r>
      <w:r>
        <w:rPr>
          <w:spacing w:val="-25"/>
        </w:rPr>
        <w:t> </w:t>
      </w:r>
      <w:r>
        <w:rPr>
          <w:spacing w:val="-25"/>
        </w:rPr>
      </w:r>
      <w:r>
        <w:rPr/>
        <w:t>记入错误的会计期间或遭到操控而产生固有风险。由于该类收入是公司的关键绩效指标之一，我们将采用完</w:t>
      </w:r>
      <w:r>
        <w:rPr>
          <w:spacing w:val="-25"/>
        </w:rPr>
        <w:t> </w:t>
      </w:r>
      <w:r>
        <w:rPr>
          <w:spacing w:val="-25"/>
        </w:rPr>
      </w:r>
      <w:r>
        <w:rPr/>
        <w:t>工百分比法收入的确认确定为关键审计事项。</w:t>
      </w:r>
    </w:p>
    <w:p>
      <w:pPr>
        <w:pStyle w:val="BodyText"/>
        <w:spacing w:line="340" w:lineRule="auto" w:before="117"/>
        <w:ind w:left="498" w:right="5242"/>
        <w:jc w:val="left"/>
      </w:pPr>
      <w:r>
        <w:rPr>
          <w:rFonts w:ascii="Times New Roman" w:hAnsi="Times New Roman" w:cs="Times New Roman" w:eastAsia="Times New Roman" w:hint="default"/>
        </w:rPr>
        <w:t>2</w:t>
      </w:r>
      <w:r>
        <w:rPr/>
        <w:t>．审计应对 我们对完工百分比法确认收入实施的审计程序主要包括：</w:t>
      </w:r>
    </w:p>
    <w:p>
      <w:pPr>
        <w:pStyle w:val="BodyText"/>
        <w:spacing w:line="236" w:lineRule="exact" w:before="63"/>
        <w:ind w:left="138" w:right="1590" w:firstLine="359"/>
        <w:jc w:val="both"/>
      </w:pPr>
      <w:r>
        <w:rPr>
          <w:rFonts w:ascii="Times New Roman" w:hAnsi="Times New Roman" w:cs="Times New Roman" w:eastAsia="Times New Roman" w:hint="default"/>
        </w:rPr>
        <w:t>(1)</w:t>
      </w:r>
      <w:r>
        <w:rPr/>
        <w:t>对收入确认相关的内部控制的设计及执行有效性进行了评估和测试，包括项目工时预算、成本预算管</w:t>
      </w:r>
      <w:r>
        <w:rPr>
          <w:w w:val="99"/>
        </w:rPr>
        <w:t> </w:t>
      </w:r>
      <w:r>
        <w:rPr/>
        <w:t>理等；</w:t>
      </w:r>
    </w:p>
    <w:p>
      <w:pPr>
        <w:pStyle w:val="BodyText"/>
        <w:spacing w:line="340" w:lineRule="auto" w:before="95"/>
        <w:ind w:left="498" w:right="1562"/>
        <w:jc w:val="left"/>
      </w:pPr>
      <w:r>
        <w:rPr>
          <w:rFonts w:ascii="Times New Roman" w:hAnsi="Times New Roman" w:cs="Times New Roman" w:eastAsia="Times New Roman" w:hint="default"/>
        </w:rPr>
        <w:t>(2)</w:t>
      </w:r>
      <w:r>
        <w:rPr/>
        <w:t>检查完工进度表形成的过程与相关支持文件，比较不同期间的完工进度表的合理性；</w:t>
      </w:r>
      <w:r>
        <w:rPr>
          <w:w w:val="99"/>
        </w:rPr>
        <w:t> </w:t>
      </w:r>
      <w:r>
        <w:rPr>
          <w:rFonts w:ascii="Times New Roman" w:hAnsi="Times New Roman" w:cs="Times New Roman" w:eastAsia="Times New Roman" w:hint="default"/>
        </w:rPr>
        <w:t>(3)</w:t>
      </w:r>
      <w:r>
        <w:rPr/>
        <w:t>检查按照完工进度表确认收入的准确性；</w:t>
      </w:r>
    </w:p>
    <w:p>
      <w:pPr>
        <w:pStyle w:val="BodyText"/>
        <w:spacing w:line="232" w:lineRule="exact" w:before="47"/>
        <w:ind w:left="138" w:right="1589" w:firstLine="359"/>
        <w:jc w:val="both"/>
      </w:pPr>
      <w:r>
        <w:rPr>
          <w:rFonts w:ascii="Times New Roman" w:hAnsi="Times New Roman" w:cs="Times New Roman" w:eastAsia="Times New Roman" w:hint="default"/>
        </w:rPr>
        <w:t>(4)</w:t>
      </w:r>
      <w:r>
        <w:rPr/>
        <w:t>将已完工项目实际发生的总工时（或总成本）与项目开始阶段管理层估计的预计总工时（或合同总成</w:t>
      </w:r>
      <w:r>
        <w:rPr>
          <w:w w:val="99"/>
        </w:rPr>
        <w:t> </w:t>
      </w:r>
      <w:r>
        <w:rPr/>
        <w:t>本）进行了对比分析，评估管理层做出此项会计估计的经验和能力，并检查合同执行期间依据实际情况的发</w:t>
      </w:r>
      <w:r>
        <w:rPr>
          <w:spacing w:val="-25"/>
        </w:rPr>
        <w:t> </w:t>
      </w:r>
      <w:r>
        <w:rPr>
          <w:spacing w:val="-25"/>
        </w:rPr>
      </w:r>
      <w:r>
        <w:rPr/>
        <w:t>展变化对工时或成本预算进行定期复核调整的情况，关注其及时性和调整的合理性；</w:t>
      </w:r>
    </w:p>
    <w:p>
      <w:pPr>
        <w:pStyle w:val="BodyText"/>
        <w:spacing w:line="340" w:lineRule="auto" w:before="96"/>
        <w:ind w:left="498" w:right="3772"/>
        <w:jc w:val="left"/>
      </w:pPr>
      <w:r>
        <w:rPr>
          <w:rFonts w:ascii="Times New Roman" w:hAnsi="Times New Roman" w:cs="Times New Roman" w:eastAsia="Times New Roman" w:hint="default"/>
        </w:rPr>
        <w:t>(5)</w:t>
      </w:r>
      <w:r>
        <w:rPr/>
        <w:t>检查软件开发项目的实际工时记录，检查人工成本的准确性；</w:t>
      </w:r>
      <w:r>
        <w:rPr>
          <w:w w:val="99"/>
        </w:rPr>
        <w:t> </w:t>
      </w:r>
      <w:r>
        <w:rPr>
          <w:rFonts w:ascii="Times New Roman" w:hAnsi="Times New Roman" w:cs="Times New Roman" w:eastAsia="Times New Roman" w:hint="default"/>
        </w:rPr>
        <w:t>(6)</w:t>
      </w:r>
      <w:r>
        <w:rPr/>
        <w:t>核对经客户确认的项目进度函，并函证项目完工进度应确认的合同金额。</w:t>
      </w:r>
      <w:r>
        <w:rPr>
          <w:w w:val="99"/>
        </w:rPr>
        <w:t>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应收账款可回收性</w:t>
      </w:r>
    </w:p>
    <w:p>
      <w:pPr>
        <w:pStyle w:val="BodyText"/>
        <w:spacing w:line="240" w:lineRule="auto" w:before="20"/>
        <w:ind w:left="498" w:right="1562"/>
        <w:jc w:val="left"/>
      </w:pPr>
      <w:r>
        <w:rPr>
          <w:rFonts w:ascii="Times New Roman" w:hAnsi="Times New Roman" w:cs="Times New Roman" w:eastAsia="Times New Roman" w:hint="default"/>
        </w:rPr>
        <w:t>1</w:t>
      </w:r>
      <w:r>
        <w:rPr/>
        <w:t>．事项描述</w:t>
      </w:r>
    </w:p>
    <w:p>
      <w:pPr>
        <w:pStyle w:val="BodyText"/>
        <w:spacing w:line="230" w:lineRule="auto" w:before="112"/>
        <w:ind w:left="138" w:right="1585" w:firstLine="359"/>
        <w:jc w:val="both"/>
      </w:pPr>
      <w:r>
        <w:rPr/>
        <w:t>如财务报表附注五（二）所示，截至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日，高伟达公司应收账款账面价值</w:t>
      </w:r>
      <w:r>
        <w:rPr>
          <w:rFonts w:ascii="Times New Roman" w:hAnsi="Times New Roman" w:cs="Times New Roman" w:eastAsia="Times New Roman" w:hint="default"/>
        </w:rPr>
        <w:t>53,611.50</w:t>
      </w:r>
      <w:r>
        <w:rPr/>
        <w:t>万元，占 合并财务报表资产总额的</w:t>
      </w:r>
      <w:r>
        <w:rPr>
          <w:rFonts w:ascii="Times New Roman" w:hAnsi="Times New Roman" w:cs="Times New Roman" w:eastAsia="Times New Roman" w:hint="default"/>
        </w:rPr>
        <w:t>22.45%</w:t>
      </w:r>
      <w:r>
        <w:rPr/>
        <w:t>。鉴于应收账款年末账面价值的确定需要管理层识别已发生减值的项目和客</w:t>
      </w:r>
      <w:r>
        <w:rPr>
          <w:spacing w:val="-41"/>
        </w:rPr>
        <w:t> </w:t>
      </w:r>
      <w:r>
        <w:rPr>
          <w:spacing w:val="-41"/>
        </w:rPr>
      </w:r>
      <w:r>
        <w:rPr/>
        <w:t>观证据、评估预期未来可获取的现金流量并确定其现值，涉及管理层运用重大会计估计和判断，因此我们将</w:t>
      </w:r>
      <w:r>
        <w:rPr>
          <w:spacing w:val="-25"/>
        </w:rPr>
        <w:t> </w:t>
      </w:r>
      <w:r>
        <w:rPr>
          <w:spacing w:val="-25"/>
        </w:rPr>
      </w:r>
      <w:r>
        <w:rPr/>
        <w:t>应收账款的可回收性确定为关键审计事项。</w:t>
      </w:r>
    </w:p>
    <w:p>
      <w:pPr>
        <w:pStyle w:val="BodyText"/>
        <w:spacing w:line="343" w:lineRule="auto" w:before="118"/>
        <w:ind w:left="498" w:right="5242"/>
        <w:jc w:val="left"/>
      </w:pPr>
      <w:r>
        <w:rPr>
          <w:rFonts w:ascii="Times New Roman" w:hAnsi="Times New Roman" w:cs="Times New Roman" w:eastAsia="Times New Roman" w:hint="default"/>
        </w:rPr>
        <w:t>2</w:t>
      </w:r>
      <w:r>
        <w:rPr/>
        <w:t>．审计应对 我们针对应收账款的可回收性执行的审计程序主要包括：</w:t>
      </w:r>
    </w:p>
    <w:p>
      <w:pPr>
        <w:pStyle w:val="BodyText"/>
        <w:spacing w:line="240" w:lineRule="auto" w:before="40"/>
        <w:ind w:left="498" w:right="1562"/>
        <w:jc w:val="left"/>
      </w:pPr>
      <w:r>
        <w:rPr>
          <w:rFonts w:ascii="Times New Roman" w:hAnsi="Times New Roman" w:cs="Times New Roman" w:eastAsia="Times New Roman" w:hint="default"/>
        </w:rPr>
        <w:t>(1)</w:t>
      </w:r>
      <w:r>
        <w:rPr/>
        <w:t>测试管理层对于应收账款日常管理及期末可回收性评估相关的内部控制；</w:t>
      </w:r>
    </w:p>
    <w:p>
      <w:pPr>
        <w:pStyle w:val="BodyText"/>
        <w:spacing w:line="232" w:lineRule="exact" w:before="128"/>
        <w:ind w:left="138" w:right="1590" w:firstLine="359"/>
        <w:jc w:val="both"/>
      </w:pPr>
      <w:r>
        <w:rPr>
          <w:rFonts w:ascii="Times New Roman" w:hAnsi="Times New Roman" w:cs="Times New Roman" w:eastAsia="Times New Roman" w:hint="default"/>
        </w:rPr>
        <w:t>(2)</w:t>
      </w:r>
      <w:r>
        <w:rPr/>
        <w:t>复核管理层对应收账款进行减值测试的相关考虑及客观证据，关注管理层是否充分识别已发生减值的</w:t>
      </w:r>
      <w:r>
        <w:rPr>
          <w:w w:val="99"/>
        </w:rPr>
        <w:t> </w:t>
      </w:r>
      <w:r>
        <w:rPr/>
        <w:t>项目；</w:t>
      </w:r>
    </w:p>
    <w:p>
      <w:pPr>
        <w:pStyle w:val="BodyText"/>
        <w:spacing w:line="232" w:lineRule="exact" w:before="123"/>
        <w:ind w:left="138" w:right="1590" w:firstLine="359"/>
        <w:jc w:val="both"/>
      </w:pPr>
      <w:r>
        <w:rPr>
          <w:rFonts w:ascii="Times New Roman" w:hAnsi="Times New Roman" w:cs="Times New Roman" w:eastAsia="Times New Roman" w:hint="default"/>
        </w:rPr>
        <w:t>(3)</w:t>
      </w:r>
      <w:r>
        <w:rPr/>
        <w:t>对于管理层按照信用风险特征组合计提坏账准备的应收账款，分析管理层确定的坏账准备计提比例的</w:t>
      </w:r>
      <w:r>
        <w:rPr>
          <w:w w:val="99"/>
        </w:rPr>
        <w:t> </w:t>
      </w:r>
      <w:r>
        <w:rPr/>
        <w:t>合理性，并选取样本对账龄准确性进行测试；</w:t>
      </w:r>
    </w:p>
    <w:p>
      <w:pPr>
        <w:pStyle w:val="BodyText"/>
        <w:spacing w:line="340" w:lineRule="auto" w:before="96"/>
        <w:ind w:left="498" w:right="4852"/>
        <w:jc w:val="left"/>
      </w:pPr>
      <w:r>
        <w:rPr>
          <w:rFonts w:ascii="Times New Roman" w:hAnsi="Times New Roman" w:cs="Times New Roman" w:eastAsia="Times New Roman" w:hint="default"/>
        </w:rPr>
        <w:t>(4)</w:t>
      </w:r>
      <w:r>
        <w:rPr/>
        <w:t>执行应收账款函证及替代等程序，并关注账龄较长款项；</w:t>
      </w:r>
      <w:r>
        <w:rPr>
          <w:w w:val="99"/>
        </w:rPr>
        <w:t> </w:t>
      </w:r>
      <w:r>
        <w:rPr>
          <w:rFonts w:ascii="Times New Roman" w:hAnsi="Times New Roman" w:cs="Times New Roman" w:eastAsia="Times New Roman" w:hint="default"/>
        </w:rPr>
        <w:t>(5)</w:t>
      </w:r>
      <w:r>
        <w:rPr/>
        <w:t>结合期后回款情况，复核管理层对坏账准备计提的合理性。</w:t>
      </w:r>
      <w:r>
        <w:rPr>
          <w:w w:val="99"/>
        </w:rPr>
        <w:t> </w:t>
      </w:r>
      <w:r>
        <w:rPr/>
        <w:t>四、其他信息</w:t>
      </w:r>
    </w:p>
    <w:p>
      <w:pPr>
        <w:pStyle w:val="BodyText"/>
        <w:spacing w:line="232" w:lineRule="exact" w:before="66"/>
        <w:ind w:left="138" w:right="1582" w:firstLine="359"/>
        <w:jc w:val="both"/>
      </w:pPr>
      <w:r>
        <w:rPr>
          <w:spacing w:val="-1"/>
        </w:rPr>
        <w:t>高伟达公司管理层</w:t>
      </w:r>
      <w:r>
        <w:rPr>
          <w:rFonts w:ascii="Times New Roman" w:hAnsi="Times New Roman" w:cs="Times New Roman" w:eastAsia="Times New Roman" w:hint="default"/>
          <w:spacing w:val="-1"/>
        </w:rPr>
        <w:t>(</w:t>
      </w:r>
      <w:r>
        <w:rPr>
          <w:spacing w:val="-1"/>
        </w:rPr>
        <w:t>以下简称管理层</w:t>
      </w:r>
      <w:r>
        <w:rPr>
          <w:rFonts w:ascii="Times New Roman" w:hAnsi="Times New Roman" w:cs="Times New Roman" w:eastAsia="Times New Roman" w:hint="default"/>
          <w:spacing w:val="-1"/>
        </w:rPr>
        <w:t>)</w:t>
      </w:r>
      <w:r>
        <w:rPr>
          <w:spacing w:val="-1"/>
        </w:rPr>
        <w:t>对其他信息负责。其他信息包括</w:t>
      </w:r>
      <w:r>
        <w:rPr>
          <w:rFonts w:ascii="Times New Roman" w:hAnsi="Times New Roman" w:cs="Times New Roman" w:eastAsia="Times New Roman" w:hint="default"/>
          <w:spacing w:val="-1"/>
        </w:rPr>
        <w:t>2018</w:t>
      </w:r>
      <w:r>
        <w:rPr>
          <w:spacing w:val="-1"/>
        </w:rPr>
        <w:t>年度报告中涵盖的信息，但不包</w:t>
      </w:r>
      <w:r>
        <w:rPr/>
        <w:t> 括财务报表和我们的审计报告。</w:t>
      </w:r>
    </w:p>
    <w:p>
      <w:pPr>
        <w:pStyle w:val="BodyText"/>
        <w:spacing w:line="240" w:lineRule="auto" w:before="98"/>
        <w:ind w:left="498" w:right="1562"/>
        <w:jc w:val="left"/>
      </w:pPr>
      <w:r>
        <w:rPr/>
        <w:t>我们对财务报表发表的审计意见不涵盖其他信息，我们也不对其他信息发表任何形式的鉴证结论。</w:t>
      </w:r>
    </w:p>
    <w:p>
      <w:pPr>
        <w:spacing w:after="0" w:line="240" w:lineRule="auto"/>
        <w:jc w:val="left"/>
        <w:sectPr>
          <w:pgSz w:w="11930" w:h="16850"/>
          <w:pgMar w:header="786" w:footer="1267" w:top="1100" w:bottom="1460" w:left="16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32" w:lineRule="exact" w:before="69"/>
        <w:ind w:left="138" w:right="1591" w:firstLine="359"/>
        <w:jc w:val="both"/>
      </w:pPr>
      <w:r>
        <w:rPr/>
        <w:t>结合我们对财务报表的审计，我们的责任是阅读其他信息，在此过程中，考虑其他信息是否与财务报表 或我们在审计过程中了解到的情况存在重大不一致或者似乎存在重大错报。</w:t>
      </w:r>
    </w:p>
    <w:p>
      <w:pPr>
        <w:pStyle w:val="BodyText"/>
        <w:spacing w:line="232" w:lineRule="exact" w:before="123"/>
        <w:ind w:left="138" w:right="1591" w:firstLine="359"/>
        <w:jc w:val="both"/>
      </w:pPr>
      <w:r>
        <w:rPr/>
        <w:t>基于我们已执行的工作，如果我们确定其他信息存在重大错报，我们应当报告该事实。在这方面，我们 无任何事项需要报告。</w:t>
      </w:r>
    </w:p>
    <w:p>
      <w:pPr>
        <w:pStyle w:val="BodyText"/>
        <w:spacing w:line="352" w:lineRule="exact" w:before="25"/>
        <w:ind w:left="498" w:right="1562"/>
        <w:jc w:val="left"/>
      </w:pPr>
      <w:r>
        <w:rPr/>
        <w:t>五、管理层和治理层对财务报表的责任 管理层负责按照企业会计准则的规定编制财务报表，使其实现公允反映，并设计、执行和维护必要的内</w:t>
      </w:r>
    </w:p>
    <w:p>
      <w:pPr>
        <w:pStyle w:val="BodyText"/>
        <w:spacing w:line="190" w:lineRule="exact"/>
        <w:ind w:left="138" w:right="1562"/>
        <w:jc w:val="left"/>
      </w:pPr>
      <w:r>
        <w:rPr/>
        <w:t>部控制，以使财务报表不存在由于舞弊或错误导致的重大错报。</w:t>
      </w:r>
    </w:p>
    <w:p>
      <w:pPr>
        <w:pStyle w:val="BodyText"/>
        <w:spacing w:line="232" w:lineRule="exact" w:before="142"/>
        <w:ind w:left="138" w:right="1499" w:firstLine="359"/>
        <w:jc w:val="both"/>
      </w:pPr>
      <w:r>
        <w:rPr/>
        <w:t>在编制财务报表时，管理层负责评估高伟达公司的持续经营能力，披露与持续经营相关的事项</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 并运用持续经营假设，除非管理层计划清算高伟达公司、终止运营或别无其他现实的选择。</w:t>
      </w:r>
    </w:p>
    <w:p>
      <w:pPr>
        <w:pStyle w:val="BodyText"/>
        <w:spacing w:line="240" w:lineRule="auto" w:before="96"/>
        <w:ind w:left="498" w:right="1562"/>
        <w:jc w:val="left"/>
      </w:pPr>
      <w:r>
        <w:rPr/>
        <w:t>高伟达公司治理层</w:t>
      </w:r>
      <w:r>
        <w:rPr>
          <w:rFonts w:ascii="Times New Roman" w:hAnsi="Times New Roman" w:cs="Times New Roman" w:eastAsia="Times New Roman" w:hint="default"/>
        </w:rPr>
        <w:t>(</w:t>
      </w:r>
      <w:r>
        <w:rPr/>
        <w:t>以下简称治理层</w:t>
      </w:r>
      <w:r>
        <w:rPr>
          <w:rFonts w:ascii="Times New Roman" w:hAnsi="Times New Roman" w:cs="Times New Roman" w:eastAsia="Times New Roman" w:hint="default"/>
        </w:rPr>
        <w:t>)</w:t>
      </w:r>
      <w:r>
        <w:rPr/>
        <w:t>负责监督高伟达公司的财务报告过程。</w:t>
      </w:r>
    </w:p>
    <w:p>
      <w:pPr>
        <w:pStyle w:val="BodyText"/>
        <w:spacing w:line="352" w:lineRule="exact" w:before="34"/>
        <w:ind w:left="498" w:right="1562"/>
        <w:jc w:val="left"/>
      </w:pPr>
      <w:r>
        <w:rPr/>
        <w:t>六、注册会计师对财务报表审计的责任 我们的目标是对财务报表整体是否不存在由于舞弊或错误导致的重大错报获取合理保证，并出具包含审</w:t>
      </w:r>
    </w:p>
    <w:p>
      <w:pPr>
        <w:pStyle w:val="BodyText"/>
        <w:spacing w:line="186" w:lineRule="exact"/>
        <w:ind w:left="138" w:right="1562"/>
        <w:jc w:val="left"/>
      </w:pPr>
      <w:r>
        <w:rPr/>
        <w:t>计意见的审计报告。合理保证是高水平的保证，但并不能保证按照审计准则执行的审计在某一重大错报存在</w:t>
      </w:r>
    </w:p>
    <w:p>
      <w:pPr>
        <w:pStyle w:val="BodyText"/>
        <w:spacing w:line="240" w:lineRule="auto"/>
        <w:ind w:left="138" w:right="1562"/>
        <w:jc w:val="left"/>
      </w:pPr>
      <w:r>
        <w:rPr/>
        <w:t>时总能发现。错报可能由于舞弊或错误导致，如果合理预期错报单独或汇总起来可能影响财务报表使用者依</w:t>
      </w:r>
      <w:r>
        <w:rPr>
          <w:spacing w:val="-25"/>
        </w:rPr>
        <w:t> </w:t>
      </w:r>
      <w:r>
        <w:rPr>
          <w:spacing w:val="-25"/>
        </w:rPr>
      </w:r>
      <w:r>
        <w:rPr/>
        <w:t>据财务报表作出的经济决策，则通常认为错报是重大的。</w:t>
      </w:r>
    </w:p>
    <w:p>
      <w:pPr>
        <w:pStyle w:val="BodyText"/>
        <w:spacing w:line="232" w:lineRule="exact" w:before="142"/>
        <w:ind w:left="138" w:right="1591" w:firstLine="359"/>
        <w:jc w:val="both"/>
      </w:pPr>
      <w:r>
        <w:rPr/>
        <w:t>在按照审计准则执行审计工作的过程中，我们运用职业判断，并保持职业怀疑。同时，我们也执行以下 工作：</w:t>
      </w:r>
    </w:p>
    <w:p>
      <w:pPr>
        <w:pStyle w:val="BodyText"/>
        <w:spacing w:line="232" w:lineRule="auto" w:before="105"/>
        <w:ind w:left="138" w:right="1581" w:firstLine="359"/>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识别和评估由于舞弊或错误导致的财务报表重大错报风险，设计和实施审计程序以应对这些风险，</w:t>
      </w:r>
      <w:r>
        <w:rPr>
          <w:w w:val="99"/>
        </w:rPr>
        <w:t> </w:t>
      </w:r>
      <w:r>
        <w:rPr/>
        <w:t>并获取充分、适当的审计证据，作为发表审计意见的基础。由于舞弊可能涉及串通、伪造、故意遗漏、虚假</w:t>
      </w:r>
      <w:r>
        <w:rPr>
          <w:spacing w:val="-17"/>
        </w:rPr>
        <w:t> </w:t>
      </w:r>
      <w:r>
        <w:rPr>
          <w:spacing w:val="-17"/>
        </w:rPr>
      </w:r>
      <w:r>
        <w:rPr/>
        <w:t>陈述或凌驾于内部控制之上，未能发现由于舞弊导致的重大错报的风险高于未能发现由于错误导致的重大错</w:t>
      </w:r>
      <w:r>
        <w:rPr>
          <w:spacing w:val="-25"/>
        </w:rPr>
        <w:t> </w:t>
      </w:r>
      <w:r>
        <w:rPr>
          <w:spacing w:val="-25"/>
        </w:rPr>
      </w:r>
      <w:r>
        <w:rPr/>
        <w:t>报的风险。</w:t>
      </w:r>
    </w:p>
    <w:p>
      <w:pPr>
        <w:pStyle w:val="BodyText"/>
        <w:spacing w:line="240" w:lineRule="auto" w:before="120"/>
        <w:ind w:left="498" w:right="1562"/>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了解与审计相关的内部控制，以设计恰当的审计程序，但目的并非对内部控制的有效性发表意见。</w:t>
      </w:r>
    </w:p>
    <w:p>
      <w:pPr>
        <w:pStyle w:val="BodyText"/>
        <w:spacing w:line="240" w:lineRule="auto" w:before="103"/>
        <w:ind w:left="498" w:right="156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评价管理层选用会计政策的恰当性和作出会计估计及相关披露的合理性。</w:t>
      </w:r>
    </w:p>
    <w:p>
      <w:pPr>
        <w:pStyle w:val="BodyText"/>
        <w:spacing w:line="235" w:lineRule="auto" w:before="108"/>
        <w:ind w:left="138" w:right="1586" w:firstLine="359"/>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对管理层使用持续经营假设的恰当性得出结论。同时，根据获取的审计证据，就可能导致对高伟达</w:t>
      </w:r>
      <w:r>
        <w:rPr>
          <w:w w:val="99"/>
        </w:rPr>
        <w:t> </w:t>
      </w:r>
      <w:r>
        <w:rPr/>
        <w:t>公司持续经营能力产生重大疑虑的事项或情况是否存在重大不确定性得出结论。如果我们得出结论认为存在</w:t>
      </w:r>
      <w:r>
        <w:rPr>
          <w:spacing w:val="-25"/>
        </w:rPr>
        <w:t> </w:t>
      </w:r>
      <w:r>
        <w:rPr>
          <w:spacing w:val="-25"/>
        </w:rPr>
      </w:r>
      <w:r>
        <w:rPr/>
        <w:t>重大不确定性，审计准则要求我们在审计报告中提请报表使用者注意财务报表中的相关披露；如果披露不充</w:t>
      </w:r>
      <w:r>
        <w:rPr>
          <w:spacing w:val="-22"/>
        </w:rPr>
        <w:t> </w:t>
      </w:r>
      <w:r>
        <w:rPr>
          <w:spacing w:val="-22"/>
        </w:rPr>
      </w:r>
      <w:r>
        <w:rPr/>
        <w:t>分，我们应当发表非无保留意见。我们的结论基于截至审计报告日可获得的信息。然而，未来的事项或情况</w:t>
      </w:r>
      <w:r>
        <w:rPr>
          <w:spacing w:val="-25"/>
        </w:rPr>
        <w:t> </w:t>
      </w:r>
      <w:r>
        <w:rPr>
          <w:spacing w:val="-25"/>
        </w:rPr>
      </w:r>
      <w:r>
        <w:rPr/>
        <w:t>可能导致高伟达公司不能持续经营。</w:t>
      </w:r>
    </w:p>
    <w:p>
      <w:pPr>
        <w:pStyle w:val="BodyText"/>
        <w:spacing w:line="240" w:lineRule="auto" w:before="117"/>
        <w:ind w:left="498"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t>评价财务报表的总体列报、结构和内容</w:t>
      </w:r>
      <w:r>
        <w:rPr>
          <w:rFonts w:ascii="Times New Roman" w:hAnsi="Times New Roman" w:cs="Times New Roman" w:eastAsia="Times New Roman" w:hint="default"/>
        </w:rPr>
        <w:t>(</w:t>
      </w:r>
      <w:r>
        <w:rPr/>
        <w:t>包括披露</w:t>
      </w:r>
      <w:r>
        <w:rPr>
          <w:rFonts w:ascii="Times New Roman" w:hAnsi="Times New Roman" w:cs="Times New Roman" w:eastAsia="Times New Roman" w:hint="default"/>
        </w:rPr>
        <w:t>)</w:t>
      </w:r>
      <w:r>
        <w:rPr/>
        <w:t>，并评价财务报表是否公允反映相关交易和事项。</w:t>
      </w:r>
    </w:p>
    <w:p>
      <w:pPr>
        <w:pStyle w:val="BodyText"/>
        <w:spacing w:line="232" w:lineRule="exact" w:before="131"/>
        <w:ind w:left="138" w:right="1592" w:firstLine="359"/>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就高伟达公司中实体或业务活动的财务信息获取充分、适当的审计证据，以对财务报表发表审计意</w:t>
      </w:r>
      <w:r>
        <w:rPr>
          <w:w w:val="99"/>
        </w:rPr>
        <w:t> </w:t>
      </w:r>
      <w:r>
        <w:rPr/>
        <w:t>见。我们负责指导、监督和执行集团审计，并对审计意见承担全部责任。</w:t>
      </w:r>
    </w:p>
    <w:p>
      <w:pPr>
        <w:pStyle w:val="BodyText"/>
        <w:spacing w:line="232" w:lineRule="exact" w:before="121"/>
        <w:ind w:left="138" w:right="1585" w:firstLine="359"/>
        <w:jc w:val="both"/>
      </w:pPr>
      <w:r>
        <w:rPr/>
        <w:t>我们与治理层就计划的审计范围、时间安排和重大审计发现等事项进行沟通，包括沟通我们在审计中识 别出的值得关注的内部控制缺陷。</w:t>
      </w:r>
    </w:p>
    <w:p>
      <w:pPr>
        <w:pStyle w:val="BodyText"/>
        <w:spacing w:line="232" w:lineRule="exact" w:before="123"/>
        <w:ind w:left="138" w:right="1591" w:firstLine="359"/>
        <w:jc w:val="both"/>
      </w:pPr>
      <w:r>
        <w:rPr/>
        <w:t>我们还就已遵守与独立性相关的职业道德要求向治理层提供声明，并与治理层沟通可能被合理认为影响 我们独立性的所有关系和其他事项，以及相关的防范措施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w:t>
      </w:r>
    </w:p>
    <w:p>
      <w:pPr>
        <w:pStyle w:val="BodyText"/>
        <w:spacing w:line="237" w:lineRule="auto" w:before="98"/>
        <w:ind w:left="138" w:right="1586" w:firstLine="359"/>
        <w:jc w:val="both"/>
      </w:pPr>
      <w:r>
        <w:rPr>
          <w:spacing w:val="-3"/>
        </w:rPr>
        <w:t>从与治理层沟通过的事项中，我们确定哪些事项对本期财务报表审计最为重要，因而构成关键审计事项。</w:t>
      </w:r>
      <w:r>
        <w:rPr/>
        <w:t> 我们在审计报告中描述这些事项，除非法律法规禁止公开披露这些事项，或在极少数情形下，如果合理预期</w:t>
      </w:r>
      <w:r>
        <w:rPr>
          <w:spacing w:val="-25"/>
        </w:rPr>
        <w:t> </w:t>
      </w:r>
      <w:r>
        <w:rPr>
          <w:spacing w:val="-25"/>
        </w:rPr>
      </w:r>
      <w:r>
        <w:rPr/>
        <w:t>在审计报告中沟通某事项造成的负面后果超过在公众利益方面产生的益处，我们确定不应在审计报告中沟通</w:t>
      </w:r>
      <w:r>
        <w:rPr>
          <w:spacing w:val="-25"/>
        </w:rPr>
        <w:t> </w:t>
      </w:r>
      <w:r>
        <w:rPr>
          <w:spacing w:val="-25"/>
        </w:rPr>
      </w:r>
      <w:r>
        <w:rPr/>
        <w:t>该事项。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pStyle w:val="BodyText"/>
        <w:tabs>
          <w:tab w:pos="5481" w:val="left" w:leader="none"/>
        </w:tabs>
        <w:spacing w:line="240" w:lineRule="auto"/>
        <w:ind w:left="498" w:right="1562"/>
        <w:jc w:val="left"/>
      </w:pPr>
      <w:r>
        <w:rPr/>
        <w:t>中汇会计师事务所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中国注册会计师：潘高峰</w:t>
      </w:r>
    </w:p>
    <w:p>
      <w:pPr>
        <w:pStyle w:val="BodyText"/>
        <w:spacing w:line="240" w:lineRule="auto" w:before="103"/>
        <w:ind w:left="5903" w:right="1562"/>
        <w:jc w:val="left"/>
        <w:rPr>
          <w:rFonts w:ascii="Times New Roman" w:hAnsi="Times New Roman" w:cs="Times New Roman" w:eastAsia="Times New Roman" w:hint="default"/>
        </w:rPr>
      </w:pPr>
      <w:r>
        <w:rPr>
          <w:rFonts w:ascii="Times New Roman" w:hAnsi="Times New Roman" w:cs="Times New Roman" w:eastAsia="Times New Roman" w:hint="default"/>
        </w:rPr>
        <w:t>(</w:t>
      </w:r>
      <w:r>
        <w:rPr/>
        <w:t>项目合伙人</w:t>
      </w:r>
      <w:r>
        <w:rPr>
          <w:rFonts w:ascii="Times New Roman" w:hAnsi="Times New Roman" w:cs="Times New Roman" w:eastAsia="Times New Roman" w:hint="default"/>
        </w:rPr>
        <w:t>)</w:t>
      </w:r>
    </w:p>
    <w:p>
      <w:pPr>
        <w:pStyle w:val="BodyText"/>
        <w:tabs>
          <w:tab w:pos="5512" w:val="left" w:leader="none"/>
        </w:tabs>
        <w:spacing w:line="240" w:lineRule="auto" w:before="103"/>
        <w:ind w:left="498" w:right="1562"/>
        <w:jc w:val="left"/>
      </w:pPr>
      <w:r>
        <w:rPr>
          <w:spacing w:val="-1"/>
        </w:rPr>
        <w:t>中国</w:t>
      </w:r>
      <w:r>
        <w:rPr>
          <w:rFonts w:ascii="Times New Roman" w:hAnsi="Times New Roman" w:cs="Times New Roman" w:eastAsia="Times New Roman" w:hint="default"/>
          <w:spacing w:val="-1"/>
        </w:rPr>
        <w:t>·</w:t>
      </w:r>
      <w:r>
        <w:rPr>
          <w:spacing w:val="-1"/>
        </w:rPr>
        <w:t>杭州</w:t>
        <w:tab/>
      </w:r>
      <w:r>
        <w:rPr/>
        <w:t>中国注册会计师：张军伟</w:t>
      </w:r>
    </w:p>
    <w:p>
      <w:pPr>
        <w:pStyle w:val="BodyText"/>
        <w:spacing w:line="240" w:lineRule="auto" w:before="103"/>
        <w:ind w:left="5635" w:right="1562"/>
        <w:jc w:val="left"/>
      </w:pPr>
      <w:r>
        <w:rPr/>
        <w:t>报告日期：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w:t>
      </w:r>
    </w:p>
    <w:p>
      <w:pPr>
        <w:spacing w:after="0" w:line="240" w:lineRule="auto"/>
        <w:jc w:val="left"/>
        <w:sectPr>
          <w:pgSz w:w="11930" w:h="16850"/>
          <w:pgMar w:header="786" w:footer="1267" w:top="1100" w:bottom="1460" w:left="166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4"/>
        <w:ind w:right="1117"/>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7"/>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86" w:footer="1267" w:top="1100" w:bottom="1460" w:left="980" w:right="0"/>
        </w:sectPr>
      </w:pPr>
    </w:p>
    <w:p>
      <w:pPr>
        <w:pStyle w:val="BodyText"/>
        <w:spacing w:line="240" w:lineRule="auto" w:before="44"/>
        <w:ind w:right="-20"/>
        <w:jc w:val="left"/>
      </w:pPr>
      <w:r>
        <w:rPr/>
        <w:t>编制单位：高伟达软件股份有限公司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700" w:left="980" w:right="0"/>
          <w:cols w:num="3" w:equalWidth="0">
            <w:col w:w="3033" w:space="104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389,459,678.51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247,783,178.92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536,114,993.27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548,585,371.69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536,114,993.27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548,585,371.69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46,866,863.22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49,217,318.72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11,703,383.71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8,373,896.06</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125,377,896.55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103,607,954.17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128,627,941.13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73,416,935.45</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1,238,150,756.39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1,030,984,655.01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7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59,004,935.00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69,500,000.00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19,470,173.62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13,881,446.49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63,982,246.86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111,400,048.55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63,422,597.50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66,898,480.17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4,471,060.56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13,118,387.87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919,022,158.47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919,022,158.47</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6,142,068.63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3,424,790.15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14,832,307.64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9,184,721.94</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1,150,347,548.28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1,206,430,033.64</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2,388,498,304.67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2,237,414,688.65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176,926,800.00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73,752,427.00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2,864,367.91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1,679,345.52</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243,377,176.12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140,517,074.59</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43,737,789.48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59,624,130.58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37,884,316.33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32,451,557.67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16,458,927.66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9,868,273.85</w:t>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23,349,108.35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74,180,941.73</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6,621,182.64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3,378,229.18</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73"/>
        <w:gridCol w:w="3417"/>
        <w:gridCol w:w="2969"/>
      </w:tblGrid>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36,296.00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85,682.80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258,397,018.64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192,544,433.09</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33,331,619.14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21,438,313.35</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836,327,123.63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606,056,497.38</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15,666,800.00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52,808,900.00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318,542,232.01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482,522,150.95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1,763,861.25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2,355,356.25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336,572,893.26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537,686,407.20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1,172,900,016.89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1,143,742,904.58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447,056,657.00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449,866,257.00</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340,688,077.30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355,300,691.57</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13,552,976.00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32,906,255.20</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166,462.94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-918,719.41</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23,322,570.51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22,936,757.78</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7"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386,223,628.44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282,013,452.37</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1,183,904,420.19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1,076,292,184.11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31,693,867.59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17,379,599.96</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1,215,598,287.78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1,093,671,784.07</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2,388,498,304.67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2,237,414,688.65</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1223"/>
        <w:jc w:val="right"/>
      </w:pPr>
      <w:r>
        <w:rPr/>
        <w:t>法定代表人：于伟</w:t>
        <w:tab/>
      </w:r>
      <w:r>
        <w:rPr>
          <w:spacing w:val="-1"/>
        </w:rPr>
        <w:t>主管会计工作负责人：高源</w:t>
        <w:tab/>
      </w:r>
      <w:r>
        <w:rPr/>
        <w:t>会计机构负责人：贾银肖</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208,879,367.79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123,422,528.11</w:t>
            </w:r>
          </w:p>
        </w:tc>
      </w:tr>
      <w:tr>
        <w:trPr>
          <w:trHeight w:val="71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296,886,955.45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354,232,109.02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296,886,955.45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354,232,109.02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704,026.95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2,184,106.22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36,987,801.27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13,817,074.76</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72,332,046.84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80,361,792.09</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124,439,454.74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70,496,700.72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740,229,653.04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644,514,310.92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59,004,935.00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69,500,000.00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1,141,487,514.26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1,103,772,110.92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61,514,377.73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108,690,271.16</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47,278,765.91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51,192,301.73</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4,471,060.56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9,391,749.19</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5,961,366.60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3,004,496.55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13,816,085.78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8,459,674.84</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1,333,534,105.84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1,354,010,604.39</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2,073,763,758.88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1,998,524,915.31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151,926,800.00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63,752,427.00</w:t>
            </w:r>
          </w:p>
        </w:tc>
      </w:tr>
      <w:tr>
        <w:trPr>
          <w:trHeight w:val="715"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2,864,367.91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1,679,345.52</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230,771,911.32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127,922,604.41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31,176,635.32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27,681,950.62</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14,172,103.32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14,046,293.14</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5,389,376.79</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2,059,052.74</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78,844,913.91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75,994,080.28</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6,621,182.64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3,378,229.18</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36,296.00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85,682.80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258,397,018.64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192,544,433.09</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14,662,734.24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12,003,391.21</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788,205,861.45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517,683,578.01</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15,666,800.00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52,808,900.00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318,542,232.01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482,522,150.95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7"/>
      </w:tblGrid>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334,209,032.01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535,331,050.95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1,122,414,893.46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1,053,014,628.96</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447,056,657.00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449,866,257.00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340,299,036.93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354,911,651.20</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13,552,976.00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32,906,255.20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22,378,060.88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21,992,248.15</w:t>
            </w:r>
          </w:p>
        </w:tc>
      </w:tr>
      <w:tr>
        <w:trPr>
          <w:trHeight w:val="401"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155,168,086.61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151,646,385.20</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951,348,865.42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945,510,286.35</w:t>
            </w:r>
          </w:p>
        </w:tc>
      </w:tr>
      <w:tr>
        <w:trPr>
          <w:trHeight w:val="403"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2,073,763,758.88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1,998,524,915.31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1,591,919,566.49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1,319,908,536.31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1,591,919,566.49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1,319,908,536.31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0"/>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1,531,910,451.44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1,291,371,380.06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1,227,668,959.09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1,014,883,680.08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0"/>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8,523,407.96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4,518,660.02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95,645,541.31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106,377,667.88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103,807,473.53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89,405,576.61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40,577,377.11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41,617,264.60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32,209,531.54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25,194,255.87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22,967,594.91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12,802,162.09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2,253,696.63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1,900,413.54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23,478,160.90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9,374,275.00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1,545,205.35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275,116.73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-36,272.87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-743,553.51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-36,272.87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-743,553.51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-1,862,537.11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-1,679,345.52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54,098,974.18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124,221.70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113,754,484.60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26,513,595.65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1,354,563.75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2,697,380.97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579,386.14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371,501.76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114,529,662.21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28,839,474.86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4,006,792.58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-5,244,154.95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110,522,869.63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34,083,629.81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110,522,869.63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34,083,629.81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104,546,602.00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35,020,479.85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5,976,267.63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-936,850.04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1,085,182.35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-1,157,660.74</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1,085,182.35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-1,157,660.74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1,085,182.35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-1,157,660.74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1,085,182.35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-1,157,660.74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111,608,051.98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32,925,969.07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105,631,784.35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33,862,819.11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5,976,267.63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-936,850.04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0.08</w:t>
            </w:r>
          </w:p>
        </w:tc>
      </w:tr>
    </w:tbl>
    <w:p>
      <w:pPr>
        <w:pStyle w:val="BodyText"/>
        <w:tabs>
          <w:tab w:pos="3578" w:val="left" w:leader="none"/>
          <w:tab w:pos="7721" w:val="left" w:leader="none"/>
        </w:tabs>
        <w:spacing w:line="595" w:lineRule="auto" w:before="49"/>
        <w:ind w:right="122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法定代表人：于伟</w:t>
        <w:tab/>
      </w:r>
      <w:r>
        <w:rPr>
          <w:spacing w:val="-1"/>
        </w:rPr>
        <w:t>主管会计工作负责人：高源</w:t>
        <w:tab/>
      </w:r>
      <w:r>
        <w:rPr/>
        <w:t>会计机构负责人：贾银肖</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2148" w:right="0"/>
              <w:jc w:val="left"/>
              <w:rPr>
                <w:rFonts w:ascii="Times New Roman" w:hAnsi="Times New Roman" w:cs="Times New Roman" w:eastAsia="Times New Roman" w:hint="default"/>
                <w:sz w:val="18"/>
                <w:szCs w:val="18"/>
              </w:rPr>
            </w:pPr>
            <w:r>
              <w:rPr>
                <w:rFonts w:ascii="Times New Roman"/>
                <w:sz w:val="18"/>
              </w:rPr>
              <w:t>743,972,929.93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753,476,566.45</w:t>
            </w:r>
          </w:p>
        </w:tc>
      </w:tr>
    </w:tbl>
    <w:p>
      <w:pPr>
        <w:spacing w:after="0" w:line="240" w:lineRule="auto"/>
        <w:jc w:val="left"/>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644,301,715.87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610,423,625.48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4,660,169.04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2,819,660.97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51,151,709.72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69,919,670.58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61,591,922.29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60,286,438.81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11,155,828.35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15,005,823.66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27,760,099.43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21,795,316.65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17,890,034.44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9,382,612.93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2,188,709.65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1,785,553.85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20,298,821.75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7,927,998.03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1,407,793.55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210,003.52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24,963,727.13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-743,553.51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-36,272.87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-743,553.51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-1,862,537.11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-1,679,345.52</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54,101,558.84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125,236.19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1,663,205.89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-36,789,627.05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3,473.30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533,864.96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80,038.80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1,129,340.93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-36,866,192.55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-2,728,786.41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-5,029,483.54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3,858,127.34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-31,836,709.01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3,858,127.34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-31,836,709.01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3,858,127.34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74" w:right="0"/>
              <w:jc w:val="left"/>
              <w:rPr>
                <w:rFonts w:ascii="Times New Roman" w:hAnsi="Times New Roman" w:cs="Times New Roman" w:eastAsia="Times New Roman" w:hint="default"/>
                <w:sz w:val="18"/>
                <w:szCs w:val="18"/>
              </w:rPr>
            </w:pPr>
            <w:r>
              <w:rPr>
                <w:rFonts w:ascii="Times New Roman"/>
                <w:sz w:val="18"/>
              </w:rPr>
              <w:t>-31,836,709.01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1,745,177,809.25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1,359,037,982.98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645,205.35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385,116.73</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48,838,821.44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27,493,720.83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1,794,661,836.04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1,386,916,820.54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858,456,923.13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815,245,504.71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545,641,766.85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520,273,602.80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58,490,784.04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27,037,904.52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94,052,915.20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104,807,757.71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1,556,642,389.22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1,467,364,769.74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238,019,446.82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-80,447,949.20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97,553,582.24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609,261.16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99,428,582.24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71,484,261.16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9,505,319.29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25,970,717.89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16,565,811.85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121,731,514.72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161,699,602.72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138,736,834.01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204,236,132.46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-39,308,251.77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-132,751,871.30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18,650,000.00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18,316,450.00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391,633,050.00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186,995,299.00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405,371,050.00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353,645,299.00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312,764,743.67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129,217,872.00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21,862,731.88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11,482,393.47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69,802,666.00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25,833,664.09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404,430,141.55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166,533,929.56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940,908.45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187,111,369.44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1,042,992.95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-437,306.18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200,695,096.45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-26,525,757.24</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281,884,541.26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308,410,298.50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482,579,637.71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281,884,541.26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874,735,532.65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739,428,887.58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507,793.55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210,003.52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186,199,058.02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65,800,462.48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1,061,442,384.22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805,439,353.58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466,142,678.83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449,376,706.96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208,055,736.02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274,500,626.79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25,519,835.48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14,289,107.85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186,967,622.63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124,097,402.48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886,685,872.96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862,263,844.08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174,756,511.26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-56,824,490.50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1,875,000.00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98,030,034.12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1,418,452.38</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114,275,034.12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72,293,452.38</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7,220,801.20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21,147,727.93</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160,191,514.72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211,285,043.08</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167,412,315.92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242,432,771.01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-53,137,281.80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-170,139,318.63</w:t>
            </w:r>
          </w:p>
        </w:tc>
      </w:tr>
      <w:tr>
        <w:trPr>
          <w:trHeight w:val="40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252,005,000.00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141,995,299.00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136,484,600.00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252,005,000.00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278,479,899.00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188,136,693.67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77,217,872.00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14,944,780.98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9,564,965.00</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29,402,666.00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23,316,852.99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232,484,140.65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110,099,689.99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19,520,859.35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168,380,209.01</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-6,479.77</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141,140,088.81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-58,590,079.89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183,738,322.65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242,328,402.54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324,878,411.46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183,738,322.65</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8"/>
        <w:rPr>
          <w:rFonts w:ascii="Times New Roman" w:hAnsi="Times New Roman" w:cs="Times New Roman" w:eastAsia="Times New Roman"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7"/>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9"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7"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449,86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6,257.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355,300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,691.57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32,906,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255.20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-918,71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9.41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757.78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282,013</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,452.37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17,379,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599.96</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71,784.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449,86</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6,257.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355,300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,691.57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32,906,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255.20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-918,71</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9.41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22,936,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757.78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282,013</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,452.37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17,379,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599.96</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1,093,6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71,784.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-14,612,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614.27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-19,353,</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279.20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1,085,1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82.35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385,812</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104,210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,176.07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14,314,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267.63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121,926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,503.71</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1,085,1</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82.35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104,546</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,602.00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5,976,2</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67.63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111,608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,051.98</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-14,612,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614.27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-19,353,</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279.20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8,338,0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10,269,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064.93</w:t>
            </w:r>
          </w:p>
        </w:tc>
      </w:tr>
      <w:tr>
        <w:trPr>
          <w:trHeight w:val="70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-2,809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-16,593,</w:t>
            </w:r>
          </w:p>
          <w:p>
            <w:pPr>
              <w:pStyle w:val="TableParagraph"/>
              <w:spacing w:line="240" w:lineRule="auto" w:before="102"/>
              <w:ind w:left="113" w:right="0"/>
              <w:jc w:val="center"/>
              <w:rPr>
                <w:rFonts w:ascii="Times New Roman" w:hAnsi="Times New Roman" w:cs="Times New Roman" w:eastAsia="Times New Roman" w:hint="default"/>
                <w:sz w:val="18"/>
                <w:szCs w:val="18"/>
              </w:rPr>
            </w:pPr>
            <w:r>
              <w:rPr>
                <w:rFonts w:ascii="Times New Roman"/>
                <w:sz w:val="18"/>
              </w:rPr>
              <w:t>066.00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8,338,0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-11,064,</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666.00</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97"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1,980,4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51.73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-19,353,</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279.20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21,333,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730.93</w:t>
            </w: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267" w:top="1100" w:bottom="146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385,812</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-336,42</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385,812</w:t>
            </w:r>
          </w:p>
          <w:p>
            <w:pPr>
              <w:pStyle w:val="TableParagraph"/>
              <w:spacing w:line="240" w:lineRule="auto" w:before="102"/>
              <w:ind w:left="405" w:right="0"/>
              <w:jc w:val="left"/>
              <w:rPr>
                <w:rFonts w:ascii="Times New Roman" w:hAnsi="Times New Roman" w:cs="Times New Roman" w:eastAsia="Times New Roman" w:hint="default"/>
                <w:sz w:val="18"/>
                <w:szCs w:val="18"/>
              </w:rPr>
            </w:pPr>
            <w:r>
              <w:rPr>
                <w:rFonts w:ascii="Times New Roman"/>
                <w:sz w:val="18"/>
              </w:rPr>
              <w:t>.73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-385,81</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2.73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49,386.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49,386.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447,05</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6,657.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340,688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,077.30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13,552,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976.00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166,462</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23,322,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570.51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386,223</w:t>
            </w:r>
          </w:p>
          <w:p>
            <w:pPr>
              <w:pStyle w:val="TableParagraph"/>
              <w:spacing w:line="240" w:lineRule="auto" w:before="102"/>
              <w:ind w:left="94" w:right="0"/>
              <w:jc w:val="left"/>
              <w:rPr>
                <w:rFonts w:ascii="Times New Roman" w:hAnsi="Times New Roman" w:cs="Times New Roman" w:eastAsia="Times New Roman" w:hint="default"/>
                <w:sz w:val="18"/>
                <w:szCs w:val="18"/>
              </w:rPr>
            </w:pPr>
            <w:r>
              <w:rPr>
                <w:rFonts w:ascii="Times New Roman"/>
                <w:sz w:val="18"/>
              </w:rPr>
              <w:t>,628.44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31,693,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867.59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1,215,5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98,287.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r>
    </w:tbl>
    <w:p>
      <w:pPr>
        <w:pStyle w:val="BodyText"/>
        <w:spacing w:line="240" w:lineRule="auto" w:before="49"/>
        <w:ind w:right="1117"/>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9"/>
        <w:gridCol w:w="562"/>
        <w:gridCol w:w="518"/>
        <w:gridCol w:w="531"/>
        <w:gridCol w:w="533"/>
        <w:gridCol w:w="662"/>
        <w:gridCol w:w="665"/>
        <w:gridCol w:w="668"/>
        <w:gridCol w:w="665"/>
        <w:gridCol w:w="662"/>
        <w:gridCol w:w="665"/>
        <w:gridCol w:w="680"/>
        <w:gridCol w:w="653"/>
        <w:gridCol w:w="647"/>
      </w:tblGrid>
      <w:tr>
        <w:trPr>
          <w:trHeight w:val="403" w:hRule="exact"/>
        </w:trPr>
        <w:tc>
          <w:tcPr>
            <w:tcW w:w="1449" w:type="dxa"/>
            <w:vMerge w:val="restart"/>
            <w:tcBorders>
              <w:top w:val="single" w:sz="4" w:space="0" w:color="000000"/>
              <w:left w:val="single" w:sz="4" w:space="0" w:color="000000"/>
              <w:right w:val="single" w:sz="4" w:space="0" w:color="000000"/>
            </w:tcBorders>
            <w:shd w:val="clear" w:color="auto" w:fill="D2D2D2"/>
          </w:tcPr>
          <w:p>
            <w:pPr/>
          </w:p>
        </w:tc>
        <w:tc>
          <w:tcPr>
            <w:tcW w:w="811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49"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4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4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39"/>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7" w:type="dxa"/>
            <w:vMerge/>
            <w:tcBorders>
              <w:left w:val="single" w:sz="4" w:space="0" w:color="000000"/>
              <w:right w:val="single" w:sz="4" w:space="0" w:color="000000"/>
            </w:tcBorders>
            <w:shd w:val="clear" w:color="auto" w:fill="D2D2D2"/>
          </w:tcPr>
          <w:p>
            <w:pPr/>
          </w:p>
        </w:tc>
      </w:tr>
      <w:tr>
        <w:trPr>
          <w:trHeight w:val="174"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82"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4" w:right="6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84" w:hRule="exact"/>
        </w:trPr>
        <w:tc>
          <w:tcPr>
            <w:tcW w:w="1449"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1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58"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68" w:hRule="exact"/>
        </w:trPr>
        <w:tc>
          <w:tcPr>
            <w:tcW w:w="1449"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56" w:hRule="exact"/>
        </w:trPr>
        <w:tc>
          <w:tcPr>
            <w:tcW w:w="1449"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18"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47"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49"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18"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4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4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112"/>
              <w:ind w:left="18" w:right="0"/>
              <w:jc w:val="left"/>
              <w:rPr>
                <w:rFonts w:ascii="Times New Roman" w:hAnsi="Times New Roman" w:cs="Times New Roman" w:eastAsia="Times New Roman" w:hint="default"/>
                <w:sz w:val="18"/>
                <w:szCs w:val="18"/>
              </w:rPr>
            </w:pPr>
            <w:r>
              <w:rPr>
                <w:rFonts w:ascii="Times New Roman"/>
                <w:sz w:val="18"/>
              </w:rPr>
              <w:t>452,97</w:t>
            </w:r>
          </w:p>
          <w:p>
            <w:pPr>
              <w:pStyle w:val="TableParagraph"/>
              <w:spacing w:line="240" w:lineRule="auto" w:before="103"/>
              <w:ind w:left="61" w:right="0"/>
              <w:jc w:val="left"/>
              <w:rPr>
                <w:rFonts w:ascii="Times New Roman" w:hAnsi="Times New Roman" w:cs="Times New Roman" w:eastAsia="Times New Roman" w:hint="default"/>
                <w:sz w:val="18"/>
                <w:szCs w:val="18"/>
              </w:rPr>
            </w:pPr>
            <w:r>
              <w:rPr>
                <w:rFonts w:ascii="Times New Roman"/>
                <w:sz w:val="18"/>
              </w:rPr>
              <w:t>6,657.</w:t>
            </w:r>
          </w:p>
        </w:tc>
        <w:tc>
          <w:tcPr>
            <w:tcW w:w="518"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375,387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,243.57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58,195,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840.00</w:t>
            </w: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238,941</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.33</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22,936,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757.78</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250,565</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,636.57</w:t>
            </w:r>
          </w:p>
        </w:tc>
        <w:tc>
          <w:tcPr>
            <w:tcW w:w="653" w:type="dxa"/>
            <w:vMerge w:val="restart"/>
            <w:tcBorders>
              <w:top w:val="single" w:sz="4" w:space="0" w:color="000000"/>
              <w:left w:val="single" w:sz="4" w:space="0" w:color="000000"/>
              <w:right w:val="single" w:sz="4" w:space="0" w:color="000000"/>
            </w:tcBorders>
          </w:tcPr>
          <w:p>
            <w:pPr/>
          </w:p>
        </w:tc>
        <w:tc>
          <w:tcPr>
            <w:tcW w:w="647" w:type="dxa"/>
            <w:vMerge w:val="restart"/>
            <w:tcBorders>
              <w:top w:val="single" w:sz="4" w:space="0" w:color="000000"/>
              <w:left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1,043,9</w:t>
            </w:r>
          </w:p>
          <w:p>
            <w:pPr>
              <w:pStyle w:val="TableParagraph"/>
              <w:spacing w:line="240" w:lineRule="auto" w:before="103"/>
              <w:ind w:left="86" w:right="0"/>
              <w:jc w:val="left"/>
              <w:rPr>
                <w:rFonts w:ascii="Times New Roman" w:hAnsi="Times New Roman" w:cs="Times New Roman" w:eastAsia="Times New Roman" w:hint="default"/>
                <w:sz w:val="18"/>
                <w:szCs w:val="18"/>
              </w:rPr>
            </w:pPr>
            <w:r>
              <w:rPr>
                <w:rFonts w:ascii="Times New Roman"/>
                <w:sz w:val="18"/>
              </w:rPr>
              <w:t>09,396.</w:t>
            </w:r>
          </w:p>
        </w:tc>
      </w:tr>
      <w:tr>
        <w:trPr>
          <w:trHeight w:val="394" w:hRule="exact"/>
        </w:trPr>
        <w:tc>
          <w:tcPr>
            <w:tcW w:w="14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18"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r>
      <w:tr>
        <w:trPr>
          <w:trHeight w:val="161" w:hRule="exact"/>
        </w:trPr>
        <w:tc>
          <w:tcPr>
            <w:tcW w:w="144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18"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r>
    </w:tbl>
    <w:p>
      <w:pPr>
        <w:spacing w:after="0"/>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25</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452,97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6,657.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375,387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,243.57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58,195,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840.00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238,941</w:t>
            </w:r>
          </w:p>
          <w:p>
            <w:pPr>
              <w:pStyle w:val="TableParagraph"/>
              <w:spacing w:line="240" w:lineRule="auto" w:before="105"/>
              <w:ind w:left="410" w:right="0"/>
              <w:jc w:val="left"/>
              <w:rPr>
                <w:rFonts w:ascii="Times New Roman" w:hAnsi="Times New Roman" w:cs="Times New Roman" w:eastAsia="Times New Roman" w:hint="default"/>
                <w:sz w:val="18"/>
                <w:szCs w:val="18"/>
              </w:rPr>
            </w:pPr>
            <w:r>
              <w:rPr>
                <w:rFonts w:ascii="Times New Roman"/>
                <w:sz w:val="18"/>
              </w:rPr>
              <w:t>.33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757.78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250,565</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,636.57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4" w:right="0"/>
              <w:jc w:val="left"/>
              <w:rPr>
                <w:rFonts w:ascii="Times New Roman" w:hAnsi="Times New Roman" w:cs="Times New Roman" w:eastAsia="Times New Roman" w:hint="default"/>
                <w:sz w:val="18"/>
                <w:szCs w:val="18"/>
              </w:rPr>
            </w:pPr>
            <w:r>
              <w:rPr>
                <w:rFonts w:ascii="Times New Roman"/>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09,396.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-3,110,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-20,086,</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552.00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-25,289,</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584.80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-1,157,6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60.74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31,447,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815.80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17,379,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599.96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49,762,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387.82</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-1,157,6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60.74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35,020,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479.85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-936,85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0.04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32,925,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969.07</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-3,110,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-20,086,</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552.00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-25,289,</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584.80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18,316,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450.00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20,439,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470.40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-3,110,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400.00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-18,313,</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552.00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18,316,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450.00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-3,107,5</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02.00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-1,773,0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-25,289,</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584.80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23,546,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972.40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-3,603,0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51.65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-3,603,0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51.65</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-3,603,0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51.65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-3,603,0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51.65</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449,86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6,257.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355,300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,691.57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32,906,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255.20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-918,71</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9.41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22,936,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757.78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282,013</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,452.37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17,379,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599.96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71,784.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17"/>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449,866,</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257.00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354,911,6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51.20</w:t>
            </w:r>
          </w:p>
        </w:tc>
        <w:tc>
          <w:tcPr>
            <w:tcW w:w="797"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32,906,25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5.20</w:t>
            </w: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21,992,24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8.15</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151,646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,385.20</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945,510,2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86.35</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449,866,</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257.00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354,911,6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51.20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32,906,25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5.20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21,992,24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8.15</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151,646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,385.20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945,510,2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86.35</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-2,809,6</w:t>
            </w:r>
          </w:p>
          <w:p>
            <w:pPr>
              <w:pStyle w:val="TableParagraph"/>
              <w:spacing w:line="240" w:lineRule="auto" w:before="102"/>
              <w:ind w:left="231"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-14,612,6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14.27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-19,353,2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79.20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385,812.7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3,521,7</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01.41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5,838,579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.07</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3,858,1</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27.34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3,858,127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（二）所有者投入</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left="55" w:right="0"/>
              <w:jc w:val="left"/>
              <w:rPr>
                <w:rFonts w:ascii="Times New Roman" w:hAnsi="Times New Roman" w:cs="Times New Roman" w:eastAsia="Times New Roman" w:hint="default"/>
                <w:sz w:val="18"/>
                <w:szCs w:val="18"/>
              </w:rPr>
            </w:pPr>
            <w:r>
              <w:rPr>
                <w:rFonts w:ascii="Times New Roman"/>
                <w:sz w:val="18"/>
              </w:rPr>
              <w:t>-2,809,6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-14,612,6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-19,353,2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1,931,064</w:t>
            </w:r>
          </w:p>
        </w:tc>
      </w:tr>
    </w:tbl>
    <w:p>
      <w:pPr>
        <w:spacing w:after="0" w:line="240" w:lineRule="auto"/>
        <w:jc w:val="left"/>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14.27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79.20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.93</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-2,809,6</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-16,593,0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-19,402,6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66.00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1,980,451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-19,353,2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21,333,73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0.93</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385,812.7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-336,42</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5.93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49,386.80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385,812.7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-385,81</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2.73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49,386.80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447,056,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340,299,0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36.93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13,552,97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22,378,06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155,168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,086.61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951,348,8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65.42</w:t>
            </w:r>
          </w:p>
        </w:tc>
      </w:tr>
    </w:tbl>
    <w:p>
      <w:pPr>
        <w:pStyle w:val="BodyText"/>
        <w:spacing w:line="240" w:lineRule="auto" w:before="49"/>
        <w:ind w:right="1117"/>
        <w:jc w:val="left"/>
      </w:pPr>
      <w:r>
        <w:rPr/>
        <w:t>上期金额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8122"/>
      </w:tblGrid>
      <w:tr>
        <w:trPr>
          <w:trHeight w:val="40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207"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6" w:hRule="exact"/>
        </w:trPr>
        <w:tc>
          <w:tcPr>
            <w:tcW w:w="1418" w:type="dxa"/>
            <w:vMerge/>
            <w:tcBorders>
              <w:left w:val="single" w:sz="4" w:space="0" w:color="000000"/>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6" w:hRule="exact"/>
        </w:trPr>
        <w:tc>
          <w:tcPr>
            <w:tcW w:w="1418" w:type="dxa"/>
            <w:vMerge/>
            <w:tcBorders>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452,976,</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657.00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375,331,7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53.20</w:t>
            </w:r>
          </w:p>
        </w:tc>
        <w:tc>
          <w:tcPr>
            <w:tcW w:w="797"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58,195,84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21,992,24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8.15</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187,055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,758.26</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979,160,5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76.61</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452,976,</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657.00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375,331,7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53.20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58,195,84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21,992,24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8.15</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187,055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,758.26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979,160,5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76.61</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-3,110,4</w:t>
            </w:r>
          </w:p>
          <w:p>
            <w:pPr>
              <w:pStyle w:val="TableParagraph"/>
              <w:spacing w:line="240" w:lineRule="auto" w:before="102"/>
              <w:ind w:left="242"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-20,420,1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-25,289,5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84.80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-35,409,</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373.06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-33,650,2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90.26</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-31,836,</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709.01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-31,836,7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09.01</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54" w:right="0"/>
              <w:jc w:val="center"/>
              <w:rPr>
                <w:rFonts w:ascii="Times New Roman" w:hAnsi="Times New Roman" w:cs="Times New Roman" w:eastAsia="Times New Roman" w:hint="default"/>
                <w:sz w:val="18"/>
                <w:szCs w:val="18"/>
              </w:rPr>
            </w:pPr>
            <w:r>
              <w:rPr>
                <w:rFonts w:ascii="Times New Roman"/>
                <w:sz w:val="18"/>
              </w:rPr>
              <w:t>-3,110,4</w:t>
            </w:r>
          </w:p>
          <w:p>
            <w:pPr>
              <w:pStyle w:val="TableParagraph"/>
              <w:spacing w:line="240" w:lineRule="auto" w:before="102"/>
              <w:ind w:left="242"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-20,420,1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-25,289,5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84.80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30,387.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1,789,470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.40</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-3,110,4</w:t>
            </w:r>
          </w:p>
          <w:p>
            <w:pPr>
              <w:pStyle w:val="TableParagraph"/>
              <w:spacing w:line="240" w:lineRule="auto" w:before="105"/>
              <w:ind w:left="242"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-18,647,1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02.00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-21,757,5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02.00</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-1,773,00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-25,289,5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84.80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23,546,97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2.40</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-3,603,0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51.65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-3,603,05</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1.65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-3,603,0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51.65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-3,603,05</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267" w:top="1100" w:bottom="146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449,866,</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257.00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354,911,6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51.20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32,906,25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21,992,24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8.15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151,646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,385.20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945,510,2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86.35</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17"/>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575" w:right="1117"/>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公司概况</w:t>
      </w:r>
      <w:r>
        <w:rPr>
          <w:b w:val="0"/>
          <w:bCs w:val="0"/>
        </w:rPr>
      </w:r>
    </w:p>
    <w:p>
      <w:pPr>
        <w:pStyle w:val="BodyText"/>
        <w:spacing w:line="300" w:lineRule="auto" w:before="42"/>
        <w:ind w:right="1127" w:firstLine="420"/>
        <w:jc w:val="both"/>
      </w:pPr>
      <w:r>
        <w:rPr/>
        <w:t>高伟达软件股份有限公司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系在北京高伟达系统集成有限公司的基础上整体变更设立，于</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日在北京市工商行政管</w:t>
      </w:r>
      <w:r>
        <w:rPr>
          <w:rFonts w:ascii="Times New Roman" w:hAnsi="Times New Roman" w:cs="Times New Roman" w:eastAsia="Times New Roman" w:hint="default"/>
        </w:rPr>
        <w:t>7406</w:t>
      </w:r>
      <w:r>
        <w:rPr/>
        <w:t>局登记注册，统一社会信用代码：</w:t>
      </w:r>
      <w:r>
        <w:rPr>
          <w:rFonts w:ascii="Times New Roman" w:hAnsi="Times New Roman" w:cs="Times New Roman" w:eastAsia="Times New Roman" w:hint="default"/>
        </w:rPr>
        <w:t>91110000633713369X</w:t>
      </w:r>
      <w:r>
        <w:rPr/>
        <w:t>。公司注册地：北京市海淀区</w:t>
      </w:r>
      <w:r>
        <w:rPr>
          <w:spacing w:val="-50"/>
        </w:rPr>
        <w:t> </w:t>
      </w:r>
      <w:r>
        <w:rPr>
          <w:spacing w:val="-50"/>
        </w:rPr>
      </w:r>
      <w:r>
        <w:rPr/>
        <w:t>大慧寺</w:t>
      </w:r>
      <w:r>
        <w:rPr>
          <w:rFonts w:ascii="Times New Roman" w:hAnsi="Times New Roman" w:cs="Times New Roman" w:eastAsia="Times New Roman" w:hint="default"/>
        </w:rPr>
        <w:t>8</w:t>
      </w:r>
      <w:r>
        <w:rPr/>
        <w:t>号北区</w:t>
      </w:r>
      <w:r>
        <w:rPr>
          <w:rFonts w:ascii="Times New Roman" w:hAnsi="Times New Roman" w:cs="Times New Roman" w:eastAsia="Times New Roman" w:hint="default"/>
        </w:rPr>
        <w:t>20</w:t>
      </w:r>
      <w:r>
        <w:rPr/>
        <w:t>栋</w:t>
      </w:r>
      <w:r>
        <w:rPr>
          <w:rFonts w:ascii="Times New Roman" w:hAnsi="Times New Roman" w:cs="Times New Roman" w:eastAsia="Times New Roman" w:hint="default"/>
        </w:rPr>
        <w:t>604</w:t>
      </w:r>
      <w:r>
        <w:rPr/>
        <w:t>房间。法定代表人：于伟。公司现有注册资本为人民币</w:t>
      </w:r>
      <w:r>
        <w:rPr>
          <w:rFonts w:ascii="Times New Roman" w:hAnsi="Times New Roman" w:cs="Times New Roman" w:eastAsia="Times New Roman" w:hint="default"/>
        </w:rPr>
        <w:t>447,056,657.00</w:t>
      </w:r>
      <w:r>
        <w:rPr/>
        <w:t>元，总股本为</w:t>
      </w:r>
      <w:r>
        <w:rPr>
          <w:rFonts w:ascii="Times New Roman" w:hAnsi="Times New Roman" w:cs="Times New Roman" w:eastAsia="Times New Roman" w:hint="default"/>
        </w:rPr>
        <w:t>447,056,657</w:t>
      </w:r>
      <w:r>
        <w:rPr/>
        <w:t>股，</w:t>
      </w:r>
      <w:r>
        <w:rPr>
          <w:spacing w:val="-51"/>
        </w:rPr>
        <w:t> </w:t>
      </w:r>
      <w:r>
        <w:rPr>
          <w:spacing w:val="-1"/>
        </w:rPr>
        <w:t>每股面值人民币</w:t>
      </w:r>
      <w:r>
        <w:rPr>
          <w:rFonts w:ascii="Times New Roman" w:hAnsi="Times New Roman" w:cs="Times New Roman" w:eastAsia="Times New Roman" w:hint="default"/>
          <w:spacing w:val="-1"/>
        </w:rPr>
        <w:t>1.00</w:t>
      </w:r>
      <w:r>
        <w:rPr>
          <w:spacing w:val="-1"/>
        </w:rPr>
        <w:t>元。其中：有限售条件的流通股份</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20,368,657</w:t>
      </w:r>
      <w:r>
        <w:rPr>
          <w:spacing w:val="-1"/>
        </w:rPr>
        <w:t>股；无限售条件的流通股份</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426,688,000</w:t>
      </w:r>
      <w:r>
        <w:rPr>
          <w:spacing w:val="-1"/>
        </w:rPr>
        <w:t>股。公司股</w:t>
      </w:r>
      <w:r>
        <w:rPr>
          <w:spacing w:val="-62"/>
        </w:rPr>
        <w:t> </w:t>
      </w:r>
      <w:r>
        <w:rPr>
          <w:spacing w:val="-62"/>
        </w:rPr>
      </w:r>
      <w:r>
        <w:rPr/>
        <w:t>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日在深圳证券交易所挂牌交易。</w:t>
      </w:r>
    </w:p>
    <w:p>
      <w:pPr>
        <w:pStyle w:val="BodyText"/>
        <w:spacing w:line="300" w:lineRule="auto" w:before="13"/>
        <w:ind w:right="1128" w:firstLine="420"/>
        <w:jc w:val="both"/>
      </w:pPr>
      <w:r>
        <w:rPr>
          <w:spacing w:val="-1"/>
        </w:rPr>
        <w:t>股份公司成立时注册资本为人民币</w:t>
      </w:r>
      <w:r>
        <w:rPr>
          <w:rFonts w:ascii="Times New Roman" w:hAnsi="Times New Roman" w:cs="Times New Roman" w:eastAsia="Times New Roman" w:hint="default"/>
          <w:spacing w:val="-1"/>
        </w:rPr>
        <w:t>10,000.00</w:t>
      </w:r>
      <w:r>
        <w:rPr>
          <w:spacing w:val="-1"/>
        </w:rPr>
        <w:t>万元，折股份总数</w:t>
      </w:r>
      <w:r>
        <w:rPr>
          <w:rFonts w:ascii="Times New Roman" w:hAnsi="Times New Roman" w:cs="Times New Roman" w:eastAsia="Times New Roman" w:hint="default"/>
          <w:spacing w:val="-1"/>
        </w:rPr>
        <w:t>10,000</w:t>
      </w:r>
      <w:r>
        <w:rPr>
          <w:spacing w:val="-1"/>
        </w:rPr>
        <w:t>万股，每股面值</w:t>
      </w:r>
      <w:r>
        <w:rPr>
          <w:rFonts w:ascii="Times New Roman" w:hAnsi="Times New Roman" w:cs="Times New Roman" w:eastAsia="Times New Roman" w:hint="default"/>
          <w:spacing w:val="-1"/>
        </w:rPr>
        <w:t>1.00</w:t>
      </w:r>
      <w:r>
        <w:rPr>
          <w:spacing w:val="-1"/>
        </w:rPr>
        <w:t>元。</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8</w:t>
      </w:r>
      <w:r>
        <w:rPr>
          <w:spacing w:val="-1"/>
        </w:rPr>
        <w:t>日，经中国证</w:t>
      </w:r>
      <w:r>
        <w:rPr/>
        <w:t> 券监督管理委员会《关于核准高伟达软件股份有限公司首次公开发行股票的批复》（证监许可</w:t>
      </w:r>
      <w:r>
        <w:rPr>
          <w:rFonts w:ascii="Times New Roman" w:hAnsi="Times New Roman" w:cs="Times New Roman" w:eastAsia="Times New Roman" w:hint="default"/>
        </w:rPr>
        <w:t>[2015]833</w:t>
      </w:r>
      <w:r>
        <w:rPr/>
        <w:t>号）核准，本公司</w:t>
      </w:r>
      <w:r>
        <w:rPr>
          <w:spacing w:val="-29"/>
        </w:rPr>
        <w:t> </w:t>
      </w:r>
      <w:r>
        <w:rPr>
          <w:spacing w:val="-29"/>
        </w:rPr>
      </w:r>
      <w:r>
        <w:rPr/>
        <w:t>公开发行人民币普通股股票</w:t>
      </w:r>
      <w:r>
        <w:rPr>
          <w:rFonts w:ascii="Times New Roman" w:hAnsi="Times New Roman" w:cs="Times New Roman" w:eastAsia="Times New Roman" w:hint="default"/>
        </w:rPr>
        <w:t>33,340,000</w:t>
      </w:r>
      <w:r>
        <w:rPr/>
        <w:t>股，公开发行后股份总额为</w:t>
      </w:r>
      <w:r>
        <w:rPr>
          <w:rFonts w:ascii="Times New Roman" w:hAnsi="Times New Roman" w:cs="Times New Roman" w:eastAsia="Times New Roman" w:hint="default"/>
        </w:rPr>
        <w:t>133,340,000</w:t>
      </w:r>
      <w:r>
        <w:rPr/>
        <w:t>股。</w:t>
      </w:r>
    </w:p>
    <w:p>
      <w:pPr>
        <w:pStyle w:val="BodyText"/>
        <w:spacing w:line="300" w:lineRule="auto" w:before="13"/>
        <w:ind w:right="1129" w:firstLine="420"/>
        <w:jc w:val="both"/>
      </w:pPr>
      <w:r>
        <w:rPr>
          <w:spacing w:val="-2"/>
        </w:rPr>
        <w:t>根据公司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5</w:t>
      </w:r>
      <w:r>
        <w:rPr>
          <w:spacing w:val="-2"/>
        </w:rPr>
        <w:t>日召开的</w:t>
      </w:r>
      <w:r>
        <w:rPr>
          <w:rFonts w:ascii="Times New Roman" w:hAnsi="Times New Roman" w:cs="Times New Roman" w:eastAsia="Times New Roman" w:hint="default"/>
          <w:spacing w:val="-2"/>
        </w:rPr>
        <w:t>2016</w:t>
      </w:r>
      <w:r>
        <w:rPr>
          <w:spacing w:val="-2"/>
        </w:rPr>
        <w:t>年第一次临时股东大会审议通过的《关于</w:t>
      </w:r>
      <w:r>
        <w:rPr>
          <w:rFonts w:ascii="Times New Roman" w:hAnsi="Times New Roman" w:cs="Times New Roman" w:eastAsia="Times New Roman" w:hint="default"/>
          <w:spacing w:val="-2"/>
        </w:rPr>
        <w:t>&lt;</w:t>
      </w:r>
      <w:r>
        <w:rPr>
          <w:spacing w:val="-2"/>
        </w:rPr>
        <w:t>高伟达软件股份有限公司限制性股票激励</w:t>
      </w:r>
      <w:r>
        <w:rPr/>
        <w:t> 计划（草案修订稿）</w:t>
      </w:r>
      <w:r>
        <w:rPr>
          <w:rFonts w:ascii="Times New Roman" w:hAnsi="Times New Roman" w:cs="Times New Roman" w:eastAsia="Times New Roman" w:hint="default"/>
        </w:rPr>
        <w:t>&gt;</w:t>
      </w:r>
      <w:r>
        <w:rPr/>
        <w:t>及其摘要的议案》，本公司定向增发股份</w:t>
      </w:r>
      <w:r>
        <w:rPr>
          <w:rFonts w:ascii="Times New Roman" w:hAnsi="Times New Roman" w:cs="Times New Roman" w:eastAsia="Times New Roman" w:hint="default"/>
        </w:rPr>
        <w:t>1,600,000</w:t>
      </w:r>
      <w:r>
        <w:rPr/>
        <w:t>股，由</w:t>
      </w:r>
      <w:r>
        <w:rPr>
          <w:rFonts w:ascii="Times New Roman" w:hAnsi="Times New Roman" w:cs="Times New Roman" w:eastAsia="Times New Roman" w:hint="default"/>
        </w:rPr>
        <w:t>100</w:t>
      </w:r>
      <w:r>
        <w:rPr/>
        <w:t>名核心管理、业务与技术人员以货币资</w:t>
      </w:r>
      <w:r>
        <w:rPr>
          <w:spacing w:val="-14"/>
        </w:rPr>
        <w:t> </w:t>
      </w:r>
      <w:r>
        <w:rPr>
          <w:spacing w:val="-14"/>
        </w:rPr>
      </w:r>
      <w:r>
        <w:rPr/>
        <w:t>金认购，每股认购价格</w:t>
      </w:r>
      <w:r>
        <w:rPr>
          <w:rFonts w:ascii="Times New Roman" w:hAnsi="Times New Roman" w:cs="Times New Roman" w:eastAsia="Times New Roman" w:hint="default"/>
        </w:rPr>
        <w:t>20.89</w:t>
      </w:r>
      <w:r>
        <w:rPr/>
        <w:t>元。</w:t>
      </w:r>
    </w:p>
    <w:p>
      <w:pPr>
        <w:pStyle w:val="BodyText"/>
        <w:spacing w:line="300" w:lineRule="auto" w:before="13"/>
        <w:ind w:right="1126" w:firstLine="420"/>
        <w:jc w:val="both"/>
      </w:pPr>
      <w:r>
        <w:rPr/>
        <w:t>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日，本公司已收到授予股权激励股份的</w:t>
      </w:r>
      <w:r>
        <w:rPr>
          <w:rFonts w:ascii="Times New Roman" w:hAnsi="Times New Roman" w:cs="Times New Roman" w:eastAsia="Times New Roman" w:hint="default"/>
        </w:rPr>
        <w:t>100</w:t>
      </w:r>
      <w:r>
        <w:rPr/>
        <w:t>名人员缴纳的股份认购款合计人民币</w:t>
      </w:r>
      <w:r>
        <w:rPr>
          <w:rFonts w:ascii="Times New Roman" w:hAnsi="Times New Roman" w:cs="Times New Roman" w:eastAsia="Times New Roman" w:hint="default"/>
        </w:rPr>
        <w:t>33,424,000.00</w:t>
      </w:r>
      <w:r>
        <w:rPr/>
        <w:t>元，业</w:t>
      </w:r>
      <w:r>
        <w:rPr>
          <w:spacing w:val="2"/>
        </w:rPr>
        <w:t> </w:t>
      </w:r>
      <w:r>
        <w:rPr>
          <w:spacing w:val="-1"/>
        </w:rPr>
        <w:t>经信永中和会计师事务所（特殊普通合伙）审验并出具</w:t>
      </w:r>
      <w:r>
        <w:rPr>
          <w:rFonts w:ascii="Times New Roman" w:hAnsi="Times New Roman" w:cs="Times New Roman" w:eastAsia="Times New Roman" w:hint="default"/>
          <w:spacing w:val="-1"/>
        </w:rPr>
        <w:t>XYZH/2016BJA80009</w:t>
      </w:r>
      <w:r>
        <w:rPr>
          <w:spacing w:val="-1"/>
        </w:rPr>
        <w:t>号验资报告。公司本次授予股权激励对象的</w:t>
      </w:r>
      <w:r>
        <w:rPr>
          <w:rFonts w:ascii="Times New Roman" w:hAnsi="Times New Roman" w:cs="Times New Roman" w:eastAsia="Times New Roman" w:hint="default"/>
          <w:spacing w:val="-1"/>
        </w:rPr>
        <w:t>160</w:t>
      </w:r>
      <w:r>
        <w:rPr>
          <w:rFonts w:ascii="Times New Roman" w:hAnsi="Times New Roman" w:cs="Times New Roman" w:eastAsia="Times New Roman" w:hint="default"/>
          <w:spacing w:val="-36"/>
        </w:rPr>
        <w:t> </w:t>
      </w:r>
      <w:r>
        <w:rPr/>
        <w:t>万股限制性股票已于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日上市，本公司总股本变更为</w:t>
      </w:r>
      <w:r>
        <w:rPr>
          <w:rFonts w:ascii="Times New Roman" w:hAnsi="Times New Roman" w:cs="Times New Roman" w:eastAsia="Times New Roman" w:hint="default"/>
        </w:rPr>
        <w:t>134,940,000</w:t>
      </w:r>
      <w:r>
        <w:rPr/>
        <w:t>股。</w:t>
      </w:r>
    </w:p>
    <w:p>
      <w:pPr>
        <w:pStyle w:val="BodyText"/>
        <w:spacing w:line="300" w:lineRule="auto" w:before="13"/>
        <w:ind w:right="1131" w:firstLine="420"/>
        <w:jc w:val="both"/>
      </w:pPr>
      <w:r>
        <w:rPr>
          <w:spacing w:val="-1"/>
        </w:rPr>
        <w:t>根据公司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13</w:t>
      </w:r>
      <w:r>
        <w:rPr>
          <w:spacing w:val="-1"/>
        </w:rPr>
        <w:t>日召开的</w:t>
      </w:r>
      <w:r>
        <w:rPr>
          <w:rFonts w:ascii="Times New Roman" w:hAnsi="Times New Roman" w:cs="Times New Roman" w:eastAsia="Times New Roman" w:hint="default"/>
          <w:spacing w:val="-1"/>
        </w:rPr>
        <w:t>2016</w:t>
      </w:r>
      <w:r>
        <w:rPr>
          <w:spacing w:val="-1"/>
        </w:rPr>
        <w:t>年第三次临时股东大会决议，本公司以</w:t>
      </w:r>
      <w:r>
        <w:rPr>
          <w:rFonts w:ascii="Times New Roman" w:hAnsi="Times New Roman" w:cs="Times New Roman" w:eastAsia="Times New Roman" w:hint="default"/>
          <w:spacing w:val="-1"/>
        </w:rPr>
        <w:t>134,940,000</w:t>
      </w:r>
      <w:r>
        <w:rPr>
          <w:spacing w:val="-1"/>
        </w:rPr>
        <w:t>股为基数进行资本公积金转增股</w:t>
      </w:r>
      <w:r>
        <w:rPr/>
        <w:t> </w:t>
      </w:r>
      <w:r>
        <w:rPr>
          <w:spacing w:val="-4"/>
        </w:rPr>
        <w:t>本，向全体股东每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22</w:t>
      </w:r>
      <w:r>
        <w:rPr>
          <w:spacing w:val="-4"/>
        </w:rPr>
        <w:t>股，共计转增</w:t>
      </w:r>
      <w:r>
        <w:rPr>
          <w:rFonts w:ascii="Times New Roman" w:hAnsi="Times New Roman" w:cs="Times New Roman" w:eastAsia="Times New Roman" w:hint="default"/>
          <w:spacing w:val="-4"/>
        </w:rPr>
        <w:t>296,868,000</w:t>
      </w:r>
      <w:r>
        <w:rPr>
          <w:spacing w:val="-4"/>
        </w:rPr>
        <w:t>股，转增后公司总股本增加至</w:t>
      </w:r>
      <w:r>
        <w:rPr>
          <w:rFonts w:ascii="Times New Roman" w:hAnsi="Times New Roman" w:cs="Times New Roman" w:eastAsia="Times New Roman" w:hint="default"/>
          <w:spacing w:val="-4"/>
        </w:rPr>
        <w:t>431,808,000</w:t>
      </w:r>
      <w:r>
        <w:rPr>
          <w:spacing w:val="-4"/>
        </w:rPr>
        <w:t>股。</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10</w:t>
      </w:r>
      <w:r>
        <w:rPr>
          <w:spacing w:val="-4"/>
        </w:rPr>
        <w:t>月，本公司</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年半年度利润分配实施完成。</w:t>
      </w:r>
    </w:p>
    <w:p>
      <w:pPr>
        <w:pStyle w:val="BodyText"/>
        <w:spacing w:line="300" w:lineRule="auto" w:before="31"/>
        <w:ind w:right="1121" w:firstLine="420"/>
        <w:jc w:val="both"/>
      </w:pPr>
      <w:r>
        <w:rPr>
          <w:spacing w:val="-3"/>
        </w:rPr>
        <w:t>根据公司</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w:t>
      </w:r>
      <w:r>
        <w:rPr>
          <w:spacing w:val="-3"/>
        </w:rPr>
        <w:t>日第四届临时股东大会审议通过《关于</w:t>
      </w:r>
      <w:r>
        <w:rPr>
          <w:rFonts w:ascii="Times New Roman" w:hAnsi="Times New Roman" w:cs="Times New Roman" w:eastAsia="Times New Roman" w:hint="default"/>
          <w:spacing w:val="-3"/>
        </w:rPr>
        <w:t>&lt;</w:t>
      </w:r>
      <w:r>
        <w:rPr>
          <w:spacing w:val="-3"/>
        </w:rPr>
        <w:t>高伟达软件股份有限公司</w:t>
      </w:r>
      <w:r>
        <w:rPr>
          <w:rFonts w:ascii="Times New Roman" w:hAnsi="Times New Roman" w:cs="Times New Roman" w:eastAsia="Times New Roman" w:hint="default"/>
          <w:spacing w:val="-3"/>
        </w:rPr>
        <w:t>2016</w:t>
      </w:r>
      <w:r>
        <w:rPr>
          <w:spacing w:val="-3"/>
        </w:rPr>
        <w:t>年限制性股票激励计划（草</w:t>
      </w:r>
      <w:r>
        <w:rPr/>
        <w:t> </w:t>
      </w:r>
      <w:r>
        <w:rPr>
          <w:spacing w:val="-2"/>
        </w:rPr>
        <w:t>案</w:t>
      </w:r>
      <w:r>
        <w:rPr>
          <w:rFonts w:ascii="Times New Roman" w:hAnsi="Times New Roman" w:cs="Times New Roman" w:eastAsia="Times New Roman" w:hint="default"/>
          <w:spacing w:val="-2"/>
        </w:rPr>
        <w:t>)&gt;</w:t>
      </w:r>
      <w:r>
        <w:rPr>
          <w:spacing w:val="-2"/>
        </w:rPr>
        <w:t>及摘要的议案》、第二届董事会第二十八次会议通过的《关于调整</w:t>
      </w:r>
      <w:r>
        <w:rPr>
          <w:rFonts w:ascii="Times New Roman" w:hAnsi="Times New Roman" w:cs="Times New Roman" w:eastAsia="Times New Roman" w:hint="default"/>
          <w:spacing w:val="-2"/>
        </w:rPr>
        <w:t>2016</w:t>
      </w:r>
      <w:r>
        <w:rPr>
          <w:spacing w:val="-2"/>
        </w:rPr>
        <w:t>年限制性股票激励计划相关事项的议案》，公司</w:t>
      </w:r>
      <w:r>
        <w:rPr>
          <w:spacing w:val="-45"/>
        </w:rPr>
        <w:t> </w:t>
      </w:r>
      <w:r>
        <w:rPr>
          <w:spacing w:val="-45"/>
        </w:rPr>
      </w:r>
      <w:r>
        <w:rPr>
          <w:spacing w:val="6"/>
        </w:rPr>
        <w:t>进行股权激励，向</w:t>
      </w:r>
      <w:r>
        <w:rPr>
          <w:rFonts w:ascii="Times New Roman" w:hAnsi="Times New Roman" w:cs="Times New Roman" w:eastAsia="Times New Roman" w:hint="default"/>
          <w:spacing w:val="6"/>
        </w:rPr>
        <w:t>48</w:t>
      </w:r>
      <w:r>
        <w:rPr>
          <w:spacing w:val="6"/>
        </w:rPr>
        <w:t>名核心管理、业务与技术人员授予限制性股票数量</w:t>
      </w:r>
      <w:r>
        <w:rPr>
          <w:rFonts w:ascii="Times New Roman" w:hAnsi="Times New Roman" w:cs="Times New Roman" w:eastAsia="Times New Roman" w:hint="default"/>
          <w:spacing w:val="6"/>
        </w:rPr>
        <w:t>278.40</w:t>
      </w:r>
      <w:r>
        <w:rPr>
          <w:spacing w:val="6"/>
        </w:rPr>
        <w:t>万股，限制性股票价格为每股</w:t>
      </w:r>
      <w:r>
        <w:rPr>
          <w:rFonts w:ascii="Times New Roman" w:hAnsi="Times New Roman" w:cs="Times New Roman" w:eastAsia="Times New Roman" w:hint="default"/>
          <w:spacing w:val="6"/>
        </w:rPr>
        <w:t>7.66</w:t>
      </w:r>
      <w:r>
        <w:rPr>
          <w:spacing w:val="6"/>
        </w:rPr>
        <w:t>元，共</w:t>
      </w:r>
      <w:r>
        <w:rPr>
          <w:spacing w:val="-69"/>
        </w:rPr>
        <w:t> </w:t>
      </w:r>
      <w:r>
        <w:rPr>
          <w:rFonts w:ascii="Times New Roman" w:hAnsi="Times New Roman" w:cs="Times New Roman" w:eastAsia="Times New Roman" w:hint="default"/>
          <w:spacing w:val="-1"/>
        </w:rPr>
        <w:t>21,325,440.00</w:t>
      </w:r>
      <w:r>
        <w:rPr>
          <w:spacing w:val="-1"/>
        </w:rPr>
        <w:t>元。截至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10</w:t>
      </w:r>
      <w:r>
        <w:rPr>
          <w:spacing w:val="-1"/>
        </w:rPr>
        <w:t>日，公司已收到被授予股权激励限制性股票的</w:t>
      </w:r>
      <w:r>
        <w:rPr>
          <w:rFonts w:ascii="Times New Roman" w:hAnsi="Times New Roman" w:cs="Times New Roman" w:eastAsia="Times New Roman" w:hint="default"/>
          <w:spacing w:val="-1"/>
        </w:rPr>
        <w:t>48</w:t>
      </w:r>
      <w:r>
        <w:rPr>
          <w:spacing w:val="-1"/>
        </w:rPr>
        <w:t>名核心管理、业务与技术人员缴纳的股</w:t>
      </w:r>
      <w:r>
        <w:rPr>
          <w:spacing w:val="-74"/>
        </w:rPr>
        <w:t> </w:t>
      </w:r>
      <w:r>
        <w:rPr>
          <w:spacing w:val="-74"/>
        </w:rPr>
      </w:r>
      <w:r>
        <w:rPr>
          <w:spacing w:val="-2"/>
        </w:rPr>
        <w:t>份认购款共计人民币</w:t>
      </w:r>
      <w:r>
        <w:rPr>
          <w:rFonts w:ascii="Times New Roman" w:hAnsi="Times New Roman" w:cs="Times New Roman" w:eastAsia="Times New Roman" w:hint="default"/>
          <w:spacing w:val="-2"/>
        </w:rPr>
        <w:t>21,325,440.00</w:t>
      </w:r>
      <w:r>
        <w:rPr>
          <w:spacing w:val="-2"/>
        </w:rPr>
        <w:t>元，均为货币资金缴纳，股本变更后累计股本达</w:t>
      </w:r>
      <w:r>
        <w:rPr>
          <w:rFonts w:ascii="Times New Roman" w:hAnsi="Times New Roman" w:cs="Times New Roman" w:eastAsia="Times New Roman" w:hint="default"/>
          <w:spacing w:val="-2"/>
        </w:rPr>
        <w:t>434,592,000.00</w:t>
      </w:r>
      <w:r>
        <w:rPr>
          <w:spacing w:val="-2"/>
        </w:rPr>
        <w:t>元，业经信永中和会计师事</w:t>
      </w:r>
      <w:r>
        <w:rPr>
          <w:spacing w:val="-40"/>
        </w:rPr>
        <w:t> </w:t>
      </w:r>
      <w:r>
        <w:rPr>
          <w:spacing w:val="-40"/>
        </w:rPr>
      </w:r>
      <w:r>
        <w:rPr/>
        <w:t>务所（特殊普通合伙）审验并出具</w:t>
      </w:r>
      <w:r>
        <w:rPr>
          <w:rFonts w:ascii="Times New Roman" w:hAnsi="Times New Roman" w:cs="Times New Roman" w:eastAsia="Times New Roman" w:hint="default"/>
        </w:rPr>
        <w:t>XYZH/2016BJA80316</w:t>
      </w:r>
      <w:r>
        <w:rPr/>
        <w:t>号验资报告。</w:t>
      </w:r>
    </w:p>
    <w:p>
      <w:pPr>
        <w:pStyle w:val="BodyText"/>
        <w:spacing w:line="309" w:lineRule="auto" w:before="13"/>
        <w:ind w:right="991" w:firstLine="420"/>
        <w:jc w:val="left"/>
      </w:pP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日召开的第二届董事会第二十一次会议和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日召开的</w:t>
      </w:r>
      <w:r>
        <w:rPr>
          <w:rFonts w:ascii="Times New Roman" w:hAnsi="Times New Roman" w:cs="Times New Roman" w:eastAsia="Times New Roman" w:hint="default"/>
        </w:rPr>
        <w:t>2016</w:t>
      </w:r>
      <w:r>
        <w:rPr/>
        <w:t>年第二次临时股东大会决议， </w:t>
      </w:r>
      <w:r>
        <w:rPr>
          <w:spacing w:val="-2"/>
        </w:rPr>
        <w:t>并经中国证券监督管理委员会《关于核准高伟达软件股份有限公司向北京睿韬科技有限责任公司等发行股份购买资产并募集</w:t>
      </w:r>
      <w:r>
        <w:rPr>
          <w:spacing w:val="-64"/>
        </w:rPr>
        <w:t> </w:t>
      </w:r>
      <w:r>
        <w:rPr>
          <w:spacing w:val="-64"/>
        </w:rPr>
      </w:r>
      <w:r>
        <w:rPr/>
        <w:t>配套资金的批复》（证监许可</w:t>
      </w:r>
      <w:r>
        <w:rPr>
          <w:rFonts w:ascii="Times New Roman" w:hAnsi="Times New Roman" w:cs="Times New Roman" w:eastAsia="Times New Roman" w:hint="default"/>
        </w:rPr>
        <w:t>[2016]2562</w:t>
      </w:r>
      <w:r>
        <w:rPr/>
        <w:t>号）核准，本公司向北京睿韬科技有限责任公司、宁波镇海翔易融联投资管理合伙</w:t>
      </w:r>
    </w:p>
    <w:p>
      <w:pPr>
        <w:spacing w:after="0" w:line="309" w:lineRule="auto"/>
        <w:jc w:val="left"/>
        <w:sectPr>
          <w:pgSz w:w="11910" w:h="16840"/>
          <w:pgMar w:header="786" w:footer="1267" w:top="1100" w:bottom="1460" w:left="980" w:right="0"/>
        </w:sectPr>
      </w:pPr>
    </w:p>
    <w:p>
      <w:pPr>
        <w:spacing w:line="240" w:lineRule="auto" w:before="8"/>
        <w:rPr>
          <w:rFonts w:ascii="宋体" w:hAnsi="宋体" w:cs="宋体" w:eastAsia="宋体" w:hint="default"/>
          <w:sz w:val="22"/>
          <w:szCs w:val="22"/>
        </w:rPr>
      </w:pPr>
    </w:p>
    <w:p>
      <w:pPr>
        <w:pStyle w:val="BodyText"/>
        <w:spacing w:line="300" w:lineRule="auto" w:before="44"/>
        <w:ind w:right="1131"/>
        <w:jc w:val="both"/>
      </w:pPr>
      <w:r>
        <w:rPr/>
        <w:t>企业（有限合伙）合计发行股份</w:t>
      </w:r>
      <w:r>
        <w:rPr>
          <w:rFonts w:ascii="Times New Roman" w:hAnsi="Times New Roman" w:cs="Times New Roman" w:eastAsia="Times New Roman" w:hint="default"/>
        </w:rPr>
        <w:t>14,745,442</w:t>
      </w:r>
      <w:r>
        <w:rPr/>
        <w:t>股（其中北京睿韬科技有限责任公司</w:t>
      </w:r>
      <w:r>
        <w:rPr>
          <w:rFonts w:ascii="Times New Roman" w:hAnsi="Times New Roman" w:cs="Times New Roman" w:eastAsia="Times New Roman" w:hint="default"/>
        </w:rPr>
        <w:t>8,847,265</w:t>
      </w:r>
      <w:r>
        <w:rPr/>
        <w:t>股、宁波镇海翔易融联投资管理合 伙企业（有限合伙）</w:t>
      </w:r>
      <w:r>
        <w:rPr>
          <w:rFonts w:ascii="Times New Roman" w:hAnsi="Times New Roman" w:cs="Times New Roman" w:eastAsia="Times New Roman" w:hint="default"/>
        </w:rPr>
        <w:t>5,898,177</w:t>
      </w:r>
      <w:r>
        <w:rPr/>
        <w:t>股）并支付现金</w:t>
      </w:r>
      <w:r>
        <w:rPr>
          <w:rFonts w:ascii="Times New Roman" w:hAnsi="Times New Roman" w:cs="Times New Roman" w:eastAsia="Times New Roman" w:hint="default"/>
        </w:rPr>
        <w:t>6,540.00</w:t>
      </w:r>
      <w:r>
        <w:rPr/>
        <w:t>万元购买其合计持有的上海睿民互联网科技有限公司（以下简称上海 睿民）</w:t>
      </w:r>
      <w:r>
        <w:rPr>
          <w:rFonts w:ascii="Times New Roman" w:hAnsi="Times New Roman" w:cs="Times New Roman" w:eastAsia="Times New Roman" w:hint="default"/>
        </w:rPr>
        <w:t>100%</w:t>
      </w:r>
      <w:r>
        <w:rPr/>
        <w:t>股权；同时本公司分别向鹰潭市鹰高投资咨询有限公司、余江县泰和睿思技术服务中心（有限合伙）发行股份</w:t>
      </w:r>
      <w:r>
        <w:rPr>
          <w:spacing w:val="-60"/>
        </w:rPr>
        <w:t> </w:t>
      </w:r>
      <w:r>
        <w:rPr>
          <w:spacing w:val="-60"/>
        </w:rPr>
      </w:r>
      <w:r>
        <w:rPr>
          <w:rFonts w:ascii="Times New Roman" w:hAnsi="Times New Roman" w:cs="Times New Roman" w:eastAsia="Times New Roman" w:hint="default"/>
        </w:rPr>
        <w:t>2,514,140</w:t>
      </w:r>
      <w:r>
        <w:rPr/>
        <w:t>股和</w:t>
      </w:r>
      <w:r>
        <w:rPr>
          <w:rFonts w:ascii="Times New Roman" w:hAnsi="Times New Roman" w:cs="Times New Roman" w:eastAsia="Times New Roman" w:hint="default"/>
        </w:rPr>
        <w:t>1,125,075</w:t>
      </w:r>
      <w:r>
        <w:rPr/>
        <w:t>股配套募集资金</w:t>
      </w:r>
      <w:r>
        <w:rPr>
          <w:rFonts w:ascii="Times New Roman" w:hAnsi="Times New Roman" w:cs="Times New Roman" w:eastAsia="Times New Roman" w:hint="default"/>
        </w:rPr>
        <w:t>57,899,910.65</w:t>
      </w:r>
      <w:r>
        <w:rPr/>
        <w:t>元。发行后公司股本</w:t>
      </w:r>
      <w:r>
        <w:rPr>
          <w:rFonts w:ascii="Times New Roman" w:hAnsi="Times New Roman" w:cs="Times New Roman" w:eastAsia="Times New Roman" w:hint="default"/>
        </w:rPr>
        <w:t>452,976,657</w:t>
      </w:r>
      <w:r>
        <w:rPr/>
        <w:t>股，每股面值</w:t>
      </w:r>
      <w:r>
        <w:rPr>
          <w:rFonts w:ascii="Times New Roman" w:hAnsi="Times New Roman" w:cs="Times New Roman" w:eastAsia="Times New Roman" w:hint="default"/>
        </w:rPr>
        <w:t>1.00</w:t>
      </w:r>
      <w:r>
        <w:rPr/>
        <w:t>元，其中有限售条件 的流通股份为</w:t>
      </w:r>
      <w:r>
        <w:rPr>
          <w:rFonts w:ascii="Times New Roman" w:hAnsi="Times New Roman" w:cs="Times New Roman" w:eastAsia="Times New Roman" w:hint="default"/>
        </w:rPr>
        <w:t>197,280,657</w:t>
      </w:r>
      <w:r>
        <w:rPr/>
        <w:t>股，占股份总数的</w:t>
      </w:r>
      <w:r>
        <w:rPr>
          <w:rFonts w:ascii="Times New Roman" w:hAnsi="Times New Roman" w:cs="Times New Roman" w:eastAsia="Times New Roman" w:hint="default"/>
        </w:rPr>
        <w:t>43.55%</w:t>
      </w:r>
      <w:r>
        <w:rPr/>
        <w:t>；无限售条件的流通股份为</w:t>
      </w:r>
      <w:r>
        <w:rPr>
          <w:rFonts w:ascii="Times New Roman" w:hAnsi="Times New Roman" w:cs="Times New Roman" w:eastAsia="Times New Roman" w:hint="default"/>
        </w:rPr>
        <w:t>255,696,000</w:t>
      </w:r>
      <w:r>
        <w:rPr/>
        <w:t>股，占股份总数的</w:t>
      </w:r>
      <w:r>
        <w:rPr>
          <w:rFonts w:ascii="Times New Roman" w:hAnsi="Times New Roman" w:cs="Times New Roman" w:eastAsia="Times New Roman" w:hint="default"/>
        </w:rPr>
        <w:t>56.45%</w:t>
      </w:r>
      <w:r>
        <w:rPr/>
        <w:t>。本次</w:t>
      </w:r>
      <w:r>
        <w:rPr>
          <w:spacing w:val="-42"/>
        </w:rPr>
        <w:t> </w:t>
      </w:r>
      <w:r>
        <w:rPr>
          <w:spacing w:val="-42"/>
        </w:rPr>
      </w:r>
      <w:r>
        <w:rPr/>
        <w:t>增资业经中汇会计师事务所（特殊普通合伙）审验，并于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日出具中汇会验</w:t>
      </w:r>
      <w:r>
        <w:rPr>
          <w:rFonts w:ascii="Times New Roman" w:hAnsi="Times New Roman" w:cs="Times New Roman" w:eastAsia="Times New Roman" w:hint="default"/>
        </w:rPr>
        <w:t>[2016]4648</w:t>
      </w:r>
      <w:r>
        <w:rPr/>
        <w:t>号验资报告。</w:t>
      </w:r>
    </w:p>
    <w:p>
      <w:pPr>
        <w:pStyle w:val="BodyText"/>
        <w:spacing w:line="300" w:lineRule="auto" w:before="13"/>
        <w:ind w:right="1128" w:firstLine="420"/>
        <w:jc w:val="both"/>
      </w:pPr>
      <w:r>
        <w:rPr/>
        <w:t>根据公司《关于回购注销部分限制性股票及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年股权激励计划已获授但未达到第一个解锁期解锁条件的限 制性股票的议案》、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日第二届董事会第三十四次会议和第二届监事会第三十次会议决议、《</w:t>
      </w:r>
      <w:r>
        <w:rPr>
          <w:rFonts w:ascii="Times New Roman" w:hAnsi="Times New Roman" w:cs="Times New Roman" w:eastAsia="Times New Roman" w:hint="default"/>
        </w:rPr>
        <w:t>2015</w:t>
      </w:r>
      <w:r>
        <w:rPr/>
        <w:t>年限制性股票</w:t>
      </w:r>
      <w:r>
        <w:rPr>
          <w:spacing w:val="-85"/>
        </w:rPr>
        <w:t> </w:t>
      </w:r>
      <w:r>
        <w:rPr>
          <w:spacing w:val="-85"/>
        </w:rPr>
      </w:r>
      <w:r>
        <w:rPr>
          <w:spacing w:val="-2"/>
        </w:rPr>
        <w:t>激励计划（草案）》、《</w:t>
      </w:r>
      <w:r>
        <w:rPr>
          <w:rFonts w:ascii="Times New Roman" w:hAnsi="Times New Roman" w:cs="Times New Roman" w:eastAsia="Times New Roman" w:hint="default"/>
          <w:spacing w:val="-2"/>
        </w:rPr>
        <w:t>2016</w:t>
      </w:r>
      <w:r>
        <w:rPr>
          <w:spacing w:val="-2"/>
        </w:rPr>
        <w:t>年限制性股票激励计划（草案）》和修改后的章程规定，本公司决定回购注销因离职已不符合</w:t>
      </w:r>
      <w:r>
        <w:rPr>
          <w:spacing w:val="-65"/>
        </w:rPr>
        <w:t> </w:t>
      </w:r>
      <w:r>
        <w:rPr>
          <w:spacing w:val="-65"/>
        </w:rPr>
      </w:r>
      <w:r>
        <w:rPr/>
        <w:t>激励条件的原</w:t>
      </w:r>
      <w:r>
        <w:rPr>
          <w:rFonts w:ascii="Times New Roman" w:hAnsi="Times New Roman" w:cs="Times New Roman" w:eastAsia="Times New Roman" w:hint="default"/>
        </w:rPr>
        <w:t>7</w:t>
      </w:r>
      <w:r>
        <w:rPr/>
        <w:t>名</w:t>
      </w:r>
      <w:r>
        <w:rPr>
          <w:rFonts w:ascii="Times New Roman" w:hAnsi="Times New Roman" w:cs="Times New Roman" w:eastAsia="Times New Roman" w:hint="default"/>
        </w:rPr>
        <w:t>2015</w:t>
      </w:r>
      <w:r>
        <w:rPr/>
        <w:t>年限制性股票股权激励对象及原</w:t>
      </w:r>
      <w:r>
        <w:rPr>
          <w:rFonts w:ascii="Times New Roman" w:hAnsi="Times New Roman" w:cs="Times New Roman" w:eastAsia="Times New Roman" w:hint="default"/>
        </w:rPr>
        <w:t>2</w:t>
      </w:r>
      <w:r>
        <w:rPr/>
        <w:t>名</w:t>
      </w:r>
      <w:r>
        <w:rPr>
          <w:rFonts w:ascii="Times New Roman" w:hAnsi="Times New Roman" w:cs="Times New Roman" w:eastAsia="Times New Roman" w:hint="default"/>
        </w:rPr>
        <w:t>2016</w:t>
      </w:r>
      <w:r>
        <w:rPr/>
        <w:t>年限制性股票股权激励对象的已获授的全部限制性股票共计</w:t>
      </w:r>
      <w:r>
        <w:rPr>
          <w:spacing w:val="-7"/>
        </w:rPr>
        <w:t> </w:t>
      </w:r>
      <w:r>
        <w:rPr>
          <w:spacing w:val="-7"/>
        </w:rPr>
      </w:r>
      <w:r>
        <w:rPr>
          <w:rFonts w:ascii="Times New Roman" w:hAnsi="Times New Roman" w:cs="Times New Roman" w:eastAsia="Times New Roman" w:hint="default"/>
        </w:rPr>
        <w:t>320,000</w:t>
      </w:r>
      <w:r>
        <w:rPr/>
        <w:t>股；回购注销由于</w:t>
      </w:r>
      <w:r>
        <w:rPr>
          <w:rFonts w:ascii="Times New Roman" w:hAnsi="Times New Roman" w:cs="Times New Roman" w:eastAsia="Times New Roman" w:hint="default"/>
        </w:rPr>
        <w:t>2015</w:t>
      </w:r>
      <w:r>
        <w:rPr/>
        <w:t>年限制性股票第一个解锁期解锁条件及</w:t>
      </w:r>
      <w:r>
        <w:rPr>
          <w:rFonts w:ascii="Times New Roman" w:hAnsi="Times New Roman" w:cs="Times New Roman" w:eastAsia="Times New Roman" w:hint="default"/>
        </w:rPr>
        <w:t>2016</w:t>
      </w:r>
      <w:r>
        <w:rPr/>
        <w:t>年限制性股票第一个解锁期解锁条件未达成的已</w:t>
      </w:r>
      <w:r>
        <w:rPr>
          <w:spacing w:val="-47"/>
        </w:rPr>
        <w:t> </w:t>
      </w:r>
      <w:r>
        <w:rPr>
          <w:spacing w:val="-47"/>
        </w:rPr>
      </w:r>
      <w:r>
        <w:rPr>
          <w:spacing w:val="-2"/>
        </w:rPr>
        <w:t>获授限制性股票共计</w:t>
      </w:r>
      <w:r>
        <w:rPr>
          <w:rFonts w:ascii="Times New Roman" w:hAnsi="Times New Roman" w:cs="Times New Roman" w:eastAsia="Times New Roman" w:hint="default"/>
          <w:spacing w:val="-2"/>
        </w:rPr>
        <w:t>2,275,200</w:t>
      </w:r>
      <w:r>
        <w:rPr>
          <w:spacing w:val="-2"/>
        </w:rPr>
        <w:t>股，本公司本次将回购注销限制性股票合计</w:t>
      </w:r>
      <w:r>
        <w:rPr>
          <w:rFonts w:ascii="Times New Roman" w:hAnsi="Times New Roman" w:cs="Times New Roman" w:eastAsia="Times New Roman" w:hint="default"/>
          <w:spacing w:val="-2"/>
        </w:rPr>
        <w:t>2,595,200</w:t>
      </w:r>
      <w:r>
        <w:rPr>
          <w:spacing w:val="-2"/>
        </w:rPr>
        <w:t>股。根据回购注销情况，本次回购注销股</w:t>
      </w:r>
      <w:r>
        <w:rPr>
          <w:spacing w:val="-48"/>
        </w:rPr>
        <w:t> </w:t>
      </w:r>
      <w:r>
        <w:rPr>
          <w:spacing w:val="-48"/>
        </w:rPr>
      </w:r>
      <w:r>
        <w:rPr/>
        <w:t>票数量为</w:t>
      </w:r>
      <w:r>
        <w:rPr>
          <w:rFonts w:ascii="Times New Roman" w:hAnsi="Times New Roman" w:cs="Times New Roman" w:eastAsia="Times New Roman" w:hint="default"/>
        </w:rPr>
        <w:t>2,595,200</w:t>
      </w:r>
      <w:r>
        <w:rPr/>
        <w:t>股，减少注册资本人民币</w:t>
      </w:r>
      <w:r>
        <w:rPr>
          <w:rFonts w:ascii="Times New Roman" w:hAnsi="Times New Roman" w:cs="Times New Roman" w:eastAsia="Times New Roman" w:hint="default"/>
        </w:rPr>
        <w:t>2,595,200.00</w:t>
      </w:r>
      <w:r>
        <w:rPr/>
        <w:t>元，变更后的注册资本为人民币</w:t>
      </w:r>
      <w:r>
        <w:rPr>
          <w:rFonts w:ascii="Times New Roman" w:hAnsi="Times New Roman" w:cs="Times New Roman" w:eastAsia="Times New Roman" w:hint="default"/>
        </w:rPr>
        <w:t>450,381,457.00</w:t>
      </w:r>
      <w:r>
        <w:rPr/>
        <w:t>元。本次减资业经中 汇会计师事务所（特殊普通合伙）审验，并于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日出具中汇会验</w:t>
      </w:r>
      <w:r>
        <w:rPr>
          <w:rFonts w:ascii="Times New Roman" w:hAnsi="Times New Roman" w:cs="Times New Roman" w:eastAsia="Times New Roman" w:hint="default"/>
        </w:rPr>
        <w:t>[2017]3988</w:t>
      </w:r>
      <w:r>
        <w:rPr/>
        <w:t>号验资报告。</w:t>
      </w:r>
    </w:p>
    <w:p>
      <w:pPr>
        <w:pStyle w:val="BodyText"/>
        <w:spacing w:line="300" w:lineRule="auto" w:before="13"/>
        <w:ind w:right="991" w:firstLine="420"/>
        <w:jc w:val="left"/>
      </w:pPr>
      <w:r>
        <w:rPr/>
        <w:t>根据公司《关于回购注销部分限制性股票的议案》、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日第三届董事会第四次临时会议决议和第三届监事会 </w:t>
      </w:r>
      <w:r>
        <w:rPr>
          <w:spacing w:val="-5"/>
        </w:rPr>
        <w:t>第四次会议决议、《</w:t>
      </w:r>
      <w:r>
        <w:rPr>
          <w:rFonts w:ascii="Times New Roman" w:hAnsi="Times New Roman" w:cs="Times New Roman" w:eastAsia="Times New Roman" w:hint="default"/>
          <w:spacing w:val="-5"/>
        </w:rPr>
        <w:t>2015</w:t>
      </w:r>
      <w:r>
        <w:rPr>
          <w:spacing w:val="-5"/>
        </w:rPr>
        <w:t>年限制性股票激励计划（草案）》、《</w:t>
      </w:r>
      <w:r>
        <w:rPr>
          <w:rFonts w:ascii="Times New Roman" w:hAnsi="Times New Roman" w:cs="Times New Roman" w:eastAsia="Times New Roman" w:hint="default"/>
          <w:spacing w:val="-5"/>
        </w:rPr>
        <w:t>2016</w:t>
      </w:r>
      <w:r>
        <w:rPr>
          <w:spacing w:val="-5"/>
        </w:rPr>
        <w:t>年限制性股票激励计划（草案）》和修改后的章程规定，</w:t>
      </w:r>
      <w:r>
        <w:rPr>
          <w:spacing w:val="-66"/>
        </w:rPr>
        <w:t> </w:t>
      </w:r>
      <w:r>
        <w:rPr>
          <w:spacing w:val="-66"/>
        </w:rPr>
      </w:r>
      <w:r>
        <w:rPr/>
        <w:t>本公司决定回购注销因离职已不符合激励条件的原</w:t>
      </w:r>
      <w:r>
        <w:rPr>
          <w:rFonts w:ascii="Times New Roman" w:hAnsi="Times New Roman" w:cs="Times New Roman" w:eastAsia="Times New Roman" w:hint="default"/>
        </w:rPr>
        <w:t>5</w:t>
      </w:r>
      <w:r>
        <w:rPr/>
        <w:t>名</w:t>
      </w:r>
      <w:r>
        <w:rPr>
          <w:rFonts w:ascii="Times New Roman" w:hAnsi="Times New Roman" w:cs="Times New Roman" w:eastAsia="Times New Roman" w:hint="default"/>
        </w:rPr>
        <w:t>2015</w:t>
      </w:r>
      <w:r>
        <w:rPr/>
        <w:t>年限制性股票股权激励对象及原</w:t>
      </w:r>
      <w:r>
        <w:rPr>
          <w:rFonts w:ascii="Times New Roman" w:hAnsi="Times New Roman" w:cs="Times New Roman" w:eastAsia="Times New Roman" w:hint="default"/>
        </w:rPr>
        <w:t>8</w:t>
      </w:r>
      <w:r>
        <w:rPr/>
        <w:t>名</w:t>
      </w:r>
      <w:r>
        <w:rPr>
          <w:rFonts w:ascii="Times New Roman" w:hAnsi="Times New Roman" w:cs="Times New Roman" w:eastAsia="Times New Roman" w:hint="default"/>
        </w:rPr>
        <w:t>2016</w:t>
      </w:r>
      <w:r>
        <w:rPr/>
        <w:t>年限制性股票股权激励</w:t>
      </w:r>
      <w:r>
        <w:rPr>
          <w:spacing w:val="-5"/>
        </w:rPr>
        <w:t> </w:t>
      </w:r>
      <w:r>
        <w:rPr>
          <w:spacing w:val="-5"/>
        </w:rPr>
      </w:r>
      <w:r>
        <w:rPr/>
        <w:t>对象的已获授的全部限制性股票共计</w:t>
      </w:r>
      <w:r>
        <w:rPr>
          <w:rFonts w:ascii="Times New Roman" w:hAnsi="Times New Roman" w:cs="Times New Roman" w:eastAsia="Times New Roman" w:hint="default"/>
        </w:rPr>
        <w:t>515,200</w:t>
      </w:r>
      <w:r>
        <w:rPr/>
        <w:t>股。根据回购注销情况，本次回购注销股票数量为</w:t>
      </w:r>
      <w:r>
        <w:rPr>
          <w:rFonts w:ascii="Times New Roman" w:hAnsi="Times New Roman" w:cs="Times New Roman" w:eastAsia="Times New Roman" w:hint="default"/>
        </w:rPr>
        <w:t>515,200</w:t>
      </w:r>
      <w:r>
        <w:rPr/>
        <w:t>股，减少注册资本人</w:t>
      </w:r>
      <w:r>
        <w:rPr>
          <w:spacing w:val="-85"/>
        </w:rPr>
        <w:t> </w:t>
      </w:r>
      <w:r>
        <w:rPr/>
        <w:t>民币</w:t>
      </w:r>
      <w:r>
        <w:rPr>
          <w:rFonts w:ascii="Times New Roman" w:hAnsi="Times New Roman" w:cs="Times New Roman" w:eastAsia="Times New Roman" w:hint="default"/>
        </w:rPr>
        <w:t>515,200.00</w:t>
      </w:r>
      <w:r>
        <w:rPr/>
        <w:t>元，变更后的注册资本为人民币</w:t>
      </w:r>
      <w:r>
        <w:rPr>
          <w:rFonts w:ascii="Times New Roman" w:hAnsi="Times New Roman" w:cs="Times New Roman" w:eastAsia="Times New Roman" w:hint="default"/>
        </w:rPr>
        <w:t>449,866,257.00</w:t>
      </w:r>
      <w:r>
        <w:rPr/>
        <w:t>元。本次减资业经中汇会计师事务所（特殊普通合伙）审验，</w:t>
      </w:r>
      <w:r>
        <w:rPr>
          <w:spacing w:val="-49"/>
        </w:rPr>
        <w:t> </w:t>
      </w:r>
      <w:r>
        <w:rPr>
          <w:spacing w:val="-49"/>
        </w:rPr>
      </w:r>
      <w:r>
        <w:rPr/>
        <w:t>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日出具中汇会验</w:t>
      </w:r>
      <w:r>
        <w:rPr>
          <w:rFonts w:ascii="Times New Roman" w:hAnsi="Times New Roman" w:cs="Times New Roman" w:eastAsia="Times New Roman" w:hint="default"/>
        </w:rPr>
        <w:t>[2017]4988</w:t>
      </w:r>
      <w:r>
        <w:rPr/>
        <w:t>号验资报告。</w:t>
      </w:r>
    </w:p>
    <w:p>
      <w:pPr>
        <w:pStyle w:val="BodyText"/>
        <w:spacing w:line="300" w:lineRule="auto" w:before="13"/>
        <w:ind w:right="1034" w:firstLine="420"/>
        <w:jc w:val="left"/>
      </w:pPr>
      <w:r>
        <w:rPr/>
        <w:t>根据本公司《关于回购注销部分限制性股票及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年股权激励计划已获授但未达到第二个解锁期条件的限制 </w:t>
      </w:r>
      <w:r>
        <w:rPr>
          <w:spacing w:val="-3"/>
        </w:rPr>
        <w:t>性股票的议案》、</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日召开的第三届董事会第十四次会议决议、《</w:t>
      </w:r>
      <w:r>
        <w:rPr>
          <w:rFonts w:ascii="Times New Roman" w:hAnsi="Times New Roman" w:cs="Times New Roman" w:eastAsia="Times New Roman" w:hint="default"/>
          <w:spacing w:val="-3"/>
        </w:rPr>
        <w:t>2015</w:t>
      </w:r>
      <w:r>
        <w:rPr>
          <w:spacing w:val="-3"/>
        </w:rPr>
        <w:t>年限制性股票激励计划（草案）》、《</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2"/>
        </w:rPr>
        <w:t>年限制性股票激励计划（草案）》和修改后的章程规定，决定回购注销因离职已不符合激励条件的原</w:t>
      </w:r>
      <w:r>
        <w:rPr>
          <w:rFonts w:ascii="Times New Roman" w:hAnsi="Times New Roman" w:cs="Times New Roman" w:eastAsia="Times New Roman" w:hint="default"/>
          <w:spacing w:val="-2"/>
        </w:rPr>
        <w:t>15</w:t>
      </w:r>
      <w:r>
        <w:rPr>
          <w:spacing w:val="-2"/>
        </w:rPr>
        <w:t>名</w:t>
      </w:r>
      <w:r>
        <w:rPr>
          <w:rFonts w:ascii="Times New Roman" w:hAnsi="Times New Roman" w:cs="Times New Roman" w:eastAsia="Times New Roman" w:hint="default"/>
          <w:spacing w:val="-2"/>
        </w:rPr>
        <w:t>2015</w:t>
      </w:r>
      <w:r>
        <w:rPr>
          <w:spacing w:val="-2"/>
        </w:rPr>
        <w:t>年限制性股票</w:t>
      </w:r>
      <w:r>
        <w:rPr>
          <w:spacing w:val="-62"/>
        </w:rPr>
        <w:t> </w:t>
      </w:r>
      <w:r>
        <w:rPr>
          <w:spacing w:val="-62"/>
        </w:rPr>
      </w:r>
      <w:r>
        <w:rPr/>
        <w:t>股权激励对象及原</w:t>
      </w:r>
      <w:r>
        <w:rPr>
          <w:rFonts w:ascii="Times New Roman" w:hAnsi="Times New Roman" w:cs="Times New Roman" w:eastAsia="Times New Roman" w:hint="default"/>
        </w:rPr>
        <w:t>10</w:t>
      </w:r>
      <w:r>
        <w:rPr/>
        <w:t>名</w:t>
      </w:r>
      <w:r>
        <w:rPr>
          <w:rFonts w:ascii="Times New Roman" w:hAnsi="Times New Roman" w:cs="Times New Roman" w:eastAsia="Times New Roman" w:hint="default"/>
        </w:rPr>
        <w:t>2016</w:t>
      </w:r>
      <w:r>
        <w:rPr/>
        <w:t>年限制性股票股权激励对象已获授的全部限制性股票，共计</w:t>
      </w:r>
      <w:r>
        <w:rPr>
          <w:rFonts w:ascii="Times New Roman" w:hAnsi="Times New Roman" w:cs="Times New Roman" w:eastAsia="Times New Roman" w:hint="default"/>
        </w:rPr>
        <w:t>985,600</w:t>
      </w:r>
      <w:r>
        <w:rPr/>
        <w:t>股；回购注销由于</w:t>
      </w:r>
      <w:r>
        <w:rPr>
          <w:rFonts w:ascii="Times New Roman" w:hAnsi="Times New Roman" w:cs="Times New Roman" w:eastAsia="Times New Roman" w:hint="default"/>
        </w:rPr>
        <w:t>2015</w:t>
      </w:r>
      <w:r>
        <w:rPr/>
        <w:t>年限</w:t>
      </w:r>
      <w:r>
        <w:rPr>
          <w:spacing w:val="-44"/>
        </w:rPr>
        <w:t> </w:t>
      </w:r>
      <w:r>
        <w:rPr/>
        <w:t>制性股票第二个解锁期解锁条件及</w:t>
      </w:r>
      <w:r>
        <w:rPr>
          <w:rFonts w:ascii="Times New Roman" w:hAnsi="Times New Roman" w:cs="Times New Roman" w:eastAsia="Times New Roman" w:hint="default"/>
        </w:rPr>
        <w:t>2016</w:t>
      </w:r>
      <w:r>
        <w:rPr/>
        <w:t>年限制性股票第二个解锁期解锁条件未达成的已获授限制性股票，共计</w:t>
      </w:r>
      <w:r>
        <w:rPr>
          <w:rFonts w:ascii="Times New Roman" w:hAnsi="Times New Roman" w:cs="Times New Roman" w:eastAsia="Times New Roman" w:hint="default"/>
        </w:rPr>
        <w:t>1,632,000</w:t>
      </w:r>
      <w:r>
        <w:rPr/>
        <w:t>股，</w:t>
      </w:r>
      <w:r>
        <w:rPr>
          <w:spacing w:val="-85"/>
        </w:rPr>
        <w:t> </w:t>
      </w:r>
      <w:r>
        <w:rPr>
          <w:spacing w:val="-2"/>
        </w:rPr>
        <w:t>本公司本次将回购注销限制性股票合计</w:t>
      </w:r>
      <w:r>
        <w:rPr>
          <w:rFonts w:ascii="Times New Roman" w:hAnsi="Times New Roman" w:cs="Times New Roman" w:eastAsia="Times New Roman" w:hint="default"/>
          <w:spacing w:val="-2"/>
        </w:rPr>
        <w:t>2,617,600</w:t>
      </w:r>
      <w:r>
        <w:rPr>
          <w:spacing w:val="-2"/>
        </w:rPr>
        <w:t>股，根据回购注销情况，本次回购注销股票数量为</w:t>
      </w:r>
      <w:r>
        <w:rPr>
          <w:rFonts w:ascii="Times New Roman" w:hAnsi="Times New Roman" w:cs="Times New Roman" w:eastAsia="Times New Roman" w:hint="default"/>
          <w:spacing w:val="-2"/>
        </w:rPr>
        <w:t>2,617,600</w:t>
      </w:r>
      <w:r>
        <w:rPr>
          <w:spacing w:val="-2"/>
        </w:rPr>
        <w:t>股，减少注册资</w:t>
      </w:r>
      <w:r>
        <w:rPr>
          <w:spacing w:val="-47"/>
        </w:rPr>
        <w:t> </w:t>
      </w:r>
      <w:r>
        <w:rPr>
          <w:spacing w:val="-47"/>
        </w:rPr>
      </w:r>
      <w:r>
        <w:rPr/>
        <w:t>本人民币</w:t>
      </w:r>
      <w:r>
        <w:rPr>
          <w:rFonts w:ascii="Times New Roman" w:hAnsi="Times New Roman" w:cs="Times New Roman" w:eastAsia="Times New Roman" w:hint="default"/>
        </w:rPr>
        <w:t>2,617,600.00</w:t>
      </w:r>
      <w:r>
        <w:rPr/>
        <w:t>元，变更后的注册资本为人民币</w:t>
      </w:r>
      <w:r>
        <w:rPr>
          <w:rFonts w:ascii="Times New Roman" w:hAnsi="Times New Roman" w:cs="Times New Roman" w:eastAsia="Times New Roman" w:hint="default"/>
        </w:rPr>
        <w:t>447,248,657.00</w:t>
      </w:r>
      <w:r>
        <w:rPr/>
        <w:t>元。本次减资业经中汇会计师事务所（特殊普通合伙） 审验，并于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日出具中汇会验</w:t>
      </w:r>
      <w:r>
        <w:rPr>
          <w:rFonts w:ascii="Times New Roman" w:hAnsi="Times New Roman" w:cs="Times New Roman" w:eastAsia="Times New Roman" w:hint="default"/>
        </w:rPr>
        <w:t>[2018]3791</w:t>
      </w:r>
      <w:r>
        <w:rPr/>
        <w:t>号验资报告。</w:t>
      </w:r>
    </w:p>
    <w:p>
      <w:pPr>
        <w:pStyle w:val="BodyText"/>
        <w:spacing w:line="300" w:lineRule="auto" w:before="13"/>
        <w:ind w:right="1034" w:firstLine="420"/>
        <w:jc w:val="left"/>
      </w:pPr>
      <w:r>
        <w:rPr/>
        <w:t>根据本公司《关于回购注销部分限制性股票的议案》、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日召开的第三届董事会第十七次会议决议、《</w:t>
      </w:r>
      <w:r>
        <w:rPr>
          <w:rFonts w:ascii="Times New Roman" w:hAnsi="Times New Roman" w:cs="Times New Roman" w:eastAsia="Times New Roman" w:hint="default"/>
        </w:rPr>
        <w:t>2015 </w:t>
      </w:r>
      <w:r>
        <w:rPr>
          <w:spacing w:val="-2"/>
        </w:rPr>
        <w:t>年限制性股票激励计划（草案）》、《</w:t>
      </w:r>
      <w:r>
        <w:rPr>
          <w:rFonts w:ascii="Times New Roman" w:hAnsi="Times New Roman" w:cs="Times New Roman" w:eastAsia="Times New Roman" w:hint="default"/>
          <w:spacing w:val="-2"/>
        </w:rPr>
        <w:t>2016</w:t>
      </w:r>
      <w:r>
        <w:rPr>
          <w:spacing w:val="-2"/>
        </w:rPr>
        <w:t>年限制性股票激励计划（草案）》和修改后的章程规定，决定回购注销因离职已</w:t>
      </w:r>
      <w:r>
        <w:rPr>
          <w:spacing w:val="-65"/>
        </w:rPr>
        <w:t> </w:t>
      </w:r>
      <w:r>
        <w:rPr>
          <w:spacing w:val="-65"/>
        </w:rPr>
      </w:r>
      <w:r>
        <w:rPr/>
        <w:t>不符合激励条件的原</w:t>
      </w:r>
      <w:r>
        <w:rPr>
          <w:rFonts w:ascii="Times New Roman" w:hAnsi="Times New Roman" w:cs="Times New Roman" w:eastAsia="Times New Roman" w:hint="default"/>
        </w:rPr>
        <w:t>7</w:t>
      </w:r>
      <w:r>
        <w:rPr/>
        <w:t>名</w:t>
      </w:r>
      <w:r>
        <w:rPr>
          <w:rFonts w:ascii="Times New Roman" w:hAnsi="Times New Roman" w:cs="Times New Roman" w:eastAsia="Times New Roman" w:hint="default"/>
        </w:rPr>
        <w:t>2015</w:t>
      </w:r>
      <w:r>
        <w:rPr/>
        <w:t>年限制性股票股权激励对象及原</w:t>
      </w:r>
      <w:r>
        <w:rPr>
          <w:rFonts w:ascii="Times New Roman" w:hAnsi="Times New Roman" w:cs="Times New Roman" w:eastAsia="Times New Roman" w:hint="default"/>
        </w:rPr>
        <w:t>1</w:t>
      </w:r>
      <w:r>
        <w:rPr/>
        <w:t>名</w:t>
      </w:r>
      <w:r>
        <w:rPr>
          <w:rFonts w:ascii="Times New Roman" w:hAnsi="Times New Roman" w:cs="Times New Roman" w:eastAsia="Times New Roman" w:hint="default"/>
        </w:rPr>
        <w:t>2016</w:t>
      </w:r>
      <w:r>
        <w:rPr/>
        <w:t>年限制性股票股权激励对象已获授的全部限制性股票， </w:t>
      </w:r>
      <w:r>
        <w:rPr>
          <w:spacing w:val="-2"/>
        </w:rPr>
        <w:t>共计</w:t>
      </w:r>
      <w:r>
        <w:rPr>
          <w:rFonts w:ascii="Times New Roman" w:hAnsi="Times New Roman" w:cs="Times New Roman" w:eastAsia="Times New Roman" w:hint="default"/>
          <w:spacing w:val="-2"/>
        </w:rPr>
        <w:t>192,000</w:t>
      </w:r>
      <w:r>
        <w:rPr>
          <w:spacing w:val="-2"/>
        </w:rPr>
        <w:t>股。根据回购注销情况，本次回购注销股票数量为</w:t>
      </w:r>
      <w:r>
        <w:rPr>
          <w:rFonts w:ascii="Times New Roman" w:hAnsi="Times New Roman" w:cs="Times New Roman" w:eastAsia="Times New Roman" w:hint="default"/>
          <w:spacing w:val="-2"/>
        </w:rPr>
        <w:t>192,000</w:t>
      </w:r>
      <w:r>
        <w:rPr>
          <w:spacing w:val="-2"/>
        </w:rPr>
        <w:t>股，减少注册资本人民币</w:t>
      </w:r>
      <w:r>
        <w:rPr>
          <w:rFonts w:ascii="Times New Roman" w:hAnsi="Times New Roman" w:cs="Times New Roman" w:eastAsia="Times New Roman" w:hint="default"/>
          <w:spacing w:val="-2"/>
        </w:rPr>
        <w:t>192,000.00</w:t>
      </w:r>
      <w:r>
        <w:rPr>
          <w:spacing w:val="-2"/>
        </w:rPr>
        <w:t>元，变更后的注册</w:t>
      </w:r>
      <w:r>
        <w:rPr>
          <w:spacing w:val="-50"/>
        </w:rPr>
        <w:t> </w:t>
      </w:r>
      <w:r>
        <w:rPr>
          <w:spacing w:val="-50"/>
        </w:rPr>
      </w:r>
      <w:r>
        <w:rPr/>
        <w:t>资本为人民币</w:t>
      </w:r>
      <w:r>
        <w:rPr>
          <w:rFonts w:ascii="Times New Roman" w:hAnsi="Times New Roman" w:cs="Times New Roman" w:eastAsia="Times New Roman" w:hint="default"/>
        </w:rPr>
        <w:t>447,056,657.00</w:t>
      </w:r>
      <w:r>
        <w:rPr/>
        <w:t>元。本次减资业经中汇会计师事务所（特殊普通合伙）审验，并于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日出具中汇会</w:t>
      </w:r>
      <w:r>
        <w:rPr>
          <w:spacing w:val="-47"/>
        </w:rPr>
        <w:t> </w:t>
      </w:r>
      <w:r>
        <w:rPr>
          <w:spacing w:val="-47"/>
        </w:rPr>
      </w:r>
      <w:r>
        <w:rPr/>
        <w:t>验</w:t>
      </w:r>
      <w:r>
        <w:rPr>
          <w:rFonts w:ascii="Times New Roman" w:hAnsi="Times New Roman" w:cs="Times New Roman" w:eastAsia="Times New Roman" w:hint="default"/>
        </w:rPr>
        <w:t>[2018]4452</w:t>
      </w:r>
      <w:r>
        <w:rPr/>
        <w:t>号验资报告。</w:t>
      </w:r>
    </w:p>
    <w:p>
      <w:pPr>
        <w:pStyle w:val="BodyText"/>
        <w:spacing w:line="300" w:lineRule="auto" w:before="13"/>
        <w:ind w:right="1131" w:firstLine="420"/>
        <w:jc w:val="both"/>
      </w:pPr>
      <w:r>
        <w:rPr>
          <w:spacing w:val="-1"/>
        </w:rPr>
        <w:t>公司的控股股东鹰潭市鹰高投资咨询有限公司（以下简称</w:t>
      </w:r>
      <w:r>
        <w:rPr>
          <w:rFonts w:ascii="Times New Roman" w:hAnsi="Times New Roman" w:cs="Times New Roman" w:eastAsia="Times New Roman" w:hint="default"/>
          <w:spacing w:val="-1"/>
        </w:rPr>
        <w:t>“</w:t>
      </w:r>
      <w:r>
        <w:rPr>
          <w:spacing w:val="-1"/>
        </w:rPr>
        <w:t>鹰高投资</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2017</w:t>
      </w:r>
      <w:r>
        <w:rPr>
          <w:spacing w:val="-1"/>
        </w:rPr>
        <w:t>年发行了</w:t>
      </w:r>
      <w:r>
        <w:rPr>
          <w:rFonts w:ascii="Times New Roman" w:hAnsi="Times New Roman" w:cs="Times New Roman" w:eastAsia="Times New Roman" w:hint="default"/>
          <w:spacing w:val="-1"/>
        </w:rPr>
        <w:t>“</w:t>
      </w:r>
      <w:r>
        <w:rPr>
          <w:spacing w:val="-1"/>
        </w:rPr>
        <w:t>鹰潭市鹰高投资咨询有限公司</w:t>
      </w:r>
      <w:r>
        <w:rPr/>
        <w:t> </w:t>
      </w:r>
      <w:r>
        <w:rPr>
          <w:rFonts w:ascii="Times New Roman" w:hAnsi="Times New Roman" w:cs="Times New Roman" w:eastAsia="Times New Roman" w:hint="default"/>
        </w:rPr>
        <w:t>2017</w:t>
      </w:r>
      <w:r>
        <w:rPr/>
        <w:t>年非公开发行可交换公司债券</w:t>
      </w:r>
      <w:r>
        <w:rPr>
          <w:rFonts w:ascii="Times New Roman" w:hAnsi="Times New Roman" w:cs="Times New Roman" w:eastAsia="Times New Roman" w:hint="default"/>
        </w:rPr>
        <w:t>”</w:t>
      </w:r>
      <w:r>
        <w:rPr/>
        <w:t>，根据有关规定和《鹰潭市鹰高投资咨询有限公司</w:t>
      </w:r>
      <w:r>
        <w:rPr>
          <w:rFonts w:ascii="Times New Roman" w:hAnsi="Times New Roman" w:cs="Times New Roman" w:eastAsia="Times New Roman" w:hint="default"/>
        </w:rPr>
        <w:t>2017</w:t>
      </w:r>
      <w:r>
        <w:rPr/>
        <w:t>年非公开发行可交换公司债券募</w:t>
      </w:r>
      <w:r>
        <w:rPr>
          <w:spacing w:val="-77"/>
        </w:rPr>
        <w:t> </w:t>
      </w:r>
      <w:r>
        <w:rPr>
          <w:spacing w:val="-77"/>
        </w:rPr>
      </w:r>
      <w:r>
        <w:rPr>
          <w:spacing w:val="-1"/>
        </w:rPr>
        <w:t>集说明书》的约定，</w:t>
      </w:r>
      <w:r>
        <w:rPr>
          <w:rFonts w:ascii="Times New Roman" w:hAnsi="Times New Roman" w:cs="Times New Roman" w:eastAsia="Times New Roman" w:hint="default"/>
          <w:spacing w:val="-1"/>
        </w:rPr>
        <w:t>“17</w:t>
      </w:r>
      <w:r>
        <w:rPr>
          <w:spacing w:val="-1"/>
        </w:rPr>
        <w:t>鹰高</w:t>
      </w:r>
      <w:r>
        <w:rPr>
          <w:rFonts w:ascii="Times New Roman" w:hAnsi="Times New Roman" w:cs="Times New Roman" w:eastAsia="Times New Roman" w:hint="default"/>
          <w:spacing w:val="-1"/>
        </w:rPr>
        <w:t>E1”</w:t>
      </w:r>
      <w:r>
        <w:rPr>
          <w:spacing w:val="-1"/>
        </w:rPr>
        <w:t>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8</w:t>
      </w:r>
      <w:r>
        <w:rPr>
          <w:spacing w:val="-1"/>
        </w:rPr>
        <w:t>日起可交换为鹰高投资持有的本公司</w:t>
      </w:r>
      <w:r>
        <w:rPr>
          <w:rFonts w:ascii="Times New Roman" w:hAnsi="Times New Roman" w:cs="Times New Roman" w:eastAsia="Times New Roman" w:hint="default"/>
          <w:spacing w:val="-1"/>
        </w:rPr>
        <w:t>A</w:t>
      </w:r>
      <w:r>
        <w:rPr>
          <w:spacing w:val="-1"/>
        </w:rPr>
        <w:t>股股票。</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26</w:t>
      </w:r>
      <w:r>
        <w:rPr>
          <w:spacing w:val="-1"/>
        </w:rPr>
        <w:t>日，鹰高投资披</w:t>
      </w:r>
      <w:r>
        <w:rPr>
          <w:spacing w:val="-67"/>
        </w:rPr>
        <w:t> </w:t>
      </w:r>
      <w:r>
        <w:rPr>
          <w:spacing w:val="-67"/>
        </w:rPr>
      </w:r>
      <w:r>
        <w:rPr/>
        <w:t>露了《鹰潭市鹰高投资咨询有限公司关于</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鹰高</w:t>
      </w:r>
      <w:r>
        <w:rPr>
          <w:rFonts w:ascii="Times New Roman" w:hAnsi="Times New Roman" w:cs="Times New Roman" w:eastAsia="Times New Roman" w:hint="default"/>
        </w:rPr>
        <w:t>E1”</w:t>
      </w:r>
      <w:r>
        <w:rPr/>
        <w:t>开始实施换股的公告》，本次债券换股期限自可交换债券发行结束日 满</w:t>
      </w:r>
      <w:r>
        <w:rPr>
          <w:rFonts w:ascii="Times New Roman" w:hAnsi="Times New Roman" w:cs="Times New Roman" w:eastAsia="Times New Roman" w:hint="default"/>
        </w:rPr>
        <w:t>18</w:t>
      </w:r>
      <w:r>
        <w:rPr/>
        <w:t>个月后的第一个交易日起至本次债券摘牌日前一交易日止，即自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日止。截止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5"/>
        </w:rPr>
        <w:t> </w:t>
      </w:r>
      <w:r>
        <w:rPr/>
        <w:t>月</w:t>
      </w:r>
      <w:r>
        <w:rPr>
          <w:rFonts w:ascii="Times New Roman" w:hAnsi="Times New Roman" w:cs="Times New Roman" w:eastAsia="Times New Roman" w:hint="default"/>
        </w:rPr>
        <w:t>31</w:t>
      </w:r>
      <w:r>
        <w:rPr/>
        <w:t>日，本次可交换债券已完成换股</w:t>
      </w:r>
      <w:r>
        <w:rPr>
          <w:rFonts w:ascii="Times New Roman" w:hAnsi="Times New Roman" w:cs="Times New Roman" w:eastAsia="Times New Roman" w:hint="default"/>
        </w:rPr>
        <w:t>5,468,224</w:t>
      </w:r>
      <w:r>
        <w:rPr/>
        <w:t>股。</w:t>
      </w:r>
    </w:p>
    <w:p>
      <w:pPr>
        <w:pStyle w:val="BodyText"/>
        <w:spacing w:line="240" w:lineRule="auto" w:before="13"/>
        <w:ind w:left="573" w:right="1117"/>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日，公司股本结构如下：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5361"/>
        <w:gridCol w:w="1699"/>
        <w:gridCol w:w="1481"/>
      </w:tblGrid>
      <w:tr>
        <w:trPr>
          <w:trHeight w:val="348" w:hRule="exact"/>
        </w:trPr>
        <w:tc>
          <w:tcPr>
            <w:tcW w:w="5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所持股份（股）</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9"/>
              <w:jc w:val="right"/>
              <w:rPr>
                <w:rFonts w:ascii="宋体" w:hAnsi="宋体" w:cs="宋体" w:eastAsia="宋体" w:hint="default"/>
                <w:sz w:val="18"/>
                <w:szCs w:val="18"/>
              </w:rPr>
            </w:pPr>
            <w:r>
              <w:rPr>
                <w:rFonts w:ascii="宋体" w:hAnsi="宋体" w:cs="宋体" w:eastAsia="宋体" w:hint="default"/>
                <w:spacing w:val="-1"/>
                <w:sz w:val="18"/>
                <w:szCs w:val="18"/>
              </w:rPr>
              <w:t>股权比例（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346" w:hRule="exact"/>
        </w:trPr>
        <w:tc>
          <w:tcPr>
            <w:tcW w:w="5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鹰潭市鹰高投资咨询有限公司</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135,375,516</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30.28</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67" w:top="1100" w:bottom="1460" w:left="980" w:right="0"/>
        </w:sectPr>
      </w:pPr>
    </w:p>
    <w:p>
      <w:pPr>
        <w:spacing w:line="240" w:lineRule="auto" w:before="5"/>
        <w:rPr>
          <w:rFonts w:ascii="宋体" w:hAnsi="宋体" w:cs="宋体" w:eastAsia="宋体" w:hint="default"/>
          <w:sz w:val="25"/>
          <w:szCs w:val="25"/>
        </w:rPr>
      </w:pPr>
    </w:p>
    <w:tbl>
      <w:tblPr>
        <w:tblW w:w="0" w:type="auto"/>
        <w:jc w:val="left"/>
        <w:tblInd w:w="145" w:type="dxa"/>
        <w:tblLayout w:type="fixed"/>
        <w:tblCellMar>
          <w:top w:w="0" w:type="dxa"/>
          <w:left w:w="0" w:type="dxa"/>
          <w:bottom w:w="0" w:type="dxa"/>
          <w:right w:w="0" w:type="dxa"/>
        </w:tblCellMar>
        <w:tblLook w:val="01E0"/>
      </w:tblPr>
      <w:tblGrid>
        <w:gridCol w:w="5361"/>
        <w:gridCol w:w="1699"/>
        <w:gridCol w:w="1481"/>
      </w:tblGrid>
      <w:tr>
        <w:trPr>
          <w:trHeight w:val="348" w:hRule="exact"/>
        </w:trPr>
        <w:tc>
          <w:tcPr>
            <w:tcW w:w="5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银联科技有限公司</w:t>
            </w:r>
            <w:r>
              <w:rPr>
                <w:rFonts w:ascii="Times New Roman" w:hAnsi="Times New Roman" w:cs="Times New Roman" w:eastAsia="Times New Roman" w:hint="default"/>
                <w:sz w:val="18"/>
                <w:szCs w:val="18"/>
              </w:rPr>
              <w:t>(Silver Team Technology</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Limited)</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37,101,580</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8.30</w:t>
            </w:r>
          </w:p>
        </w:tc>
      </w:tr>
      <w:tr>
        <w:trPr>
          <w:trHeight w:val="346" w:hRule="exact"/>
        </w:trPr>
        <w:tc>
          <w:tcPr>
            <w:tcW w:w="5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鹰潭市锐鹰投资咨询有限公司</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655,172</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0.15</w:t>
            </w:r>
          </w:p>
        </w:tc>
      </w:tr>
      <w:tr>
        <w:trPr>
          <w:trHeight w:val="348" w:hRule="exact"/>
        </w:trPr>
        <w:tc>
          <w:tcPr>
            <w:tcW w:w="5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北京睿韬科技有限责任公司</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8,847,265</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1.98</w:t>
            </w:r>
          </w:p>
        </w:tc>
      </w:tr>
      <w:tr>
        <w:trPr>
          <w:trHeight w:val="346" w:hRule="exact"/>
        </w:trPr>
        <w:tc>
          <w:tcPr>
            <w:tcW w:w="5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宁波镇海翔易融联投资管理合伙企业（有限合伙）</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5,898,177</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1.32</w:t>
            </w:r>
          </w:p>
        </w:tc>
      </w:tr>
      <w:tr>
        <w:trPr>
          <w:trHeight w:val="348" w:hRule="exact"/>
        </w:trPr>
        <w:tc>
          <w:tcPr>
            <w:tcW w:w="5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余江县泰和睿思技术服务中心（有限合伙）</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1,125,075</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0.25</w:t>
            </w:r>
          </w:p>
        </w:tc>
      </w:tr>
      <w:tr>
        <w:trPr>
          <w:trHeight w:val="346" w:hRule="exact"/>
        </w:trPr>
        <w:tc>
          <w:tcPr>
            <w:tcW w:w="5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256,069,872</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57.28</w:t>
            </w:r>
          </w:p>
        </w:tc>
      </w:tr>
      <w:tr>
        <w:trPr>
          <w:trHeight w:val="348" w:hRule="exact"/>
        </w:trPr>
        <w:tc>
          <w:tcPr>
            <w:tcW w:w="5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内部员工股权激励持股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1,984,000</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0.44</w:t>
            </w:r>
          </w:p>
        </w:tc>
      </w:tr>
      <w:tr>
        <w:trPr>
          <w:trHeight w:val="348" w:hRule="exact"/>
        </w:trPr>
        <w:tc>
          <w:tcPr>
            <w:tcW w:w="5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447,056,657</w:t>
            </w:r>
          </w:p>
        </w:tc>
        <w:tc>
          <w:tcPr>
            <w:tcW w:w="14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19" w:lineRule="auto" w:before="8"/>
        <w:ind w:right="1131" w:firstLine="271"/>
        <w:jc w:val="both"/>
      </w:pPr>
      <w:r>
        <w:rPr/>
        <w:t>本公司的基本组织架构：根据国家法律法规和公司章程的规定，建立了由股东大会、董事会、监事会及经营管理层组成 </w:t>
      </w:r>
      <w:r>
        <w:rPr>
          <w:spacing w:val="-2"/>
        </w:rPr>
        <w:t>的规范的多层次治理结构；董事会下设战略委员会、薪酬与考核委员会、提名委员会、审计与风险控制委员会等四个专门委</w:t>
      </w:r>
      <w:r>
        <w:rPr>
          <w:spacing w:val="-64"/>
        </w:rPr>
        <w:t> </w:t>
      </w:r>
      <w:r>
        <w:rPr>
          <w:spacing w:val="-64"/>
        </w:rPr>
      </w:r>
      <w:r>
        <w:rPr>
          <w:spacing w:val="-5"/>
        </w:rPr>
        <w:t>员会和董事会办公室。公司下设金融软件中心、研发中心、战略发展部、运营管理部、战略投资部、解决方案中心、财务部、</w:t>
      </w:r>
      <w:r>
        <w:rPr>
          <w:spacing w:val="-84"/>
        </w:rPr>
        <w:t> </w:t>
      </w:r>
      <w:r>
        <w:rPr>
          <w:spacing w:val="-84"/>
        </w:rPr>
      </w:r>
      <w:r>
        <w:rPr/>
        <w:t>人力资源部、资金部、市场部等主要职能部门。</w:t>
      </w:r>
    </w:p>
    <w:p>
      <w:pPr>
        <w:pStyle w:val="BodyText"/>
        <w:spacing w:line="314" w:lineRule="auto" w:before="17"/>
        <w:ind w:right="1131" w:firstLine="271"/>
        <w:jc w:val="both"/>
      </w:pPr>
      <w:r>
        <w:rPr/>
        <w:t>本公司属软件和信息技术服务业。经营范围为：开发计算机软件及配套硬件、系统集成；销售自产产品、批发机电设备 </w:t>
      </w:r>
      <w:r>
        <w:rPr>
          <w:spacing w:val="-2"/>
        </w:rPr>
        <w:t>产品；售后技术服务、技术咨询；承接计算机网络工程安装。（上述经营范围不涉及国营贸易管理商品；涉及配额、许可证</w:t>
      </w:r>
      <w:r>
        <w:rPr>
          <w:spacing w:val="-71"/>
        </w:rPr>
        <w:t> </w:t>
      </w:r>
      <w:r>
        <w:rPr>
          <w:spacing w:val="-71"/>
        </w:rPr>
      </w:r>
      <w:r>
        <w:rPr>
          <w:spacing w:val="-2"/>
        </w:rPr>
        <w:t>管理商品的按照国家有关规定办理申请）（依法须经批准的项目，经相关部门批准后依批准的内容开展经营活动）。主营业</w:t>
      </w:r>
      <w:r>
        <w:rPr>
          <w:spacing w:val="-67"/>
        </w:rPr>
        <w:t> </w:t>
      </w:r>
      <w:r>
        <w:rPr>
          <w:spacing w:val="-67"/>
        </w:rPr>
      </w:r>
      <w:r>
        <w:rPr>
          <w:spacing w:val="-5"/>
        </w:rPr>
        <w:t>务为</w:t>
      </w:r>
      <w:r>
        <w:rPr>
          <w:rFonts w:ascii="Times New Roman" w:hAnsi="Times New Roman" w:cs="Times New Roman" w:eastAsia="Times New Roman" w:hint="default"/>
          <w:spacing w:val="-5"/>
        </w:rPr>
        <w:t>IT</w:t>
      </w:r>
      <w:r>
        <w:rPr>
          <w:spacing w:val="-5"/>
        </w:rPr>
        <w:t>服务，包括</w:t>
      </w:r>
      <w:r>
        <w:rPr>
          <w:rFonts w:ascii="Times New Roman" w:hAnsi="Times New Roman" w:cs="Times New Roman" w:eastAsia="Times New Roman" w:hint="default"/>
          <w:spacing w:val="-5"/>
        </w:rPr>
        <w:t>IT</w:t>
      </w:r>
      <w:r>
        <w:rPr>
          <w:spacing w:val="-5"/>
        </w:rPr>
        <w:t>解决方案、系统集成、</w:t>
      </w:r>
      <w:r>
        <w:rPr>
          <w:rFonts w:ascii="Times New Roman" w:hAnsi="Times New Roman" w:cs="Times New Roman" w:eastAsia="Times New Roman" w:hint="default"/>
          <w:spacing w:val="-5"/>
        </w:rPr>
        <w:t>IT</w:t>
      </w:r>
      <w:r>
        <w:rPr>
          <w:spacing w:val="-5"/>
        </w:rPr>
        <w:t>运维服务和软件外包服务；移动广告营销，包括移动数据推广、专有品牌推广、</w:t>
      </w:r>
      <w:r>
        <w:rPr>
          <w:spacing w:val="-36"/>
        </w:rPr>
        <w:t> </w:t>
      </w:r>
      <w:r>
        <w:rPr>
          <w:spacing w:val="-36"/>
        </w:rPr>
      </w:r>
      <w:r>
        <w:rPr/>
        <w:t>自有平台广告、电商推广、第三方平台广告、小说代理业务。</w:t>
      </w:r>
    </w:p>
    <w:p>
      <w:pPr>
        <w:pStyle w:val="BodyText"/>
        <w:spacing w:line="300" w:lineRule="auto" w:before="20"/>
        <w:ind w:left="515" w:right="1117"/>
        <w:jc w:val="left"/>
      </w:pPr>
      <w:r>
        <w:rPr/>
        <w:t>本财务报表及财务报表附注已于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日经公司董事会第三届董事会第二十一次会议批准。 </w:t>
      </w:r>
      <w:r>
        <w:rPr>
          <w:spacing w:val="-2"/>
        </w:rPr>
        <w:t>本公司</w:t>
      </w:r>
      <w:r>
        <w:rPr>
          <w:rFonts w:ascii="Times New Roman" w:hAnsi="Times New Roman" w:cs="Times New Roman" w:eastAsia="Times New Roman" w:hint="default"/>
          <w:spacing w:val="-2"/>
        </w:rPr>
        <w:t>2018</w:t>
      </w:r>
      <w:r>
        <w:rPr>
          <w:spacing w:val="-2"/>
        </w:rPr>
        <w:t>年度纳入合并范围的子公司共</w:t>
      </w:r>
      <w:r>
        <w:rPr>
          <w:rFonts w:ascii="Times New Roman" w:hAnsi="Times New Roman" w:cs="Times New Roman" w:eastAsia="Times New Roman" w:hint="default"/>
          <w:spacing w:val="-2"/>
        </w:rPr>
        <w:t>22</w:t>
      </w:r>
      <w:r>
        <w:rPr>
          <w:spacing w:val="-2"/>
        </w:rPr>
        <w:t>家，详见附注七</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。与上年度相比，本公司本年度合并</w:t>
      </w:r>
    </w:p>
    <w:p>
      <w:pPr>
        <w:pStyle w:val="BodyText"/>
        <w:spacing w:line="240" w:lineRule="auto" w:before="13"/>
        <w:ind w:right="1117"/>
        <w:jc w:val="left"/>
      </w:pPr>
      <w:r>
        <w:rPr/>
        <w:t>范围增加</w:t>
      </w:r>
      <w:r>
        <w:rPr>
          <w:rFonts w:ascii="Times New Roman" w:hAnsi="Times New Roman" w:cs="Times New Roman" w:eastAsia="Times New Roman" w:hint="default"/>
        </w:rPr>
        <w:t>6</w:t>
      </w:r>
      <w:r>
        <w:rPr/>
        <w:t>家，详见附注六</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9" w:firstLine="362"/>
        <w:jc w:val="both"/>
      </w:pPr>
      <w:r>
        <w:rPr>
          <w:spacing w:val="-2"/>
        </w:rPr>
        <w:t>本公司以持续经营为基础，根据实际发生的交易和事项，按照财政部颁布的《企业会计准则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w:t>
      </w:r>
      <w:r>
        <w:rPr/>
        <w:t> 会计准则、企业会计准则应用指南、企业会计准则解释及其他相关规定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，中国证券监督管理委员 </w:t>
      </w:r>
      <w:r>
        <w:rPr>
          <w:spacing w:val="-1"/>
        </w:rPr>
        <w:t>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财务报告的一般规定》</w:t>
      </w:r>
      <w:r>
        <w:rPr>
          <w:rFonts w:ascii="Times New Roman" w:hAnsi="Times New Roman" w:cs="Times New Roman" w:eastAsia="Times New Roman" w:hint="default"/>
          <w:spacing w:val="-1"/>
        </w:rPr>
        <w:t>(2014</w:t>
      </w:r>
      <w:r>
        <w:rPr>
          <w:spacing w:val="-1"/>
        </w:rPr>
        <w:t>年修订</w:t>
      </w:r>
      <w:r>
        <w:rPr>
          <w:rFonts w:ascii="Times New Roman" w:hAnsi="Times New Roman" w:cs="Times New Roman" w:eastAsia="Times New Roman" w:hint="default"/>
          <w:spacing w:val="-1"/>
        </w:rPr>
        <w:t>)</w:t>
      </w:r>
      <w:r>
        <w:rPr>
          <w:spacing w:val="-1"/>
        </w:rPr>
        <w:t>，以及深圳证券交易所《深圳证</w:t>
      </w:r>
      <w:r>
        <w:rPr>
          <w:spacing w:val="-54"/>
        </w:rPr>
        <w:t> </w:t>
      </w:r>
      <w:r>
        <w:rPr>
          <w:spacing w:val="-54"/>
        </w:rPr>
      </w:r>
      <w:r>
        <w:rPr/>
        <w:t>券交易所行业信息披露指引第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上市公司从事软件与信息技术服务业务》的披露规定编制财务报表。</w:t>
      </w:r>
    </w:p>
    <w:p>
      <w:pPr>
        <w:spacing w:line="240" w:lineRule="auto" w:before="4"/>
        <w:rPr>
          <w:rFonts w:ascii="宋体" w:hAnsi="宋体" w:cs="宋体" w:eastAsia="宋体" w:hint="default"/>
          <w:sz w:val="22"/>
          <w:szCs w:val="22"/>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335" w:right="1117"/>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52" w:lineRule="auto"/>
        <w:ind w:right="7694"/>
        <w:jc w:val="left"/>
      </w:pPr>
      <w:r>
        <w:rPr/>
        <w:t>公司是否需要遵守特殊行业的披露要求 是 软件与信息技术服务业</w:t>
      </w:r>
      <w:r>
        <w:rPr>
          <w:rFonts w:ascii="Times New Roman" w:hAnsi="Times New Roman" w:cs="Times New Roman" w:eastAsia="Times New Roman" w:hint="default"/>
        </w:rPr>
        <w:t>;</w:t>
      </w:r>
      <w:r>
        <w:rPr/>
        <w:t>互联网营销业 具体会计政策和会计估计提示：</w:t>
      </w:r>
    </w:p>
    <w:p>
      <w:pPr>
        <w:pStyle w:val="BodyText"/>
        <w:spacing w:line="319" w:lineRule="auto" w:before="32"/>
        <w:ind w:right="991" w:firstLine="362"/>
        <w:jc w:val="left"/>
      </w:pPr>
      <w:r>
        <w:rPr>
          <w:spacing w:val="-4"/>
        </w:rPr>
        <w:t>本公司及各子公司根据实际生产经营特点，依据相关企业会计准则的规定，对应收款项坏账准备的确认标准和计提方法、</w:t>
      </w:r>
      <w:r>
        <w:rPr/>
        <w:t> </w:t>
      </w:r>
      <w:r>
        <w:rPr>
          <w:spacing w:val="-2"/>
        </w:rPr>
        <w:t>固定资产折旧政策、无形资产摊销政策、研发费用资本化条件、长期待摊费用摊销政策和收入确认原则等交易和事项指定了</w:t>
      </w:r>
      <w:r>
        <w:rPr>
          <w:spacing w:val="-63"/>
        </w:rPr>
        <w:t> </w:t>
      </w:r>
      <w:r>
        <w:rPr>
          <w:spacing w:val="-63"/>
        </w:rPr>
      </w:r>
      <w:r>
        <w:rPr>
          <w:spacing w:val="-2"/>
        </w:rPr>
        <w:t>若干具体会计政策和会计估计，具体会计政策参见附注三</w:t>
      </w:r>
      <w:r>
        <w:rPr>
          <w:rFonts w:ascii="Times New Roman" w:hAnsi="Times New Roman" w:cs="Times New Roman" w:eastAsia="Times New Roman" w:hint="default"/>
          <w:spacing w:val="-2"/>
        </w:rPr>
        <w:t>(</w:t>
      </w:r>
      <w:r>
        <w:rPr>
          <w:spacing w:val="-2"/>
        </w:rPr>
        <w:t>十二</w:t>
      </w:r>
      <w:r>
        <w:rPr>
          <w:rFonts w:ascii="Times New Roman" w:hAnsi="Times New Roman" w:cs="Times New Roman" w:eastAsia="Times New Roman" w:hint="default"/>
          <w:spacing w:val="-2"/>
        </w:rPr>
        <w:t>)</w:t>
      </w:r>
      <w:r>
        <w:rPr>
          <w:spacing w:val="-2"/>
        </w:rPr>
        <w:t>、附注三</w:t>
      </w:r>
      <w:r>
        <w:rPr>
          <w:rFonts w:ascii="Times New Roman" w:hAnsi="Times New Roman" w:cs="Times New Roman" w:eastAsia="Times New Roman" w:hint="default"/>
          <w:spacing w:val="-2"/>
        </w:rPr>
        <w:t>(</w:t>
      </w:r>
      <w:r>
        <w:rPr>
          <w:spacing w:val="-2"/>
        </w:rPr>
        <w:t>十六</w:t>
      </w:r>
      <w:r>
        <w:rPr>
          <w:rFonts w:ascii="Times New Roman" w:hAnsi="Times New Roman" w:cs="Times New Roman" w:eastAsia="Times New Roman" w:hint="default"/>
          <w:spacing w:val="-2"/>
        </w:rPr>
        <w:t>)</w:t>
      </w:r>
      <w:r>
        <w:rPr>
          <w:spacing w:val="-2"/>
        </w:rPr>
        <w:t>、附注三</w:t>
      </w:r>
      <w:r>
        <w:rPr>
          <w:rFonts w:ascii="Times New Roman" w:hAnsi="Times New Roman" w:cs="Times New Roman" w:eastAsia="Times New Roman" w:hint="default"/>
          <w:spacing w:val="-2"/>
        </w:rPr>
        <w:t>(</w:t>
      </w:r>
      <w:r>
        <w:rPr>
          <w:spacing w:val="-2"/>
        </w:rPr>
        <w:t>十八</w:t>
      </w:r>
      <w:r>
        <w:rPr>
          <w:rFonts w:ascii="Times New Roman" w:hAnsi="Times New Roman" w:cs="Times New Roman" w:eastAsia="Times New Roman" w:hint="default"/>
          <w:spacing w:val="-2"/>
        </w:rPr>
        <w:t>)</w:t>
      </w:r>
      <w:r>
        <w:rPr>
          <w:spacing w:val="-2"/>
        </w:rPr>
        <w:t>、附注三</w:t>
      </w:r>
      <w:r>
        <w:rPr>
          <w:rFonts w:ascii="Times New Roman" w:hAnsi="Times New Roman" w:cs="Times New Roman" w:eastAsia="Times New Roman" w:hint="default"/>
          <w:spacing w:val="-2"/>
        </w:rPr>
        <w:t>(</w:t>
      </w:r>
      <w:r>
        <w:rPr>
          <w:spacing w:val="-2"/>
        </w:rPr>
        <w:t>二十</w:t>
      </w:r>
      <w:r>
        <w:rPr>
          <w:rFonts w:ascii="Times New Roman" w:hAnsi="Times New Roman" w:cs="Times New Roman" w:eastAsia="Times New Roman" w:hint="default"/>
          <w:spacing w:val="-2"/>
        </w:rPr>
        <w:t>)</w:t>
      </w:r>
      <w:r>
        <w:rPr>
          <w:spacing w:val="-2"/>
        </w:rPr>
        <w:t>和附注三</w:t>
      </w:r>
      <w:r>
        <w:rPr>
          <w:rFonts w:ascii="Times New Roman" w:hAnsi="Times New Roman" w:cs="Times New Roman" w:eastAsia="Times New Roman" w:hint="default"/>
          <w:spacing w:val="-2"/>
        </w:rPr>
        <w:t>(</w:t>
      </w:r>
      <w:r>
        <w:rPr>
          <w:spacing w:val="-2"/>
        </w:rPr>
        <w:t>二十</w:t>
      </w:r>
      <w:r>
        <w:rPr/>
      </w:r>
    </w:p>
    <w:p>
      <w:pPr>
        <w:spacing w:after="0" w:line="319" w:lineRule="auto"/>
        <w:jc w:val="left"/>
        <w:sectPr>
          <w:pgSz w:w="11910" w:h="16840"/>
          <w:pgMar w:header="786" w:footer="1267" w:top="1100" w:bottom="146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1117"/>
        <w:jc w:val="left"/>
      </w:pPr>
      <w:r>
        <w:rPr/>
        <w:t>四</w:t>
      </w:r>
      <w:r>
        <w:rPr>
          <w:rFonts w:ascii="Times New Roman" w:hAnsi="Times New Roman" w:cs="Times New Roman" w:eastAsia="Times New Roman" w:hint="default"/>
        </w:rPr>
        <w:t>)</w:t>
      </w:r>
      <w:r>
        <w:rPr/>
        <w:t>等相关说明。</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91"/>
        <w:jc w:val="left"/>
      </w:pPr>
      <w:r>
        <w:rPr/>
        <w:t>本公司编制的财务报表符合企业会计准则的要求，真实、完整地反映了公司的财务状况、经营成果和现金流量等有关信息。</w:t>
      </w:r>
    </w:p>
    <w:p>
      <w:pPr>
        <w:spacing w:line="240" w:lineRule="auto" w:before="0"/>
        <w:rPr>
          <w:rFonts w:ascii="宋体" w:hAnsi="宋体" w:cs="宋体" w:eastAsia="宋体" w:hint="default"/>
          <w:sz w:val="18"/>
          <w:szCs w:val="18"/>
        </w:rPr>
      </w:pPr>
    </w:p>
    <w:p>
      <w:pPr>
        <w:spacing w:line="544" w:lineRule="auto" w:before="120"/>
        <w:ind w:left="152" w:right="75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会计年度自公历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300" w:lineRule="auto" w:before="49"/>
        <w:ind w:right="0" w:firstLine="362"/>
        <w:jc w:val="left"/>
      </w:pPr>
      <w:r>
        <w:rPr>
          <w:spacing w:val="-2"/>
        </w:rPr>
        <w:t>正常营业周期是指本公司从购买用于加工的资产起至实现现金或现金等价物的期间。本公司以</w:t>
      </w:r>
      <w:r>
        <w:rPr>
          <w:rFonts w:ascii="Times New Roman" w:hAnsi="Times New Roman" w:cs="Times New Roman" w:eastAsia="Times New Roman" w:hint="default"/>
          <w:spacing w:val="-2"/>
        </w:rPr>
        <w:t>12</w:t>
      </w:r>
      <w:r>
        <w:rPr>
          <w:spacing w:val="-2"/>
        </w:rPr>
        <w:t>个月作为一个营业周期，</w:t>
      </w:r>
      <w:r>
        <w:rPr/>
        <w:t> 并以其作为资产和负债的流动性划分标准。</w:t>
      </w:r>
    </w:p>
    <w:p>
      <w:pPr>
        <w:spacing w:line="240" w:lineRule="auto" w:before="10"/>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2" w:firstLine="362"/>
        <w:jc w:val="both"/>
      </w:pPr>
      <w:r>
        <w:rPr>
          <w:spacing w:val="-2"/>
        </w:rPr>
        <w:t>本公司及境内子公司采用人民币为记账本位币。本公司境外子公司根据其经营所处的主要经济环境中的货币确定美元为</w:t>
      </w:r>
      <w:r>
        <w:rPr/>
        <w:t> 其记账本位币，编制财务报表时折算为人民币。</w:t>
      </w:r>
    </w:p>
    <w:p>
      <w:pPr>
        <w:pStyle w:val="BodyText"/>
        <w:spacing w:line="240" w:lineRule="auto" w:before="19"/>
        <w:ind w:right="1117"/>
        <w:jc w:val="left"/>
      </w:pPr>
      <w:r>
        <w:rPr/>
        <w:t>本公司编制本财务报表时所采用的货币为人民币。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1117"/>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8" w:firstLine="420"/>
        <w:jc w:val="both"/>
      </w:pPr>
      <w:r>
        <w:rPr/>
        <w:t>企业合并，是指将两个或两个以上单独的企业合并形成一个报告主体的交易或事项。企业合并分为同一控制下企业合 并和非同一控制下企业合并。</w:t>
      </w:r>
    </w:p>
    <w:p>
      <w:pPr>
        <w:pStyle w:val="BodyText"/>
        <w:spacing w:line="309" w:lineRule="auto" w:before="19"/>
        <w:ind w:left="573" w:right="1117"/>
        <w:jc w:val="left"/>
      </w:pPr>
      <w:r>
        <w:rPr>
          <w:rFonts w:ascii="Times New Roman" w:hAnsi="Times New Roman" w:cs="Times New Roman" w:eastAsia="Times New Roman" w:hint="default"/>
        </w:rPr>
        <w:t>1</w:t>
      </w:r>
      <w:r>
        <w:rPr/>
        <w:t>．同一控制下企业合并的会计处理 参与合并的企业在合并前后均受同一方或相同的多方最终控制，且该控制并非暂时性的，为同一控制下的企业合并。 公司在企业合并中取得的被合并方的资产、负债，除因会计政策不同而进行的调整以外，按照合并日被合并方在最终</w:t>
      </w:r>
    </w:p>
    <w:p>
      <w:pPr>
        <w:pStyle w:val="BodyText"/>
        <w:spacing w:line="316" w:lineRule="auto" w:before="24"/>
        <w:ind w:right="1117"/>
        <w:jc w:val="left"/>
      </w:pPr>
      <w:r>
        <w:rPr>
          <w:spacing w:val="-2"/>
        </w:rPr>
        <w:t>控制方合并财务报表中的账面价值计量。公司取得的被合并方所有者权益在最终控制方合并财务报表中的账面价值的份额与</w:t>
      </w:r>
      <w:r>
        <w:rPr>
          <w:spacing w:val="-64"/>
        </w:rPr>
        <w:t> </w:t>
      </w:r>
      <w:r>
        <w:rPr>
          <w:spacing w:val="-64"/>
        </w:rPr>
      </w:r>
      <w:r>
        <w:rPr/>
        <w:t>支付的合并对价账面价值</w:t>
      </w:r>
      <w:r>
        <w:rPr>
          <w:rFonts w:ascii="Times New Roman" w:hAnsi="Times New Roman" w:cs="Times New Roman" w:eastAsia="Times New Roman" w:hint="default"/>
        </w:rPr>
        <w:t>(</w:t>
      </w:r>
      <w:r>
        <w:rPr/>
        <w:t>或发行股份面值总额</w:t>
      </w:r>
      <w:r>
        <w:rPr>
          <w:rFonts w:ascii="Times New Roman" w:hAnsi="Times New Roman" w:cs="Times New Roman" w:eastAsia="Times New Roman" w:hint="default"/>
        </w:rPr>
        <w:t>)</w:t>
      </w:r>
      <w:r>
        <w:rPr/>
        <w:t>的差额，调整资本公积；资本公积不足冲减的，调整留存收益。</w:t>
      </w:r>
    </w:p>
    <w:p>
      <w:pPr>
        <w:pStyle w:val="BodyText"/>
        <w:spacing w:line="314" w:lineRule="auto"/>
        <w:ind w:right="1130" w:firstLine="420"/>
        <w:jc w:val="both"/>
      </w:pPr>
      <w:r>
        <w:rPr/>
        <w:t>通过多次交易分步实现同一控制下的企业合并，合并前持有投资的账面价值加上合并日新支付对价的账面价值之和， </w:t>
      </w:r>
      <w:r>
        <w:rPr>
          <w:spacing w:val="-1"/>
        </w:rPr>
        <w:t>与合并中取得的净资产账面价值的差额，调整资本公积</w:t>
      </w:r>
      <w:r>
        <w:rPr>
          <w:rFonts w:ascii="Times New Roman" w:hAnsi="Times New Roman" w:cs="Times New Roman" w:eastAsia="Times New Roman" w:hint="default"/>
          <w:spacing w:val="-1"/>
        </w:rPr>
        <w:t>(</w:t>
      </w:r>
      <w:r>
        <w:rPr>
          <w:spacing w:val="-1"/>
        </w:rPr>
        <w:t>股本溢价</w:t>
      </w:r>
      <w:r>
        <w:rPr>
          <w:rFonts w:ascii="Times New Roman" w:hAnsi="Times New Roman" w:cs="Times New Roman" w:eastAsia="Times New Roman" w:hint="default"/>
          <w:spacing w:val="-1"/>
        </w:rPr>
        <w:t>)</w:t>
      </w:r>
      <w:r>
        <w:rPr>
          <w:spacing w:val="-1"/>
        </w:rPr>
        <w:t>，资本公积不足冲减的，调整留存收益。合并方在取得被</w:t>
      </w:r>
      <w:r>
        <w:rPr>
          <w:spacing w:val="-57"/>
        </w:rPr>
        <w:t> </w:t>
      </w:r>
      <w:r>
        <w:rPr>
          <w:spacing w:val="-57"/>
        </w:rPr>
      </w:r>
      <w:r>
        <w:rPr>
          <w:spacing w:val="-2"/>
        </w:rPr>
        <w:t>合并方控制权之前持有的长期股权投资，在取得原股权之日与合并方与被合并方同处于同一方最终控制之日孰晚日起至合并</w:t>
      </w:r>
      <w:r>
        <w:rPr>
          <w:spacing w:val="-64"/>
        </w:rPr>
        <w:t> </w:t>
      </w:r>
      <w:r>
        <w:rPr>
          <w:spacing w:val="-64"/>
        </w:rPr>
      </w:r>
      <w:r>
        <w:rPr>
          <w:spacing w:val="-2"/>
        </w:rPr>
        <w:t>日之间已确认有关损益、其他综合收益和其他所有者权益变动，应分别冲减比较报表期间的期初留存收益或当期损益，由于</w:t>
      </w:r>
      <w:r>
        <w:rPr>
          <w:spacing w:val="-63"/>
        </w:rPr>
        <w:t> </w:t>
      </w:r>
      <w:r>
        <w:rPr>
          <w:spacing w:val="-63"/>
        </w:rPr>
      </w:r>
      <w:r>
        <w:rPr/>
        <w:t>被投资方重新计量设定受益计划净负债或净资产变动而产生的其他综合收益除外。</w:t>
      </w:r>
    </w:p>
    <w:p>
      <w:pPr>
        <w:pStyle w:val="BodyText"/>
        <w:spacing w:line="309" w:lineRule="auto" w:before="20"/>
        <w:ind w:left="573" w:right="1117" w:firstLine="4"/>
        <w:jc w:val="left"/>
      </w:pPr>
      <w:r>
        <w:rPr>
          <w:rFonts w:ascii="Times New Roman" w:hAnsi="Times New Roman" w:cs="Times New Roman" w:eastAsia="Times New Roman" w:hint="default"/>
        </w:rPr>
        <w:t>2</w:t>
      </w:r>
      <w:r>
        <w:rPr/>
        <w:t>．非同一控制下企业合并的会计处理 参与合并的企业在合并前后不受同一方或相同的多方最终控制的，为非同一控制下的企业合并。 公司在购买日对合并成本大于合并中取得的被购买方可辨认净资产公允价值份额的差额，确认为商誉；对于合并成本</w:t>
      </w:r>
    </w:p>
    <w:p>
      <w:pPr>
        <w:pStyle w:val="BodyText"/>
        <w:spacing w:line="316" w:lineRule="auto" w:before="24"/>
        <w:ind w:right="1133"/>
        <w:jc w:val="both"/>
      </w:pPr>
      <w:r>
        <w:rPr>
          <w:spacing w:val="-2"/>
        </w:rPr>
        <w:t>小于合并中取得的被购买方可辨认净资产公允价值份额，首先对取得的被购买方各项可辨认资产、负债及或有负债的公允价</w:t>
      </w:r>
      <w:r>
        <w:rPr>
          <w:spacing w:val="-64"/>
        </w:rPr>
        <w:t> </w:t>
      </w:r>
      <w:r>
        <w:rPr>
          <w:spacing w:val="-64"/>
        </w:rPr>
      </w: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pStyle w:val="BodyText"/>
        <w:spacing w:line="316" w:lineRule="auto" w:before="19"/>
        <w:ind w:right="1131" w:firstLine="420"/>
        <w:jc w:val="both"/>
      </w:pPr>
      <w:r>
        <w:rPr/>
        <w:t>如果在购买日或合并当期期末，因各种因素影响无法合理确定作为合并对价付出的各项资产的公允价值，或合并中取 </w:t>
      </w:r>
      <w:r>
        <w:rPr>
          <w:spacing w:val="-2"/>
        </w:rPr>
        <w:t>得被购买方各项可辨认资产、负债的公允价值，合并当期期末，公司以暂时确定的价值为基础对企业合并进行核算。自购买</w:t>
      </w:r>
    </w:p>
    <w:p>
      <w:pPr>
        <w:spacing w:after="0" w:line="316" w:lineRule="auto"/>
        <w:jc w:val="both"/>
        <w:sectPr>
          <w:pgSz w:w="11910" w:h="16840"/>
          <w:pgMar w:header="786" w:footer="1267" w:top="1100" w:bottom="1460" w:left="980" w:right="0"/>
        </w:sectPr>
      </w:pPr>
    </w:p>
    <w:p>
      <w:pPr>
        <w:spacing w:line="240" w:lineRule="auto" w:before="8"/>
        <w:rPr>
          <w:rFonts w:ascii="宋体" w:hAnsi="宋体" w:cs="宋体" w:eastAsia="宋体" w:hint="default"/>
          <w:sz w:val="22"/>
          <w:szCs w:val="22"/>
        </w:rPr>
      </w:pPr>
    </w:p>
    <w:p>
      <w:pPr>
        <w:pStyle w:val="BodyText"/>
        <w:spacing w:line="300" w:lineRule="auto" w:before="44"/>
        <w:ind w:right="1131"/>
        <w:jc w:val="both"/>
      </w:pPr>
      <w:r>
        <w:rPr>
          <w:spacing w:val="-2"/>
        </w:rPr>
        <w:t>日算起</w:t>
      </w:r>
      <w:r>
        <w:rPr>
          <w:rFonts w:ascii="Times New Roman" w:hAnsi="Times New Roman" w:cs="Times New Roman" w:eastAsia="Times New Roman" w:hint="default"/>
          <w:spacing w:val="-2"/>
        </w:rPr>
        <w:t>12</w:t>
      </w:r>
      <w:r>
        <w:rPr>
          <w:spacing w:val="-2"/>
        </w:rPr>
        <w:t>个月内取得进一步的信息表明需对原暂时确定的价值进行调整的，则视同在购买日发生，进行追溯调整，同时对以</w:t>
      </w:r>
      <w:r>
        <w:rPr>
          <w:spacing w:val="-65"/>
        </w:rPr>
        <w:t> </w:t>
      </w:r>
      <w:r>
        <w:rPr>
          <w:spacing w:val="-65"/>
        </w:rPr>
      </w:r>
      <w:r>
        <w:rPr>
          <w:spacing w:val="-2"/>
        </w:rPr>
        <w:t>暂时性价值为基础提供的比较报表信息进行相关的调整；自购买日算起</w:t>
      </w:r>
      <w:r>
        <w:rPr>
          <w:rFonts w:ascii="Times New Roman" w:hAnsi="Times New Roman" w:cs="Times New Roman" w:eastAsia="Times New Roman" w:hint="default"/>
          <w:spacing w:val="-2"/>
        </w:rPr>
        <w:t>12</w:t>
      </w:r>
      <w:r>
        <w:rPr>
          <w:spacing w:val="-2"/>
        </w:rPr>
        <w:t>个月以后对企业合并成本或合并中取得的可辨认资</w:t>
      </w:r>
      <w:r>
        <w:rPr>
          <w:spacing w:val="-62"/>
        </w:rPr>
        <w:t> </w:t>
      </w:r>
      <w:r>
        <w:rPr>
          <w:spacing w:val="-62"/>
        </w:rPr>
      </w:r>
      <w:r>
        <w:rPr/>
        <w:t>产、负债价值的调整，按照《企业会计准则第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会计政策、会计估计变更和会计差错更正》的原则进行处理。</w:t>
      </w:r>
    </w:p>
    <w:p>
      <w:pPr>
        <w:pStyle w:val="BodyText"/>
        <w:spacing w:line="312" w:lineRule="auto" w:before="13"/>
        <w:ind w:right="1132" w:firstLine="420"/>
        <w:jc w:val="both"/>
      </w:pPr>
      <w:r>
        <w:rPr/>
        <w:t>公司在企业合并中取得的被购买方的可抵扣暂时性差异，在购买日不符合递延所得税资产确认条件的，不予以确认。 </w:t>
      </w:r>
      <w:r>
        <w:rPr>
          <w:spacing w:val="-2"/>
        </w:rPr>
        <w:t>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w:t>
      </w:r>
      <w:r>
        <w:rPr>
          <w:spacing w:val="-63"/>
        </w:rPr>
        <w:t> </w:t>
      </w:r>
      <w:r>
        <w:rPr>
          <w:spacing w:val="-63"/>
        </w:rPr>
      </w:r>
      <w:r>
        <w:rPr>
          <w:spacing w:val="-2"/>
        </w:rPr>
        <w:t>带来的经济利益能够实现的，确认相关的递延所得税资产，同时减少商誉，商誉不足冲减的，差额部分确认为当期损益；除</w:t>
      </w:r>
      <w:r>
        <w:rPr>
          <w:spacing w:val="-67"/>
        </w:rPr>
        <w:t> </w:t>
      </w:r>
      <w:r>
        <w:rPr>
          <w:spacing w:val="-67"/>
        </w:rPr>
      </w:r>
      <w:r>
        <w:rPr/>
        <w:t>上述情况以外，确认与企业合并相关的递延所得税资产，计入当期损益。</w:t>
      </w:r>
    </w:p>
    <w:p>
      <w:pPr>
        <w:pStyle w:val="BodyText"/>
        <w:spacing w:line="300" w:lineRule="auto" w:before="22"/>
        <w:ind w:right="1131" w:firstLine="425"/>
        <w:jc w:val="both"/>
      </w:pPr>
      <w:r>
        <w:rPr/>
        <w:t>通过多次交易分步实现的非同一控制下企业合并，根据企业会计准则判断该多次交易是否属于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。多次交 易的条款、条件以及经济影响符合以下一种或多种情况，通常表明应将多次交易事项作为一揽子交易进行会计处理：</w:t>
      </w:r>
      <w:r>
        <w:rPr>
          <w:rFonts w:ascii="Times New Roman" w:hAnsi="Times New Roman" w:cs="Times New Roman" w:eastAsia="Times New Roman" w:hint="default"/>
        </w:rPr>
        <w:t>(1)</w:t>
      </w:r>
      <w:r>
        <w:rPr/>
        <w:t>这</w:t>
      </w:r>
      <w:r>
        <w:rPr>
          <w:spacing w:val="-26"/>
        </w:rPr>
        <w:t> </w:t>
      </w:r>
      <w:r>
        <w:rPr/>
        <w:t>些交易是同时或者在考虑了彼此影响的情况下订立的；</w:t>
      </w:r>
      <w:r>
        <w:rPr>
          <w:rFonts w:ascii="Times New Roman" w:hAnsi="Times New Roman" w:cs="Times New Roman" w:eastAsia="Times New Roman" w:hint="default"/>
        </w:rPr>
        <w:t>(2)</w:t>
      </w:r>
      <w:r>
        <w:rPr/>
        <w:t>这些交易整体才能达成一项完整的商业结果；</w:t>
      </w:r>
      <w:r>
        <w:rPr>
          <w:rFonts w:ascii="Times New Roman" w:hAnsi="Times New Roman" w:cs="Times New Roman" w:eastAsia="Times New Roman" w:hint="default"/>
        </w:rPr>
        <w:t>(3)</w:t>
      </w:r>
      <w:r>
        <w:rPr/>
        <w:t>一项交易的发生</w:t>
      </w:r>
      <w:r>
        <w:rPr>
          <w:spacing w:val="-55"/>
        </w:rPr>
        <w:t> </w:t>
      </w:r>
      <w:r>
        <w:rPr>
          <w:spacing w:val="-55"/>
        </w:rPr>
      </w:r>
      <w:r>
        <w:rPr/>
        <w:t>取决于其他至少一项交易的发生；</w:t>
      </w:r>
      <w:r>
        <w:rPr>
          <w:rFonts w:ascii="Times New Roman" w:hAnsi="Times New Roman" w:cs="Times New Roman" w:eastAsia="Times New Roman" w:hint="default"/>
        </w:rPr>
        <w:t>(4)</w:t>
      </w:r>
      <w:r>
        <w:rPr/>
        <w:t>一项交易单独看是不经济的，但是和其他交易一并考虑时是经济的。</w:t>
      </w:r>
    </w:p>
    <w:p>
      <w:pPr>
        <w:pStyle w:val="BodyText"/>
        <w:spacing w:line="312" w:lineRule="auto" w:before="13"/>
        <w:ind w:right="991" w:firstLine="420"/>
        <w:jc w:val="left"/>
      </w:pP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的，在合并财务报 </w:t>
      </w:r>
      <w:r>
        <w:rPr>
          <w:spacing w:val="-2"/>
        </w:rPr>
        <w:t>表中，对于购买日之前持有的被购买方的股权，按照该股权在购买日的公允价值进行重新计量，公允价值与其账面价值的差</w:t>
      </w:r>
      <w:r>
        <w:rPr>
          <w:spacing w:val="-63"/>
        </w:rPr>
        <w:t> </w:t>
      </w:r>
      <w:r>
        <w:rPr>
          <w:spacing w:val="-63"/>
        </w:rPr>
      </w:r>
      <w:r>
        <w:rPr>
          <w:spacing w:val="-4"/>
        </w:rPr>
        <w:t>额计入当期投资收益；购买日之前已经持有的被购买方的股权涉及其他综合收益、其他所有者权益变动转为购买日当期收益，</w:t>
      </w:r>
      <w:r>
        <w:rPr>
          <w:spacing w:val="-44"/>
        </w:rPr>
        <w:t> </w:t>
      </w:r>
      <w:r>
        <w:rPr>
          <w:spacing w:val="-44"/>
        </w:rPr>
      </w:r>
      <w:r>
        <w:rPr/>
        <w:t>由于被投资方重新计量设定受益计划净负债或净资产变动而产生的其他综合收益除外。</w:t>
      </w:r>
    </w:p>
    <w:p>
      <w:pPr>
        <w:pStyle w:val="BodyText"/>
        <w:spacing w:line="309" w:lineRule="auto" w:before="22"/>
        <w:ind w:right="1117" w:firstLine="425"/>
        <w:jc w:val="left"/>
      </w:pPr>
      <w:r>
        <w:rPr>
          <w:rFonts w:ascii="Times New Roman" w:hAnsi="Times New Roman" w:cs="Times New Roman" w:eastAsia="Times New Roman" w:hint="default"/>
        </w:rPr>
        <w:t>3</w:t>
      </w:r>
      <w:r>
        <w:rPr/>
        <w:t>．企业合并中有关交易费用的处理 </w:t>
      </w:r>
      <w:r>
        <w:rPr>
          <w:spacing w:val="-2"/>
        </w:rPr>
        <w:t>为进行企业合并发生的审计、法律服务、评估咨询等中介费用以及其他相关管理费用，于发生时计入当期损益。作为合并对</w:t>
      </w:r>
      <w:r>
        <w:rPr>
          <w:spacing w:val="-65"/>
        </w:rPr>
        <w:t> </w:t>
      </w:r>
      <w:r>
        <w:rPr>
          <w:spacing w:val="-65"/>
        </w:rPr>
      </w:r>
      <w:r>
        <w:rPr/>
        <w:t>价发行的权益性证券或债务性证券的交易费用，计入权益性证券或债务性证券的初始确认金额。</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75" w:right="1117"/>
        <w:jc w:val="left"/>
      </w:pPr>
      <w:r>
        <w:rPr>
          <w:rFonts w:ascii="Times New Roman" w:hAnsi="Times New Roman" w:cs="Times New Roman" w:eastAsia="Times New Roman" w:hint="default"/>
        </w:rPr>
        <w:t>1</w:t>
      </w:r>
      <w:r>
        <w:rPr/>
        <w:t>．合并范围 合并财务报表的合并范围以控制为基础确定。控制是指本公司拥有对被投资方的权力，通过参与被投资方的相关活动</w:t>
      </w:r>
    </w:p>
    <w:p>
      <w:pPr>
        <w:pStyle w:val="BodyText"/>
        <w:spacing w:line="316" w:lineRule="auto" w:before="31"/>
        <w:ind w:right="1131"/>
        <w:jc w:val="both"/>
      </w:pPr>
      <w:r>
        <w:rPr>
          <w:spacing w:val="-2"/>
        </w:rPr>
        <w:t>而享有可变回报，并且有能力运用对被投资方的权力影响该回报金额。合并范围包括本公司及全部子公司。子公司，是指被</w:t>
      </w:r>
      <w:r>
        <w:rPr>
          <w:spacing w:val="-64"/>
        </w:rPr>
        <w:t> </w:t>
      </w:r>
      <w:r>
        <w:rPr>
          <w:spacing w:val="-64"/>
        </w:rPr>
      </w:r>
      <w:r>
        <w:rPr/>
        <w:t>本公司控制的主体</w:t>
      </w:r>
      <w:r>
        <w:rPr>
          <w:rFonts w:ascii="Times New Roman" w:hAnsi="Times New Roman" w:cs="Times New Roman" w:eastAsia="Times New Roman" w:hint="default"/>
        </w:rPr>
        <w:t>(</w:t>
      </w:r>
      <w:r>
        <w:rPr/>
        <w:t>含企业、被投资单位中可分割的部分、结构化主体等</w:t>
      </w:r>
      <w:r>
        <w:rPr>
          <w:rFonts w:ascii="Times New Roman" w:hAnsi="Times New Roman" w:cs="Times New Roman" w:eastAsia="Times New Roman" w:hint="default"/>
        </w:rPr>
        <w:t>)</w:t>
      </w:r>
      <w:r>
        <w:rPr/>
        <w:t>。</w:t>
      </w:r>
    </w:p>
    <w:p>
      <w:pPr>
        <w:pStyle w:val="BodyText"/>
        <w:spacing w:line="300" w:lineRule="auto"/>
        <w:ind w:left="575" w:right="1117"/>
        <w:jc w:val="left"/>
      </w:pPr>
      <w:r>
        <w:rPr>
          <w:rFonts w:ascii="Times New Roman" w:hAnsi="Times New Roman" w:cs="Times New Roman" w:eastAsia="Times New Roman" w:hint="default"/>
        </w:rPr>
        <w:t>2</w:t>
      </w:r>
      <w:r>
        <w:rPr/>
        <w:t>．合并报表的编制方法 本公司以自身和各子公司的财务报表为基础，根据其他有关资料，编制合并报表。本公司编制合并财务报表，将整个</w:t>
      </w:r>
    </w:p>
    <w:p>
      <w:pPr>
        <w:pStyle w:val="BodyText"/>
        <w:spacing w:line="316" w:lineRule="auto" w:before="31"/>
        <w:ind w:right="1130"/>
        <w:jc w:val="both"/>
      </w:pPr>
      <w:r>
        <w:rPr>
          <w:spacing w:val="-2"/>
        </w:rPr>
        <w:t>企业集团视为一个会计主体，依据相关企业会计准则的确定、计量和列报要求，按照统一的会计政策，反映本公司整体财务</w:t>
      </w:r>
      <w:r>
        <w:rPr>
          <w:spacing w:val="-63"/>
        </w:rPr>
        <w:t> </w:t>
      </w:r>
      <w:r>
        <w:rPr>
          <w:spacing w:val="-63"/>
        </w:rPr>
      </w:r>
      <w:r>
        <w:rPr/>
        <w:t>状况、经营成果和现金流量。</w:t>
      </w:r>
    </w:p>
    <w:p>
      <w:pPr>
        <w:pStyle w:val="BodyText"/>
        <w:spacing w:line="316" w:lineRule="auto" w:before="19"/>
        <w:ind w:right="1138" w:firstLine="422"/>
        <w:jc w:val="both"/>
      </w:pPr>
      <w:r>
        <w:rPr/>
        <w:t>合并财务报表时抵销本公司与各子公司、各子公司相互之间发生的内部交易和往来对合并资产负债表、合并利润表、 合并现金流量表、合并所有者权益变动表的影响。</w:t>
      </w:r>
    </w:p>
    <w:p>
      <w:pPr>
        <w:pStyle w:val="BodyText"/>
        <w:spacing w:line="319" w:lineRule="auto" w:before="19"/>
        <w:ind w:right="1129" w:firstLine="422"/>
        <w:jc w:val="both"/>
      </w:pPr>
      <w:r>
        <w:rPr/>
        <w:t>在报告期内因同一控制下企业合并增加的子公司以及业务，视同该子公司以及业务自同受最终控制方控制之日起纳入 </w:t>
      </w:r>
      <w:r>
        <w:rPr>
          <w:spacing w:val="-2"/>
        </w:rPr>
        <w:t>本公司的合并范围，将其自同受最终控制方控制之日起的经营成果、现金流量分别纳入合并利润表、合并现金流量表中。在</w:t>
      </w:r>
      <w:r>
        <w:rPr>
          <w:spacing w:val="-64"/>
        </w:rPr>
        <w:t> </w:t>
      </w:r>
      <w:r>
        <w:rPr>
          <w:spacing w:val="-64"/>
        </w:rPr>
      </w:r>
      <w:r>
        <w:rPr>
          <w:spacing w:val="-2"/>
        </w:rPr>
        <w:t>报告期内，同时调整合并资产负债表的期初数，同时对比较报表的相关项目进行调整，视同合并后的报表主体自最终控制方</w:t>
      </w:r>
      <w:r>
        <w:rPr>
          <w:spacing w:val="-62"/>
        </w:rPr>
        <w:t> </w:t>
      </w:r>
      <w:r>
        <w:rPr>
          <w:spacing w:val="-62"/>
        </w:rPr>
      </w:r>
      <w:r>
        <w:rPr/>
        <w:t>开始控制时点起一直存在。</w:t>
      </w:r>
    </w:p>
    <w:p>
      <w:pPr>
        <w:pStyle w:val="BodyText"/>
        <w:spacing w:line="316" w:lineRule="auto" w:before="17"/>
        <w:ind w:right="1131" w:firstLine="422"/>
        <w:jc w:val="both"/>
      </w:pPr>
      <w:r>
        <w:rPr/>
        <w:t>本期若因非同一控制下企业合并增加子公司的，则不调整合并资产负债表期初数；以购买日可辨认净资产公允价值为 </w:t>
      </w:r>
      <w:r>
        <w:rPr>
          <w:spacing w:val="-2"/>
        </w:rPr>
        <w:t>基础对其财务报表进行调整。将子公司自购买日至期末的收入、费用、利润纳入合并利润表；该子公司自购买日至期末的现</w:t>
      </w:r>
      <w:r>
        <w:rPr>
          <w:spacing w:val="-64"/>
        </w:rPr>
        <w:t> </w:t>
      </w:r>
      <w:r>
        <w:rPr>
          <w:spacing w:val="-64"/>
        </w:rPr>
      </w:r>
      <w:r>
        <w:rPr/>
        <w:t>金流量纳入合并现金流量表。</w:t>
      </w:r>
    </w:p>
    <w:p>
      <w:pPr>
        <w:pStyle w:val="BodyText"/>
        <w:spacing w:line="316" w:lineRule="auto" w:before="19"/>
        <w:ind w:right="1133" w:firstLine="422"/>
        <w:jc w:val="both"/>
      </w:pPr>
      <w:r>
        <w:rPr/>
        <w:t>子公司少数股东应占的权益、损益和当期综合收益中分别在合并资产负债表中所有者权益项目下、合并利润表中净利 </w:t>
      </w:r>
      <w:r>
        <w:rPr>
          <w:spacing w:val="-2"/>
        </w:rPr>
        <w:t>润项目和综合收益总额项下单独列示。子公司少数股东分担的当期亏损超过了少数股东在该子公司期初所有者权益中所享有</w:t>
      </w:r>
      <w:r>
        <w:rPr>
          <w:spacing w:val="-64"/>
        </w:rPr>
        <w:t> </w:t>
      </w:r>
      <w:r>
        <w:rPr>
          <w:spacing w:val="-64"/>
        </w:rPr>
      </w:r>
      <w:r>
        <w:rPr/>
        <w:t>份额而形成的余额，冲减少数股东权益。</w:t>
      </w:r>
    </w:p>
    <w:p>
      <w:pPr>
        <w:pStyle w:val="BodyText"/>
        <w:spacing w:line="300" w:lineRule="auto" w:before="19"/>
        <w:ind w:left="573" w:right="1117" w:firstLine="2"/>
        <w:jc w:val="left"/>
      </w:pPr>
      <w:r>
        <w:rPr>
          <w:rFonts w:ascii="Times New Roman" w:hAnsi="Times New Roman" w:cs="Times New Roman" w:eastAsia="Times New Roman" w:hint="default"/>
        </w:rPr>
        <w:t>3</w:t>
      </w:r>
      <w:r>
        <w:rPr/>
        <w:t>．购买少数股东股权及不丧失控制权的部分处置子公司股权 本公司因购买少数股权新取得的长期股权投资成本与按照新增持股比例计算应享有子公司自购买日或合并日开始持续</w:t>
      </w:r>
    </w:p>
    <w:p>
      <w:pPr>
        <w:pStyle w:val="BodyText"/>
        <w:spacing w:line="240" w:lineRule="auto" w:before="31"/>
        <w:ind w:right="0"/>
        <w:jc w:val="both"/>
      </w:pPr>
      <w:r>
        <w:rPr/>
        <w:t>计算的净资产份额之间的差额</w:t>
      </w:r>
      <w:r>
        <w:rPr>
          <w:spacing w:val="-82"/>
        </w:rPr>
        <w:t>，</w:t>
      </w:r>
      <w:r>
        <w:rPr/>
        <w:t>以及在不丧失控制权的情况下因部分处置对子公司的股权投资而取得的处置价款与处置</w:t>
      </w:r>
      <w:r>
        <w:rPr>
          <w:spacing w:val="1"/>
        </w:rPr>
        <w:t>长</w:t>
      </w:r>
      <w:r>
        <w:rPr/>
        <w:t>期</w:t>
      </w:r>
    </w:p>
    <w:p>
      <w:pPr>
        <w:spacing w:after="0" w:line="240" w:lineRule="auto"/>
        <w:jc w:val="both"/>
        <w:sectPr>
          <w:pgSz w:w="11910" w:h="16840"/>
          <w:pgMar w:header="786" w:footer="1267" w:top="1100" w:bottom="1460" w:left="980" w:right="0"/>
        </w:sectPr>
      </w:pPr>
    </w:p>
    <w:p>
      <w:pPr>
        <w:spacing w:line="240" w:lineRule="auto" w:before="8"/>
        <w:rPr>
          <w:rFonts w:ascii="宋体" w:hAnsi="宋体" w:cs="宋体" w:eastAsia="宋体" w:hint="default"/>
          <w:sz w:val="22"/>
          <w:szCs w:val="22"/>
        </w:rPr>
      </w:pPr>
    </w:p>
    <w:p>
      <w:pPr>
        <w:pStyle w:val="BodyText"/>
        <w:spacing w:line="316" w:lineRule="auto" w:before="44"/>
        <w:ind w:right="1117"/>
        <w:jc w:val="left"/>
      </w:pPr>
      <w:r>
        <w:rPr>
          <w:spacing w:val="-2"/>
        </w:rPr>
        <w:t>股权投资相对应享有子公司自购买日或合并日开始持续计算的净资产份额之间的差额，均调整合并资产负债表中的资本公积</w:t>
      </w:r>
      <w:r>
        <w:rPr>
          <w:spacing w:val="-64"/>
        </w:rPr>
        <w:t> </w:t>
      </w:r>
      <w:r>
        <w:rPr>
          <w:spacing w:val="-64"/>
        </w:rPr>
      </w:r>
      <w:r>
        <w:rPr/>
        <w:t>中的股本溢价，资本公积中的股本溢价不足冲减的，调整留存收益。</w:t>
      </w:r>
    </w:p>
    <w:p>
      <w:pPr>
        <w:pStyle w:val="BodyText"/>
        <w:spacing w:line="300" w:lineRule="auto" w:before="19"/>
        <w:ind w:left="573" w:right="1117"/>
        <w:jc w:val="left"/>
      </w:pPr>
      <w:r>
        <w:rPr>
          <w:rFonts w:ascii="Times New Roman" w:hAnsi="Times New Roman" w:cs="Times New Roman" w:eastAsia="Times New Roman" w:hint="default"/>
        </w:rPr>
        <w:t>4</w:t>
      </w:r>
      <w:r>
        <w:rPr/>
        <w:t>．丧失控制权的处置子公司股权 本期本公司处置子公司，则该子公司期初至处置日的收入、费用、利润纳入合并利润表；该子公司期初至处置日的现</w:t>
      </w:r>
    </w:p>
    <w:p>
      <w:pPr>
        <w:pStyle w:val="BodyText"/>
        <w:spacing w:line="312" w:lineRule="auto" w:before="31"/>
        <w:ind w:right="1034"/>
        <w:jc w:val="left"/>
      </w:pPr>
      <w:r>
        <w:rPr/>
        <w:t>金流量纳入合并现金流量表。因处置部分股权投资或其他原因丧失了对原有子公司控制权时，对于处置后的剩余股权投资，</w:t>
      </w:r>
      <w:r>
        <w:rPr>
          <w:spacing w:val="-83"/>
        </w:rPr>
        <w:t> </w:t>
      </w:r>
      <w:r>
        <w:rPr>
          <w:spacing w:val="-83"/>
        </w:rPr>
      </w:r>
      <w:r>
        <w:rPr>
          <w:spacing w:val="-2"/>
        </w:rPr>
        <w:t>本公司按照其在丧失控制权日的公允价值进行重新计量。处置股权取得的对价与剩余股权公允价值之和，减去按原持股比例</w:t>
      </w:r>
      <w:r>
        <w:rPr>
          <w:spacing w:val="-62"/>
        </w:rPr>
        <w:t> </w:t>
      </w:r>
      <w:r>
        <w:rPr>
          <w:spacing w:val="-62"/>
        </w:rPr>
      </w:r>
      <w:r>
        <w:rPr>
          <w:spacing w:val="-2"/>
        </w:rPr>
        <w:t>计算应享有原有子公司自购买日开始持续计算的净资产的份额与商誉之和，形成的差额计入丧失控制权当期的投资收益。与</w:t>
      </w:r>
      <w:r>
        <w:rPr>
          <w:spacing w:val="-64"/>
        </w:rPr>
        <w:t> </w:t>
      </w:r>
      <w:r>
        <w:rPr>
          <w:spacing w:val="-64"/>
        </w:rPr>
      </w:r>
      <w:r>
        <w:rPr>
          <w:spacing w:val="-2"/>
        </w:rPr>
        <w:t>原有子公司股权投资相关的其他综合收益，在丧失控制权时采用被购买方直接处置相关资产和负债相同的基础进行会计处理</w:t>
      </w:r>
      <w:r>
        <w:rPr>
          <w:spacing w:val="-64"/>
        </w:rPr>
        <w:t> </w:t>
      </w:r>
      <w:r>
        <w:rPr>
          <w:spacing w:val="-64"/>
        </w:rPr>
      </w:r>
      <w:r>
        <w:rPr>
          <w:rFonts w:ascii="Times New Roman" w:hAnsi="Times New Roman" w:cs="Times New Roman" w:eastAsia="Times New Roman" w:hint="default"/>
        </w:rPr>
        <w:t>(</w:t>
      </w:r>
      <w:r>
        <w:rPr/>
        <w:t>即除了在该原有子公司重新计量设定受益计划外净负债或者净资产导致的变动以外，其余一并转入当期投资收益</w:t>
      </w:r>
      <w:r>
        <w:rPr>
          <w:rFonts w:ascii="Times New Roman" w:hAnsi="Times New Roman" w:cs="Times New Roman" w:eastAsia="Times New Roman" w:hint="default"/>
        </w:rPr>
        <w:t>)</w:t>
      </w:r>
      <w:r>
        <w:rPr/>
        <w:t>。其后，</w:t>
      </w:r>
      <w:r>
        <w:rPr>
          <w:spacing w:val="-28"/>
        </w:rPr>
        <w:t> </w:t>
      </w:r>
      <w:r>
        <w:rPr>
          <w:spacing w:val="-28"/>
        </w:rPr>
      </w:r>
      <w:r>
        <w:rPr/>
        <w:t>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w:t>
      </w:r>
      <w:r>
        <w:rPr>
          <w:spacing w:val="-83"/>
        </w:rPr>
        <w:t> </w:t>
      </w:r>
      <w:r>
        <w:rPr>
          <w:spacing w:val="-83"/>
        </w:rPr>
      </w:r>
      <w:r>
        <w:rPr/>
        <w:t>关规定进行后续计量，详见本附注三</w:t>
      </w: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t>长期股权投资的确认和计量</w:t>
      </w:r>
      <w:r>
        <w:rPr>
          <w:rFonts w:ascii="Times New Roman" w:hAnsi="Times New Roman" w:cs="Times New Roman" w:eastAsia="Times New Roman" w:hint="default"/>
        </w:rPr>
        <w:t>”</w:t>
      </w:r>
      <w:r>
        <w:rPr/>
        <w:t>或本附注三</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金融工具的确认和计量</w:t>
      </w:r>
      <w:r>
        <w:rPr>
          <w:rFonts w:ascii="Times New Roman" w:hAnsi="Times New Roman" w:cs="Times New Roman" w:eastAsia="Times New Roman" w:hint="default"/>
        </w:rPr>
        <w:t>”</w:t>
      </w:r>
      <w:r>
        <w:rPr/>
        <w:t>。</w:t>
      </w:r>
    </w:p>
    <w:p>
      <w:pPr>
        <w:pStyle w:val="BodyText"/>
        <w:spacing w:line="300" w:lineRule="auto" w:before="3"/>
        <w:ind w:left="573" w:right="1117"/>
        <w:jc w:val="left"/>
      </w:pPr>
      <w:r>
        <w:rPr>
          <w:rFonts w:ascii="Times New Roman" w:hAnsi="Times New Roman" w:cs="Times New Roman" w:eastAsia="Times New Roman" w:hint="default"/>
        </w:rPr>
        <w:t>5</w:t>
      </w:r>
      <w:r>
        <w:rPr/>
        <w:t>．分步处置对子公司股权投资至丧失控制权的处理 本公司通过多次交易分步处置对子公司股权投资直至丧失控制权的，需区分处置对子公司股权投资直至丧失控制权的</w:t>
      </w:r>
    </w:p>
    <w:p>
      <w:pPr>
        <w:pStyle w:val="BodyText"/>
        <w:spacing w:line="316" w:lineRule="auto" w:before="31"/>
        <w:ind w:left="573" w:right="1117" w:hanging="421"/>
        <w:jc w:val="left"/>
      </w:pPr>
      <w:r>
        <w:rPr/>
        <w:t>各项交易是否属于一揽子交易。 处置对子公司股权投资直至丧失控制权的各项交易属于一揽子交易的，将各项交易作为一项处置子公司并丧失控制权</w:t>
      </w:r>
    </w:p>
    <w:p>
      <w:pPr>
        <w:pStyle w:val="BodyText"/>
        <w:spacing w:line="312" w:lineRule="auto" w:before="19"/>
        <w:ind w:right="1114"/>
        <w:jc w:val="left"/>
      </w:pPr>
      <w:r>
        <w:rPr>
          <w:spacing w:val="-2"/>
        </w:rPr>
        <w:t>的交易进行会计处理；但是，在丧失控制权之前每一次处置价款与处置投资对应的享有该子公司净资产份额的差额，在合并</w:t>
      </w:r>
      <w:r>
        <w:rPr>
          <w:spacing w:val="-65"/>
        </w:rPr>
        <w:t> </w:t>
      </w:r>
      <w:r>
        <w:rPr>
          <w:spacing w:val="-65"/>
        </w:rPr>
      </w:r>
      <w:r>
        <w:rPr/>
        <w:t>财务报表中确认为其他综合收益，在丧失控制权时一并转入丧失控制权当期的损益。 不属于一揽子交易的，对其中的每一项交易视情况分别按照</w:t>
      </w:r>
      <w:r>
        <w:rPr>
          <w:rFonts w:ascii="Times New Roman" w:hAnsi="Times New Roman" w:cs="Times New Roman" w:eastAsia="Times New Roman" w:hint="default"/>
        </w:rPr>
        <w:t>“</w:t>
      </w:r>
      <w:r>
        <w:rPr/>
        <w:t>不丧失控制权的情况下部分处置对子公司的长期股权投资</w:t>
      </w:r>
      <w:r>
        <w:rPr>
          <w:rFonts w:ascii="Times New Roman" w:hAnsi="Times New Roman" w:cs="Times New Roman" w:eastAsia="Times New Roman" w:hint="default"/>
        </w:rPr>
        <w:t>”</w:t>
      </w:r>
      <w:r>
        <w:rPr/>
        <w:t>和 </w:t>
      </w:r>
      <w:r>
        <w:rPr>
          <w:rFonts w:ascii="Times New Roman" w:hAnsi="Times New Roman" w:cs="Times New Roman" w:eastAsia="Times New Roman" w:hint="default"/>
        </w:rPr>
        <w:t>“</w:t>
      </w:r>
      <w:r>
        <w:rPr/>
        <w:t>因处置部分股权投资或其他原因丧失了对原有子公司的控制权</w:t>
      </w:r>
      <w:r>
        <w:rPr>
          <w:rFonts w:ascii="Times New Roman" w:hAnsi="Times New Roman" w:cs="Times New Roman" w:eastAsia="Times New Roman" w:hint="default"/>
        </w:rPr>
        <w:t>”(</w:t>
      </w:r>
      <w:r>
        <w:rPr/>
        <w:t>详见前段</w:t>
      </w:r>
      <w:r>
        <w:rPr>
          <w:rFonts w:ascii="Times New Roman" w:hAnsi="Times New Roman" w:cs="Times New Roman" w:eastAsia="Times New Roman" w:hint="default"/>
        </w:rPr>
        <w:t>)</w:t>
      </w:r>
      <w:r>
        <w:rPr/>
        <w:t>适用的原则进行会计处理。即在丧失控制权之前 </w:t>
      </w:r>
      <w:r>
        <w:rPr>
          <w:spacing w:val="-2"/>
        </w:rPr>
        <w:t>每一次处置价款与处置投资对应的享有该子公司自购买日开始持续计算的净资产账面价值份额之间的差额，作为权益性交易</w:t>
      </w:r>
      <w:r>
        <w:rPr>
          <w:spacing w:val="-64"/>
        </w:rPr>
        <w:t> </w:t>
      </w:r>
      <w:r>
        <w:rPr>
          <w:spacing w:val="-64"/>
        </w:rPr>
      </w:r>
      <w:r>
        <w:rPr/>
        <w:t>计入资本公积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。在丧失控制权时不得转入丧失控制权当期的损益。</w:t>
      </w:r>
    </w:p>
    <w:p>
      <w:pPr>
        <w:spacing w:line="240" w:lineRule="auto" w:before="8"/>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5" w:firstLine="425"/>
        <w:jc w:val="left"/>
      </w:pPr>
      <w:r>
        <w:rPr>
          <w:spacing w:val="-3"/>
        </w:rPr>
        <w:t>合营安排，是指一项由两个或两个以上的参与方共同控制的安排。本公司根据在合营安排中享有的权利和承担的义务，</w:t>
      </w:r>
      <w:r>
        <w:rPr/>
        <w:t> 将合营安排分为共同经营和合营企业。</w:t>
      </w:r>
    </w:p>
    <w:p>
      <w:pPr>
        <w:pStyle w:val="BodyText"/>
        <w:spacing w:line="316" w:lineRule="auto" w:before="19"/>
        <w:ind w:right="1117" w:firstLine="425"/>
        <w:jc w:val="left"/>
      </w:pPr>
      <w:r>
        <w:rPr/>
        <w:t>合营企业，是指本公司仅对该安排的净资产享有权利的合营安排。本公司对合营企业的投资采用权益法核算，按照本 附注三</w:t>
      </w:r>
      <w:r>
        <w:rPr>
          <w:rFonts w:ascii="Times New Roman" w:hAnsi="Times New Roman" w:cs="Times New Roman" w:eastAsia="Times New Roman" w:hint="default"/>
        </w:rPr>
        <w:t>(</w:t>
      </w:r>
      <w:r>
        <w:rPr/>
        <w:t>十五</w:t>
      </w:r>
      <w:r>
        <w:rPr>
          <w:rFonts w:ascii="Times New Roman" w:hAnsi="Times New Roman" w:cs="Times New Roman" w:eastAsia="Times New Roman" w:hint="default"/>
        </w:rPr>
        <w:t>)3(2)“</w:t>
      </w:r>
      <w:r>
        <w:rPr/>
        <w:t>权益法核算的长期股权投资</w:t>
      </w:r>
      <w:r>
        <w:rPr>
          <w:rFonts w:ascii="Times New Roman" w:hAnsi="Times New Roman" w:cs="Times New Roman" w:eastAsia="Times New Roman" w:hint="default"/>
        </w:rPr>
        <w:t>”</w:t>
      </w:r>
      <w:r>
        <w:rPr/>
        <w:t>中所述的会计政策处理。</w:t>
      </w:r>
    </w:p>
    <w:p>
      <w:pPr>
        <w:pStyle w:val="BodyText"/>
        <w:spacing w:line="316" w:lineRule="auto"/>
        <w:ind w:right="1117" w:firstLine="425"/>
        <w:jc w:val="left"/>
      </w:pPr>
      <w:r>
        <w:rPr/>
        <w:t>共同经营，是指本公司享有该安排相关资产且承担该安排相关负债的合营安排。本公司确认与共同经营中利益份额相 关的下列项目，并按照相关企业会计准则的规定进行会计处理：</w:t>
      </w:r>
    </w:p>
    <w:p>
      <w:pPr>
        <w:pStyle w:val="BodyText"/>
        <w:spacing w:line="240" w:lineRule="auto" w:before="19"/>
        <w:ind w:left="578" w:right="1117"/>
        <w:jc w:val="left"/>
      </w:pP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578" w:right="1117"/>
        <w:jc w:val="left"/>
      </w:pP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578" w:right="1117"/>
        <w:jc w:val="left"/>
      </w:pP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578" w:right="1117"/>
        <w:jc w:val="left"/>
      </w:pPr>
      <w:r>
        <w:rPr>
          <w:rFonts w:ascii="Times New Roman" w:hAnsi="Times New Roman" w:cs="Times New Roman" w:eastAsia="Times New Roman" w:hint="default"/>
        </w:rPr>
        <w:t>4</w:t>
      </w:r>
      <w:r>
        <w:rPr/>
        <w:t>．按本公司份额确认共同经营因出售产出所产生的收入；</w:t>
      </w:r>
    </w:p>
    <w:p>
      <w:pPr>
        <w:pStyle w:val="BodyText"/>
        <w:spacing w:line="304" w:lineRule="auto" w:before="63"/>
        <w:ind w:right="1124" w:firstLine="425"/>
        <w:jc w:val="left"/>
      </w:pPr>
      <w:r>
        <w:rPr>
          <w:rFonts w:ascii="Times New Roman" w:hAnsi="Times New Roman" w:cs="Times New Roman" w:eastAsia="Times New Roman" w:hint="default"/>
        </w:rPr>
        <w:t>5</w:t>
      </w:r>
      <w:r>
        <w:rPr/>
        <w:t>．确认单独所发生的费用，以及按本公司份额确认共同经营发生的费用。 </w:t>
      </w:r>
      <w:r>
        <w:rPr>
          <w:spacing w:val="-1"/>
        </w:rPr>
        <w:t>当本公司作为合营方向共同经营投出或出售资产</w:t>
      </w:r>
      <w:r>
        <w:rPr>
          <w:rFonts w:ascii="Times New Roman" w:hAnsi="Times New Roman" w:cs="Times New Roman" w:eastAsia="Times New Roman" w:hint="default"/>
          <w:spacing w:val="-1"/>
        </w:rPr>
        <w:t>(</w:t>
      </w:r>
      <w:r>
        <w:rPr>
          <w:spacing w:val="-1"/>
        </w:rPr>
        <w:t>该资产不构成业务，下同</w:t>
      </w:r>
      <w:r>
        <w:rPr>
          <w:rFonts w:ascii="Times New Roman" w:hAnsi="Times New Roman" w:cs="Times New Roman" w:eastAsia="Times New Roman" w:hint="default"/>
          <w:spacing w:val="-1"/>
        </w:rPr>
        <w:t>)</w:t>
      </w:r>
      <w:r>
        <w:rPr>
          <w:spacing w:val="-1"/>
        </w:rPr>
        <w:t>或者自共同经营购买资产时，在该等资产出售给</w:t>
      </w:r>
      <w:r>
        <w:rPr>
          <w:spacing w:val="-58"/>
        </w:rPr>
        <w:t> </w:t>
      </w:r>
      <w:r>
        <w:rPr>
          <w:spacing w:val="-58"/>
        </w:rPr>
      </w:r>
      <w:r>
        <w:rPr>
          <w:spacing w:val="-2"/>
        </w:rPr>
        <w:t>第三方之前，本公司仅确认因该项交易产生的损益中属于共同经营其他参与方的部分。该等资产发生符合《企业会计准则第</w:t>
      </w:r>
      <w:r>
        <w:rPr>
          <w:spacing w:val="-63"/>
        </w:rPr>
        <w:t> </w:t>
      </w:r>
      <w:r>
        <w:rPr>
          <w:spacing w:val="-63"/>
        </w:rPr>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资产减值》等规定的资产减值损失的，对于由本公司向共同经营投出或者出售资产的情况，本公司全额确认损失； 对于本公司自共同经营购买资产的情况，本公司按承担的份额确认该损失。</w:t>
      </w:r>
    </w:p>
    <w:p>
      <w:pPr>
        <w:spacing w:line="240" w:lineRule="auto" w:before="6"/>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54"/>
        <w:jc w:val="left"/>
      </w:pPr>
      <w:r>
        <w:rPr/>
        <w:t>在编制现金流量表时，将本公司库存现金及可以随时用于支付的存款确认为现金。现金等价物是指企业持有的期限短</w:t>
      </w:r>
      <w:r>
        <w:rPr>
          <w:rFonts w:ascii="Times New Roman" w:hAnsi="Times New Roman" w:cs="Times New Roman" w:eastAsia="Times New Roman" w:hint="default"/>
        </w:rPr>
        <w:t>(</w:t>
      </w:r>
      <w:r>
        <w:rPr/>
        <w:t>一般 是指从购买日起</w:t>
      </w:r>
      <w:r>
        <w:rPr>
          <w:rFonts w:ascii="Times New Roman" w:hAnsi="Times New Roman" w:cs="Times New Roman" w:eastAsia="Times New Roman" w:hint="default"/>
        </w:rPr>
        <w:t>3</w:t>
      </w:r>
      <w:r>
        <w:rPr/>
        <w:t>个月内到期</w:t>
      </w:r>
      <w:r>
        <w:rPr>
          <w:rFonts w:ascii="Times New Roman" w:hAnsi="Times New Roman" w:cs="Times New Roman" w:eastAsia="Times New Roman" w:hint="default"/>
        </w:rPr>
        <w:t>)</w:t>
      </w:r>
      <w:r>
        <w:rPr/>
        <w:t>、流动性强、易于转换为已知金额现金、价值变动风险很小的投资。</w:t>
      </w:r>
    </w:p>
    <w:p>
      <w:pPr>
        <w:spacing w:after="0" w:line="300" w:lineRule="auto"/>
        <w:jc w:val="left"/>
        <w:sectPr>
          <w:footerReference w:type="default" r:id="rId17"/>
          <w:pgSz w:w="11910" w:h="16840"/>
          <w:pgMar w:footer="1294" w:header="786"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78" w:right="1117"/>
        <w:jc w:val="left"/>
      </w:pPr>
      <w:r>
        <w:rPr>
          <w:rFonts w:ascii="Times New Roman" w:hAnsi="Times New Roman" w:cs="Times New Roman" w:eastAsia="Times New Roman" w:hint="default"/>
        </w:rPr>
        <w:t>1</w:t>
      </w:r>
      <w:r>
        <w:rPr/>
        <w:t>．外币交易业务 </w:t>
      </w:r>
      <w:r>
        <w:rPr>
          <w:spacing w:val="-2"/>
        </w:rPr>
        <w:t>对发生的外币业务，采用交易发生日的即期汇率</w:t>
      </w:r>
      <w:r>
        <w:rPr>
          <w:rFonts w:ascii="Times New Roman" w:hAnsi="Times New Roman" w:cs="Times New Roman" w:eastAsia="Times New Roman" w:hint="default"/>
          <w:spacing w:val="-2"/>
        </w:rPr>
        <w:t>(</w:t>
      </w:r>
      <w:r>
        <w:rPr>
          <w:spacing w:val="-2"/>
        </w:rPr>
        <w:t>通常指中国人民银行公布的当日外汇牌价的中间价，下同</w:t>
      </w:r>
      <w:r>
        <w:rPr>
          <w:rFonts w:ascii="Times New Roman" w:hAnsi="Times New Roman" w:cs="Times New Roman" w:eastAsia="Times New Roman" w:hint="default"/>
          <w:spacing w:val="-2"/>
        </w:rPr>
        <w:t>)</w:t>
      </w:r>
      <w:r>
        <w:rPr>
          <w:spacing w:val="-2"/>
        </w:rPr>
        <w:t>、当期加权</w:t>
      </w:r>
    </w:p>
    <w:p>
      <w:pPr>
        <w:pStyle w:val="BodyText"/>
        <w:spacing w:line="316" w:lineRule="auto" w:before="13"/>
        <w:ind w:right="1133"/>
        <w:jc w:val="both"/>
      </w:pPr>
      <w:r>
        <w:rPr>
          <w:spacing w:val="-2"/>
        </w:rPr>
        <w:t>平均汇率折合记账本位币记账。但公司发生的外币兑换业务或涉及外币兑换的交易事项，按照实际采用的汇率折算为记账本</w:t>
      </w:r>
      <w:r>
        <w:rPr>
          <w:spacing w:val="-64"/>
        </w:rPr>
        <w:t> </w:t>
      </w:r>
      <w:r>
        <w:rPr>
          <w:spacing w:val="-64"/>
        </w:rPr>
      </w:r>
      <w:r>
        <w:rPr/>
        <w:t>位币金额。</w:t>
      </w:r>
    </w:p>
    <w:p>
      <w:pPr>
        <w:pStyle w:val="BodyText"/>
        <w:spacing w:line="300" w:lineRule="auto" w:before="19"/>
        <w:ind w:left="573" w:right="1123"/>
        <w:jc w:val="left"/>
      </w:pPr>
      <w:r>
        <w:rPr>
          <w:rFonts w:ascii="Times New Roman" w:hAnsi="Times New Roman" w:cs="Times New Roman" w:eastAsia="Times New Roman" w:hint="default"/>
        </w:rPr>
        <w:t>2</w:t>
      </w:r>
      <w:r>
        <w:rPr/>
        <w:t>．外币货币性项目和非货币性项目的折算方法 资产负债表日，对于外币货币性项目采用资产负债表日即期汇率折算，由此产生的汇兑差额，除：</w:t>
      </w:r>
      <w:r>
        <w:rPr>
          <w:rFonts w:ascii="Times New Roman" w:hAnsi="Times New Roman" w:cs="Times New Roman" w:eastAsia="Times New Roman" w:hint="default"/>
        </w:rPr>
        <w:t>(1)</w:t>
      </w:r>
      <w:r>
        <w:rPr/>
        <w:t>属于与购建符合</w:t>
      </w:r>
    </w:p>
    <w:p>
      <w:pPr>
        <w:pStyle w:val="BodyText"/>
        <w:spacing w:line="300" w:lineRule="auto" w:before="13"/>
        <w:ind w:right="1131"/>
        <w:jc w:val="both"/>
      </w:pPr>
      <w:r>
        <w:rPr/>
        <w:t>资本化条件的资产相关的外币专门借款产生的汇兑差额按照借款费用资本化的原则处理；</w:t>
      </w:r>
      <w:r>
        <w:rPr>
          <w:rFonts w:ascii="Times New Roman" w:hAnsi="Times New Roman" w:cs="Times New Roman" w:eastAsia="Times New Roman" w:hint="default"/>
        </w:rPr>
        <w:t>(2)</w:t>
      </w:r>
      <w:r>
        <w:rPr/>
        <w:t>用于境外经营净投资有效套期</w:t>
      </w:r>
      <w:r>
        <w:rPr>
          <w:spacing w:val="-29"/>
        </w:rPr>
        <w:t> </w:t>
      </w:r>
      <w:r>
        <w:rPr>
          <w:spacing w:val="-29"/>
        </w:rPr>
      </w:r>
      <w:r>
        <w:rPr>
          <w:spacing w:val="-1"/>
        </w:rPr>
        <w:t>的套期工具的汇兑差额</w:t>
      </w:r>
      <w:r>
        <w:rPr>
          <w:rFonts w:ascii="Times New Roman" w:hAnsi="Times New Roman" w:cs="Times New Roman" w:eastAsia="Times New Roman" w:hint="default"/>
          <w:spacing w:val="-1"/>
        </w:rPr>
        <w:t>(</w:t>
      </w:r>
      <w:r>
        <w:rPr>
          <w:spacing w:val="-1"/>
        </w:rPr>
        <w:t>该差额计入其他综合收益，直至净投资被处置才被确认为当期损益</w:t>
      </w:r>
      <w:r>
        <w:rPr>
          <w:rFonts w:ascii="Times New Roman" w:hAnsi="Times New Roman" w:cs="Times New Roman" w:eastAsia="Times New Roman" w:hint="default"/>
          <w:spacing w:val="-1"/>
        </w:rPr>
        <w:t>)</w:t>
      </w:r>
      <w:r>
        <w:rPr>
          <w:spacing w:val="-1"/>
        </w:rPr>
        <w:t>；以及</w:t>
      </w:r>
      <w:r>
        <w:rPr>
          <w:rFonts w:ascii="Times New Roman" w:hAnsi="Times New Roman" w:cs="Times New Roman" w:eastAsia="Times New Roman" w:hint="default"/>
          <w:spacing w:val="-1"/>
        </w:rPr>
        <w:t>(3)</w:t>
      </w:r>
      <w:r>
        <w:rPr>
          <w:spacing w:val="-1"/>
        </w:rPr>
        <w:t>可供出售的外币货币性</w:t>
      </w:r>
      <w:r>
        <w:rPr>
          <w:spacing w:val="-85"/>
        </w:rPr>
        <w:t> </w:t>
      </w:r>
      <w:r>
        <w:rPr/>
        <w:t>项目除摊余成本之外的其他账面余额变动产生的汇兑差额计入其他综合收益之外，均计入当期损益。</w:t>
      </w:r>
    </w:p>
    <w:p>
      <w:pPr>
        <w:pStyle w:val="BodyText"/>
        <w:spacing w:line="316" w:lineRule="auto" w:before="32"/>
        <w:ind w:right="1130" w:firstLine="420"/>
        <w:jc w:val="both"/>
      </w:pPr>
      <w:r>
        <w:rPr/>
        <w:t>以历史成本计量的外币非货币性项目，仍采用交易发生日的即期汇率折算的记账本位币金额计量。以公允价值计量的 </w:t>
      </w:r>
      <w:r>
        <w:rPr>
          <w:spacing w:val="-2"/>
        </w:rPr>
        <w:t>外币非货币性项目，采用公允价值确定日的即期汇率折算，折算后的记账本位币金额与原记账本位币金额的差额，计入当期</w:t>
      </w:r>
      <w:r>
        <w:rPr>
          <w:spacing w:val="-63"/>
        </w:rPr>
        <w:t> </w:t>
      </w:r>
      <w:r>
        <w:rPr>
          <w:spacing w:val="-63"/>
        </w:rPr>
      </w:r>
      <w:r>
        <w:rPr/>
        <w:t>损益。</w:t>
      </w:r>
    </w:p>
    <w:p>
      <w:pPr>
        <w:pStyle w:val="BodyText"/>
        <w:spacing w:line="300" w:lineRule="auto" w:before="19"/>
        <w:ind w:left="573" w:right="1117"/>
        <w:jc w:val="left"/>
      </w:pPr>
      <w:r>
        <w:rPr>
          <w:rFonts w:ascii="Times New Roman" w:hAnsi="Times New Roman" w:cs="Times New Roman" w:eastAsia="Times New Roman" w:hint="default"/>
        </w:rPr>
        <w:t>3</w:t>
      </w:r>
      <w:r>
        <w:rPr/>
        <w:t>．外币报表折算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w:t>
      </w:r>
    </w:p>
    <w:p>
      <w:pPr>
        <w:pStyle w:val="BodyText"/>
        <w:spacing w:line="314" w:lineRule="auto" w:before="13"/>
        <w:ind w:right="991"/>
        <w:jc w:val="left"/>
      </w:pPr>
      <w:r>
        <w:rPr>
          <w:spacing w:val="-2"/>
        </w:rPr>
        <w:t>项目采用发生时的即期汇率折算；利润表中的收入和费用项目，采用交易发生日的即期汇率当期加权平均汇率折算；年初未</w:t>
      </w:r>
      <w:r>
        <w:rPr>
          <w:spacing w:val="-61"/>
        </w:rPr>
        <w:t> </w:t>
      </w:r>
      <w:r>
        <w:rPr>
          <w:spacing w:val="-61"/>
        </w:rPr>
      </w:r>
      <w:r>
        <w:rPr>
          <w:spacing w:val="-2"/>
        </w:rPr>
        <w:t>分配利润为上一年折算后的年末未分配利润；年末未分配利润按折算后的利润分配各项目计算列示；按照上述折算产生的外</w:t>
      </w:r>
      <w:r>
        <w:rPr>
          <w:spacing w:val="-64"/>
        </w:rPr>
        <w:t> </w:t>
      </w:r>
      <w:r>
        <w:rPr>
          <w:spacing w:val="-64"/>
        </w:rPr>
      </w:r>
      <w:r>
        <w:rPr/>
        <w:t>币财务报表折算差额，在资产负债表股东权益项目下的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项目反映。处置境外经营并丧失控制权时，将资产负 </w:t>
      </w:r>
      <w:r>
        <w:rPr>
          <w:spacing w:val="-4"/>
        </w:rPr>
        <w:t>债表中股东权益项目下列示的、与该境外经营相关的外币报表折算差额，全部或按处置该境外经营的比例转入处置当期损益。</w:t>
      </w:r>
      <w:r>
        <w:rPr>
          <w:spacing w:val="-44"/>
        </w:rPr>
        <w:t> </w:t>
      </w:r>
      <w:r>
        <w:rPr>
          <w:spacing w:val="-44"/>
        </w:rPr>
      </w:r>
      <w:r>
        <w:rPr>
          <w:spacing w:val="-2"/>
        </w:rPr>
        <w:t>在处置部分股权投资或其他原因导致持有境外经营权益比例降低但不丧失对境外经营控制权时，与该境外经营处置部分相关</w:t>
      </w:r>
      <w:r>
        <w:rPr>
          <w:spacing w:val="-64"/>
        </w:rPr>
        <w:t> </w:t>
      </w:r>
      <w:r>
        <w:rPr>
          <w:spacing w:val="-64"/>
        </w:rPr>
      </w:r>
      <w:r>
        <w:rPr/>
        <w:t>的外币报表折算差额将归属于少数股东权益，不转入当期损益。 </w:t>
      </w:r>
      <w:r>
        <w:rPr>
          <w:spacing w:val="-2"/>
        </w:rPr>
        <w:t>现金流量表采用现金流量发生日的即期汇率当期加权平均汇率折算。汇率变动对现金的影响额作为调节项目，在现金流量表</w:t>
      </w:r>
      <w:r>
        <w:rPr>
          <w:spacing w:val="-64"/>
        </w:rPr>
        <w:t> </w:t>
      </w:r>
      <w:r>
        <w:rPr>
          <w:spacing w:val="-64"/>
        </w:rPr>
      </w:r>
      <w:r>
        <w:rPr/>
        <w:t>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t>项目反映。</w:t>
      </w:r>
    </w:p>
    <w:p>
      <w:pPr>
        <w:spacing w:line="240" w:lineRule="auto" w:before="6"/>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420"/>
        <w:jc w:val="both"/>
      </w:pPr>
      <w:r>
        <w:rPr/>
        <w:t>金融工具是指形成一个企业的金融资产，并形成其他单位的金融负债或者权益工具的合同。金融工具包括金融资产、 </w:t>
      </w:r>
      <w:r>
        <w:rPr>
          <w:spacing w:val="-2"/>
        </w:rPr>
        <w:t>金融负债和权益工具。金融资产和金融负债在初始确认时以公允价值计量。对于以公允价值计量且其变动计入当期损益的金</w:t>
      </w:r>
      <w:r>
        <w:rPr>
          <w:spacing w:val="-64"/>
        </w:rPr>
        <w:t> </w:t>
      </w:r>
      <w:r>
        <w:rPr>
          <w:spacing w:val="-64"/>
        </w:rPr>
      </w:r>
      <w:r>
        <w:rPr>
          <w:spacing w:val="-5"/>
        </w:rPr>
        <w:t>融资产和金融负债，相关的交易费用直接计入损益，对于其他类别的金融资产和金融负债，相关交易费用计入初始确认金额。</w:t>
      </w:r>
    </w:p>
    <w:p>
      <w:pPr>
        <w:pStyle w:val="BodyText"/>
        <w:spacing w:line="300" w:lineRule="auto" w:before="19"/>
        <w:ind w:left="573" w:right="1117" w:firstLine="4"/>
        <w:jc w:val="left"/>
      </w:pPr>
      <w:r>
        <w:rPr>
          <w:rFonts w:ascii="Times New Roman" w:hAnsi="Times New Roman" w:cs="Times New Roman" w:eastAsia="Times New Roman" w:hint="default"/>
        </w:rPr>
        <w:t>1</w:t>
      </w:r>
      <w:r>
        <w:rPr/>
        <w:t>．金融资产的分类、确认和计量 以常规方式买卖金融资产，按交易日进行会计确认和终止确认。金融资产在初始确认时划分为以公允价值计量且其变</w:t>
      </w:r>
    </w:p>
    <w:p>
      <w:pPr>
        <w:pStyle w:val="BodyText"/>
        <w:spacing w:line="312" w:lineRule="auto" w:before="32"/>
        <w:ind w:left="573" w:right="1117" w:hanging="421"/>
        <w:jc w:val="left"/>
      </w:pPr>
      <w:r>
        <w:rPr/>
        <w:t>动计入当期损益的金融资产、持有至到期投资、贷款和应收款项以及可供出售金融资产。 </w:t>
      </w:r>
      <w:r>
        <w:rPr>
          <w:rFonts w:ascii="Times New Roman" w:hAnsi="Times New Roman" w:cs="Times New Roman" w:eastAsia="Times New Roman" w:hint="default"/>
        </w:rPr>
        <w:t>(1)</w:t>
      </w:r>
      <w:r>
        <w:rPr/>
        <w:t>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1)</w:t>
      </w:r>
      <w:r>
        <w:rPr>
          <w:spacing w:val="-2"/>
        </w:rPr>
        <w:t>取得该金融资产的目的，主要是为了近期内出售；</w:t>
      </w:r>
      <w:r>
        <w:rPr>
          <w:rFonts w:ascii="Times New Roman" w:hAnsi="Times New Roman" w:cs="Times New Roman" w:eastAsia="Times New Roman" w:hint="default"/>
          <w:spacing w:val="-2"/>
        </w:rPr>
        <w:t>2)</w:t>
      </w:r>
      <w:r>
        <w:rPr>
          <w:spacing w:val="-2"/>
        </w:rPr>
        <w:t>属于进行集</w:t>
      </w:r>
    </w:p>
    <w:p>
      <w:pPr>
        <w:pStyle w:val="BodyText"/>
        <w:spacing w:line="309" w:lineRule="auto" w:before="3"/>
        <w:ind w:right="1131"/>
        <w:jc w:val="both"/>
      </w:pPr>
      <w:r>
        <w:rPr>
          <w:spacing w:val="-1"/>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1"/>
        </w:rPr>
        <w:t>3)</w:t>
      </w:r>
      <w:r>
        <w:rPr>
          <w:spacing w:val="-1"/>
        </w:rPr>
        <w:t>属于衍生工</w:t>
      </w:r>
      <w:r>
        <w:rPr>
          <w:spacing w:val="-86"/>
        </w:rPr>
        <w:t> </w:t>
      </w:r>
      <w:r>
        <w:rPr>
          <w:spacing w:val="-2"/>
        </w:rPr>
        <w:t>具，但是，被指定且为有效套期工具的衍生工具、属于财务担保合同的衍生工具、与在活跃市场中没有报价且其公允价值不</w:t>
      </w:r>
      <w:r>
        <w:rPr>
          <w:spacing w:val="-64"/>
        </w:rPr>
        <w:t> </w:t>
      </w:r>
      <w:r>
        <w:rPr>
          <w:spacing w:val="-64"/>
        </w:rPr>
      </w:r>
      <w:r>
        <w:rPr/>
        <w:t>能可靠计量的权益工具投资挂钩并须通过交付该权益工具结算的衍生工具除外。</w:t>
      </w:r>
    </w:p>
    <w:p>
      <w:pPr>
        <w:pStyle w:val="BodyText"/>
        <w:spacing w:line="307" w:lineRule="auto" w:before="24"/>
        <w:ind w:right="1128" w:firstLine="420"/>
        <w:jc w:val="both"/>
      </w:pPr>
      <w:r>
        <w:rPr/>
        <w:t>符合下述条件之一的金融资产，在初始确认时可指定为以公允价值计量且其变动计入当期损益的金融资产：</w:t>
      </w:r>
      <w:r>
        <w:rPr>
          <w:rFonts w:ascii="Times New Roman" w:hAnsi="Times New Roman" w:cs="Times New Roman" w:eastAsia="Times New Roman" w:hint="default"/>
        </w:rPr>
        <w:t>1)</w:t>
      </w:r>
      <w:r>
        <w:rPr/>
        <w:t>该指定</w:t>
      </w:r>
      <w:r>
        <w:rPr>
          <w:spacing w:val="2"/>
        </w:rPr>
        <w:t> </w:t>
      </w:r>
      <w:r>
        <w:rPr>
          <w:spacing w:val="-1"/>
        </w:rPr>
        <w:t>可以消除或明显减少由于该金融资产的计量基础不同所导致的相关利得或损失在确认或计量方面不一致的情况；</w:t>
      </w:r>
      <w:r>
        <w:rPr>
          <w:rFonts w:ascii="Times New Roman" w:hAnsi="Times New Roman" w:cs="Times New Roman" w:eastAsia="Times New Roman" w:hint="default"/>
          <w:spacing w:val="-1"/>
        </w:rPr>
        <w:t>2)</w:t>
      </w:r>
      <w:r>
        <w:rPr>
          <w:spacing w:val="-1"/>
        </w:rPr>
        <w:t>本公司风</w:t>
      </w:r>
      <w:r>
        <w:rPr>
          <w:spacing w:val="-85"/>
        </w:rPr>
        <w:t> </w:t>
      </w:r>
      <w:r>
        <w:rPr>
          <w:spacing w:val="-2"/>
        </w:rPr>
        <w:t>险管理或投资策略的正式书面文件已载明，对该金融资产所在的金融资产组合或金融资产和金融负债组合以公允价值为基础</w:t>
      </w:r>
      <w:r>
        <w:rPr>
          <w:spacing w:val="-63"/>
        </w:rPr>
        <w:t> </w:t>
      </w:r>
      <w:r>
        <w:rPr>
          <w:spacing w:val="-63"/>
        </w:rPr>
      </w:r>
      <w:r>
        <w:rPr/>
        <w:t>进行管理、评价并向关键管理人员报告。</w:t>
      </w:r>
    </w:p>
    <w:p>
      <w:pPr>
        <w:pStyle w:val="BodyText"/>
        <w:spacing w:line="240" w:lineRule="auto" w:before="26"/>
        <w:ind w:left="573" w:right="1117"/>
        <w:jc w:val="left"/>
      </w:pPr>
      <w:r>
        <w:rPr>
          <w:spacing w:val="2"/>
        </w:rPr>
        <w:t>以公允价值计量且其变动计入当期损益的金融资产取得时以公允价值</w:t>
      </w:r>
      <w:r>
        <w:rPr>
          <w:rFonts w:ascii="Times New Roman" w:hAnsi="Times New Roman" w:cs="Times New Roman" w:eastAsia="Times New Roman" w:hint="default"/>
          <w:spacing w:val="2"/>
        </w:rPr>
        <w:t>(</w:t>
      </w:r>
      <w:r>
        <w:rPr>
          <w:spacing w:val="2"/>
        </w:rPr>
        <w:t>扣除已宣告但尚未发放的现金股利或已付息期</w:t>
      </w:r>
    </w:p>
    <w:p>
      <w:pPr>
        <w:spacing w:after="0" w:line="240" w:lineRule="auto"/>
        <w:jc w:val="left"/>
        <w:sectPr>
          <w:footerReference w:type="default" r:id="rId18"/>
          <w:pgSz w:w="11910" w:h="16840"/>
          <w:pgMar w:footer="1294" w:header="786" w:top="1100" w:bottom="1480" w:left="980" w:right="0"/>
          <w:pgNumType w:start="101"/>
        </w:sectPr>
      </w:pPr>
    </w:p>
    <w:p>
      <w:pPr>
        <w:spacing w:line="240" w:lineRule="auto" w:before="8"/>
        <w:rPr>
          <w:rFonts w:ascii="宋体" w:hAnsi="宋体" w:cs="宋体" w:eastAsia="宋体" w:hint="default"/>
          <w:sz w:val="22"/>
          <w:szCs w:val="22"/>
        </w:rPr>
      </w:pPr>
    </w:p>
    <w:p>
      <w:pPr>
        <w:pStyle w:val="BodyText"/>
        <w:spacing w:line="300" w:lineRule="auto" w:before="44"/>
        <w:ind w:right="1135"/>
        <w:jc w:val="both"/>
      </w:pPr>
      <w:r>
        <w:rPr/>
        <w:t>但尚未领取的债券利息</w:t>
      </w:r>
      <w:r>
        <w:rPr>
          <w:rFonts w:ascii="Times New Roman" w:hAnsi="Times New Roman" w:cs="Times New Roman" w:eastAsia="Times New Roman" w:hint="default"/>
        </w:rPr>
        <w:t>)</w:t>
      </w:r>
      <w:r>
        <w:rPr/>
        <w:t>作为初始确认金额，相关的交易费用计入当期损益。采用公允价值进行后续计量，公允价值变动形</w:t>
      </w:r>
      <w:r>
        <w:rPr>
          <w:spacing w:val="-59"/>
        </w:rPr>
        <w:t> </w:t>
      </w:r>
      <w:r>
        <w:rPr>
          <w:spacing w:val="-59"/>
        </w:rPr>
      </w:r>
      <w:r>
        <w:rPr/>
        <w:t>成的利得或损失以及与该等金融资产相关的股利和利息收入计入当期损益。</w:t>
      </w:r>
    </w:p>
    <w:p>
      <w:pPr>
        <w:pStyle w:val="BodyText"/>
        <w:spacing w:line="309" w:lineRule="auto" w:before="31"/>
        <w:ind w:left="573" w:right="1129"/>
        <w:jc w:val="left"/>
      </w:pPr>
      <w:r>
        <w:rPr>
          <w:rFonts w:ascii="Times New Roman" w:hAnsi="Times New Roman" w:cs="Times New Roman" w:eastAsia="Times New Roman" w:hint="default"/>
        </w:rPr>
        <w:t>(2)</w:t>
      </w:r>
      <w:r>
        <w:rPr/>
        <w:t>持有至到期投资</w:t>
      </w:r>
      <w:r>
        <w:rPr>
          <w:w w:val="99"/>
        </w:rPr>
        <w:t> </w:t>
      </w:r>
      <w:r>
        <w:rPr>
          <w:spacing w:val="-3"/>
          <w:w w:val="99"/>
        </w:rPr>
        <w:t>持有至到期投资是指到期日固定、回收金额固定或可确定，且本公司有明确意图和能力持有至到期的非衍生金融资产。</w:t>
      </w:r>
      <w:r>
        <w:rPr>
          <w:spacing w:val="-76"/>
          <w:w w:val="99"/>
        </w:rPr>
        <w:t> </w:t>
      </w:r>
      <w:r>
        <w:rPr>
          <w:spacing w:val="-76"/>
          <w:w w:val="99"/>
        </w:rPr>
      </w:r>
      <w:r>
        <w:rPr>
          <w:spacing w:val="-2"/>
          <w:w w:val="99"/>
        </w:rPr>
        <w:t>持有至到期投资取得时按公允价值</w:t>
      </w:r>
      <w:r>
        <w:rPr>
          <w:rFonts w:ascii="Times New Roman" w:hAnsi="Times New Roman" w:cs="Times New Roman" w:eastAsia="Times New Roman" w:hint="default"/>
          <w:spacing w:val="-2"/>
          <w:w w:val="99"/>
        </w:rPr>
        <w:t>(</w:t>
      </w:r>
      <w:r>
        <w:rPr>
          <w:spacing w:val="-2"/>
          <w:w w:val="99"/>
        </w:rPr>
        <w:t>扣除已到付息期但尚未领取的债券利息</w:t>
      </w:r>
      <w:r>
        <w:rPr>
          <w:rFonts w:ascii="Times New Roman" w:hAnsi="Times New Roman" w:cs="Times New Roman" w:eastAsia="Times New Roman" w:hint="default"/>
          <w:spacing w:val="-2"/>
          <w:w w:val="99"/>
        </w:rPr>
        <w:t>)</w:t>
      </w:r>
      <w:r>
        <w:rPr>
          <w:spacing w:val="-2"/>
          <w:w w:val="99"/>
        </w:rPr>
        <w:t>和相关交易费用之和作为初始确认金额。采</w:t>
      </w:r>
      <w:r>
        <w:rPr>
          <w:spacing w:val="-2"/>
        </w:rPr>
      </w:r>
    </w:p>
    <w:p>
      <w:pPr>
        <w:pStyle w:val="BodyText"/>
        <w:spacing w:line="316" w:lineRule="auto" w:before="5"/>
        <w:ind w:left="573" w:right="1117" w:hanging="421"/>
        <w:jc w:val="left"/>
      </w:pPr>
      <w:r>
        <w:rPr/>
        <w:t>用实际利率法，按摊余成本进行后续计量，在终止确认、发生减值或摊销时产生的利得或损失，计入当期损益。 实际利率法是指按照金融资产或金融负债</w:t>
      </w:r>
      <w:r>
        <w:rPr>
          <w:rFonts w:ascii="Times New Roman" w:hAnsi="Times New Roman" w:cs="Times New Roman" w:eastAsia="Times New Roman" w:hint="default"/>
        </w:rPr>
        <w:t>(</w:t>
      </w:r>
      <w:r>
        <w:rPr/>
        <w:t>含一组金融资产或金融负债</w:t>
      </w:r>
      <w:r>
        <w:rPr>
          <w:rFonts w:ascii="Times New Roman" w:hAnsi="Times New Roman" w:cs="Times New Roman" w:eastAsia="Times New Roman" w:hint="default"/>
        </w:rPr>
        <w:t>)</w:t>
      </w:r>
      <w:r>
        <w:rPr/>
        <w:t>的实际利率计算其摊余成本及各期利息收入或</w:t>
      </w:r>
    </w:p>
    <w:p>
      <w:pPr>
        <w:pStyle w:val="BodyText"/>
        <w:spacing w:line="312" w:lineRule="auto"/>
        <w:ind w:right="1132"/>
        <w:jc w:val="both"/>
      </w:pPr>
      <w:r>
        <w:rPr>
          <w:spacing w:val="-2"/>
        </w:rPr>
        <w:t>支出的方法。实际利率是指将金融资产或金融负债在预期存续期间或适用的更短期间内的未来现金流量，折现为该金融资产</w:t>
      </w:r>
      <w:r>
        <w:rPr>
          <w:spacing w:val="-64"/>
        </w:rPr>
        <w:t> </w:t>
      </w:r>
      <w:r>
        <w:rPr>
          <w:spacing w:val="-64"/>
        </w:rPr>
      </w:r>
      <w:r>
        <w:rPr>
          <w:spacing w:val="-2"/>
        </w:rPr>
        <w:t>或金融负债当前账面价值所使用的利率。在计算实际利率时，本公司将在考虑金融资产或金融负债所有合同条款的基础上预</w:t>
      </w:r>
      <w:r>
        <w:rPr>
          <w:spacing w:val="-64"/>
        </w:rPr>
        <w:t> </w:t>
      </w:r>
      <w:r>
        <w:rPr>
          <w:spacing w:val="-64"/>
        </w:rPr>
      </w:r>
      <w:r>
        <w:rPr>
          <w:spacing w:val="-1"/>
        </w:rPr>
        <w:t>计未来现金流量</w:t>
      </w:r>
      <w:r>
        <w:rPr>
          <w:rFonts w:ascii="Times New Roman" w:hAnsi="Times New Roman" w:cs="Times New Roman" w:eastAsia="Times New Roman" w:hint="default"/>
          <w:spacing w:val="-1"/>
        </w:rPr>
        <w:t>(</w:t>
      </w:r>
      <w:r>
        <w:rPr>
          <w:spacing w:val="-1"/>
        </w:rPr>
        <w:t>不考虑未来的信用损失</w:t>
      </w:r>
      <w:r>
        <w:rPr>
          <w:rFonts w:ascii="Times New Roman" w:hAnsi="Times New Roman" w:cs="Times New Roman" w:eastAsia="Times New Roman" w:hint="default"/>
          <w:spacing w:val="-1"/>
        </w:rPr>
        <w:t>)</w:t>
      </w:r>
      <w:r>
        <w:rPr>
          <w:spacing w:val="-1"/>
        </w:rPr>
        <w:t>，同时还将考虑金融资产或金融负债合同各方之间支付或收取的、属于实际利率组</w:t>
      </w:r>
      <w:r>
        <w:rPr>
          <w:spacing w:val="-59"/>
        </w:rPr>
        <w:t> </w:t>
      </w:r>
      <w:r>
        <w:rPr>
          <w:spacing w:val="-59"/>
        </w:rPr>
      </w:r>
      <w:r>
        <w:rPr/>
        <w:t>成部分的各项收费、交易费用及折价或溢价等。</w:t>
      </w:r>
    </w:p>
    <w:p>
      <w:pPr>
        <w:pStyle w:val="BodyText"/>
        <w:spacing w:line="300" w:lineRule="auto" w:before="23"/>
        <w:ind w:left="573" w:right="1117"/>
        <w:jc w:val="left"/>
      </w:pPr>
      <w:r>
        <w:rPr>
          <w:rFonts w:ascii="Times New Roman" w:hAnsi="Times New Roman" w:cs="Times New Roman" w:eastAsia="Times New Roman" w:hint="default"/>
        </w:rPr>
        <w:t>(3)</w:t>
      </w:r>
      <w:r>
        <w:rPr/>
        <w:t>贷款和应收款项</w:t>
      </w:r>
      <w:r>
        <w:rPr>
          <w:w w:val="99"/>
        </w:rPr>
        <w:t> </w:t>
      </w:r>
      <w:r>
        <w:rPr/>
        <w:t>贷款和应收款项是指在活跃市场中没有报价、回收金额固定或可确定的非衍生金融资产。本公司划分为贷款和应收款</w:t>
      </w:r>
    </w:p>
    <w:p>
      <w:pPr>
        <w:pStyle w:val="BodyText"/>
        <w:spacing w:line="316" w:lineRule="auto" w:before="31"/>
        <w:ind w:right="1131"/>
        <w:jc w:val="both"/>
      </w:pPr>
      <w:r>
        <w:rPr>
          <w:spacing w:val="-2"/>
        </w:rPr>
        <w:t>的金融资产包括应收票据、应收账款、应收利息、应收股利及其他应收款等。以向购货方应收的合同或协议价款作为初始确</w:t>
      </w:r>
      <w:r>
        <w:rPr>
          <w:spacing w:val="-64"/>
        </w:rPr>
        <w:t> </w:t>
      </w:r>
      <w:r>
        <w:rPr>
          <w:spacing w:val="-64"/>
        </w:rPr>
      </w:r>
      <w:r>
        <w:rPr>
          <w:spacing w:val="-2"/>
        </w:rPr>
        <w:t>认金额；具有融资性质的，按其现值进行初始确认。贷款和应收款项采用实际利率法，按摊余成本进行后续计量，在终止确</w:t>
      </w:r>
      <w:r>
        <w:rPr>
          <w:spacing w:val="-66"/>
        </w:rPr>
        <w:t> </w:t>
      </w:r>
      <w:r>
        <w:rPr>
          <w:spacing w:val="-66"/>
        </w:rPr>
      </w:r>
      <w:r>
        <w:rPr/>
        <w:t>认、发生减值或摊销时产生的利得或损失，计入当期损益。</w:t>
      </w:r>
    </w:p>
    <w:p>
      <w:pPr>
        <w:pStyle w:val="BodyText"/>
        <w:spacing w:line="300" w:lineRule="auto" w:before="19"/>
        <w:ind w:left="578" w:right="1117" w:hanging="5"/>
        <w:jc w:val="left"/>
      </w:pPr>
      <w:r>
        <w:rPr>
          <w:rFonts w:ascii="Times New Roman" w:hAnsi="Times New Roman" w:cs="Times New Roman" w:eastAsia="Times New Roman" w:hint="default"/>
        </w:rPr>
        <w:t>(4)</w:t>
      </w:r>
      <w:r>
        <w:rPr/>
        <w:t>可供出售金融资产</w:t>
      </w:r>
      <w:r>
        <w:rPr>
          <w:w w:val="99"/>
        </w:rPr>
        <w:t> </w:t>
      </w:r>
      <w:r>
        <w:rPr/>
        <w:t>可供出售金融资产包括初始确认时即被指定为可供出售的非衍生金融资产，以及除了以公允价值计量且其变动计入当</w:t>
      </w:r>
    </w:p>
    <w:p>
      <w:pPr>
        <w:pStyle w:val="BodyText"/>
        <w:spacing w:line="316" w:lineRule="auto" w:before="31"/>
        <w:ind w:left="578" w:right="1117" w:hanging="426"/>
        <w:jc w:val="left"/>
      </w:pPr>
      <w:r>
        <w:rPr/>
        <w:t>期损益的金融资产、贷款和应收款项、持有至到期投资以外的金融资产。 可供出售债务工具投资的期末成本按照摊余成本法确定，即初始确认金额扣除已偿还的本金，加上或减去采用实际利</w:t>
      </w:r>
    </w:p>
    <w:p>
      <w:pPr>
        <w:pStyle w:val="BodyText"/>
        <w:spacing w:line="319" w:lineRule="auto" w:before="19"/>
        <w:ind w:left="578" w:right="1117" w:hanging="426"/>
        <w:jc w:val="left"/>
      </w:pPr>
      <w:r>
        <w:rPr/>
        <w:t>率法将该初始确认金额与到期日金额之间的差额进行摊销形成的累计摊销额，并扣除已发生的减值损失后的金额。 </w:t>
      </w:r>
      <w:r>
        <w:rPr>
          <w:spacing w:val="-1"/>
        </w:rPr>
        <w:t>可供出售权益工具投资的期末成本为其初始取得成本。取得时按照公允价值</w:t>
      </w:r>
      <w:r>
        <w:rPr>
          <w:rFonts w:ascii="Times New Roman" w:hAnsi="Times New Roman" w:cs="Times New Roman" w:eastAsia="Times New Roman" w:hint="default"/>
          <w:spacing w:val="-1"/>
        </w:rPr>
        <w:t>(</w:t>
      </w:r>
      <w:r>
        <w:rPr>
          <w:spacing w:val="-1"/>
        </w:rPr>
        <w:t>扣除已宣告但尚未发放的现金股利或已到</w:t>
      </w:r>
    </w:p>
    <w:p>
      <w:pPr>
        <w:pStyle w:val="BodyText"/>
        <w:spacing w:line="314" w:lineRule="auto"/>
        <w:ind w:right="1034"/>
        <w:jc w:val="left"/>
      </w:pPr>
      <w:r>
        <w:rPr/>
        <w:t>付息期但尚未领取的债券利息</w:t>
      </w:r>
      <w:r>
        <w:rPr>
          <w:rFonts w:ascii="Times New Roman" w:hAnsi="Times New Roman" w:cs="Times New Roman" w:eastAsia="Times New Roman" w:hint="default"/>
        </w:rPr>
        <w:t>)</w:t>
      </w:r>
      <w:r>
        <w:rPr/>
        <w:t>和相关费用之和作为初始确认金额。持有期间将取得的利息或现金股利确认为投资收益。可</w:t>
      </w:r>
      <w:r>
        <w:rPr>
          <w:spacing w:val="-58"/>
        </w:rPr>
        <w:t> </w:t>
      </w:r>
      <w:r>
        <w:rPr>
          <w:spacing w:val="-58"/>
        </w:rPr>
      </w:r>
      <w:r>
        <w:rPr>
          <w:spacing w:val="-2"/>
        </w:rPr>
        <w:t>供出售金融资产采用公允价值进行后续计量，其折溢价采用实际利率法摊销并确认为利息收入。期末除减值损失和外币货币</w:t>
      </w:r>
      <w:r>
        <w:rPr>
          <w:spacing w:val="-64"/>
        </w:rPr>
        <w:t> </w:t>
      </w:r>
      <w:r>
        <w:rPr>
          <w:spacing w:val="-64"/>
        </w:rPr>
      </w:r>
      <w:r>
        <w:rPr/>
        <w:t>性金融资产与摊余成本相关的汇兑差额确认为当期损益外，可供出售金融资产的公允价值变动确认为其他综合收益；但是，</w:t>
      </w:r>
      <w:r>
        <w:rPr>
          <w:spacing w:val="-83"/>
        </w:rPr>
        <w:t> </w:t>
      </w:r>
      <w:r>
        <w:rPr>
          <w:spacing w:val="-83"/>
        </w:rPr>
      </w:r>
      <w:r>
        <w:rPr>
          <w:spacing w:val="-2"/>
        </w:rPr>
        <w:t>对于在活跃市场中没有报价且其公允价值不能可靠计量的权益工具投资，以及与该权益工具挂钩并须通过交付该权益工具结</w:t>
      </w:r>
      <w:r>
        <w:rPr>
          <w:spacing w:val="-64"/>
        </w:rPr>
        <w:t> </w:t>
      </w:r>
      <w:r>
        <w:rPr>
          <w:spacing w:val="-64"/>
        </w:rPr>
      </w:r>
      <w:r>
        <w:rPr>
          <w:spacing w:val="-2"/>
        </w:rPr>
        <w:t>算的衍生金融资产，按成本计量。处置时，将取得的价款与该项金融资产账面价值之间的差额，计入投资损益；同时，将原</w:t>
      </w:r>
      <w:r>
        <w:rPr>
          <w:spacing w:val="-68"/>
        </w:rPr>
        <w:t> </w:t>
      </w:r>
      <w:r>
        <w:rPr>
          <w:spacing w:val="-68"/>
        </w:rPr>
      </w:r>
      <w:r>
        <w:rPr/>
        <w:t>直接计入其他综合收益的公允价值变动累计额对应处置部分的金额转出，计入当期损益。</w:t>
      </w:r>
    </w:p>
    <w:p>
      <w:pPr>
        <w:pStyle w:val="BodyText"/>
        <w:spacing w:line="300" w:lineRule="auto" w:before="20"/>
        <w:ind w:left="578" w:right="1117" w:hanging="5"/>
        <w:jc w:val="left"/>
      </w:pPr>
      <w:r>
        <w:rPr>
          <w:rFonts w:ascii="Times New Roman" w:hAnsi="Times New Roman" w:cs="Times New Roman" w:eastAsia="Times New Roman" w:hint="default"/>
        </w:rPr>
        <w:t>2</w:t>
      </w:r>
      <w:r>
        <w:rPr/>
        <w:t>．金融资产转移的确认依据及计量方法 金融资产转移，是指将金融资产让与或交付该金融资产发行方以外的另一方。公司将金融资产转移区分为金融资产整</w:t>
      </w:r>
    </w:p>
    <w:p>
      <w:pPr>
        <w:pStyle w:val="BodyText"/>
        <w:spacing w:line="316" w:lineRule="auto" w:before="31"/>
        <w:ind w:left="573" w:right="991" w:hanging="421"/>
        <w:jc w:val="left"/>
      </w:pPr>
      <w:r>
        <w:rPr/>
        <w:t>体转移和部分转移。 满足下列条件之一的金融资产，予以终止确认：</w:t>
      </w:r>
      <w:r>
        <w:rPr>
          <w:rFonts w:ascii="Times New Roman" w:hAnsi="Times New Roman" w:cs="Times New Roman" w:eastAsia="Times New Roman" w:hint="default"/>
        </w:rPr>
        <w:t>(1)</w:t>
      </w:r>
      <w:r>
        <w:rPr/>
        <w:t>收取该金融资产现金流量的合同权利终止；</w:t>
      </w:r>
      <w:r>
        <w:rPr>
          <w:rFonts w:ascii="Times New Roman" w:hAnsi="Times New Roman" w:cs="Times New Roman" w:eastAsia="Times New Roman" w:hint="default"/>
        </w:rPr>
        <w:t>(2)</w:t>
      </w:r>
      <w:r>
        <w:rPr/>
        <w:t>该金融资产已转移，</w:t>
      </w:r>
    </w:p>
    <w:p>
      <w:pPr>
        <w:pStyle w:val="BodyText"/>
        <w:spacing w:line="300" w:lineRule="auto"/>
        <w:ind w:right="1134"/>
        <w:jc w:val="both"/>
      </w:pPr>
      <w:r>
        <w:rPr/>
        <w:t>且将金融资产所有权上几乎所有的风险和报酬转移给转入方；</w:t>
      </w:r>
      <w:r>
        <w:rPr>
          <w:rFonts w:ascii="Times New Roman" w:hAnsi="Times New Roman" w:cs="Times New Roman" w:eastAsia="Times New Roman" w:hint="default"/>
        </w:rPr>
        <w:t>(3)</w:t>
      </w:r>
      <w:r>
        <w:rPr/>
        <w:t>该金融资产已转移，虽然企业既没有转移也没有保留金融</w:t>
      </w:r>
      <w:r>
        <w:rPr>
          <w:spacing w:val="-29"/>
        </w:rPr>
        <w:t> </w:t>
      </w:r>
      <w:r>
        <w:rPr>
          <w:spacing w:val="-29"/>
        </w:rPr>
      </w:r>
      <w:r>
        <w:rPr/>
        <w:t>资产所有权上几乎所有的风险和报酬，但是放弃了对该金融资产的控制。</w:t>
      </w:r>
    </w:p>
    <w:p>
      <w:pPr>
        <w:pStyle w:val="BodyText"/>
        <w:spacing w:line="316" w:lineRule="auto" w:before="31"/>
        <w:ind w:right="1130" w:firstLine="420"/>
        <w:jc w:val="both"/>
      </w:pPr>
      <w:r>
        <w:rPr/>
        <w:t>若企业既没有转移也没有保留金融资产所有权上几乎所有的风险和报酬，且未放弃对该金融资产的控制的，则按照继 </w:t>
      </w:r>
      <w:r>
        <w:rPr>
          <w:spacing w:val="-2"/>
        </w:rPr>
        <w:t>续涉入所转移金融资产的程度确认有关金融资产，并相应确认有关负债。继续涉入所转移金融资产的程度，是指该金融资产</w:t>
      </w:r>
      <w:r>
        <w:rPr>
          <w:spacing w:val="-63"/>
        </w:rPr>
        <w:t> </w:t>
      </w:r>
      <w:r>
        <w:rPr>
          <w:spacing w:val="-63"/>
        </w:rPr>
      </w:r>
      <w:r>
        <w:rPr/>
        <w:t>价值变动使企业面临的风险水平。</w:t>
      </w:r>
    </w:p>
    <w:p>
      <w:pPr>
        <w:pStyle w:val="BodyText"/>
        <w:spacing w:line="312" w:lineRule="auto" w:before="19"/>
        <w:ind w:right="1129" w:firstLine="425"/>
        <w:jc w:val="both"/>
      </w:pPr>
      <w:r>
        <w:rPr/>
        <w:t>在判断金融资产转移是否满足上述金融资产终止确认条件时，采用实质重于形式的原则。金融资产转移不满足终止确 </w:t>
      </w:r>
      <w:r>
        <w:rPr>
          <w:spacing w:val="-2"/>
        </w:rPr>
        <w:t>认条件的，继续确认该项金融资产，所收到的对价确认为一项金融负债。金融资产整体转移满足终止确认条件的，将下列两</w:t>
      </w:r>
      <w:r>
        <w:rPr>
          <w:spacing w:val="-65"/>
        </w:rPr>
        <w:t> </w:t>
      </w:r>
      <w:r>
        <w:rPr>
          <w:spacing w:val="-65"/>
        </w:rPr>
      </w:r>
      <w:r>
        <w:rPr/>
        <w:t>项金额的差额计入当期损益：</w:t>
      </w:r>
      <w:r>
        <w:rPr>
          <w:rFonts w:ascii="Times New Roman" w:hAnsi="Times New Roman" w:cs="Times New Roman" w:eastAsia="Times New Roman" w:hint="default"/>
        </w:rPr>
        <w:t>(1)</w:t>
      </w:r>
      <w:r>
        <w:rPr/>
        <w:t>因转移而收到的对价，与原直接计入所有者权益的公允价值变动累计额之和；</w:t>
      </w:r>
      <w:r>
        <w:rPr>
          <w:rFonts w:ascii="Times New Roman" w:hAnsi="Times New Roman" w:cs="Times New Roman" w:eastAsia="Times New Roman" w:hint="default"/>
        </w:rPr>
        <w:t>(2)</w:t>
      </w:r>
      <w:r>
        <w:rPr/>
        <w:t>所转移金</w:t>
      </w:r>
      <w:r>
        <w:rPr>
          <w:spacing w:val="-54"/>
        </w:rPr>
        <w:t> </w:t>
      </w:r>
      <w:r>
        <w:rPr>
          <w:spacing w:val="-54"/>
        </w:rPr>
      </w:r>
      <w:r>
        <w:rPr>
          <w:spacing w:val="-2"/>
        </w:rPr>
        <w:t>融资产的账面价值。金融资产部分转移满足终止确认条件的，将所转移金融资产整体的账面价值，在终止确认部分和未终止</w:t>
      </w:r>
      <w:r>
        <w:rPr>
          <w:spacing w:val="-63"/>
        </w:rPr>
        <w:t> </w:t>
      </w:r>
      <w:r>
        <w:rPr>
          <w:spacing w:val="-63"/>
        </w:rPr>
      </w:r>
      <w:r>
        <w:rPr>
          <w:spacing w:val="-2"/>
        </w:rPr>
        <w:t>确认部分之间，按照各自的相对公允价值进行分摊，并将下列两项金额的差额计入当期损益：</w:t>
      </w:r>
      <w:r>
        <w:rPr>
          <w:rFonts w:ascii="Times New Roman" w:hAnsi="Times New Roman" w:cs="Times New Roman" w:eastAsia="Times New Roman" w:hint="default"/>
          <w:spacing w:val="-2"/>
        </w:rPr>
        <w:t>(1)</w:t>
      </w:r>
      <w:r>
        <w:rPr>
          <w:spacing w:val="-2"/>
        </w:rPr>
        <w:t>终止确认部分收到的对价，</w:t>
      </w:r>
      <w:r>
        <w:rPr/>
        <w:t> 与原直接计入所有者权益的公允价值变动累计额中对应终止确认部分的金额之和；</w:t>
      </w:r>
      <w:r>
        <w:rPr>
          <w:rFonts w:ascii="Times New Roman" w:hAnsi="Times New Roman" w:cs="Times New Roman" w:eastAsia="Times New Roman" w:hint="default"/>
        </w:rPr>
        <w:t>(2)</w:t>
      </w:r>
      <w:r>
        <w:rPr/>
        <w:t>终止确认部分的账面价值。</w:t>
      </w:r>
    </w:p>
    <w:p>
      <w:pPr>
        <w:pStyle w:val="BodyText"/>
        <w:spacing w:line="240" w:lineRule="auto" w:before="3"/>
        <w:ind w:left="578" w:right="1117"/>
        <w:jc w:val="left"/>
      </w:pPr>
      <w:r>
        <w:rPr>
          <w:rFonts w:ascii="Times New Roman" w:hAnsi="Times New Roman" w:cs="Times New Roman" w:eastAsia="Times New Roman" w:hint="default"/>
        </w:rPr>
        <w:t>3</w:t>
      </w:r>
      <w:r>
        <w:rPr/>
        <w:t>．金融负债的分类、确认和计量</w:t>
      </w:r>
    </w:p>
    <w:p>
      <w:pPr>
        <w:spacing w:after="0" w:line="240" w:lineRule="auto"/>
        <w:jc w:val="left"/>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309" w:lineRule="auto" w:before="44"/>
        <w:ind w:left="573" w:right="1117" w:firstLine="4"/>
        <w:jc w:val="left"/>
      </w:pPr>
      <w:r>
        <w:rPr/>
        <w:t>金融负债在初始确认时划分为以公允价值计量且其变动计入当期损益的金融负债和其他金融负债。 </w:t>
      </w:r>
      <w:r>
        <w:rPr>
          <w:rFonts w:ascii="Times New Roman" w:hAnsi="Times New Roman" w:cs="Times New Roman" w:eastAsia="Times New Roman" w:hint="default"/>
        </w:rPr>
        <w:t>(1)</w:t>
      </w:r>
      <w:r>
        <w:rPr/>
        <w:t>以公允价值计量且其变动计入当期损益的金融负债 以公允价值计量且其变动计入当期损益的金融负债，包括交易性金融负债和初始确认时指定为以公允价值计量且其变</w:t>
      </w:r>
    </w:p>
    <w:p>
      <w:pPr>
        <w:pStyle w:val="BodyText"/>
        <w:spacing w:line="316" w:lineRule="auto" w:before="24"/>
        <w:ind w:right="1131"/>
        <w:jc w:val="both"/>
      </w:pPr>
      <w:r>
        <w:rPr>
          <w:spacing w:val="-2"/>
        </w:rPr>
        <w:t>动计入当期损益的金融负债，其分类与前述在初始确认时指定为以公允价值计量且其变动计入当期损益的金融资产的条件一</w:t>
      </w:r>
      <w:r>
        <w:rPr>
          <w:spacing w:val="-63"/>
        </w:rPr>
        <w:t> </w:t>
      </w:r>
      <w:r>
        <w:rPr>
          <w:spacing w:val="-63"/>
        </w:rPr>
      </w:r>
      <w:r>
        <w:rPr>
          <w:spacing w:val="-2"/>
        </w:rPr>
        <w:t>致。对于此类金融负债，按照公允价值进行后续计量，公允价值变动形成的利得或损失以及与该等金融负债相关的股利和利</w:t>
      </w:r>
      <w:r>
        <w:rPr>
          <w:spacing w:val="-66"/>
        </w:rPr>
        <w:t> </w:t>
      </w:r>
      <w:r>
        <w:rPr>
          <w:spacing w:val="-66"/>
        </w:rPr>
      </w:r>
      <w:r>
        <w:rPr/>
        <w:t>息支出计入当期损益。</w:t>
      </w:r>
    </w:p>
    <w:p>
      <w:pPr>
        <w:pStyle w:val="BodyText"/>
        <w:spacing w:line="300" w:lineRule="auto" w:before="19"/>
        <w:ind w:left="573" w:right="1117"/>
        <w:jc w:val="left"/>
      </w:pPr>
      <w:r>
        <w:rPr>
          <w:rFonts w:ascii="Times New Roman" w:hAnsi="Times New Roman" w:cs="Times New Roman" w:eastAsia="Times New Roman" w:hint="default"/>
        </w:rPr>
        <w:t>(2)</w:t>
      </w:r>
      <w:r>
        <w:rPr/>
        <w:t>其他金融负债</w:t>
      </w:r>
      <w:r>
        <w:rPr>
          <w:w w:val="99"/>
        </w:rPr>
        <w:t> </w:t>
      </w:r>
      <w:r>
        <w:rPr/>
        <w:t>与在活跃市场中没有报价、公允价值不能可靠计量的权益工具挂钩并须通过交付该权益工具结算的衍生金融负债，按</w:t>
      </w:r>
    </w:p>
    <w:p>
      <w:pPr>
        <w:pStyle w:val="BodyText"/>
        <w:spacing w:line="316" w:lineRule="auto" w:before="31"/>
        <w:ind w:right="1130"/>
        <w:jc w:val="both"/>
      </w:pPr>
      <w:r>
        <w:rPr>
          <w:spacing w:val="-2"/>
        </w:rPr>
        <w:t>照成本进行后续计量。其他金融负债采用实际利率法，按摊余成本进行后续计量，终止确认或摊销产生的利得或损失计入当</w:t>
      </w:r>
      <w:r>
        <w:rPr>
          <w:spacing w:val="-63"/>
        </w:rPr>
        <w:t> </w:t>
      </w:r>
      <w:r>
        <w:rPr>
          <w:spacing w:val="-63"/>
        </w:rPr>
      </w:r>
      <w:r>
        <w:rPr/>
        <w:t>期损益。</w:t>
      </w:r>
    </w:p>
    <w:p>
      <w:pPr>
        <w:pStyle w:val="BodyText"/>
        <w:spacing w:line="300" w:lineRule="auto" w:before="19"/>
        <w:ind w:left="578" w:right="1117" w:hanging="5"/>
        <w:jc w:val="left"/>
      </w:pPr>
      <w:r>
        <w:rPr>
          <w:rFonts w:ascii="Times New Roman" w:hAnsi="Times New Roman" w:cs="Times New Roman" w:eastAsia="Times New Roman" w:hint="default"/>
        </w:rPr>
        <w:t>(3)</w:t>
      </w:r>
      <w:r>
        <w:rPr/>
        <w:t>财务担保合同</w:t>
      </w:r>
      <w:r>
        <w:rPr>
          <w:w w:val="99"/>
        </w:rPr>
        <w:t> </w:t>
      </w:r>
      <w:r>
        <w:rPr/>
        <w:t>不属于指定为以公允价值计量且其变动计入当期损益的金融负债的财务担保合同，以公允价值进行初始确认，在初始</w:t>
      </w:r>
    </w:p>
    <w:p>
      <w:pPr>
        <w:pStyle w:val="BodyText"/>
        <w:spacing w:line="300" w:lineRule="auto" w:before="31"/>
        <w:ind w:right="1128"/>
        <w:jc w:val="both"/>
      </w:pPr>
      <w:r>
        <w:rPr>
          <w:spacing w:val="-2"/>
        </w:rPr>
        <w:t>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w:t>
      </w:r>
      <w:r>
        <w:rPr>
          <w:spacing w:val="-59"/>
        </w:rPr>
        <w:t> </w:t>
      </w:r>
      <w:r>
        <w:rPr>
          <w:spacing w:val="-59"/>
        </w:rPr>
      </w:r>
      <w:r>
        <w:rPr/>
        <w:t>原则确定的累计摊销额后的余额之中的较高者进行后续计量。</w:t>
      </w:r>
    </w:p>
    <w:p>
      <w:pPr>
        <w:pStyle w:val="BodyText"/>
        <w:spacing w:line="300" w:lineRule="auto" w:before="31"/>
        <w:ind w:left="527" w:right="1117" w:firstLine="14"/>
        <w:jc w:val="left"/>
      </w:pPr>
      <w:r>
        <w:rPr>
          <w:rFonts w:ascii="Times New Roman" w:hAnsi="Times New Roman" w:cs="Times New Roman" w:eastAsia="Times New Roman" w:hint="default"/>
        </w:rPr>
        <w:t>4</w:t>
      </w:r>
      <w:r>
        <w:rPr/>
        <w:t>．金融负债的终止确认 </w:t>
      </w:r>
      <w:r>
        <w:rPr>
          <w:spacing w:val="-1"/>
        </w:rPr>
        <w:t>金融负债的现时义务全部或部分已经解除的，才能终止确认该金融负债或其一部分。本公司</w:t>
      </w:r>
      <w:r>
        <w:rPr>
          <w:rFonts w:ascii="Times New Roman" w:hAnsi="Times New Roman" w:cs="Times New Roman" w:eastAsia="Times New Roman" w:hint="default"/>
          <w:spacing w:val="-1"/>
        </w:rPr>
        <w:t>(</w:t>
      </w:r>
      <w:r>
        <w:rPr>
          <w:spacing w:val="-1"/>
        </w:rPr>
        <w:t>债务人</w:t>
      </w:r>
      <w:r>
        <w:rPr>
          <w:rFonts w:ascii="Times New Roman" w:hAnsi="Times New Roman" w:cs="Times New Roman" w:eastAsia="Times New Roman" w:hint="default"/>
          <w:spacing w:val="-1"/>
        </w:rPr>
        <w:t>)</w:t>
      </w:r>
      <w:r>
        <w:rPr>
          <w:spacing w:val="-1"/>
        </w:rPr>
        <w:t>与债权人之间签订</w:t>
      </w:r>
    </w:p>
    <w:p>
      <w:pPr>
        <w:pStyle w:val="BodyText"/>
        <w:spacing w:line="316" w:lineRule="auto" w:before="13"/>
        <w:ind w:right="1130"/>
        <w:jc w:val="both"/>
      </w:pPr>
      <w:r>
        <w:rPr>
          <w:spacing w:val="-2"/>
        </w:rPr>
        <w:t>协议，以承担新金融负债方式替换现存金融负债，且新金融负债与现存金融负债的合同条款实质上不同的，终止确认现存金</w:t>
      </w:r>
      <w:r>
        <w:rPr>
          <w:spacing w:val="-63"/>
        </w:rPr>
        <w:t> </w:t>
      </w:r>
      <w:r>
        <w:rPr>
          <w:spacing w:val="-63"/>
        </w:rPr>
      </w:r>
      <w:r>
        <w:rPr>
          <w:spacing w:val="-2"/>
        </w:rPr>
        <w:t>融负债，并同时确认新金融负债。对现存金融负债全部或者部分合同条款作出实质性修改的，则终止确认现存金融负债或其</w:t>
      </w:r>
      <w:r>
        <w:rPr>
          <w:spacing w:val="-63"/>
        </w:rPr>
        <w:t> </w:t>
      </w:r>
      <w:r>
        <w:rPr>
          <w:spacing w:val="-63"/>
        </w:rPr>
      </w:r>
      <w:r>
        <w:rPr/>
        <w:t>一部分，同时将修改条款后的金融负债确认为一项新金融负债。</w:t>
      </w:r>
    </w:p>
    <w:p>
      <w:pPr>
        <w:pStyle w:val="BodyText"/>
        <w:spacing w:line="300" w:lineRule="auto" w:before="19"/>
        <w:ind w:right="1131" w:firstLine="420"/>
        <w:jc w:val="both"/>
      </w:pPr>
      <w:r>
        <w:rPr>
          <w:spacing w:val="-1"/>
        </w:rPr>
        <w:t>金融负债全部或者部分终止确认时，终止确认的金融负债账面价值与支付对价</w:t>
      </w:r>
      <w:r>
        <w:rPr>
          <w:rFonts w:ascii="Times New Roman" w:hAnsi="Times New Roman" w:cs="Times New Roman" w:eastAsia="Times New Roman" w:hint="default"/>
          <w:spacing w:val="-1"/>
        </w:rPr>
        <w:t>(</w:t>
      </w:r>
      <w:r>
        <w:rPr>
          <w:spacing w:val="-1"/>
        </w:rPr>
        <w:t>包括转出的非现金资产或承担的新金融</w:t>
      </w:r>
      <w:r>
        <w:rPr/>
        <w:t> 负债</w:t>
      </w:r>
      <w:r>
        <w:rPr>
          <w:rFonts w:ascii="Times New Roman" w:hAnsi="Times New Roman" w:cs="Times New Roman" w:eastAsia="Times New Roman" w:hint="default"/>
        </w:rPr>
        <w:t>)</w:t>
      </w:r>
      <w:r>
        <w:rPr/>
        <w:t>之间的差额，计入当期损益。本公司若回购部分金融负债的，在回购日按照继续确认部分与终止确认部分的相对公允</w:t>
      </w:r>
      <w:r>
        <w:rPr>
          <w:spacing w:val="-59"/>
        </w:rPr>
        <w:t> </w:t>
      </w:r>
      <w:r>
        <w:rPr>
          <w:spacing w:val="-59"/>
        </w:rPr>
      </w:r>
      <w:r>
        <w:rPr/>
        <w:t>价值，将该金融负债整体的账面价值进行分配。分配给终止确认部分的账面价值与支付的对价</w:t>
      </w:r>
      <w:r>
        <w:rPr>
          <w:rFonts w:ascii="Times New Roman" w:hAnsi="Times New Roman" w:cs="Times New Roman" w:eastAsia="Times New Roman" w:hint="default"/>
        </w:rPr>
        <w:t>(</w:t>
      </w:r>
      <w:r>
        <w:rPr/>
        <w:t>包括转出的非现金资产或者</w:t>
      </w:r>
      <w:r>
        <w:rPr>
          <w:spacing w:val="-55"/>
        </w:rPr>
        <w:t> </w:t>
      </w:r>
      <w:r>
        <w:rPr>
          <w:spacing w:val="-55"/>
        </w:rPr>
      </w:r>
      <w:r>
        <w:rPr/>
        <w:t>承担的新金融负债</w:t>
      </w:r>
      <w:r>
        <w:rPr>
          <w:rFonts w:ascii="Times New Roman" w:hAnsi="Times New Roman" w:cs="Times New Roman" w:eastAsia="Times New Roman" w:hint="default"/>
        </w:rPr>
        <w:t>)</w:t>
      </w:r>
      <w:r>
        <w:rPr/>
        <w:t>之间的差额，计入当期损益。</w:t>
      </w:r>
    </w:p>
    <w:p>
      <w:pPr>
        <w:pStyle w:val="BodyText"/>
        <w:spacing w:line="300" w:lineRule="auto" w:before="13"/>
        <w:ind w:left="573" w:right="1117"/>
        <w:jc w:val="left"/>
      </w:pPr>
      <w:r>
        <w:rPr>
          <w:rFonts w:ascii="Times New Roman" w:hAnsi="Times New Roman" w:cs="Times New Roman" w:eastAsia="Times New Roman" w:hint="default"/>
        </w:rPr>
        <w:t>5</w:t>
      </w:r>
      <w:r>
        <w:rPr/>
        <w:t>．权益工具 </w:t>
      </w:r>
      <w:r>
        <w:rPr>
          <w:spacing w:val="-2"/>
        </w:rPr>
        <w:t>权益工具是指能证明拥有本公司在扣除所有负债后的资产中的剩余权益的合同。本公司发行</w:t>
      </w:r>
      <w:r>
        <w:rPr>
          <w:rFonts w:ascii="Times New Roman" w:hAnsi="Times New Roman" w:cs="Times New Roman" w:eastAsia="Times New Roman" w:hint="default"/>
          <w:spacing w:val="-2"/>
        </w:rPr>
        <w:t>(</w:t>
      </w:r>
      <w:r>
        <w:rPr>
          <w:spacing w:val="-2"/>
        </w:rPr>
        <w:t>含再融资</w:t>
      </w:r>
      <w:r>
        <w:rPr>
          <w:rFonts w:ascii="Times New Roman" w:hAnsi="Times New Roman" w:cs="Times New Roman" w:eastAsia="Times New Roman" w:hint="default"/>
          <w:spacing w:val="-2"/>
        </w:rPr>
        <w:t>)</w:t>
      </w:r>
      <w:r>
        <w:rPr>
          <w:spacing w:val="-2"/>
        </w:rPr>
        <w:t>、回购、出售或</w:t>
      </w:r>
    </w:p>
    <w:p>
      <w:pPr>
        <w:pStyle w:val="BodyText"/>
        <w:spacing w:line="309" w:lineRule="auto" w:before="13"/>
        <w:ind w:left="573" w:right="1034" w:hanging="421"/>
        <w:jc w:val="left"/>
      </w:pPr>
      <w:r>
        <w:rPr/>
        <w:t>注销权益工具作为权益的变动处理。本公司不确认权益工具的公允价值变动。与权益性交易相关的交易费用从权益中扣减。</w:t>
      </w:r>
      <w:r>
        <w:rPr>
          <w:spacing w:val="-86"/>
        </w:rPr>
        <w:t> </w:t>
      </w:r>
      <w:r>
        <w:rPr>
          <w:spacing w:val="-86"/>
        </w:rPr>
      </w:r>
      <w:r>
        <w:rPr/>
        <w:t>本公司对权益工具持有方的各种分配</w:t>
      </w:r>
      <w:r>
        <w:rPr>
          <w:rFonts w:ascii="Times New Roman" w:hAnsi="Times New Roman" w:cs="Times New Roman" w:eastAsia="Times New Roman" w:hint="default"/>
        </w:rPr>
        <w:t>(</w:t>
      </w:r>
      <w:r>
        <w:rPr/>
        <w:t>不包括股票股利</w:t>
      </w:r>
      <w:r>
        <w:rPr>
          <w:rFonts w:ascii="Times New Roman" w:hAnsi="Times New Roman" w:cs="Times New Roman" w:eastAsia="Times New Roman" w:hint="default"/>
        </w:rPr>
        <w:t>)</w:t>
      </w:r>
      <w:r>
        <w:rPr/>
        <w:t>，减少股东权益。本公司不确认权益工具的公允价值变动额。 金融负债与权益工具的区分：</w:t>
      </w:r>
    </w:p>
    <w:p>
      <w:pPr>
        <w:pStyle w:val="BodyText"/>
        <w:spacing w:line="309" w:lineRule="auto" w:before="24"/>
        <w:ind w:left="573" w:right="4723"/>
        <w:jc w:val="left"/>
      </w:pPr>
      <w:r>
        <w:rPr/>
        <w:t>金融负债，是指符合下列条件之一的负债： </w:t>
      </w:r>
      <w:r>
        <w:rPr>
          <w:rFonts w:ascii="Times New Roman" w:hAnsi="Times New Roman" w:cs="Times New Roman" w:eastAsia="Times New Roman" w:hint="default"/>
        </w:rPr>
        <w:t>(1)</w:t>
      </w:r>
      <w:r>
        <w:rPr/>
        <w:t>向其他方交付现金或其他金融资产的合同义务。 </w:t>
      </w:r>
      <w:r>
        <w:rPr>
          <w:rFonts w:ascii="Times New Roman" w:hAnsi="Times New Roman" w:cs="Times New Roman" w:eastAsia="Times New Roman" w:hint="default"/>
        </w:rPr>
        <w:t>(2)</w:t>
      </w:r>
      <w:r>
        <w:rPr/>
        <w:t>在潜在不利条件下，与其他方交换金融资产或金融负债的合同义务。</w:t>
      </w:r>
    </w:p>
    <w:p>
      <w:pPr>
        <w:pStyle w:val="BodyText"/>
        <w:spacing w:line="300" w:lineRule="auto" w:before="5"/>
        <w:ind w:left="542" w:right="991" w:firstLine="31"/>
        <w:jc w:val="left"/>
      </w:pPr>
      <w:r>
        <w:rPr>
          <w:rFonts w:ascii="Times New Roman" w:hAnsi="Times New Roman" w:cs="Times New Roman" w:eastAsia="Times New Roman" w:hint="default"/>
          <w:spacing w:val="-2"/>
          <w:w w:val="99"/>
        </w:rPr>
        <w:t>(3)</w:t>
      </w:r>
      <w:r>
        <w:rPr>
          <w:spacing w:val="-2"/>
          <w:w w:val="99"/>
        </w:rPr>
        <w:t>将来须用或可用企业自身权益工具进行结算的非衍生工具合同，且企业根据该合同将交付可变数量的自身权益工具。</w:t>
      </w:r>
      <w:r>
        <w:rPr>
          <w:w w:val="99"/>
        </w:rPr>
        <w:t> </w:t>
      </w:r>
      <w:r>
        <w:rPr>
          <w:rFonts w:ascii="Times New Roman" w:hAnsi="Times New Roman" w:cs="Times New Roman" w:eastAsia="Times New Roman" w:hint="default"/>
        </w:rPr>
        <w:t>(4)</w:t>
      </w:r>
      <w:r>
        <w:rPr/>
        <w:t>将来须用或可用企业自身权益工具进行结算的衍生工具合同，但以固定数量的自身权益工具交换固定金额的现金或</w:t>
      </w:r>
    </w:p>
    <w:p>
      <w:pPr>
        <w:pStyle w:val="BodyText"/>
        <w:spacing w:line="316" w:lineRule="auto" w:before="13"/>
        <w:ind w:left="573" w:right="1117" w:hanging="421"/>
        <w:jc w:val="left"/>
      </w:pPr>
      <w:r>
        <w:rPr/>
        <w:t>其他金融资产的衍生工具合同除外。 如果本公司不能无条件地避免以交付现金或其他金融资产来履行一项合同义务，则该合同义务符合金融负债的定义。</w:t>
      </w:r>
    </w:p>
    <w:p>
      <w:pPr>
        <w:pStyle w:val="BodyText"/>
        <w:spacing w:line="316" w:lineRule="auto" w:before="19"/>
        <w:ind w:right="1131"/>
        <w:jc w:val="both"/>
      </w:pPr>
      <w:r>
        <w:rPr>
          <w:spacing w:val="-2"/>
        </w:rPr>
        <w:t>如果一项金融工具须用或可用本公司自身权益工具进行结算，需要考虑用于结算该工具的本公司自身权益工具，是作为现金</w:t>
      </w:r>
      <w:r>
        <w:rPr>
          <w:spacing w:val="-64"/>
        </w:rPr>
        <w:t> </w:t>
      </w:r>
      <w:r>
        <w:rPr>
          <w:spacing w:val="-64"/>
        </w:rPr>
      </w:r>
      <w:r>
        <w:rPr>
          <w:spacing w:val="-2"/>
        </w:rPr>
        <w:t>或其他金融资产的替代品，还是为了使该工具持有方享有在发行方扣除所有负债后的资产中的剩余权益。如果是前者，该工</w:t>
      </w:r>
      <w:r>
        <w:rPr>
          <w:spacing w:val="-64"/>
        </w:rPr>
        <w:t> </w:t>
      </w:r>
      <w:r>
        <w:rPr>
          <w:spacing w:val="-64"/>
        </w:rPr>
      </w:r>
      <w:r>
        <w:rPr/>
        <w:t>具是本公司的金融负债；如果是后者，该工具是本公司的权益工具。</w:t>
      </w:r>
    </w:p>
    <w:p>
      <w:pPr>
        <w:pStyle w:val="BodyText"/>
        <w:spacing w:line="300" w:lineRule="auto" w:before="19"/>
        <w:ind w:left="573" w:right="1117"/>
        <w:jc w:val="left"/>
      </w:pPr>
      <w:r>
        <w:rPr>
          <w:rFonts w:ascii="Times New Roman" w:hAnsi="Times New Roman" w:cs="Times New Roman" w:eastAsia="Times New Roman" w:hint="default"/>
        </w:rPr>
        <w:t>6</w:t>
      </w:r>
      <w:r>
        <w:rPr/>
        <w:t>．衍生工具及嵌入衍生工具 衍生工具于相关合同签署日以公允价值进行初始计量，并以公允价值进行后续计量。公允价值为正数的衍生金融工具</w:t>
      </w:r>
    </w:p>
    <w:p>
      <w:pPr>
        <w:pStyle w:val="BodyText"/>
        <w:spacing w:line="319" w:lineRule="auto" w:before="31"/>
        <w:ind w:right="1130"/>
        <w:jc w:val="both"/>
      </w:pPr>
      <w:r>
        <w:rPr>
          <w:spacing w:val="-2"/>
        </w:rPr>
        <w:t>确认为一项资产，公允价值为负数的确认为一项负债。除指定为套期工具且套期高度有效的衍生工具，其公允价值变动形成</w:t>
      </w:r>
      <w:r>
        <w:rPr>
          <w:spacing w:val="-63"/>
        </w:rPr>
        <w:t> </w:t>
      </w:r>
      <w:r>
        <w:rPr>
          <w:spacing w:val="-63"/>
        </w:rPr>
      </w:r>
      <w:r>
        <w:rPr>
          <w:spacing w:val="-2"/>
        </w:rPr>
        <w:t>的利得或损失将根据套期关系的性质按照套期会计的要求确定计入损益的期间外，其余衍生工具的公允价值变动计入当期损</w:t>
      </w:r>
      <w:r>
        <w:rPr>
          <w:spacing w:val="-64"/>
        </w:rPr>
        <w:t> </w:t>
      </w:r>
      <w:r>
        <w:rPr>
          <w:spacing w:val="-64"/>
        </w:rPr>
      </w:r>
      <w:r>
        <w:rPr/>
        <w:t>益。</w:t>
      </w:r>
    </w:p>
    <w:p>
      <w:pPr>
        <w:pStyle w:val="BodyText"/>
        <w:spacing w:line="240" w:lineRule="auto" w:before="17"/>
        <w:ind w:left="573" w:right="1117"/>
        <w:jc w:val="left"/>
      </w:pPr>
      <w:r>
        <w:rPr/>
        <w:t>对包含嵌入衍生工具的混合工具，如未指定为以公允价值计量且其变动计入当期损益的金融资产或金融负债，嵌入衍</w:t>
      </w:r>
    </w:p>
    <w:p>
      <w:pPr>
        <w:spacing w:after="0" w:line="240" w:lineRule="auto"/>
        <w:jc w:val="left"/>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316" w:lineRule="auto" w:before="44"/>
        <w:ind w:right="1130"/>
        <w:jc w:val="both"/>
      </w:pPr>
      <w:r>
        <w:rPr>
          <w:spacing w:val="-2"/>
        </w:rPr>
        <w:t>生工具与该主合同在经济特征及风险方面不存在紧密关系，且与嵌入衍生工具条件相同，单独存在的工具符合衍生工具定义</w:t>
      </w:r>
      <w:r>
        <w:rPr>
          <w:spacing w:val="-64"/>
        </w:rPr>
        <w:t> </w:t>
      </w:r>
      <w:r>
        <w:rPr>
          <w:spacing w:val="-64"/>
        </w:rPr>
      </w:r>
      <w:r>
        <w:rPr>
          <w:spacing w:val="-2"/>
        </w:rPr>
        <w:t>的，嵌入衍生工具从混合工具中分拆，作为单独的衍生金融工具处理。如果无法在取得时或后续的资产负债表日对嵌入衍生</w:t>
      </w:r>
      <w:r>
        <w:rPr>
          <w:spacing w:val="-63"/>
        </w:rPr>
        <w:t> </w:t>
      </w:r>
      <w:r>
        <w:rPr>
          <w:spacing w:val="-63"/>
        </w:rPr>
      </w:r>
      <w:r>
        <w:rPr/>
        <w:t>工具进行单独计量，则将混合工具整体指定为以公允价值计量且其变动计入当期损益的金融资产或金融负债。</w:t>
      </w:r>
    </w:p>
    <w:p>
      <w:pPr>
        <w:pStyle w:val="BodyText"/>
        <w:spacing w:line="300" w:lineRule="auto" w:before="19"/>
        <w:ind w:left="573" w:right="5533"/>
        <w:jc w:val="left"/>
      </w:pPr>
      <w:r>
        <w:rPr>
          <w:rFonts w:ascii="Times New Roman" w:hAnsi="Times New Roman" w:cs="Times New Roman" w:eastAsia="Times New Roman" w:hint="default"/>
        </w:rPr>
        <w:t>7</w:t>
      </w:r>
      <w:r>
        <w:rPr/>
        <w:t>．金融工具公允价值的确定 金融资产和金融负债的公允价值确定方法见本附注三</w:t>
      </w: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t>。 </w:t>
      </w:r>
      <w:r>
        <w:rPr>
          <w:rFonts w:ascii="Times New Roman" w:hAnsi="Times New Roman" w:cs="Times New Roman" w:eastAsia="Times New Roman" w:hint="default"/>
        </w:rPr>
        <w:t>8</w:t>
      </w:r>
      <w:r>
        <w:rPr/>
        <w:t>．金融资产的减值准备</w:t>
      </w:r>
    </w:p>
    <w:p>
      <w:pPr>
        <w:pStyle w:val="BodyText"/>
        <w:spacing w:line="316" w:lineRule="auto" w:before="13"/>
        <w:ind w:right="1138" w:firstLine="420"/>
        <w:jc w:val="both"/>
      </w:pPr>
      <w:r>
        <w:rPr/>
        <w:t>除了以公允价值计量且其变动计入当期损益的金融资产外，公司在每个资产负债表日对其他金融资产的账面价值进行 检查，有客观证据表明金融资产发生减值的，计提减值准备。</w:t>
      </w:r>
    </w:p>
    <w:p>
      <w:pPr>
        <w:pStyle w:val="BodyText"/>
        <w:spacing w:line="304" w:lineRule="auto" w:before="19"/>
        <w:ind w:right="1130" w:firstLine="420"/>
        <w:jc w:val="both"/>
      </w:pPr>
      <w:r>
        <w:rPr>
          <w:spacing w:val="-3"/>
        </w:rPr>
        <w:t>表明金融资产发生减值的客观证据，是指金融资产初始确认后实际发生的、对该金融资产的预计未来现金流量有影响，</w:t>
      </w:r>
      <w:r>
        <w:rPr/>
        <w:t> 且企业能够对该影响进行可靠计量的事项。金融资产发生减值的客观证据，包括下列可观察到的情形：</w:t>
      </w:r>
      <w:r>
        <w:rPr>
          <w:rFonts w:ascii="Times New Roman" w:hAnsi="Times New Roman" w:cs="Times New Roman" w:eastAsia="Times New Roman" w:hint="default"/>
        </w:rPr>
        <w:t>(1)</w:t>
      </w:r>
      <w:r>
        <w:rPr/>
        <w:t>发行方或债务人</w:t>
      </w:r>
      <w:r>
        <w:rPr>
          <w:spacing w:val="-27"/>
        </w:rPr>
        <w:t> </w:t>
      </w:r>
      <w:r>
        <w:rPr>
          <w:spacing w:val="-27"/>
        </w:rPr>
      </w:r>
      <w:r>
        <w:rPr/>
        <w:t>发生严重财务困难；</w:t>
      </w:r>
      <w:r>
        <w:rPr>
          <w:rFonts w:ascii="Times New Roman" w:hAnsi="Times New Roman" w:cs="Times New Roman" w:eastAsia="Times New Roman" w:hint="default"/>
        </w:rPr>
        <w:t>(2)</w:t>
      </w:r>
      <w:r>
        <w:rPr/>
        <w:t>债务人违反了合同条款，如偿付利息或本金发生违约或逾期等；</w:t>
      </w:r>
      <w:r>
        <w:rPr>
          <w:rFonts w:ascii="Times New Roman" w:hAnsi="Times New Roman" w:cs="Times New Roman" w:eastAsia="Times New Roman" w:hint="default"/>
        </w:rPr>
        <w:t>(3)</w:t>
      </w:r>
      <w:r>
        <w:rPr/>
        <w:t>本公司出于经济或法律等方面因</w:t>
      </w:r>
      <w:r>
        <w:rPr>
          <w:spacing w:val="-54"/>
        </w:rPr>
        <w:t> </w:t>
      </w:r>
      <w:r>
        <w:rPr>
          <w:spacing w:val="-54"/>
        </w:rPr>
      </w:r>
      <w:r>
        <w:rPr/>
        <w:t>素的考虑，对发生财务困难的债务人作出让步；</w:t>
      </w:r>
      <w:r>
        <w:rPr>
          <w:rFonts w:ascii="Times New Roman" w:hAnsi="Times New Roman" w:cs="Times New Roman" w:eastAsia="Times New Roman" w:hint="default"/>
        </w:rPr>
        <w:t>(4)</w:t>
      </w:r>
      <w:r>
        <w:rPr/>
        <w:t>债务人很可能倒闭或者进行其他财务重组；</w:t>
      </w:r>
      <w:r>
        <w:rPr>
          <w:rFonts w:ascii="Times New Roman" w:hAnsi="Times New Roman" w:cs="Times New Roman" w:eastAsia="Times New Roman" w:hint="default"/>
        </w:rPr>
        <w:t>(5)</w:t>
      </w:r>
      <w:r>
        <w:rPr/>
        <w:t>因发行方发生重大财务困</w:t>
      </w:r>
      <w:r>
        <w:rPr>
          <w:spacing w:val="-56"/>
        </w:rPr>
        <w:t> </w:t>
      </w:r>
      <w:r>
        <w:rPr>
          <w:spacing w:val="-56"/>
        </w:rPr>
      </w:r>
      <w:r>
        <w:rPr/>
        <w:t>难，导致金融资产无法在活跃市场继续交易；</w:t>
      </w:r>
      <w:r>
        <w:rPr>
          <w:rFonts w:ascii="Times New Roman" w:hAnsi="Times New Roman" w:cs="Times New Roman" w:eastAsia="Times New Roman" w:hint="default"/>
        </w:rPr>
        <w:t>(6)</w:t>
      </w:r>
      <w:r>
        <w:rPr/>
        <w:t>无法辨认一组金融资产中的某项资产的现金流量是否已经减少，但根据公</w:t>
      </w:r>
      <w:r>
        <w:rPr>
          <w:spacing w:val="-31"/>
        </w:rPr>
        <w:t> </w:t>
      </w:r>
      <w:r>
        <w:rPr>
          <w:spacing w:val="-31"/>
        </w:rPr>
      </w:r>
      <w:r>
        <w:rPr>
          <w:spacing w:val="-2"/>
        </w:rPr>
        <w:t>开的数据对其进行总体评价后发现，该组金融资产自初始确认以来的预计未来现金流量确已减少且可计量，包括该组金融资</w:t>
      </w:r>
      <w:r>
        <w:rPr>
          <w:spacing w:val="-64"/>
        </w:rPr>
        <w:t> </w:t>
      </w:r>
      <w:r>
        <w:rPr>
          <w:spacing w:val="-64"/>
        </w:rPr>
      </w:r>
      <w:r>
        <w:rPr/>
        <w:t>产的债务人支付能力逐步恶化，或者债务人所在国家或地区经济出现了可能导致该组金融资产无法支付的状况；</w:t>
      </w:r>
      <w:r>
        <w:rPr>
          <w:rFonts w:ascii="Times New Roman" w:hAnsi="Times New Roman" w:cs="Times New Roman" w:eastAsia="Times New Roman" w:hint="default"/>
        </w:rPr>
        <w:t>(7)</w:t>
      </w:r>
      <w:r>
        <w:rPr/>
        <w:t>债务人</w:t>
      </w:r>
      <w:r>
        <w:rPr>
          <w:spacing w:val="-26"/>
        </w:rPr>
        <w:t> </w:t>
      </w:r>
      <w:r>
        <w:rPr>
          <w:spacing w:val="-26"/>
        </w:rPr>
      </w:r>
      <w:r>
        <w:rPr/>
        <w:t>经营所处的技术、市场、经济或法律环境等发生重大不利变化，使权益工具投资人可能无法收回投资成本；</w:t>
      </w:r>
      <w:r>
        <w:rPr>
          <w:rFonts w:ascii="Times New Roman" w:hAnsi="Times New Roman" w:cs="Times New Roman" w:eastAsia="Times New Roman" w:hint="default"/>
        </w:rPr>
        <w:t>(8)</w:t>
      </w:r>
      <w:r>
        <w:rPr/>
        <w:t>权益工具投</w:t>
      </w:r>
      <w:r>
        <w:rPr>
          <w:spacing w:val="-27"/>
        </w:rPr>
        <w:t> </w:t>
      </w:r>
      <w:r>
        <w:rPr>
          <w:spacing w:val="-27"/>
        </w:rPr>
      </w:r>
      <w:r>
        <w:rPr/>
        <w:t>资的公允价值发生严重或非暂时性下跌；</w:t>
      </w:r>
      <w:r>
        <w:rPr>
          <w:rFonts w:ascii="Times New Roman" w:hAnsi="Times New Roman" w:cs="Times New Roman" w:eastAsia="Times New Roman" w:hint="default"/>
        </w:rPr>
        <w:t>(9)</w:t>
      </w:r>
      <w:r>
        <w:rPr/>
        <w:t>其他表明金融资产发生减值的客观证据。</w:t>
      </w:r>
    </w:p>
    <w:p>
      <w:pPr>
        <w:pStyle w:val="BodyText"/>
        <w:spacing w:line="300" w:lineRule="auto" w:before="9"/>
        <w:ind w:left="573" w:right="1129"/>
        <w:jc w:val="left"/>
      </w:pPr>
      <w:r>
        <w:rPr>
          <w:rFonts w:ascii="Times New Roman" w:hAnsi="Times New Roman" w:cs="Times New Roman" w:eastAsia="Times New Roman" w:hint="default"/>
        </w:rPr>
        <w:t>(1)</w:t>
      </w:r>
      <w:r>
        <w:rPr/>
        <w:t>持有至到期投资、贷款和应收账款减值测试</w:t>
      </w:r>
      <w:r>
        <w:rPr>
          <w:w w:val="99"/>
        </w:rPr>
        <w:t> </w:t>
      </w:r>
      <w:r>
        <w:rPr>
          <w:spacing w:val="-3"/>
        </w:rPr>
        <w:t>先将单项金额重大的金融资产区分开来，单独进行减值测试；对单项金额不重大的金融资产，可以单独进行减值测试，</w:t>
      </w:r>
    </w:p>
    <w:p>
      <w:pPr>
        <w:pStyle w:val="BodyText"/>
        <w:spacing w:line="312" w:lineRule="auto" w:before="31"/>
        <w:ind w:right="1130"/>
        <w:jc w:val="both"/>
      </w:pPr>
      <w:r>
        <w:rPr/>
        <w:t>或包括在具有类似信用风险特征的金融资产组合中进行减值测试；单独测试未发生减值的金融资产</w:t>
      </w:r>
      <w:r>
        <w:rPr>
          <w:rFonts w:ascii="Times New Roman" w:hAnsi="Times New Roman" w:cs="Times New Roman" w:eastAsia="Times New Roman" w:hint="default"/>
        </w:rPr>
        <w:t>(</w:t>
      </w:r>
      <w:r>
        <w:rPr/>
        <w:t>包括单项金额重大和不</w:t>
      </w:r>
      <w:r>
        <w:rPr>
          <w:spacing w:val="-55"/>
        </w:rPr>
        <w:t> </w:t>
      </w:r>
      <w:r>
        <w:rPr>
          <w:spacing w:val="-55"/>
        </w:rPr>
      </w:r>
      <w:r>
        <w:rPr/>
        <w:t>重大的金融资产</w:t>
      </w:r>
      <w:r>
        <w:rPr>
          <w:rFonts w:ascii="Times New Roman" w:hAnsi="Times New Roman" w:cs="Times New Roman" w:eastAsia="Times New Roman" w:hint="default"/>
        </w:rPr>
        <w:t>)</w:t>
      </w:r>
      <w:r>
        <w:rPr/>
        <w:t>，包括在具有类似信用风险特征的金融资产组合中再进行减值测试。测试结果表明其发生了减值的，以成</w:t>
      </w:r>
      <w:r>
        <w:rPr>
          <w:spacing w:val="-59"/>
        </w:rPr>
        <w:t> </w:t>
      </w:r>
      <w:r>
        <w:rPr>
          <w:spacing w:val="-59"/>
        </w:rPr>
      </w:r>
      <w:r>
        <w:rPr>
          <w:spacing w:val="-2"/>
        </w:rPr>
        <w:t>本或摊余成本计量的金融资产将其账面价值减记至预计未来现金流量现值，减记金额确认为减值损失，计入当期损益；短期</w:t>
      </w:r>
      <w:r>
        <w:rPr>
          <w:spacing w:val="-63"/>
        </w:rPr>
        <w:t> </w:t>
      </w:r>
      <w:r>
        <w:rPr>
          <w:spacing w:val="-63"/>
        </w:rPr>
      </w:r>
      <w:r>
        <w:rPr>
          <w:spacing w:val="-2"/>
        </w:rPr>
        <w:t>应收款项的预计未来现金流量与其现值相差很小的，在确定相关减值损失时，不对其预计未来现金流量进行折现。在确认减</w:t>
      </w:r>
      <w:r>
        <w:rPr>
          <w:spacing w:val="-63"/>
        </w:rPr>
        <w:t> </w:t>
      </w:r>
      <w:r>
        <w:rPr>
          <w:spacing w:val="-63"/>
        </w:rPr>
      </w:r>
      <w:r>
        <w:rPr>
          <w:spacing w:val="-2"/>
        </w:rPr>
        <w:t>值损失后，如有客观证据表明该金融资产价值已恢复，且客观上与确认该损失后发生的事项有关，原确认的减值损失予以转</w:t>
      </w:r>
      <w:r>
        <w:rPr>
          <w:spacing w:val="-63"/>
        </w:rPr>
        <w:t> </w:t>
      </w:r>
      <w:r>
        <w:rPr>
          <w:spacing w:val="-63"/>
        </w:rPr>
      </w:r>
      <w:r>
        <w:rPr/>
        <w:t>回，转回减值损失后的账面价值不超过假定不计提减值准备情况下该金融资产在转回日的摊余成本。</w:t>
      </w:r>
    </w:p>
    <w:p>
      <w:pPr>
        <w:pStyle w:val="BodyText"/>
        <w:spacing w:line="300" w:lineRule="auto" w:before="22"/>
        <w:ind w:left="578" w:right="1117"/>
        <w:jc w:val="left"/>
      </w:pPr>
      <w:r>
        <w:rPr>
          <w:rFonts w:ascii="Times New Roman" w:hAnsi="Times New Roman" w:cs="Times New Roman" w:eastAsia="Times New Roman" w:hint="default"/>
        </w:rPr>
        <w:t>(2)</w:t>
      </w:r>
      <w:r>
        <w:rPr/>
        <w:t>可供出售金融资产减值</w:t>
      </w:r>
      <w:r>
        <w:rPr>
          <w:w w:val="99"/>
        </w:rPr>
        <w:t> </w:t>
      </w:r>
      <w:r>
        <w:rPr/>
        <w:t>本公司于资产负债表日对各项可供出售权益工具投资单独进行检查。对于以公允价值计量的权益工具投资，当综合相</w:t>
      </w:r>
    </w:p>
    <w:p>
      <w:pPr>
        <w:pStyle w:val="BodyText"/>
        <w:spacing w:line="304" w:lineRule="auto" w:before="31"/>
        <w:ind w:right="1129"/>
        <w:jc w:val="both"/>
      </w:pPr>
      <w:r>
        <w:rPr>
          <w:spacing w:val="-3"/>
        </w:rPr>
        <w:t>关因素判断可供出售权益工具投资公允价值下跌是严重或非暂时性下跌时，表明该可供出售权益工具投资发生减值。其中</w:t>
      </w:r>
      <w:r>
        <w:rPr>
          <w:rFonts w:ascii="Times New Roman" w:hAnsi="Times New Roman" w:cs="Times New Roman" w:eastAsia="Times New Roman" w:hint="default"/>
          <w:spacing w:val="-3"/>
        </w:rPr>
        <w:t>“</w:t>
      </w:r>
      <w:r>
        <w:rPr>
          <w:spacing w:val="-3"/>
        </w:rPr>
        <w:t>严</w:t>
      </w:r>
      <w:r>
        <w:rPr>
          <w:spacing w:val="-88"/>
        </w:rPr>
        <w:t> </w:t>
      </w:r>
      <w:r>
        <w:rPr/>
        <w:t>重下跌</w:t>
      </w:r>
      <w:r>
        <w:rPr>
          <w:rFonts w:ascii="Times New Roman" w:hAnsi="Times New Roman" w:cs="Times New Roman" w:eastAsia="Times New Roman" w:hint="default"/>
        </w:rPr>
        <w:t>”</w:t>
      </w:r>
      <w:r>
        <w:rPr/>
        <w:t>是指公允价值低于成本幅度幅度超过</w:t>
      </w:r>
      <w:r>
        <w:rPr>
          <w:spacing w:val="30"/>
        </w:rPr>
        <w:t> </w:t>
      </w:r>
      <w:r>
        <w:rPr>
          <w:rFonts w:ascii="Times New Roman" w:hAnsi="Times New Roman" w:cs="Times New Roman" w:eastAsia="Times New Roman" w:hint="default"/>
        </w:rPr>
        <w:t>50%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是指公允价值连续下跌时间达到或超过</w:t>
      </w:r>
      <w:r>
        <w:rPr>
          <w:spacing w:val="26"/>
        </w:rPr>
        <w:t> </w:t>
      </w:r>
      <w:r>
        <w:rPr>
          <w:rFonts w:ascii="Times New Roman" w:hAnsi="Times New Roman" w:cs="Times New Roman" w:eastAsia="Times New Roman" w:hint="default"/>
        </w:rPr>
        <w:t>12</w:t>
      </w:r>
      <w:r>
        <w:rPr/>
        <w:t>个月；若其</w:t>
      </w:r>
      <w:r>
        <w:rPr>
          <w:spacing w:val="-86"/>
        </w:rPr>
        <w:t> </w:t>
      </w:r>
      <w:r>
        <w:rPr>
          <w:spacing w:val="-86"/>
        </w:rPr>
      </w:r>
      <w:r>
        <w:rPr>
          <w:spacing w:val="-1"/>
        </w:rPr>
        <w:t>于资产负债表日的公允价值低于其成本超过</w:t>
      </w:r>
      <w:r>
        <w:rPr>
          <w:rFonts w:ascii="Times New Roman" w:hAnsi="Times New Roman" w:cs="Times New Roman" w:eastAsia="Times New Roman" w:hint="default"/>
          <w:spacing w:val="-1"/>
        </w:rPr>
        <w:t>20%(</w:t>
      </w:r>
      <w:r>
        <w:rPr>
          <w:spacing w:val="-1"/>
        </w:rPr>
        <w:t>含</w:t>
      </w:r>
      <w:r>
        <w:rPr>
          <w:rFonts w:ascii="Times New Roman" w:hAnsi="Times New Roman" w:cs="Times New Roman" w:eastAsia="Times New Roman" w:hint="default"/>
          <w:spacing w:val="-1"/>
        </w:rPr>
        <w:t>20%)</w:t>
      </w:r>
      <w:r>
        <w:rPr>
          <w:spacing w:val="-1"/>
        </w:rPr>
        <w:t>但尚未达到</w:t>
      </w:r>
      <w:r>
        <w:rPr>
          <w:rFonts w:ascii="Times New Roman" w:hAnsi="Times New Roman" w:cs="Times New Roman" w:eastAsia="Times New Roman" w:hint="default"/>
          <w:spacing w:val="-1"/>
        </w:rPr>
        <w:t>50%</w:t>
      </w:r>
      <w:r>
        <w:rPr>
          <w:spacing w:val="-1"/>
        </w:rPr>
        <w:t>的，或低于其成本持续时间超过</w:t>
      </w:r>
      <w:r>
        <w:rPr>
          <w:rFonts w:ascii="Times New Roman" w:hAnsi="Times New Roman" w:cs="Times New Roman" w:eastAsia="Times New Roman" w:hint="default"/>
          <w:spacing w:val="-1"/>
        </w:rPr>
        <w:t>6</w:t>
      </w:r>
      <w:r>
        <w:rPr>
          <w:spacing w:val="-1"/>
        </w:rPr>
        <w:t>个月</w:t>
      </w:r>
      <w:r>
        <w:rPr>
          <w:rFonts w:ascii="Times New Roman" w:hAnsi="Times New Roman" w:cs="Times New Roman" w:eastAsia="Times New Roman" w:hint="default"/>
          <w:spacing w:val="-1"/>
        </w:rPr>
        <w:t>(</w:t>
      </w:r>
      <w:r>
        <w:rPr>
          <w:spacing w:val="-1"/>
        </w:rPr>
        <w:t>含</w:t>
      </w:r>
      <w:r>
        <w:rPr>
          <w:rFonts w:ascii="Times New Roman" w:hAnsi="Times New Roman" w:cs="Times New Roman" w:eastAsia="Times New Roman" w:hint="default"/>
          <w:spacing w:val="-1"/>
        </w:rPr>
        <w:t>6</w:t>
      </w:r>
      <w:r>
        <w:rPr>
          <w:spacing w:val="-1"/>
        </w:rPr>
        <w:t>个月</w:t>
      </w:r>
      <w:r>
        <w:rPr>
          <w:rFonts w:ascii="Times New Roman" w:hAnsi="Times New Roman" w:cs="Times New Roman" w:eastAsia="Times New Roman" w:hint="default"/>
          <w:spacing w:val="-1"/>
        </w:rPr>
        <w:t>)</w:t>
      </w:r>
      <w:r>
        <w:rPr>
          <w:spacing w:val="-1"/>
        </w:rPr>
        <w:t>但未</w:t>
      </w:r>
      <w:r>
        <w:rPr>
          <w:spacing w:val="-3"/>
        </w:rPr>
        <w:t> </w:t>
      </w:r>
      <w:r>
        <w:rPr>
          <w:spacing w:val="-2"/>
        </w:rPr>
        <w:t>超过</w:t>
      </w:r>
      <w:r>
        <w:rPr>
          <w:rFonts w:ascii="Times New Roman" w:hAnsi="Times New Roman" w:cs="Times New Roman" w:eastAsia="Times New Roman" w:hint="default"/>
          <w:spacing w:val="-2"/>
        </w:rPr>
        <w:t>12</w:t>
      </w:r>
      <w:r>
        <w:rPr>
          <w:spacing w:val="-2"/>
        </w:rPr>
        <w:t>个月的，本公司会综合考虑其他相关因素，诸如价格波动率等，判断该权益工具投资是否发生减值。对于以成本计量</w:t>
      </w:r>
      <w:r>
        <w:rPr>
          <w:spacing w:val="-63"/>
        </w:rPr>
        <w:t> </w:t>
      </w:r>
      <w:r>
        <w:rPr>
          <w:spacing w:val="-63"/>
        </w:rPr>
      </w:r>
      <w:r>
        <w:rPr>
          <w:spacing w:val="-2"/>
        </w:rPr>
        <w:t>的权益工具投资，公司综合考虑被投资单位经营所处的技术、市场、经济或法律环境等是否发生重大不利变化，判断该权益</w:t>
      </w:r>
      <w:r>
        <w:rPr>
          <w:spacing w:val="-64"/>
        </w:rPr>
        <w:t> </w:t>
      </w:r>
      <w:r>
        <w:rPr>
          <w:spacing w:val="-64"/>
        </w:rPr>
      </w:r>
      <w:r>
        <w:rPr/>
        <w:t>工具是否发生减值。</w:t>
      </w:r>
    </w:p>
    <w:p>
      <w:pPr>
        <w:pStyle w:val="BodyText"/>
        <w:spacing w:line="316" w:lineRule="auto" w:before="28"/>
        <w:ind w:right="1130" w:firstLine="425"/>
        <w:jc w:val="both"/>
      </w:pPr>
      <w:r>
        <w:rPr/>
        <w:t>以公允价值计量的可供出售金融资产发生减值时，原直接计入其他综合收益的因公允价值下降形成的累计损失予以转 </w:t>
      </w:r>
      <w:r>
        <w:rPr>
          <w:spacing w:val="-2"/>
        </w:rPr>
        <w:t>出并计入减值损失。对已确认减值损失的可供出售债务工具投资，在期后公允价值回升且客观上与确认原减值损失后发生的</w:t>
      </w:r>
      <w:r>
        <w:rPr>
          <w:spacing w:val="-64"/>
        </w:rPr>
        <w:t> </w:t>
      </w:r>
      <w:r>
        <w:rPr>
          <w:spacing w:val="-64"/>
        </w:rPr>
      </w:r>
      <w:r>
        <w:rPr>
          <w:spacing w:val="-2"/>
        </w:rPr>
        <w:t>事项有关的，原确认的减值损失予以转回并计入当期损益。对已确认减值损失的可供出售权益工具投资，期后公允价值回升</w:t>
      </w:r>
      <w:r>
        <w:rPr>
          <w:spacing w:val="-63"/>
        </w:rPr>
        <w:t> </w:t>
      </w:r>
      <w:r>
        <w:rPr>
          <w:spacing w:val="-63"/>
        </w:rPr>
      </w:r>
      <w:r>
        <w:rPr/>
        <w:t>直接计入其他综合收益。</w:t>
      </w:r>
    </w:p>
    <w:p>
      <w:pPr>
        <w:pStyle w:val="BodyText"/>
        <w:spacing w:line="316" w:lineRule="auto" w:before="19"/>
        <w:ind w:right="1138" w:firstLine="420"/>
        <w:jc w:val="both"/>
      </w:pPr>
      <w:r>
        <w:rPr/>
        <w:t>以成本计量的可供出售权益工具发生减值时，将该权益工具投资的账面价值，与按照类似金融资产当时市场收益率对 未来现金流量折现确定的现值之间的差额，确认为减值损失，计入当期损益，发生的减值损失一经确认，不予转回。</w:t>
      </w:r>
    </w:p>
    <w:p>
      <w:pPr>
        <w:pStyle w:val="BodyText"/>
        <w:spacing w:line="312" w:lineRule="auto" w:before="19"/>
        <w:ind w:right="1117" w:firstLine="389"/>
        <w:jc w:val="left"/>
      </w:pPr>
      <w:r>
        <w:rPr>
          <w:rFonts w:ascii="Times New Roman" w:hAnsi="Times New Roman" w:cs="Times New Roman" w:eastAsia="Times New Roman" w:hint="default"/>
        </w:rPr>
        <w:t>9</w:t>
      </w:r>
      <w:r>
        <w:rPr/>
        <w:t>．金融资产和金融负债的抵销 </w:t>
      </w:r>
      <w:r>
        <w:rPr>
          <w:spacing w:val="-2"/>
        </w:rPr>
        <w:t>当本公司具有抵销已确认金融资产和金融负债的法定权利，且目前可执行该种法定权利，同时本公司计划以净额结算或同时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spacing w:after="0" w:line="312" w:lineRule="auto"/>
        <w:jc w:val="left"/>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95"/>
        <w:gridCol w:w="4775"/>
      </w:tblGrid>
      <w:tr>
        <w:trPr>
          <w:trHeight w:val="715" w:hRule="exact"/>
        </w:trPr>
        <w:tc>
          <w:tcPr>
            <w:tcW w:w="4795"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7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万元以上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含</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的款项；其他应收款</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的款项。</w:t>
            </w:r>
          </w:p>
        </w:tc>
      </w:tr>
      <w:tr>
        <w:trPr>
          <w:trHeight w:val="1337" w:hRule="exact"/>
        </w:trPr>
        <w:tc>
          <w:tcPr>
            <w:tcW w:w="4795"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7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11" w:right="72"/>
              <w:jc w:val="both"/>
              <w:rPr>
                <w:rFonts w:ascii="宋体" w:hAnsi="宋体" w:cs="宋体" w:eastAsia="宋体" w:hint="default"/>
                <w:sz w:val="18"/>
                <w:szCs w:val="18"/>
              </w:rPr>
            </w:pPr>
            <w:r>
              <w:rPr>
                <w:rFonts w:ascii="宋体" w:hAnsi="宋体" w:cs="宋体" w:eastAsia="宋体" w:hint="default"/>
                <w:sz w:val="18"/>
                <w:szCs w:val="18"/>
              </w:rPr>
              <w:t>经单独进行减值测试有客观证据表明发生减值的，根据其未 来现金流量现值低于其账面价值的差额计提坏账准备；经单 独进行减值测试未发生减值的，将其划入具有类似信用风险 特征的若干组合计提坏账准备。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1117"/>
        <w:jc w:val="left"/>
      </w:pPr>
      <w:r>
        <w:rPr/>
        <w:t>组合中，采用账龄分析法计提坏账准备的：</w:t>
      </w:r>
    </w:p>
    <w:p>
      <w:pPr>
        <w:pStyle w:val="BodyText"/>
        <w:spacing w:line="240" w:lineRule="auto" w:before="115"/>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17"/>
        <w:jc w:val="left"/>
      </w:pPr>
      <w:r>
        <w:rPr/>
        <w:t>组合中，采用余额百分比法计提坏账准备的：</w:t>
      </w:r>
    </w:p>
    <w:p>
      <w:pPr>
        <w:pStyle w:val="BodyText"/>
        <w:spacing w:line="340" w:lineRule="auto" w:before="115"/>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95"/>
        <w:gridCol w:w="4775"/>
      </w:tblGrid>
      <w:tr>
        <w:trPr>
          <w:trHeight w:val="401" w:hRule="exact"/>
        </w:trPr>
        <w:tc>
          <w:tcPr>
            <w:tcW w:w="4795"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7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有确凿证据表明可收回性存在明显差异</w:t>
            </w:r>
          </w:p>
        </w:tc>
      </w:tr>
      <w:tr>
        <w:trPr>
          <w:trHeight w:val="715" w:hRule="exact"/>
        </w:trPr>
        <w:tc>
          <w:tcPr>
            <w:tcW w:w="4795"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7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11"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 软件与信息技术服务业</w:t>
      </w:r>
      <w:r>
        <w:rPr>
          <w:rFonts w:ascii="Times New Roman" w:hAnsi="Times New Roman" w:cs="Times New Roman" w:eastAsia="Times New Roman" w:hint="default"/>
        </w:rPr>
        <w:t>;</w:t>
      </w:r>
      <w:r>
        <w:rPr/>
        <w:t>互联网营销业</w:t>
      </w:r>
    </w:p>
    <w:p>
      <w:pPr>
        <w:pStyle w:val="BodyText"/>
        <w:spacing w:line="300" w:lineRule="auto" w:before="6"/>
        <w:ind w:right="991" w:firstLine="420"/>
        <w:jc w:val="left"/>
      </w:pPr>
      <w:r>
        <w:rPr>
          <w:rFonts w:ascii="Times New Roman" w:hAnsi="Times New Roman" w:cs="Times New Roman" w:eastAsia="Times New Roman" w:hint="default"/>
        </w:rPr>
        <w:t>1</w:t>
      </w:r>
      <w:r>
        <w:rPr/>
        <w:t>．存货包括在日常活动中持有以备出售的产成品或商品、处于开发过程中的软件产品或施工过程中的系统集成工程， 在生产过程或提供劳务过程中耗用的材料和物料、在途物资和委托加工物资等。</w:t>
      </w:r>
    </w:p>
    <w:p>
      <w:pPr>
        <w:spacing w:after="0" w:line="300" w:lineRule="auto"/>
        <w:jc w:val="left"/>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307" w:lineRule="auto" w:before="44"/>
        <w:ind w:right="1131" w:firstLine="420"/>
        <w:jc w:val="both"/>
      </w:pPr>
      <w:r>
        <w:rPr>
          <w:rFonts w:ascii="Times New Roman" w:hAnsi="Times New Roman" w:cs="Times New Roman" w:eastAsia="Times New Roman" w:hint="default"/>
          <w:spacing w:val="-2"/>
        </w:rPr>
        <w:t>2</w:t>
      </w:r>
      <w:r>
        <w:rPr>
          <w:spacing w:val="-2"/>
        </w:rPr>
        <w:t>．企业取得存货按实际成本计量。</w:t>
      </w:r>
      <w:r>
        <w:rPr>
          <w:rFonts w:ascii="Times New Roman" w:hAnsi="Times New Roman" w:cs="Times New Roman" w:eastAsia="Times New Roman" w:hint="default"/>
          <w:spacing w:val="-2"/>
        </w:rPr>
        <w:t>(1)</w:t>
      </w:r>
      <w:r>
        <w:rPr>
          <w:spacing w:val="-2"/>
        </w:rPr>
        <w:t>外购存货的成本即为该存货的采购成本，通过进一步加工取得的存货成本由采购</w:t>
      </w:r>
      <w:r>
        <w:rPr/>
        <w:t> 成本和加工成本构成。</w:t>
      </w:r>
      <w:r>
        <w:rPr>
          <w:rFonts w:ascii="Times New Roman" w:hAnsi="Times New Roman" w:cs="Times New Roman" w:eastAsia="Times New Roman" w:hint="default"/>
        </w:rPr>
        <w:t>(2)</w:t>
      </w:r>
      <w:r>
        <w:rPr/>
        <w:t>债务重组取得债务人用以抵债的存货，以该存货的公允价值为基础确定其入账价值。</w:t>
      </w:r>
      <w:r>
        <w:rPr>
          <w:rFonts w:ascii="Times New Roman" w:hAnsi="Times New Roman" w:cs="Times New Roman" w:eastAsia="Times New Roman" w:hint="default"/>
        </w:rPr>
        <w:t>(3)</w:t>
      </w:r>
      <w:r>
        <w:rPr/>
        <w:t>在非货币</w:t>
      </w:r>
      <w:r>
        <w:rPr>
          <w:spacing w:val="-55"/>
        </w:rPr>
        <w:t> </w:t>
      </w:r>
      <w:r>
        <w:rPr>
          <w:spacing w:val="-55"/>
        </w:rPr>
      </w:r>
      <w:r>
        <w:rPr>
          <w:spacing w:val="-2"/>
        </w:rPr>
        <w:t>性资产交换具备商业实质和换入资产或换出资产的公允价值能够可靠计量的前提下，非货币性资产交换换入的存货通常以换</w:t>
      </w:r>
      <w:r>
        <w:rPr>
          <w:spacing w:val="-64"/>
        </w:rPr>
        <w:t> </w:t>
      </w:r>
      <w:r>
        <w:rPr>
          <w:spacing w:val="-64"/>
        </w:rPr>
      </w:r>
      <w:r>
        <w:rPr>
          <w:spacing w:val="-2"/>
        </w:rPr>
        <w:t>出资产的公允价值为基础确定其入账价值，除非有确凿证据表明换入资产公允价值更加可靠；不满足上述前提的非货币性资</w:t>
      </w:r>
      <w:r>
        <w:rPr>
          <w:spacing w:val="-64"/>
        </w:rPr>
        <w:t> </w:t>
      </w:r>
      <w:r>
        <w:rPr>
          <w:spacing w:val="-64"/>
        </w:rPr>
      </w:r>
      <w:r>
        <w:rPr/>
        <w:t>产交换，以换出资产的账面价值和应支付的相关税费作为换入存货的成本。</w:t>
      </w:r>
      <w:r>
        <w:rPr>
          <w:rFonts w:ascii="Times New Roman" w:hAnsi="Times New Roman" w:cs="Times New Roman" w:eastAsia="Times New Roman" w:hint="default"/>
        </w:rPr>
        <w:t>(4)</w:t>
      </w:r>
      <w:r>
        <w:rPr/>
        <w:t>以同一控制下的企业吸收合并方式取得的存</w:t>
      </w:r>
      <w:r>
        <w:rPr>
          <w:spacing w:val="-29"/>
        </w:rPr>
        <w:t> </w:t>
      </w:r>
      <w:r>
        <w:rPr>
          <w:spacing w:val="-29"/>
        </w:rPr>
      </w:r>
      <w:r>
        <w:rPr/>
        <w:t>货按被合并方的账面价值确定其入账价值；以非同一控制下的企业吸收合并方式取得的存货按公允价值确定其入账价值。</w:t>
      </w:r>
    </w:p>
    <w:p>
      <w:pPr>
        <w:pStyle w:val="BodyText"/>
        <w:spacing w:line="240" w:lineRule="auto" w:before="26"/>
        <w:ind w:left="573" w:right="1117"/>
        <w:jc w:val="left"/>
      </w:pPr>
      <w:r>
        <w:rPr>
          <w:rFonts w:ascii="Times New Roman" w:hAnsi="Times New Roman" w:cs="Times New Roman" w:eastAsia="Times New Roman" w:hint="default"/>
        </w:rPr>
        <w:t>3</w:t>
      </w:r>
      <w:r>
        <w:rPr/>
        <w:t>．企业发出存货的成本计量采用个别计价法。</w:t>
      </w:r>
    </w:p>
    <w:p>
      <w:pPr>
        <w:pStyle w:val="BodyText"/>
        <w:spacing w:line="312" w:lineRule="auto" w:before="63"/>
        <w:ind w:right="1131" w:firstLine="420"/>
        <w:jc w:val="both"/>
      </w:pPr>
      <w:r>
        <w:rPr>
          <w:rFonts w:ascii="Times New Roman" w:hAnsi="Times New Roman" w:cs="Times New Roman" w:eastAsia="Times New Roman" w:hint="default"/>
          <w:spacing w:val="-1"/>
        </w:rPr>
        <w:t>4</w:t>
      </w:r>
      <w:r>
        <w:rPr>
          <w:spacing w:val="-1"/>
        </w:rPr>
        <w:t>．资产负债表日，存货采用成本与可变现净值孰低计量。存货可变现净值是按存货的估计售价减去至完工时估计将要</w:t>
      </w:r>
      <w:r>
        <w:rPr/>
        <w:t> </w:t>
      </w:r>
      <w:r>
        <w:rPr>
          <w:spacing w:val="-2"/>
        </w:rPr>
        <w:t>发生的成本、估计的销售费用以及相关税费后的金额。在确定存货的可变现净值时，以取得的确凿证据为基础，同时考虑持</w:t>
      </w:r>
      <w:r>
        <w:rPr>
          <w:spacing w:val="-65"/>
        </w:rPr>
        <w:t> </w:t>
      </w:r>
      <w:r>
        <w:rPr>
          <w:spacing w:val="-65"/>
        </w:rPr>
      </w:r>
      <w:r>
        <w:rPr>
          <w:spacing w:val="-2"/>
        </w:rPr>
        <w:t>有存货的目的以及资产负债表日后事项的影响，除有明确证据表明资产负债表日市场价格异常外，本期期末存货项目的可变</w:t>
      </w:r>
      <w:r>
        <w:rPr>
          <w:spacing w:val="-64"/>
        </w:rPr>
        <w:t> </w:t>
      </w:r>
      <w:r>
        <w:rPr>
          <w:spacing w:val="-64"/>
        </w:rPr>
      </w:r>
      <w:r>
        <w:rPr/>
        <w:t>现净值以资产负债表日市场价格为基础确定，其中：</w:t>
      </w:r>
    </w:p>
    <w:p>
      <w:pPr>
        <w:pStyle w:val="BodyText"/>
        <w:spacing w:line="300" w:lineRule="auto" w:before="23"/>
        <w:ind w:right="1135" w:firstLine="420"/>
        <w:jc w:val="both"/>
      </w:pPr>
      <w:r>
        <w:rPr>
          <w:rFonts w:ascii="Times New Roman" w:hAnsi="Times New Roman" w:cs="Times New Roman" w:eastAsia="Times New Roman" w:hint="default"/>
        </w:rPr>
        <w:t>(1)</w:t>
      </w:r>
      <w:r>
        <w:rPr/>
        <w:t>产成品、商品和用于出售的材料等直接用于出售的商品存货，在正常生产经营过程中以该存货的估计售价减去估计</w:t>
      </w:r>
      <w:r>
        <w:rPr>
          <w:w w:val="99"/>
        </w:rPr>
        <w:t> </w:t>
      </w:r>
      <w:r>
        <w:rPr/>
        <w:t>的销售费用和相关税费后的金额确定其可变现净值；</w:t>
      </w:r>
    </w:p>
    <w:p>
      <w:pPr>
        <w:pStyle w:val="BodyText"/>
        <w:spacing w:line="309" w:lineRule="auto" w:before="31"/>
        <w:ind w:right="991" w:firstLine="420"/>
        <w:jc w:val="left"/>
      </w:pPr>
      <w:r>
        <w:rPr>
          <w:rFonts w:ascii="Times New Roman" w:hAnsi="Times New Roman" w:cs="Times New Roman" w:eastAsia="Times New Roman" w:hint="default"/>
          <w:spacing w:val="-1"/>
        </w:rPr>
        <w:t>(2)</w:t>
      </w:r>
      <w:r>
        <w:rPr>
          <w:spacing w:val="-1"/>
        </w:rPr>
        <w:t>需要经过加工的材料存货，在正常生产经营过程中以所生产的产成品的估计售价减去至完工时估计将要发生的成本、</w:t>
      </w:r>
      <w:r>
        <w:rPr>
          <w:w w:val="99"/>
        </w:rPr>
        <w:t> </w:t>
      </w:r>
      <w:r>
        <w:rPr/>
        <w:t>估计的销售费用和相关税费后的金额确定其可变现净值；资产负债表日，同一项存货中一部分有合同价格约定、其他部分</w:t>
      </w:r>
      <w:r>
        <w:rPr>
          <w:spacing w:val="-45"/>
        </w:rPr>
        <w:t> </w:t>
      </w:r>
      <w:r>
        <w:rPr>
          <w:spacing w:val="-45"/>
        </w:rPr>
      </w:r>
      <w:r>
        <w:rPr/>
        <w:t>不存在合同价格的，分别确定其可变现净值，并与其对应的成本进行比较，分别确定存货跌价准备的计提或转回的金额。</w:t>
      </w:r>
    </w:p>
    <w:p>
      <w:pPr>
        <w:pStyle w:val="BodyText"/>
        <w:spacing w:line="316" w:lineRule="auto" w:before="24"/>
        <w:ind w:right="1129" w:firstLine="420"/>
        <w:jc w:val="both"/>
      </w:pPr>
      <w:r>
        <w:rPr/>
        <w:t>期末按照单个存货项目计提存货跌价准备；但对于数量繁多、单价较低的存货，按照存货类别计提存货跌价准备；与 </w:t>
      </w:r>
      <w:r>
        <w:rPr>
          <w:spacing w:val="-2"/>
        </w:rPr>
        <w:t>在同一地区生产和销售的产品系列相关、具有相同或者类似最终用途或目的，且难以与其他项目分开计量的存货，则合并计</w:t>
      </w:r>
      <w:r>
        <w:rPr>
          <w:spacing w:val="-62"/>
        </w:rPr>
        <w:t> </w:t>
      </w:r>
      <w:r>
        <w:rPr>
          <w:spacing w:val="-62"/>
        </w:rPr>
      </w:r>
      <w:r>
        <w:rPr/>
        <w:t>提存货跌价准备。</w:t>
      </w:r>
    </w:p>
    <w:p>
      <w:pPr>
        <w:pStyle w:val="BodyText"/>
        <w:spacing w:line="316" w:lineRule="auto" w:before="19"/>
        <w:ind w:right="1138" w:firstLine="420"/>
        <w:jc w:val="both"/>
      </w:pPr>
      <w:r>
        <w:rPr/>
        <w:t>计提存货跌价准备后，如果以前减记存货价值的影响因素已经消失，导致存货的可变现净值高于其账面价值的，在原 已计提的存货跌价准备金额内予以转回，转回的金额计入当期损益。</w:t>
      </w:r>
    </w:p>
    <w:p>
      <w:pPr>
        <w:pStyle w:val="BodyText"/>
        <w:spacing w:line="240" w:lineRule="auto" w:before="19"/>
        <w:ind w:right="1117"/>
        <w:jc w:val="left"/>
      </w:pPr>
      <w:r>
        <w:rPr>
          <w:rFonts w:ascii="Times New Roman" w:hAnsi="Times New Roman" w:cs="Times New Roman" w:eastAsia="Times New Roman" w:hint="default"/>
        </w:rPr>
        <w:t>5</w:t>
      </w:r>
      <w:r>
        <w:rPr/>
        <w:t>．存货的盘存制度为永续盘存制。</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78" w:right="1117" w:hanging="5"/>
        <w:jc w:val="left"/>
      </w:pPr>
      <w:r>
        <w:rPr>
          <w:rFonts w:ascii="Times New Roman" w:hAnsi="Times New Roman" w:cs="Times New Roman" w:eastAsia="Times New Roman" w:hint="default"/>
        </w:rPr>
        <w:t>1</w:t>
      </w:r>
      <w:r>
        <w:rPr/>
        <w:t>．划分为持有待售类别的条件 </w:t>
      </w:r>
      <w:r>
        <w:rPr>
          <w:spacing w:val="-2"/>
        </w:rPr>
        <w:t>公司主要通过出售</w:t>
      </w:r>
      <w:r>
        <w:rPr>
          <w:rFonts w:ascii="Times New Roman" w:hAnsi="Times New Roman" w:cs="Times New Roman" w:eastAsia="Times New Roman" w:hint="default"/>
          <w:spacing w:val="-2"/>
        </w:rPr>
        <w:t>(</w:t>
      </w:r>
      <w:r>
        <w:rPr>
          <w:spacing w:val="-2"/>
        </w:rPr>
        <w:t>包括具有商业实质的非货币性资产交换，下同</w:t>
      </w:r>
      <w:r>
        <w:rPr>
          <w:rFonts w:ascii="Times New Roman" w:hAnsi="Times New Roman" w:cs="Times New Roman" w:eastAsia="Times New Roman" w:hint="default"/>
          <w:spacing w:val="-2"/>
        </w:rPr>
        <w:t>)</w:t>
      </w:r>
      <w:r>
        <w:rPr>
          <w:spacing w:val="-2"/>
        </w:rPr>
        <w:t>而非持续使用一项非流动资产或处置组收回其账面价</w:t>
      </w:r>
    </w:p>
    <w:p>
      <w:pPr>
        <w:pStyle w:val="BodyText"/>
        <w:spacing w:line="309" w:lineRule="auto" w:before="13"/>
        <w:ind w:left="578" w:right="1118" w:hanging="426"/>
        <w:jc w:val="left"/>
      </w:pPr>
      <w:r>
        <w:rPr/>
        <w:t>值的，在满足下列条件时，将其划分为持有待售类别： </w:t>
      </w:r>
      <w:r>
        <w:rPr>
          <w:rFonts w:ascii="Times New Roman" w:hAnsi="Times New Roman" w:cs="Times New Roman" w:eastAsia="Times New Roman" w:hint="default"/>
        </w:rPr>
        <w:t>(1)</w:t>
      </w:r>
      <w:r>
        <w:rPr/>
        <w:t>根据类似交易中出售此类资产或处置组的惯例，在当前状况下即可立即出售； </w:t>
      </w:r>
      <w:r>
        <w:rPr>
          <w:rFonts w:ascii="Times New Roman" w:hAnsi="Times New Roman" w:cs="Times New Roman" w:eastAsia="Times New Roman" w:hint="default"/>
        </w:rPr>
        <w:t>(2)</w:t>
      </w:r>
      <w:r>
        <w:rPr/>
        <w:t>出售极可能发生，即公司已经就一项出售计划作出决议且获得确定的购买承诺，预计出售将在一年内完成。有关规</w:t>
      </w:r>
    </w:p>
    <w:p>
      <w:pPr>
        <w:pStyle w:val="BodyText"/>
        <w:spacing w:line="319" w:lineRule="auto" w:before="5"/>
        <w:ind w:right="1130"/>
        <w:jc w:val="both"/>
      </w:pPr>
      <w:r>
        <w:rPr>
          <w:spacing w:val="-2"/>
        </w:rPr>
        <w:t>定要求相关权力机构或者监督部门批准后方可出售的，公司已经获得批准。确定的购买承诺，是指公司与其他方签订的具有</w:t>
      </w:r>
      <w:r>
        <w:rPr>
          <w:spacing w:val="-63"/>
        </w:rPr>
        <w:t> </w:t>
      </w:r>
      <w:r>
        <w:rPr>
          <w:spacing w:val="-63"/>
        </w:rPr>
      </w:r>
      <w:r>
        <w:rPr>
          <w:spacing w:val="-2"/>
        </w:rPr>
        <w:t>法律约束力的购买协议，该协议包含交易价格、时间和足够严厉的违约惩罚等重要条款，使协议出现重大调整或者撤销的可</w:t>
      </w:r>
      <w:r>
        <w:rPr>
          <w:spacing w:val="-63"/>
        </w:rPr>
        <w:t> </w:t>
      </w:r>
      <w:r>
        <w:rPr>
          <w:spacing w:val="-63"/>
        </w:rPr>
      </w:r>
      <w:r>
        <w:rPr/>
        <w:t>能性极小。</w:t>
      </w:r>
    </w:p>
    <w:p>
      <w:pPr>
        <w:pStyle w:val="BodyText"/>
        <w:spacing w:line="316" w:lineRule="auto" w:before="17"/>
        <w:ind w:right="1132" w:firstLine="425"/>
        <w:jc w:val="both"/>
      </w:pPr>
      <w:r>
        <w:rPr/>
        <w:t>公司因出售对子公司的投资等原因导致其丧失对子公司控制权的，当拟出售的子公司投资满足持有待售类别划分条件 </w:t>
      </w:r>
      <w:r>
        <w:rPr>
          <w:spacing w:val="-2"/>
        </w:rPr>
        <w:t>时，在母公司个别财务报表中将对子公司投资整体划分为持有待售类别，在合并报表中将子公司所有资产和负债划分为持有</w:t>
      </w:r>
      <w:r>
        <w:rPr>
          <w:spacing w:val="-63"/>
        </w:rPr>
        <w:t> </w:t>
      </w:r>
      <w:r>
        <w:rPr>
          <w:spacing w:val="-63"/>
        </w:rPr>
      </w:r>
      <w:r>
        <w:rPr/>
        <w:t>待售类别。</w:t>
      </w:r>
    </w:p>
    <w:p>
      <w:pPr>
        <w:pStyle w:val="BodyText"/>
        <w:spacing w:line="316" w:lineRule="auto" w:before="16"/>
        <w:ind w:right="1133" w:firstLine="425"/>
        <w:jc w:val="both"/>
      </w:pPr>
      <w:r>
        <w:rPr/>
        <w:t>持有待售的非流动资产或处置组不再满足持有待售类别划分条件的，公司停止将其划分为持有待售类别。部分资产或 </w:t>
      </w:r>
      <w:r>
        <w:rPr>
          <w:spacing w:val="-2"/>
        </w:rPr>
        <w:t>负债从持有待售的处置组中移除的，处置组中剩余资产或负债新组成的处置组仍满足持有待售划分条件的，公司将新组成的</w:t>
      </w:r>
      <w:r>
        <w:rPr>
          <w:spacing w:val="-64"/>
        </w:rPr>
        <w:t> </w:t>
      </w:r>
      <w:r>
        <w:rPr>
          <w:spacing w:val="-64"/>
        </w:rPr>
      </w:r>
      <w:r>
        <w:rPr/>
        <w:t>处置组划分为持有待售类别，否则将满足持有待售类别划分条件的非流动资产单独划分为持有待售类别。</w:t>
      </w:r>
    </w:p>
    <w:p>
      <w:pPr>
        <w:pStyle w:val="BodyText"/>
        <w:spacing w:line="309" w:lineRule="auto" w:before="19"/>
        <w:ind w:left="573" w:right="1117" w:firstLine="4"/>
        <w:jc w:val="left"/>
      </w:pPr>
      <w:r>
        <w:rPr/>
        <w:t>对于当期首次满足持有待售类别划分条件的非流动资产或处置组，不调整可比会计期间的资产负债表。 </w:t>
      </w:r>
      <w:r>
        <w:rPr>
          <w:rFonts w:ascii="Times New Roman" w:hAnsi="Times New Roman" w:cs="Times New Roman" w:eastAsia="Times New Roman" w:hint="default"/>
        </w:rPr>
        <w:t>2</w:t>
      </w:r>
      <w:r>
        <w:rPr/>
        <w:t>．持有待售类的非流动资产或处置组的初始计量及后续计量 对于取得日划分为持有待售类别的非流动资产或处置组，公司在初始计量时比较假定其不划分为持有待售类别情况下</w:t>
      </w:r>
    </w:p>
    <w:p>
      <w:pPr>
        <w:pStyle w:val="BodyText"/>
        <w:spacing w:line="316" w:lineRule="auto" w:before="24"/>
        <w:ind w:right="1130"/>
        <w:jc w:val="both"/>
      </w:pPr>
      <w:r>
        <w:rPr>
          <w:spacing w:val="-2"/>
        </w:rPr>
        <w:t>的初始计量金额和公允价值减去出售费用后的净额，以两者孰低计量。除公司合并中取得的非流动资产或处置组外，由非流</w:t>
      </w:r>
      <w:r>
        <w:rPr>
          <w:spacing w:val="-63"/>
        </w:rPr>
        <w:t> </w:t>
      </w:r>
      <w:r>
        <w:rPr>
          <w:spacing w:val="-63"/>
        </w:rPr>
      </w:r>
      <w:r>
        <w:rPr/>
        <w:t>动资产或处置组以公允价值减去出售费用后的净额作为初始计量金额而产生的差额，计入当期损益。</w:t>
      </w:r>
    </w:p>
    <w:p>
      <w:pPr>
        <w:spacing w:after="0" w:line="316" w:lineRule="auto"/>
        <w:jc w:val="both"/>
        <w:sectPr>
          <w:footerReference w:type="default" r:id="rId19"/>
          <w:pgSz w:w="11910" w:h="16840"/>
          <w:pgMar w:footer="1294" w:header="786" w:top="1100" w:bottom="1480" w:left="980" w:right="0"/>
          <w:pgNumType w:start="106"/>
        </w:sectPr>
      </w:pPr>
    </w:p>
    <w:p>
      <w:pPr>
        <w:spacing w:line="240" w:lineRule="auto" w:before="8"/>
        <w:rPr>
          <w:rFonts w:ascii="宋体" w:hAnsi="宋体" w:cs="宋体" w:eastAsia="宋体" w:hint="default"/>
          <w:sz w:val="22"/>
          <w:szCs w:val="22"/>
        </w:rPr>
      </w:pPr>
    </w:p>
    <w:p>
      <w:pPr>
        <w:pStyle w:val="BodyText"/>
        <w:spacing w:line="316" w:lineRule="auto" w:before="44"/>
        <w:ind w:right="1130" w:firstLine="420"/>
        <w:jc w:val="both"/>
      </w:pPr>
      <w:r>
        <w:rPr/>
        <w:t>公司将非流动资产或处置组首次划分为持有待售类别前，按照相关会计准则规定计量非流动资产或处置组中各项资产 </w:t>
      </w:r>
      <w:r>
        <w:rPr>
          <w:spacing w:val="-2"/>
        </w:rPr>
        <w:t>和负债的账面价值。在初始计量或资产负债表日重新计量持有待售的非流动资产或处置组时，其账面价值高于公允价值减去</w:t>
      </w:r>
      <w:r>
        <w:rPr>
          <w:spacing w:val="-62"/>
        </w:rPr>
        <w:t> </w:t>
      </w:r>
      <w:r>
        <w:rPr>
          <w:spacing w:val="-62"/>
        </w:rPr>
      </w:r>
      <w:r>
        <w:rPr>
          <w:spacing w:val="-5"/>
        </w:rPr>
        <w:t>出售费用后的净额的，将账面价值减记至公允价值减去出售费用后的净额，减记的金额确认为资产减值损失，计入当期损益，</w:t>
      </w:r>
      <w:r>
        <w:rPr>
          <w:spacing w:val="-76"/>
        </w:rPr>
        <w:t> </w:t>
      </w:r>
      <w:r>
        <w:rPr>
          <w:spacing w:val="-76"/>
        </w:rPr>
      </w:r>
      <w:r>
        <w:rPr>
          <w:spacing w:val="-2"/>
        </w:rPr>
        <w:t>同时计提持有待售资产减值准备。持有待售的非流动资产或处置组中的非流动资产不计提折旧或摊销，持有待售的处置组中</w:t>
      </w:r>
      <w:r>
        <w:rPr>
          <w:spacing w:val="-64"/>
        </w:rPr>
        <w:t> </w:t>
      </w:r>
      <w:r>
        <w:rPr>
          <w:spacing w:val="-64"/>
        </w:rPr>
      </w:r>
      <w:r>
        <w:rPr/>
        <w:t>的负债的利息和其他费用应继续予以确认。</w:t>
      </w:r>
    </w:p>
    <w:p>
      <w:pPr>
        <w:pStyle w:val="BodyText"/>
        <w:spacing w:line="312" w:lineRule="auto" w:before="19"/>
        <w:ind w:right="1130" w:firstLine="420"/>
        <w:jc w:val="both"/>
      </w:pPr>
      <w:r>
        <w:rPr/>
        <w:t>公司对持有待售的处置组确认资产减值损失金额时，先抵减处置组商誉的账面价值，再根据处置组中适用《企业会计 </w:t>
      </w:r>
      <w:r>
        <w:rPr>
          <w:spacing w:val="-1"/>
        </w:rPr>
        <w:t>准则第</w:t>
      </w:r>
      <w:r>
        <w:rPr>
          <w:rFonts w:ascii="Times New Roman" w:hAnsi="Times New Roman" w:cs="Times New Roman" w:eastAsia="Times New Roman" w:hint="default"/>
          <w:spacing w:val="-1"/>
        </w:rPr>
        <w:t>42</w:t>
      </w:r>
      <w:r>
        <w:rPr>
          <w:spacing w:val="-1"/>
        </w:rPr>
        <w:t>号</w:t>
      </w:r>
      <w:r>
        <w:rPr>
          <w:rFonts w:ascii="Times New Roman" w:hAnsi="Times New Roman" w:cs="Times New Roman" w:eastAsia="Times New Roman" w:hint="default"/>
          <w:spacing w:val="-1"/>
        </w:rPr>
        <w:t>——</w:t>
      </w:r>
      <w:r>
        <w:rPr>
          <w:spacing w:val="-1"/>
        </w:rPr>
        <w:t>持有待售的非流动资产、处置组和终止经营》</w:t>
      </w:r>
      <w:r>
        <w:rPr>
          <w:rFonts w:ascii="Times New Roman" w:hAnsi="Times New Roman" w:cs="Times New Roman" w:eastAsia="Times New Roman" w:hint="default"/>
          <w:spacing w:val="-1"/>
        </w:rPr>
        <w:t>(</w:t>
      </w:r>
      <w:r>
        <w:rPr>
          <w:spacing w:val="-1"/>
        </w:rPr>
        <w:t>以下简称第</w:t>
      </w:r>
      <w:r>
        <w:rPr>
          <w:rFonts w:ascii="Times New Roman" w:hAnsi="Times New Roman" w:cs="Times New Roman" w:eastAsia="Times New Roman" w:hint="default"/>
          <w:spacing w:val="-1"/>
        </w:rPr>
        <w:t>42</w:t>
      </w:r>
      <w:r>
        <w:rPr>
          <w:spacing w:val="-1"/>
        </w:rPr>
        <w:t>号准则</w:t>
      </w:r>
      <w:r>
        <w:rPr>
          <w:rFonts w:ascii="Times New Roman" w:hAnsi="Times New Roman" w:cs="Times New Roman" w:eastAsia="Times New Roman" w:hint="default"/>
          <w:spacing w:val="-1"/>
        </w:rPr>
        <w:t>)</w:t>
      </w:r>
      <w:r>
        <w:rPr>
          <w:spacing w:val="-1"/>
        </w:rPr>
        <w:t>计量规定的各项非流动资产账面价值所</w:t>
      </w:r>
      <w:r>
        <w:rPr>
          <w:spacing w:val="-59"/>
        </w:rPr>
        <w:t> </w:t>
      </w:r>
      <w:r>
        <w:rPr>
          <w:spacing w:val="-59"/>
        </w:rPr>
      </w:r>
      <w:r>
        <w:rPr>
          <w:spacing w:val="-2"/>
        </w:rPr>
        <w:t>占比重，按比例抵减其账面价值。公司在资产负债表日重新计量持有待售的处置组时，首先按照相关会计准则规定计量处置</w:t>
      </w:r>
      <w:r>
        <w:rPr>
          <w:spacing w:val="-63"/>
        </w:rPr>
        <w:t> </w:t>
      </w:r>
      <w:r>
        <w:rPr>
          <w:spacing w:val="-63"/>
        </w:rPr>
      </w:r>
      <w:r>
        <w:rPr/>
        <w:t>组中不适用第</w:t>
      </w:r>
      <w:r>
        <w:rPr>
          <w:rFonts w:ascii="Times New Roman" w:hAnsi="Times New Roman" w:cs="Times New Roman" w:eastAsia="Times New Roman" w:hint="default"/>
        </w:rPr>
        <w:t>42</w:t>
      </w:r>
      <w:r>
        <w:rPr/>
        <w:t>号准则计量规定的资产和负债的账面价值，再按照上述相关规定进行会计处理。</w:t>
      </w:r>
    </w:p>
    <w:p>
      <w:pPr>
        <w:pStyle w:val="BodyText"/>
        <w:spacing w:line="319" w:lineRule="auto" w:before="3"/>
        <w:ind w:right="1133" w:firstLine="425"/>
        <w:jc w:val="both"/>
      </w:pPr>
      <w:r>
        <w:rPr/>
        <w:t>后续资产负债表日持有待售的非流动资产公允价值减去出售费用后的净额增加的，以前减记的金额应当予以恢复，并 </w:t>
      </w:r>
      <w:r>
        <w:rPr>
          <w:spacing w:val="-2"/>
        </w:rPr>
        <w:t>在划分为持有待售类别后确认的资产减值损失金额内转回，转回金额计入当期损益；划分为持有待售类别前确认的资产减值</w:t>
      </w:r>
      <w:r>
        <w:rPr>
          <w:spacing w:val="-64"/>
        </w:rPr>
        <w:t> </w:t>
      </w:r>
      <w:r>
        <w:rPr>
          <w:spacing w:val="-64"/>
        </w:rPr>
      </w:r>
      <w:r>
        <w:rPr/>
        <w:t>损失不得转回。</w:t>
      </w:r>
    </w:p>
    <w:p>
      <w:pPr>
        <w:pStyle w:val="BodyText"/>
        <w:spacing w:line="307" w:lineRule="auto" w:before="17"/>
        <w:ind w:right="991" w:firstLine="425"/>
        <w:jc w:val="left"/>
      </w:pPr>
      <w:r>
        <w:rPr/>
        <w:t>后续资产负债表日持有待售的处置组公允价值减去出售费用后的净额增加的，以前减记的金额应当予以恢复，并在划 </w:t>
      </w:r>
      <w:r>
        <w:rPr>
          <w:spacing w:val="-2"/>
        </w:rPr>
        <w:t>分为持有待售类别后适用第</w:t>
      </w:r>
      <w:r>
        <w:rPr>
          <w:rFonts w:ascii="Times New Roman" w:hAnsi="Times New Roman" w:cs="Times New Roman" w:eastAsia="Times New Roman" w:hint="default"/>
          <w:spacing w:val="-2"/>
        </w:rPr>
        <w:t>42</w:t>
      </w:r>
      <w:r>
        <w:rPr>
          <w:spacing w:val="-2"/>
        </w:rPr>
        <w:t>号准则计量规定的非流动资产确认的资产减值损失金额内转回，转回金额依据处置组中除商誉</w:t>
      </w:r>
      <w:r>
        <w:rPr>
          <w:spacing w:val="-66"/>
        </w:rPr>
        <w:t> </w:t>
      </w:r>
      <w:r>
        <w:rPr>
          <w:spacing w:val="-66"/>
        </w:rPr>
      </w:r>
      <w:r>
        <w:rPr>
          <w:spacing w:val="-4"/>
        </w:rPr>
        <w:t>外的适用第</w:t>
      </w:r>
      <w:r>
        <w:rPr>
          <w:rFonts w:ascii="Times New Roman" w:hAnsi="Times New Roman" w:cs="Times New Roman" w:eastAsia="Times New Roman" w:hint="default"/>
          <w:spacing w:val="-4"/>
        </w:rPr>
        <w:t>42</w:t>
      </w:r>
      <w:r>
        <w:rPr>
          <w:spacing w:val="-4"/>
        </w:rPr>
        <w:t>号准则计量规定的各项非流动资产账面价值所占比重，按比例增加其账面价值，同时将转回金额计入当期损益。</w:t>
      </w:r>
      <w:r>
        <w:rPr>
          <w:spacing w:val="-41"/>
        </w:rPr>
        <w:t> </w:t>
      </w:r>
      <w:r>
        <w:rPr>
          <w:spacing w:val="-41"/>
        </w:rPr>
      </w:r>
      <w:r>
        <w:rPr/>
        <w:t>已抵减的商誉账面价值以及划分为持有待售类别前确认的资产减值损失不得转回。</w:t>
      </w:r>
    </w:p>
    <w:p>
      <w:pPr>
        <w:pStyle w:val="BodyText"/>
        <w:spacing w:line="300" w:lineRule="auto" w:before="26"/>
        <w:ind w:left="578" w:right="1117"/>
        <w:jc w:val="left"/>
      </w:pPr>
      <w:r>
        <w:rPr>
          <w:rFonts w:ascii="Times New Roman" w:hAnsi="Times New Roman" w:cs="Times New Roman" w:eastAsia="Times New Roman" w:hint="default"/>
        </w:rPr>
        <w:t>3</w:t>
      </w:r>
      <w:r>
        <w:rPr/>
        <w:t>．划分为持有待售类别的终止确认和计量 非流动资产或处置组不再满足持有待售类别的划分条件而不再继续划分为持有待售类别或非流动资产从持有待售的处</w:t>
      </w:r>
    </w:p>
    <w:p>
      <w:pPr>
        <w:pStyle w:val="BodyText"/>
        <w:spacing w:line="300" w:lineRule="auto" w:before="31"/>
        <w:ind w:right="1136"/>
        <w:jc w:val="both"/>
      </w:pPr>
      <w:r>
        <w:rPr/>
        <w:t>置组中移除时，按照以下两者孰低计量：</w:t>
      </w:r>
      <w:r>
        <w:rPr>
          <w:rFonts w:ascii="Times New Roman" w:hAnsi="Times New Roman" w:cs="Times New Roman" w:eastAsia="Times New Roman" w:hint="default"/>
        </w:rPr>
        <w:t>(1)</w:t>
      </w:r>
      <w:r>
        <w:rPr/>
        <w:t>划分为持有待售类别前的账面价值，按照假定不划分为持有待售类别情况下本</w:t>
      </w:r>
      <w:r>
        <w:rPr>
          <w:spacing w:val="-32"/>
        </w:rPr>
        <w:t> </w:t>
      </w:r>
      <w:r>
        <w:rPr>
          <w:spacing w:val="-32"/>
        </w:rPr>
      </w:r>
      <w:r>
        <w:rPr/>
        <w:t>应确认的折旧、摊销或减值等进行调整后的金额；</w:t>
      </w:r>
      <w:r>
        <w:rPr>
          <w:rFonts w:ascii="Times New Roman" w:hAnsi="Times New Roman" w:cs="Times New Roman" w:eastAsia="Times New Roman" w:hint="default"/>
        </w:rPr>
        <w:t>(2)</w:t>
      </w:r>
      <w:r>
        <w:rPr/>
        <w:t>可收回金额。</w:t>
      </w:r>
    </w:p>
    <w:p>
      <w:pPr>
        <w:pStyle w:val="BodyText"/>
        <w:spacing w:line="240" w:lineRule="auto" w:before="13"/>
        <w:ind w:left="606" w:right="1117"/>
        <w:jc w:val="left"/>
      </w:pPr>
      <w:r>
        <w:rPr/>
        <w:t>公司终止确认持有待售的非流动资产或处置组时，将尚未确认的利得或损失计入当期损益。</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4" w:firstLine="420"/>
        <w:jc w:val="left"/>
      </w:pPr>
      <w:r>
        <w:rPr>
          <w:spacing w:val="-3"/>
        </w:rPr>
        <w:t>本部分所指的长期股权投资是指本公司对被投资单位具有控制、共同控制或重大影响的长期股权投资，包括对子公司、</w:t>
      </w:r>
      <w:r>
        <w:rPr/>
        <w:t> 合营企业和联营企业的权益性投资。本公司对被投资单位不具有控制、共同控制或重大影响的长期股权投资，作为可供出售 金融资产或以公允价值计量且其变动计入当期损益的金融资产核算，其会计政策详见本附注三</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金融工具的确认和计量</w:t>
      </w:r>
      <w:r>
        <w:rPr>
          <w:rFonts w:ascii="Times New Roman" w:hAnsi="Times New Roman" w:cs="Times New Roman" w:eastAsia="Times New Roman" w:hint="default"/>
        </w:rPr>
        <w:t>”</w:t>
      </w:r>
      <w:r>
        <w:rPr/>
        <w:t>。</w:t>
      </w:r>
    </w:p>
    <w:p>
      <w:pPr>
        <w:pStyle w:val="BodyText"/>
        <w:spacing w:line="300" w:lineRule="auto"/>
        <w:ind w:left="578" w:right="1117"/>
        <w:jc w:val="left"/>
      </w:pPr>
      <w:r>
        <w:rPr>
          <w:rFonts w:ascii="Times New Roman" w:hAnsi="Times New Roman" w:cs="Times New Roman" w:eastAsia="Times New Roman" w:hint="default"/>
        </w:rPr>
        <w:t>1</w:t>
      </w:r>
      <w:r>
        <w:rPr/>
        <w:t>．共同控制和重大影响的判断标准 共同控制，是指按照相关约定对某项安排所共有的控制，并且该安排的相关活动必须经过分享控制权的参与方一致同</w:t>
      </w:r>
    </w:p>
    <w:p>
      <w:pPr>
        <w:pStyle w:val="BodyText"/>
        <w:spacing w:line="316" w:lineRule="auto" w:before="31"/>
        <w:ind w:right="1133"/>
        <w:jc w:val="both"/>
      </w:pPr>
      <w:r>
        <w:rPr>
          <w:spacing w:val="-2"/>
        </w:rPr>
        <w:t>意后才能决策。本公司与其他合营方一同对被投资单位实施共同控制且对被投资单位实施共同控制且对被投资单位净资产享</w:t>
      </w:r>
      <w:r>
        <w:rPr>
          <w:spacing w:val="-64"/>
        </w:rPr>
        <w:t> </w:t>
      </w:r>
      <w:r>
        <w:rPr>
          <w:spacing w:val="-64"/>
        </w:rPr>
      </w:r>
      <w:r>
        <w:rPr/>
        <w:t>有权利的，被投资单位为本公司的合营企业。判断是否存在共同控制时，不考虑享有的保护性权利。</w:t>
      </w:r>
    </w:p>
    <w:p>
      <w:pPr>
        <w:pStyle w:val="BodyText"/>
        <w:spacing w:line="319" w:lineRule="auto" w:before="19"/>
        <w:ind w:right="1044" w:firstLine="425"/>
        <w:jc w:val="both"/>
      </w:pPr>
      <w:r>
        <w:rPr/>
        <w:t>重大影响，是指对一个企业的财务和经营决策有参与决策的权力，但并不能够控制或者与其他方一起共同控制这些政 </w:t>
      </w:r>
      <w:r>
        <w:rPr>
          <w:spacing w:val="-2"/>
        </w:rPr>
        <w:t>策的制定。本公司能够对被投资单位施加重大影响的，被投资单位为本公司联营企业。在确定能否对被投资单位施加重大影</w:t>
      </w:r>
      <w:r>
        <w:rPr>
          <w:spacing w:val="-63"/>
        </w:rPr>
        <w:t> </w:t>
      </w:r>
      <w:r>
        <w:rPr>
          <w:spacing w:val="-63"/>
        </w:rPr>
      </w:r>
      <w:r>
        <w:rPr>
          <w:spacing w:val="-2"/>
        </w:rPr>
        <w:t>响时，考虑投资方直接或间接持有被投资单位的表决权股份以及投资方及其他方持有的当期可执行潜在表决权在假定转换为</w:t>
      </w:r>
      <w:r>
        <w:rPr>
          <w:spacing w:val="-64"/>
        </w:rPr>
        <w:t> </w:t>
      </w:r>
      <w:r>
        <w:rPr>
          <w:spacing w:val="-64"/>
        </w:rPr>
      </w:r>
      <w:r>
        <w:rPr>
          <w:spacing w:val="-4"/>
        </w:rPr>
        <w:t>对被投资方单位的股权后产生的影响，包括被投资单位发行的当期可转换的认股权证、股份期权及可转换公司债券等的影响。</w:t>
      </w:r>
    </w:p>
    <w:p>
      <w:pPr>
        <w:pStyle w:val="BodyText"/>
        <w:spacing w:line="297" w:lineRule="auto" w:before="17"/>
        <w:ind w:left="578" w:right="1118"/>
        <w:jc w:val="left"/>
      </w:pPr>
      <w:r>
        <w:rPr>
          <w:rFonts w:ascii="Times New Roman" w:hAnsi="Times New Roman" w:cs="Times New Roman" w:eastAsia="Times New Roman" w:hint="default"/>
        </w:rPr>
        <w:t>2</w:t>
      </w:r>
      <w:r>
        <w:rPr/>
        <w:t>．长期股权投资的投资成本的确定 </w:t>
      </w:r>
      <w:r>
        <w:rPr>
          <w:rFonts w:ascii="Times New Roman" w:hAnsi="Times New Roman" w:cs="Times New Roman" w:eastAsia="Times New Roman" w:hint="default"/>
        </w:rPr>
        <w:t>(1)</w:t>
      </w:r>
      <w:r>
        <w:rPr/>
        <w:t>同一控制下的合并形成的，合并方以支付现金、转让非现金资产、承担债务或发行权益性证券作为合并对价的，在</w:t>
      </w:r>
    </w:p>
    <w:p>
      <w:pPr>
        <w:pStyle w:val="BodyText"/>
        <w:spacing w:line="312" w:lineRule="auto" w:before="15"/>
        <w:ind w:right="1130"/>
        <w:jc w:val="both"/>
      </w:pPr>
      <w:r>
        <w:rPr>
          <w:spacing w:val="-2"/>
        </w:rPr>
        <w:t>合并日按取得被合并方所有者权益在最终控制方合并财务报表中的账面价值的份额作为其初始投资成本。长期股权投资初始</w:t>
      </w:r>
      <w:r>
        <w:rPr>
          <w:spacing w:val="-64"/>
        </w:rPr>
        <w:t> </w:t>
      </w:r>
      <w:r>
        <w:rPr>
          <w:spacing w:val="-64"/>
        </w:rPr>
      </w:r>
      <w:r>
        <w:rPr>
          <w:spacing w:val="-2"/>
        </w:rPr>
        <w:t>投资成本与支付的现金、转让的非现金资产、所承担债务账面价值或发行股份的面值总额之间的差额调整资本公积；资本公</w:t>
      </w:r>
      <w:r>
        <w:rPr>
          <w:spacing w:val="-63"/>
        </w:rPr>
        <w:t> </w:t>
      </w:r>
      <w:r>
        <w:rPr>
          <w:spacing w:val="-63"/>
        </w:rPr>
      </w:r>
      <w:r>
        <w:rPr>
          <w:spacing w:val="-2"/>
        </w:rPr>
        <w:t>积不足冲减的，调整留存收益。通过多次交易分步取得同一控制下被合并方的股权，最终形成同一控制下企业合并的，应分</w:t>
      </w:r>
      <w:r>
        <w:rPr>
          <w:spacing w:val="-65"/>
        </w:rPr>
        <w:t> </w:t>
      </w:r>
      <w:r>
        <w:rPr>
          <w:spacing w:val="-65"/>
        </w:rPr>
      </w:r>
      <w:r>
        <w:rPr>
          <w:spacing w:val="-3"/>
        </w:rPr>
        <w:t>别是否属于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进行处理：属于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的，将各项交易作为一项取得控制权的交易进行会计处理。不属于</w:t>
      </w:r>
      <w:r>
        <w:rPr>
          <w:rFonts w:ascii="Times New Roman" w:hAnsi="Times New Roman" w:cs="Times New Roman" w:eastAsia="Times New Roman" w:hint="default"/>
          <w:spacing w:val="-3"/>
        </w:rPr>
        <w:t>“</w:t>
      </w:r>
      <w:r>
        <w:rPr>
          <w:spacing w:val="-3"/>
        </w:rPr>
        <w:t>一</w:t>
      </w:r>
      <w:r>
        <w:rPr>
          <w:spacing w:val="-42"/>
        </w:rPr>
        <w:t> </w:t>
      </w:r>
      <w:r>
        <w:rPr/>
        <w:t>揽子交易</w:t>
      </w:r>
      <w:r>
        <w:rPr>
          <w:rFonts w:ascii="Times New Roman" w:hAnsi="Times New Roman" w:cs="Times New Roman" w:eastAsia="Times New Roman" w:hint="default"/>
        </w:rPr>
        <w:t>”</w:t>
      </w:r>
      <w:r>
        <w:rPr/>
        <w:t>的，在合并日按照应享有被合并方股东权益在最终控制方合并财务报表中的账面价值的份额作为长期股权投资的</w:t>
      </w:r>
      <w:r>
        <w:rPr>
          <w:spacing w:val="-76"/>
        </w:rPr>
        <w:t> </w:t>
      </w:r>
      <w:r>
        <w:rPr>
          <w:spacing w:val="-76"/>
        </w:rPr>
      </w:r>
      <w:r>
        <w:rPr>
          <w:spacing w:val="-2"/>
        </w:rPr>
        <w:t>初始投资成本，长期股权投资初始投资成本与达到合并前的长期股权投资账面价值加上合并日进一步取得股份新支付对价的</w:t>
      </w:r>
      <w:r>
        <w:rPr>
          <w:spacing w:val="-64"/>
        </w:rPr>
        <w:t> </w:t>
      </w:r>
      <w:r>
        <w:rPr>
          <w:spacing w:val="-64"/>
        </w:rPr>
      </w:r>
      <w:r>
        <w:rPr>
          <w:spacing w:val="-2"/>
        </w:rPr>
        <w:t>账面价值之和的差额，调整资本公积；资本公积不足冲减的，调整留存收益。合并日之前持有的股权投资因采用权益法核算</w:t>
      </w:r>
    </w:p>
    <w:p>
      <w:pPr>
        <w:spacing w:after="0" w:line="312" w:lineRule="auto"/>
        <w:jc w:val="both"/>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1117"/>
        <w:jc w:val="left"/>
      </w:pPr>
      <w:r>
        <w:rPr/>
        <w:t>或为可供出售金融资产而确认的其他综合收益，暂不进行会计处理。</w:t>
      </w:r>
    </w:p>
    <w:p>
      <w:pPr>
        <w:pStyle w:val="BodyText"/>
        <w:spacing w:line="312" w:lineRule="auto" w:before="76"/>
        <w:ind w:right="1034" w:firstLine="420"/>
        <w:jc w:val="left"/>
      </w:pPr>
      <w:r>
        <w:rPr>
          <w:rFonts w:ascii="Times New Roman" w:hAnsi="Times New Roman" w:cs="Times New Roman" w:eastAsia="Times New Roman" w:hint="default"/>
        </w:rPr>
        <w:t>(2)</w:t>
      </w:r>
      <w:r>
        <w:rPr/>
        <w:t>非同一控制下的企业合并形成的，公司按照购买日确定的合并成本作为长期股权投资的初始投资成本。合并成本为</w:t>
      </w:r>
      <w:r>
        <w:rPr>
          <w:w w:val="99"/>
        </w:rPr>
        <w:t> </w:t>
      </w:r>
      <w:r>
        <w:rPr>
          <w:spacing w:val="-2"/>
        </w:rPr>
        <w:t>购买日购买方为取得对被购买方的控制权而付出的资产、发生或承担的负债以及发行的权益性证券的公允价值。购买方为企</w:t>
      </w:r>
      <w:r>
        <w:rPr>
          <w:spacing w:val="-64"/>
        </w:rPr>
        <w:t> </w:t>
      </w:r>
      <w:r>
        <w:rPr>
          <w:spacing w:val="-64"/>
        </w:rPr>
      </w:r>
      <w:r>
        <w:rPr>
          <w:spacing w:val="-2"/>
        </w:rPr>
        <w:t>业合并而发生的审计、法律服务、评估咨询等中介费用以及其他相关管理费用于发生时计入当期损益；购买方作为合并对价</w:t>
      </w:r>
      <w:r>
        <w:rPr>
          <w:spacing w:val="-64"/>
        </w:rPr>
        <w:t> </w:t>
      </w:r>
      <w:r>
        <w:rPr>
          <w:spacing w:val="-64"/>
        </w:rPr>
      </w:r>
      <w:r>
        <w:rPr>
          <w:spacing w:val="-2"/>
        </w:rPr>
        <w:t>发行的权益性证券或债务性证券的交易费用，计入权益性证券或债务性证券的初始确认金额。本公司将合并协议约定的或有</w:t>
      </w:r>
      <w:r>
        <w:rPr>
          <w:spacing w:val="-65"/>
        </w:rPr>
        <w:t> </w:t>
      </w:r>
      <w:r>
        <w:rPr>
          <w:spacing w:val="-65"/>
        </w:rPr>
      </w:r>
      <w:r>
        <w:rPr>
          <w:spacing w:val="-2"/>
        </w:rPr>
        <w:t>对价作为企业合并转移对价的一部分，按照其在购买日的公允价值计入企业合并成本。通过多次交易分步实现的非同一控制</w:t>
      </w:r>
      <w:r>
        <w:rPr>
          <w:spacing w:val="-65"/>
        </w:rPr>
        <w:t> </w:t>
      </w:r>
      <w:r>
        <w:rPr>
          <w:spacing w:val="-65"/>
        </w:rPr>
      </w:r>
      <w:r>
        <w:rPr/>
        <w:t>下企业合并，根据企业会计准则判断该多次交易是否属于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 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的，按照原持有被购买方的股权投资账面价值加上新增投资成本之和，作为 改按成本法核算的长期股权投资的初始投资成本；原持有的股权采用权益法核算的，相关其他综合收益暂不进行会计处理；</w:t>
      </w:r>
      <w:r>
        <w:rPr>
          <w:spacing w:val="-83"/>
        </w:rPr>
        <w:t> </w:t>
      </w:r>
      <w:r>
        <w:rPr>
          <w:spacing w:val="-83"/>
        </w:rPr>
      </w:r>
      <w:r>
        <w:rPr>
          <w:spacing w:val="-2"/>
        </w:rPr>
        <w:t>原持有股权投资为可供出售金融资产的，其公允价值与账面价值之间的差额，以及原计入其他综合收益的累计公允价值变动</w:t>
      </w:r>
      <w:r>
        <w:rPr>
          <w:spacing w:val="-64"/>
        </w:rPr>
        <w:t> </w:t>
      </w:r>
      <w:r>
        <w:rPr>
          <w:spacing w:val="-64"/>
        </w:rPr>
      </w:r>
      <w:r>
        <w:rPr/>
        <w:t>转入当期损益。</w:t>
      </w:r>
    </w:p>
    <w:p>
      <w:pPr>
        <w:pStyle w:val="BodyText"/>
        <w:spacing w:line="312" w:lineRule="auto" w:before="23"/>
        <w:ind w:right="1129" w:firstLine="420"/>
        <w:jc w:val="both"/>
      </w:pPr>
      <w:r>
        <w:rPr>
          <w:rFonts w:ascii="Times New Roman" w:hAnsi="Times New Roman" w:cs="Times New Roman" w:eastAsia="Times New Roman" w:hint="default"/>
        </w:rPr>
        <w:t>(3)</w:t>
      </w:r>
      <w:r>
        <w:rPr/>
        <w:t>除企业合并形成的长期股权投资外的其他股权投资，按成本进行初始计量：以支付现金取得的，按照实际支付的购</w:t>
      </w:r>
      <w:r>
        <w:rPr>
          <w:w w:val="99"/>
        </w:rPr>
        <w:t> </w:t>
      </w:r>
      <w:r>
        <w:rPr>
          <w:spacing w:val="-2"/>
        </w:rPr>
        <w:t>买价款作为其初始投资成本；以发行权益性证券取得的，按照发行权益性证券的公允价值作为其初始投资成本，与发行权益</w:t>
      </w:r>
      <w:r>
        <w:rPr>
          <w:spacing w:val="-63"/>
        </w:rPr>
        <w:t> </w:t>
      </w:r>
      <w:r>
        <w:rPr>
          <w:spacing w:val="-63"/>
        </w:rPr>
      </w:r>
      <w:r>
        <w:rPr>
          <w:spacing w:val="-2"/>
        </w:rPr>
        <w:t>性证券直接相关的费用，按照《企业会计准则第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金融工具列报》的有关规定确定；在非货币性资产交换具有商业实</w:t>
      </w:r>
      <w:r>
        <w:rPr>
          <w:spacing w:val="-63"/>
        </w:rPr>
        <w:t> </w:t>
      </w:r>
      <w:r>
        <w:rPr>
          <w:spacing w:val="-63"/>
        </w:rPr>
      </w:r>
      <w:r>
        <w:rPr>
          <w:spacing w:val="-2"/>
          <w:w w:val="99"/>
        </w:rPr>
        <w:t>质和换入资产或换出资产的公允价值能够可靠计量的前提下，非货币性资产交换换入的长期股权投资以换出资产的公允价值</w:t>
      </w:r>
      <w:r>
        <w:rPr>
          <w:spacing w:val="-64"/>
          <w:w w:val="99"/>
        </w:rPr>
        <w:t> </w:t>
      </w:r>
      <w:r>
        <w:rPr>
          <w:spacing w:val="-64"/>
          <w:w w:val="99"/>
        </w:rPr>
      </w:r>
      <w:r>
        <w:rPr>
          <w:spacing w:val="-2"/>
        </w:rPr>
        <w:t>和应支付的相关税费确定其初始投资成本，除非有确凿证据表明换入资产的公允价值更加可靠；不满足上述前提的非货币性</w:t>
      </w:r>
      <w:r>
        <w:rPr>
          <w:spacing w:val="-65"/>
        </w:rPr>
        <w:t> </w:t>
      </w:r>
      <w:r>
        <w:rPr>
          <w:spacing w:val="-65"/>
        </w:rPr>
      </w:r>
      <w:r>
        <w:rPr>
          <w:spacing w:val="-2"/>
        </w:rPr>
        <w:t>资产交换，以换出资产的账面价值和应支付的相关税费作为换入长期股权投资的初始投资成本。通过债务重组取得的长期股</w:t>
      </w:r>
      <w:r>
        <w:rPr>
          <w:spacing w:val="-65"/>
        </w:rPr>
        <w:t> </w:t>
      </w:r>
      <w:r>
        <w:rPr>
          <w:spacing w:val="-65"/>
        </w:rPr>
      </w:r>
      <w:r>
        <w:rPr>
          <w:spacing w:val="-2"/>
        </w:rPr>
        <w:t>权投资，其初始投资成本按照公允价值为基础确定。与取得长期股权投资直接相关的费用、税金及其他必要支出也计入投资</w:t>
      </w:r>
      <w:r>
        <w:rPr>
          <w:spacing w:val="-63"/>
        </w:rPr>
        <w:t> </w:t>
      </w:r>
      <w:r>
        <w:rPr>
          <w:spacing w:val="-63"/>
        </w:rPr>
      </w:r>
      <w:r>
        <w:rPr/>
        <w:t>成本。</w:t>
      </w:r>
    </w:p>
    <w:p>
      <w:pPr>
        <w:pStyle w:val="BodyText"/>
        <w:spacing w:line="312" w:lineRule="auto" w:before="22"/>
        <w:ind w:right="1130" w:firstLine="437"/>
        <w:jc w:val="both"/>
      </w:pPr>
      <w:r>
        <w:rPr/>
        <w:t>对于因追加投资能够对被投资单位实施重大影响或实施共同控制但不构成控制的，长期股权投资成本为按照《企业会 </w:t>
      </w:r>
      <w:r>
        <w:rPr>
          <w:spacing w:val="-2"/>
        </w:rPr>
        <w:t>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金融工具确认和计量》确定的原持有股权投资的公允价值加上新增投资成本之和，作为改按权益法核算的</w:t>
      </w:r>
      <w:r>
        <w:rPr>
          <w:spacing w:val="-63"/>
        </w:rPr>
        <w:t> </w:t>
      </w:r>
      <w:r>
        <w:rPr>
          <w:spacing w:val="-63"/>
        </w:rPr>
      </w:r>
      <w:r>
        <w:rPr>
          <w:spacing w:val="-2"/>
        </w:rPr>
        <w:t>初始投资成本。原持有的股权投资分类为可供出售金融资产的，其公允价值与账面价值之间的差额，以及原计入其他综合收</w:t>
      </w:r>
      <w:r>
        <w:rPr>
          <w:spacing w:val="-63"/>
        </w:rPr>
        <w:t> </w:t>
      </w:r>
      <w:r>
        <w:rPr>
          <w:spacing w:val="-63"/>
        </w:rPr>
      </w:r>
      <w:r>
        <w:rPr/>
        <w:t>益的累计公允价值变动应当转入改按权益法核算的当期损益。</w:t>
      </w:r>
    </w:p>
    <w:p>
      <w:pPr>
        <w:pStyle w:val="BodyText"/>
        <w:spacing w:line="300" w:lineRule="auto" w:before="22"/>
        <w:ind w:left="578" w:right="6818"/>
        <w:jc w:val="left"/>
      </w:pPr>
      <w:r>
        <w:rPr>
          <w:rFonts w:ascii="Times New Roman" w:hAnsi="Times New Roman" w:cs="Times New Roman" w:eastAsia="Times New Roman" w:hint="default"/>
        </w:rPr>
        <w:t>3</w:t>
      </w:r>
      <w:r>
        <w:rPr/>
        <w:t>．长期股权投资的后续计量及损益确认方法 </w:t>
      </w:r>
      <w:r>
        <w:rPr>
          <w:rFonts w:ascii="Times New Roman" w:hAnsi="Times New Roman" w:cs="Times New Roman" w:eastAsia="Times New Roman" w:hint="default"/>
        </w:rPr>
        <w:t>(1)</w:t>
      </w:r>
      <w:r>
        <w:rPr/>
        <w:t>成本法核算的长期股权投资</w:t>
      </w:r>
    </w:p>
    <w:p>
      <w:pPr>
        <w:pStyle w:val="BodyText"/>
        <w:spacing w:line="316" w:lineRule="auto" w:before="13"/>
        <w:ind w:right="1117" w:firstLine="420"/>
        <w:jc w:val="left"/>
      </w:pPr>
      <w:r>
        <w:rPr/>
        <w:t>公司对子公司的长期股权投资，采用成本法核算。除取得投资时实际支付的价款或对价中包含的已宣告但尚未发放的 现金股利或利润外，公司按照享有被投资单位宣告发放的现金股利或利润确认当期投资收益。</w:t>
      </w:r>
    </w:p>
    <w:p>
      <w:pPr>
        <w:pStyle w:val="BodyText"/>
        <w:spacing w:line="300" w:lineRule="auto" w:before="19"/>
        <w:ind w:left="573" w:right="5653" w:firstLine="4"/>
        <w:jc w:val="left"/>
      </w:pPr>
      <w:r>
        <w:rPr>
          <w:rFonts w:ascii="Times New Roman" w:hAnsi="Times New Roman" w:cs="Times New Roman" w:eastAsia="Times New Roman" w:hint="default"/>
        </w:rPr>
        <w:t>(2)</w:t>
      </w:r>
      <w:r>
        <w:rPr/>
        <w:t>权益法核算的长期股权投资</w:t>
      </w:r>
      <w:r>
        <w:rPr>
          <w:w w:val="99"/>
        </w:rPr>
        <w:t> </w:t>
      </w:r>
      <w:r>
        <w:rPr/>
        <w:t>对联营企业和合营企业的长期股权投资，采用权益法核算。</w:t>
      </w:r>
    </w:p>
    <w:p>
      <w:pPr>
        <w:pStyle w:val="BodyText"/>
        <w:spacing w:line="316" w:lineRule="auto" w:before="31"/>
        <w:ind w:right="1034" w:firstLine="408"/>
        <w:jc w:val="left"/>
      </w:pPr>
      <w:r>
        <w:rPr/>
        <w:t>采用权益法核算的长期股权投资的初始投资成本大于投资时应享有被投资单位可辨认净资产公允价值份额的，不调整 长期股权投资的初始投资成本；长期股权投资的初始投资成本小于投资时应享有被投资单位可辨认净资产公允价值份额的，</w:t>
      </w:r>
      <w:r>
        <w:rPr>
          <w:spacing w:val="-83"/>
        </w:rPr>
        <w:t> </w:t>
      </w:r>
      <w:r>
        <w:rPr>
          <w:spacing w:val="-83"/>
        </w:rPr>
      </w:r>
      <w:r>
        <w:rPr>
          <w:spacing w:val="-2"/>
        </w:rPr>
        <w:t>其差额应当计入当期损益，同时调整长期股权投资的成本。取得长期股权投资后，被投资单位采用的会计政策及会计期间与</w:t>
      </w:r>
      <w:r>
        <w:rPr>
          <w:spacing w:val="-63"/>
        </w:rPr>
        <w:t> </w:t>
      </w:r>
      <w:r>
        <w:rPr>
          <w:spacing w:val="-63"/>
        </w:rPr>
      </w:r>
      <w:r>
        <w:rPr>
          <w:spacing w:val="-4"/>
        </w:rPr>
        <w:t>公司不一致的，按照公司的会计政策及会计期间对被投资单位的财务报表进行调整，并据以确认投资损益和其他综合收益等。</w:t>
      </w:r>
      <w:r>
        <w:rPr>
          <w:spacing w:val="-44"/>
        </w:rPr>
        <w:t> </w:t>
      </w:r>
      <w:r>
        <w:rPr>
          <w:spacing w:val="-44"/>
        </w:rPr>
      </w:r>
      <w:r>
        <w:rPr>
          <w:spacing w:val="-2"/>
        </w:rPr>
        <w:t>按照应享有或应分担的被投资单位实现的净损益和其他综合收益的份额，分别确认投资收益和其他综合收益，同时调整长期</w:t>
      </w:r>
      <w:r>
        <w:rPr>
          <w:spacing w:val="-63"/>
        </w:rPr>
        <w:t> </w:t>
      </w:r>
      <w:r>
        <w:rPr>
          <w:spacing w:val="-63"/>
        </w:rPr>
      </w:r>
      <w:r>
        <w:rPr>
          <w:spacing w:val="-2"/>
        </w:rPr>
        <w:t>股权投资的账面价值；在确认应享有被投资单位净损益的份额时，以取得投资时被投资单位各项可辨认资产等的公允价值为</w:t>
      </w:r>
      <w:r>
        <w:rPr>
          <w:spacing w:val="-64"/>
        </w:rPr>
        <w:t> </w:t>
      </w:r>
      <w:r>
        <w:rPr>
          <w:spacing w:val="-64"/>
        </w:rPr>
      </w:r>
      <w:r>
        <w:rPr>
          <w:spacing w:val="-2"/>
        </w:rPr>
        <w:t>基础，对被投资单位的净利润进行调整后确认。按照被投资单位宣告分派的利润或现金股利计算应享有的部分，相应减少长</w:t>
      </w:r>
      <w:r>
        <w:rPr>
          <w:spacing w:val="-63"/>
        </w:rPr>
        <w:t> </w:t>
      </w:r>
      <w:r>
        <w:rPr>
          <w:spacing w:val="-63"/>
        </w:rPr>
      </w:r>
      <w:r>
        <w:rPr>
          <w:spacing w:val="-2"/>
        </w:rPr>
        <w:t>期股权投资的账面价值；对于被投资单位除净损益、其他综合收益和利润分配以外所有者权益的其他变动，调整长期股权投</w:t>
      </w:r>
      <w:r>
        <w:rPr>
          <w:spacing w:val="-63"/>
        </w:rPr>
        <w:t> </w:t>
      </w:r>
      <w:r>
        <w:rPr>
          <w:spacing w:val="-63"/>
        </w:rPr>
      </w:r>
      <w:r>
        <w:rPr>
          <w:spacing w:val="-2"/>
        </w:rPr>
        <w:t>资的账面价值并计入所有者权益。公司与联营企业、合营企业之间发生的未实现内部交易损益按照享有的比例计算归属于公</w:t>
      </w:r>
      <w:r>
        <w:rPr>
          <w:spacing w:val="-64"/>
        </w:rPr>
        <w:t> </w:t>
      </w:r>
      <w:r>
        <w:rPr>
          <w:spacing w:val="-64"/>
        </w:rPr>
      </w:r>
      <w:r>
        <w:rPr>
          <w:spacing w:val="-2"/>
        </w:rPr>
        <w:t>司的部分，予以抵销，在此基础上确认投资收益。与被投资单位发生的未实现内部交易损失，属于资产减值损失的，全额确</w:t>
      </w:r>
      <w:r>
        <w:rPr>
          <w:spacing w:val="-67"/>
        </w:rPr>
        <w:t> </w:t>
      </w:r>
      <w:r>
        <w:rPr>
          <w:spacing w:val="-67"/>
        </w:rPr>
      </w:r>
      <w:r>
        <w:rPr/>
        <w:t>认。</w:t>
      </w:r>
    </w:p>
    <w:p>
      <w:pPr>
        <w:pStyle w:val="BodyText"/>
        <w:spacing w:line="319" w:lineRule="auto" w:before="19"/>
        <w:ind w:right="1034" w:firstLine="420"/>
        <w:jc w:val="left"/>
      </w:pPr>
      <w:r>
        <w:rPr/>
        <w:t>在公司确认应分担被投资单位发生亏损时，按照以下顺序进行处理：首先，冲减长期股权投资的账面价值。其次，长 期股权投资的账面价值不足以冲减的，以其他实质上构成对被投资单位净投资的长期权益账面价值为限继续确认投资损失、</w:t>
      </w:r>
      <w:r>
        <w:rPr>
          <w:spacing w:val="-83"/>
        </w:rPr>
        <w:t> </w:t>
      </w:r>
      <w:r>
        <w:rPr>
          <w:spacing w:val="-83"/>
        </w:rPr>
      </w:r>
      <w:r>
        <w:rPr>
          <w:spacing w:val="-2"/>
        </w:rPr>
        <w:t>冲减长期应收项目的账面价值。经过上述处理，按照投资合同或协议约定企业仍承担额外义务的，按预计承担的义务确认预</w:t>
      </w:r>
      <w:r>
        <w:rPr>
          <w:spacing w:val="-66"/>
        </w:rPr>
        <w:t> </w:t>
      </w:r>
      <w:r>
        <w:rPr>
          <w:spacing w:val="-66"/>
        </w:rPr>
      </w:r>
      <w:r>
        <w:rPr>
          <w:spacing w:val="-2"/>
        </w:rPr>
        <w:t>计负债，计入当期投资损失。被投资单位以后期间实现净利润的，本公司在收益弥补未确认的亏损分担额后，恢复确认收益</w:t>
      </w:r>
    </w:p>
    <w:p>
      <w:pPr>
        <w:spacing w:after="0" w:line="319" w:lineRule="auto"/>
        <w:jc w:val="left"/>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0"/>
        <w:jc w:val="both"/>
      </w:pPr>
      <w:r>
        <w:rPr/>
        <w:t>分享额。</w:t>
      </w:r>
    </w:p>
    <w:p>
      <w:pPr>
        <w:pStyle w:val="BodyText"/>
        <w:spacing w:line="316" w:lineRule="auto" w:before="76"/>
        <w:ind w:right="1138" w:firstLine="420"/>
        <w:jc w:val="both"/>
      </w:pPr>
      <w:r>
        <w:rPr/>
        <w:t>在持有投资期间，被投资单位编制合并财务报表的，以合并财务报表中的净利润、其他综合收益和其他所有者权益变 动中归属于被投资单位的金额为基础进行核算。</w:t>
      </w:r>
    </w:p>
    <w:p>
      <w:pPr>
        <w:pStyle w:val="BodyText"/>
        <w:spacing w:line="314" w:lineRule="auto" w:before="19"/>
        <w:ind w:right="1130" w:firstLine="434"/>
        <w:jc w:val="both"/>
      </w:pPr>
      <w:r>
        <w:rPr/>
        <w:t>对于本公司向合营企业与联营企业投出的资产构成业务的，投资方因此取得长期股权投资但未取得控制权的，以投出 </w:t>
      </w:r>
      <w:r>
        <w:rPr>
          <w:spacing w:val="-2"/>
        </w:rPr>
        <w:t>业务的公允价值作为新增长期股权投资的初始投资成本，初始投资成本与投出业务的账面价值之差，全额计入当期损益。本</w:t>
      </w:r>
      <w:r>
        <w:rPr>
          <w:spacing w:val="-63"/>
        </w:rPr>
        <w:t> </w:t>
      </w:r>
      <w:r>
        <w:rPr>
          <w:spacing w:val="-63"/>
        </w:rPr>
      </w:r>
      <w:r>
        <w:rPr>
          <w:spacing w:val="-2"/>
        </w:rPr>
        <w:t>公司向合营企业或者联营企业出售的资产构成业务的，取得的对价与业务的账面价值之差，全额计入当期损益。本公司自联</w:t>
      </w:r>
      <w:r>
        <w:rPr>
          <w:spacing w:val="-66"/>
        </w:rPr>
        <w:t> </w:t>
      </w:r>
      <w:r>
        <w:rPr>
          <w:spacing w:val="-66"/>
        </w:rPr>
      </w:r>
      <w:r>
        <w:rPr>
          <w:spacing w:val="-2"/>
        </w:rPr>
        <w:t>营及合营企业购入的资产构成业务的，按《企业会计准则第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企业合并》的规定进行会计处理，全额确认与交易相关</w:t>
      </w:r>
      <w:r>
        <w:rPr>
          <w:spacing w:val="-63"/>
        </w:rPr>
        <w:t> </w:t>
      </w:r>
      <w:r>
        <w:rPr>
          <w:spacing w:val="-63"/>
        </w:rPr>
      </w:r>
      <w:r>
        <w:rPr/>
        <w:t>的利得或损失。</w:t>
      </w:r>
    </w:p>
    <w:p>
      <w:pPr>
        <w:pStyle w:val="BodyText"/>
        <w:spacing w:line="309" w:lineRule="auto" w:before="20"/>
        <w:ind w:left="575" w:right="4571"/>
        <w:jc w:val="left"/>
      </w:pPr>
      <w:r>
        <w:rPr>
          <w:rFonts w:ascii="Times New Roman" w:hAnsi="Times New Roman" w:cs="Times New Roman" w:eastAsia="Times New Roman" w:hint="default"/>
        </w:rPr>
        <w:t>4</w:t>
      </w:r>
      <w:r>
        <w:rPr/>
        <w:t>．长期股权投资的处置 处置长期股权投资，其账面价值与实际取得价款的差额，计入当期损益。 </w:t>
      </w:r>
      <w:r>
        <w:rPr>
          <w:rFonts w:ascii="Times New Roman" w:hAnsi="Times New Roman" w:cs="Times New Roman" w:eastAsia="Times New Roman" w:hint="default"/>
        </w:rPr>
        <w:t>(1)</w:t>
      </w:r>
      <w:r>
        <w:rPr/>
        <w:t>权益法核算下的长期股权投资的处置</w:t>
      </w:r>
    </w:p>
    <w:p>
      <w:pPr>
        <w:pStyle w:val="BodyText"/>
        <w:spacing w:line="316" w:lineRule="auto" w:before="5"/>
        <w:ind w:right="1130" w:firstLine="422"/>
        <w:jc w:val="both"/>
      </w:pPr>
      <w:r>
        <w:rPr/>
        <w:t>采用权益法核算的长期股权投资，处置后的剩余股权仍采用权益法核算的，在处置该项投资时，采用与被投资单位直 </w:t>
      </w:r>
      <w:r>
        <w:rPr>
          <w:spacing w:val="-2"/>
        </w:rPr>
        <w:t>接处置相关资产或者负债相同的基础，按相应比例对原计入其他综合收益的部分进行会计处理。因被投资单位除净损益、其</w:t>
      </w:r>
      <w:r>
        <w:rPr>
          <w:spacing w:val="-63"/>
        </w:rPr>
        <w:t> </w:t>
      </w:r>
      <w:r>
        <w:rPr>
          <w:spacing w:val="-63"/>
        </w:rPr>
      </w:r>
      <w:r>
        <w:rPr/>
        <w:t>他综合收益和利润分配以外的其他所有者权益变动而确认的所有者权益，按比例结转入当期损益。</w:t>
      </w:r>
    </w:p>
    <w:p>
      <w:pPr>
        <w:pStyle w:val="BodyText"/>
        <w:spacing w:line="316" w:lineRule="auto" w:before="19"/>
        <w:ind w:right="0" w:firstLine="422"/>
        <w:jc w:val="left"/>
      </w:pPr>
      <w:r>
        <w:rPr/>
        <w:t>因处置部分股权投资等原因丧失了对投资单位的共同控制或者重大影响的，处置后的剩余股权改按金融工具确认和计 量准则核算，其在丧失共同控制或重大影响之日的公允价值与账面价值之间的差额计入当期损益。原股权投资因采用权益法 </w:t>
      </w:r>
      <w:r>
        <w:rPr>
          <w:spacing w:val="-2"/>
        </w:rPr>
        <w:t>核算而确认的其他综合收益，在终止确认权益法核算时采用与被投资单位直接处置相关资产或负债相同的基础进行会计处理。</w:t>
      </w:r>
      <w:r>
        <w:rPr>
          <w:spacing w:val="-62"/>
        </w:rPr>
        <w:t> </w:t>
      </w:r>
      <w:r>
        <w:rPr>
          <w:spacing w:val="-62"/>
        </w:rPr>
      </w:r>
      <w:r>
        <w:rPr/>
        <w:t>因被投资方除净损益、其他综合收益和利润分配以外的其他所有者权益变动而确认的所有者权益，在终止采用权益法核算时</w:t>
      </w:r>
      <w:r>
        <w:rPr/>
        <w:t> 全部转入当期损益。</w:t>
      </w:r>
    </w:p>
    <w:p>
      <w:pPr>
        <w:pStyle w:val="BodyText"/>
        <w:spacing w:line="300" w:lineRule="auto" w:before="19"/>
        <w:ind w:left="575" w:right="1117" w:hanging="3"/>
        <w:jc w:val="left"/>
      </w:pPr>
      <w:r>
        <w:rPr>
          <w:rFonts w:ascii="Times New Roman" w:hAnsi="Times New Roman" w:cs="Times New Roman" w:eastAsia="Times New Roman" w:hint="default"/>
        </w:rPr>
        <w:t>(2)</w:t>
      </w:r>
      <w:r>
        <w:rPr/>
        <w:t>成本法核算下的长期股权投资的处置</w:t>
      </w:r>
      <w:r>
        <w:rPr>
          <w:w w:val="99"/>
        </w:rPr>
        <w:t> </w:t>
      </w:r>
      <w:r>
        <w:rPr/>
        <w:t>采用成本法核算的长期股权投资，处置后剩余股权仍采用成本法核算的，其在取得对被投资单位的控制之前因采用权</w:t>
      </w:r>
    </w:p>
    <w:p>
      <w:pPr>
        <w:pStyle w:val="BodyText"/>
        <w:spacing w:line="316" w:lineRule="auto" w:before="32"/>
        <w:ind w:right="1130"/>
        <w:jc w:val="both"/>
      </w:pPr>
      <w:r>
        <w:rPr>
          <w:spacing w:val="-2"/>
        </w:rPr>
        <w:t>益法核算或者金融工具确认和计量准则核算而确认的其他综合收益，采用与被投资单位直接处置相关资产或者负债相同的基</w:t>
      </w:r>
      <w:r>
        <w:rPr>
          <w:spacing w:val="-64"/>
        </w:rPr>
        <w:t> </w:t>
      </w:r>
      <w:r>
        <w:rPr>
          <w:spacing w:val="-64"/>
        </w:rPr>
      </w:r>
      <w:r>
        <w:rPr>
          <w:spacing w:val="-2"/>
        </w:rPr>
        <w:t>础进行处理，并按比例结转当期损益；因采用权益法核算而确认的被投资单位净资产中除净损益、其他综合收益和净利润分</w:t>
      </w:r>
      <w:r>
        <w:rPr>
          <w:spacing w:val="-63"/>
        </w:rPr>
        <w:t> </w:t>
      </w:r>
      <w:r>
        <w:rPr>
          <w:spacing w:val="-63"/>
        </w:rPr>
      </w:r>
      <w:r>
        <w:rPr/>
        <w:t>配以外的其他所有者权益变动按比例结转当期损益。</w:t>
      </w:r>
    </w:p>
    <w:p>
      <w:pPr>
        <w:pStyle w:val="BodyText"/>
        <w:spacing w:line="316" w:lineRule="auto" w:before="19"/>
        <w:ind w:right="1047" w:firstLine="420"/>
        <w:jc w:val="both"/>
      </w:pPr>
      <w:r>
        <w:rPr/>
        <w:t>因其他投资方增资而导致本公司持股比例下降、从而丧失控制权但能对被投资单位实施共同控制或施加重大影响的， </w:t>
      </w:r>
      <w:r>
        <w:rPr>
          <w:spacing w:val="-2"/>
        </w:rPr>
        <w:t>按照新的持股比例确认本公司应享有的被投资单位因增资扩股而增加净资产的份额，与应结转持股比例下降部分所对应的长</w:t>
      </w:r>
      <w:r>
        <w:rPr>
          <w:spacing w:val="-63"/>
        </w:rPr>
        <w:t> </w:t>
      </w:r>
      <w:r>
        <w:rPr>
          <w:spacing w:val="-63"/>
        </w:rPr>
      </w:r>
      <w:r>
        <w:rPr/>
        <w:t>期股权投资原账面价值之间的差额计入当期损益；然后，按照新的持股比例视同自取得投资时即采用权益法核算进行调整。</w:t>
      </w:r>
    </w:p>
    <w:p>
      <w:pPr>
        <w:pStyle w:val="BodyText"/>
        <w:spacing w:line="314" w:lineRule="auto" w:before="19"/>
        <w:ind w:right="1117" w:firstLine="422"/>
        <w:jc w:val="left"/>
      </w:pPr>
      <w:r>
        <w:rPr/>
        <w:t>公司因处置部分股权投资或其他原因丧失了对原有子公司控制权的，处置后的剩余股权能够对被投资单位实施共同控 </w:t>
      </w:r>
      <w:r>
        <w:rPr>
          <w:spacing w:val="-2"/>
        </w:rPr>
        <w:t>制或施加重大影响的，改按权益法核算，并对该剩余股权视同自取得时即采用权益法核算进行调整，购买日之前持有的股权</w:t>
      </w:r>
      <w:r>
        <w:rPr>
          <w:spacing w:val="-63"/>
        </w:rPr>
        <w:t> </w:t>
      </w:r>
      <w:r>
        <w:rPr>
          <w:spacing w:val="-63"/>
        </w:rPr>
      </w:r>
      <w:r>
        <w:rPr>
          <w:spacing w:val="-2"/>
        </w:rPr>
        <w:t>投资因采用权益法核算而确认的其他综合收益和其他所有者权益按比例结转；处置后的剩余股权不能对被投资单位实施共同</w:t>
      </w:r>
      <w:r>
        <w:rPr>
          <w:spacing w:val="-64"/>
        </w:rPr>
        <w:t> </w:t>
      </w:r>
      <w:r>
        <w:rPr>
          <w:spacing w:val="-64"/>
        </w:rPr>
      </w:r>
      <w:r>
        <w:rPr>
          <w:spacing w:val="-2"/>
        </w:rPr>
        <w:t>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金融工具确认和计量》的有关规定进行会计处理，其在丧失控制之</w:t>
      </w:r>
      <w:r>
        <w:rPr>
          <w:spacing w:val="-62"/>
        </w:rPr>
        <w:t> </w:t>
      </w:r>
      <w:r>
        <w:rPr>
          <w:spacing w:val="-62"/>
        </w:rPr>
      </w:r>
      <w:r>
        <w:rPr/>
        <w:t>日的公允价值与账面价值间的差额计入当期损益，其他综合收益和其他所有者权益全部结转为当期损益。 </w:t>
      </w:r>
      <w:r>
        <w:rPr>
          <w:spacing w:val="-2"/>
        </w:rPr>
        <w:t>本公司通过多次交易分步处置对子公司股权投资直至丧失控制权，如果上述交易属于一揽子交易的，将各项交易作为一项处</w:t>
      </w:r>
      <w:r>
        <w:rPr>
          <w:spacing w:val="-64"/>
        </w:rPr>
        <w:t> </w:t>
      </w:r>
      <w:r>
        <w:rPr>
          <w:spacing w:val="-64"/>
        </w:rPr>
      </w:r>
      <w:r>
        <w:rPr>
          <w:spacing w:val="-2"/>
        </w:rPr>
        <w:t>置子公司股权投资并丧失控制权的交易进行会计处理，在丧失控制权之前每一次处置价款与所处置的股权对应的长期股权投</w:t>
      </w:r>
      <w:r>
        <w:rPr>
          <w:spacing w:val="-64"/>
        </w:rPr>
        <w:t> </w:t>
      </w:r>
      <w:r>
        <w:rPr>
          <w:spacing w:val="-64"/>
        </w:rPr>
      </w:r>
      <w:r>
        <w:rPr/>
        <w:t>资账面价值之间的差额，先确认为其他综合收益，到丧失控制权时再一并转入丧失控制权的当期损益。</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954"/>
        <w:jc w:val="left"/>
      </w:pPr>
      <w:r>
        <w:rPr/>
        <w:t>投资性房地产计量模式 不适用</w:t>
      </w:r>
    </w:p>
    <w:p>
      <w:pPr>
        <w:spacing w:after="0" w:line="360" w:lineRule="auto"/>
        <w:jc w:val="left"/>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07" w:lineRule="auto"/>
        <w:ind w:right="1135"/>
        <w:jc w:val="both"/>
      </w:pPr>
      <w:r>
        <w:rPr/>
        <w:t>固定资产是指同时具有下列特征的有形资产：</w:t>
      </w:r>
      <w:r>
        <w:rPr>
          <w:rFonts w:ascii="Times New Roman" w:hAnsi="Times New Roman" w:cs="Times New Roman" w:eastAsia="Times New Roman" w:hint="default"/>
        </w:rPr>
        <w:t>(1)</w:t>
      </w:r>
      <w:r>
        <w:rPr/>
        <w:t>为生产商品、提供劳务、出租或经营管理持有的；</w:t>
      </w:r>
      <w:r>
        <w:rPr>
          <w:rFonts w:ascii="Times New Roman" w:hAnsi="Times New Roman" w:cs="Times New Roman" w:eastAsia="Times New Roman" w:hint="default"/>
        </w:rPr>
        <w:t>(2)</w:t>
      </w:r>
      <w:r>
        <w:rPr/>
        <w:t>使用寿命超过一个会</w:t>
      </w:r>
      <w:r>
        <w:rPr>
          <w:spacing w:val="-86"/>
        </w:rPr>
        <w:t> </w:t>
      </w:r>
      <w:r>
        <w:rPr/>
        <w:t>计年度。固定资产同时满足下列条件的予以确认：</w:t>
      </w:r>
      <w:r>
        <w:rPr>
          <w:rFonts w:ascii="Times New Roman" w:hAnsi="Times New Roman" w:cs="Times New Roman" w:eastAsia="Times New Roman" w:hint="default"/>
        </w:rPr>
        <w:t>(1)</w:t>
      </w:r>
      <w:r>
        <w:rPr/>
        <w:t>与该固定资产有关的经济利益很可能流入企业；</w:t>
      </w:r>
      <w:r>
        <w:rPr>
          <w:rFonts w:ascii="Times New Roman" w:hAnsi="Times New Roman" w:cs="Times New Roman" w:eastAsia="Times New Roman" w:hint="default"/>
        </w:rPr>
        <w:t>(2)</w:t>
      </w:r>
      <w:r>
        <w:rPr/>
        <w:t>该固定资产的成本</w:t>
      </w:r>
      <w:r>
        <w:rPr>
          <w:spacing w:val="-86"/>
        </w:rPr>
        <w:t> </w:t>
      </w:r>
      <w:r>
        <w:rPr>
          <w:spacing w:val="-2"/>
        </w:rPr>
        <w:t>能够可靠地计量。与固定资产有关的后续支出，符合上述确认条件的，计入固定资产成本；不符合上述确认条件的，发生时</w:t>
      </w:r>
      <w:r>
        <w:rPr>
          <w:spacing w:val="-67"/>
        </w:rPr>
        <w:t> </w:t>
      </w:r>
      <w:r>
        <w:rPr>
          <w:spacing w:val="-67"/>
        </w:rPr>
      </w:r>
      <w:r>
        <w:rPr/>
        <w:t>计入当期损益。</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5"/>
        <w:gridCol w:w="1914"/>
        <w:gridCol w:w="1914"/>
        <w:gridCol w:w="1914"/>
      </w:tblGrid>
      <w:tr>
        <w:trPr>
          <w:trHeight w:val="39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8"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30-50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1.80-3.00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22.50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19.20-32.00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pStyle w:val="BodyText"/>
        <w:spacing w:line="300" w:lineRule="auto" w:before="8"/>
        <w:ind w:right="1117"/>
        <w:jc w:val="left"/>
      </w:pPr>
      <w:r>
        <w:rPr>
          <w:rFonts w:ascii="Times New Roman" w:hAnsi="Times New Roman" w:cs="Times New Roman" w:eastAsia="Times New Roman" w:hint="default"/>
        </w:rPr>
        <w:t>(1)</w:t>
      </w:r>
      <w:r>
        <w:rPr/>
        <w:t>符合资本化条件的固定资产装修费用，在两次装修期间与固定资产尚可使用年限两者中较短的期间内，采用年限平均法</w:t>
      </w:r>
      <w:r>
        <w:rPr>
          <w:spacing w:val="-33"/>
        </w:rPr>
        <w:t> </w:t>
      </w:r>
      <w:r>
        <w:rPr>
          <w:spacing w:val="-33"/>
        </w:rPr>
      </w:r>
      <w:r>
        <w:rPr/>
        <w:t>单独计提折旧。</w:t>
      </w:r>
    </w:p>
    <w:p>
      <w:pPr>
        <w:pStyle w:val="BodyText"/>
        <w:spacing w:line="300" w:lineRule="auto" w:before="32"/>
        <w:ind w:right="1364"/>
        <w:jc w:val="left"/>
      </w:pPr>
      <w:r>
        <w:rPr>
          <w:rFonts w:ascii="Times New Roman" w:hAnsi="Times New Roman" w:cs="Times New Roman" w:eastAsia="Times New Roman" w:hint="default"/>
        </w:rPr>
        <w:t>(2)</w:t>
      </w:r>
      <w:r>
        <w:rPr/>
        <w:t>已计提减值准备的固定资产，还应扣除已计提的固定资产减值准备累计金额计算折旧率。</w:t>
      </w:r>
      <w:r>
        <w:rPr>
          <w:w w:val="99"/>
        </w:rPr>
        <w:t> </w:t>
      </w:r>
      <w:r>
        <w:rPr>
          <w:rFonts w:ascii="Times New Roman" w:hAnsi="Times New Roman" w:cs="Times New Roman" w:eastAsia="Times New Roman" w:hint="default"/>
        </w:rPr>
        <w:t>(3)</w:t>
      </w:r>
      <w:r>
        <w:rPr/>
        <w:t>公司至少年度终了对固定资产的使用寿命、预计净残值和折旧方法进行复核，如发生改变则作为会计估计变更处理。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1117"/>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117"/>
        <w:jc w:val="left"/>
      </w:pPr>
      <w:r>
        <w:rPr/>
        <w:t>当本公司租入的固定资产符合下列一项或数项标准时，确认为融资租入固定资产：</w:t>
      </w:r>
      <w:r>
        <w:rPr>
          <w:rFonts w:ascii="Times New Roman" w:hAnsi="Times New Roman" w:cs="Times New Roman" w:eastAsia="Times New Roman" w:hint="default"/>
        </w:rPr>
        <w:t>(1)</w:t>
      </w:r>
      <w:r>
        <w:rPr/>
        <w:t>在租赁期届满时，租赁资产的所有权 转移给本公司；</w:t>
      </w:r>
      <w:r>
        <w:rPr>
          <w:rFonts w:ascii="Times New Roman" w:hAnsi="Times New Roman" w:cs="Times New Roman" w:eastAsia="Times New Roman" w:hint="default"/>
        </w:rPr>
        <w:t>(2)</w:t>
      </w:r>
      <w:r>
        <w:rPr/>
        <w:t>本公司有购买租赁资产的选择权，所订立的购买价款预计将远低于行使选择权时租赁资产的公允价值， 因而在租赁开始日就可以合理确定本公司将会行使这种选择权；</w:t>
      </w:r>
      <w:r>
        <w:rPr>
          <w:rFonts w:ascii="Times New Roman" w:hAnsi="Times New Roman" w:cs="Times New Roman" w:eastAsia="Times New Roman" w:hint="default"/>
        </w:rPr>
        <w:t>(3)</w:t>
      </w:r>
      <w:r>
        <w:rPr/>
        <w:t>即使资产的所有权不转移，但租赁期占租赁资产使用寿 命的大部分；</w:t>
      </w:r>
      <w:r>
        <w:rPr>
          <w:rFonts w:ascii="Times New Roman" w:hAnsi="Times New Roman" w:cs="Times New Roman" w:eastAsia="Times New Roman" w:hint="default"/>
        </w:rPr>
        <w:t>(4)</w:t>
      </w:r>
      <w:r>
        <w:rPr/>
        <w:t>本公司在租赁开始日的最低租赁付款额现值，几乎相当于租赁开始日租赁资产公允价值；出租人在租赁开 始日的最低租赁收款额现值，几乎相当于租赁开始日租赁资产公允价值；</w:t>
      </w:r>
      <w:r>
        <w:rPr>
          <w:rFonts w:ascii="Times New Roman" w:hAnsi="Times New Roman" w:cs="Times New Roman" w:eastAsia="Times New Roman" w:hint="default"/>
        </w:rPr>
        <w:t>(5)</w:t>
      </w:r>
      <w:r>
        <w:rPr/>
        <w:t>租赁资产性质特殊，如果不作较大改造，只有 </w:t>
      </w:r>
      <w:r>
        <w:rPr>
          <w:spacing w:val="-2"/>
        </w:rPr>
        <w:t>本公司才能使用。融资租赁租入的固定资产，按租赁开始日租赁资产公允价值与最低租赁付款额的现值两者中较低者，作为</w:t>
      </w:r>
      <w:r>
        <w:rPr>
          <w:spacing w:val="-63"/>
        </w:rPr>
        <w:t> </w:t>
      </w:r>
      <w:r>
        <w:rPr>
          <w:spacing w:val="-63"/>
        </w:rPr>
      </w:r>
      <w:r>
        <w:rPr>
          <w:spacing w:val="-2"/>
        </w:rPr>
        <w:t>入账价值。最低租赁付款额作为长期应付款的入账价值，其差额作为未确认融资费用。在租赁谈判和签订租赁合同过程中发</w:t>
      </w:r>
      <w:r>
        <w:rPr>
          <w:spacing w:val="-63"/>
        </w:rPr>
        <w:t> </w:t>
      </w:r>
      <w:r>
        <w:rPr>
          <w:spacing w:val="-63"/>
        </w:rPr>
      </w:r>
      <w:r>
        <w:rPr>
          <w:spacing w:val="-2"/>
        </w:rPr>
        <w:t>生的，可归属于租赁项目的手续费、律师费、差旅费、印花税等初始直接费用，计入租入资产价值。未确认融资费用在租赁</w:t>
      </w:r>
      <w:r>
        <w:rPr>
          <w:spacing w:val="-68"/>
        </w:rPr>
        <w:t> </w:t>
      </w:r>
      <w:r>
        <w:rPr>
          <w:spacing w:val="-68"/>
        </w:rPr>
      </w:r>
      <w:r>
        <w:rPr>
          <w:spacing w:val="-2"/>
        </w:rPr>
        <w:t>期内各个期间采用实际利率法进行分摊。融资租入的固定资产采用与自有固定资产一致的政策计提租赁资产折旧。能够合理</w:t>
      </w:r>
      <w:r>
        <w:rPr>
          <w:spacing w:val="-64"/>
        </w:rPr>
        <w:t> </w:t>
      </w:r>
      <w:r>
        <w:rPr>
          <w:spacing w:val="-64"/>
        </w:rPr>
      </w:r>
      <w:r>
        <w:rPr>
          <w:spacing w:val="-2"/>
        </w:rPr>
        <w:t>确定租赁期届满时将会取得租赁资产所有权的，在租赁资产尚可使用年限内计提折旧；无法合理确定租赁期届满时能够取得</w:t>
      </w:r>
      <w:r>
        <w:rPr>
          <w:spacing w:val="-64"/>
        </w:rPr>
        <w:t> </w:t>
      </w:r>
      <w:r>
        <w:rPr>
          <w:spacing w:val="-64"/>
        </w:rPr>
      </w:r>
      <w:r>
        <w:rPr/>
        <w:t>租赁资产所有权的，在租赁期与租赁资产尚可使用年限两者中较短的期间内计提折旧。</w:t>
      </w:r>
    </w:p>
    <w:p>
      <w:pPr>
        <w:spacing w:line="240" w:lineRule="auto" w:before="3"/>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 软件与信息技术服务业</w:t>
      </w:r>
      <w:r>
        <w:rPr>
          <w:rFonts w:ascii="Times New Roman" w:hAnsi="Times New Roman" w:cs="Times New Roman" w:eastAsia="Times New Roman" w:hint="default"/>
        </w:rPr>
        <w:t>;</w:t>
      </w:r>
      <w:r>
        <w:rPr/>
        <w:t>互联网营销业</w:t>
      </w:r>
    </w:p>
    <w:p>
      <w:pPr>
        <w:spacing w:after="0" w:line="357" w:lineRule="auto"/>
        <w:jc w:val="left"/>
        <w:sectPr>
          <w:footerReference w:type="default" r:id="rId20"/>
          <w:pgSz w:w="11910" w:h="16840"/>
          <w:pgMar w:footer="1294" w:header="786" w:top="1100" w:bottom="1480" w:left="980" w:right="0"/>
          <w:pgNumType w:start="11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left="573" w:right="1117" w:hanging="238"/>
        <w:jc w:val="left"/>
      </w:pPr>
      <w:r>
        <w:rPr/>
        <w:t>借款费用，包括借款利息、折价或者溢价的摊销、辅助费用以及因外币借款而发生的汇兑差额等。 </w:t>
      </w:r>
      <w:r>
        <w:rPr>
          <w:rFonts w:ascii="Times New Roman" w:hAnsi="Times New Roman" w:cs="Times New Roman" w:eastAsia="Times New Roman" w:hint="default"/>
        </w:rPr>
        <w:t>1</w:t>
      </w:r>
      <w:r>
        <w:rPr/>
        <w:t>．借款费用资本化的确认原则 公司发生的借款费用，可直接归属于符合资本化条件的资产的购建或者生产的，予以资本化，计入相关资产成本；其</w:t>
      </w:r>
    </w:p>
    <w:p>
      <w:pPr>
        <w:pStyle w:val="BodyText"/>
        <w:spacing w:line="240" w:lineRule="auto" w:before="24"/>
        <w:ind w:right="1117"/>
        <w:jc w:val="left"/>
      </w:pPr>
      <w:r>
        <w:rPr/>
        <w:t>他借款费用，在发生时根据其发生额确认为费用，计入当期损益。</w:t>
      </w:r>
    </w:p>
    <w:p>
      <w:pPr>
        <w:pStyle w:val="BodyText"/>
        <w:spacing w:line="300" w:lineRule="auto" w:before="76"/>
        <w:ind w:left="573" w:right="1117" w:firstLine="4"/>
        <w:jc w:val="left"/>
      </w:pPr>
      <w:r>
        <w:rPr>
          <w:rFonts w:ascii="Times New Roman" w:hAnsi="Times New Roman" w:cs="Times New Roman" w:eastAsia="Times New Roman" w:hint="default"/>
        </w:rPr>
        <w:t>2</w:t>
      </w:r>
      <w:r>
        <w:rPr/>
        <w:t>．借款费用资本化期间 </w:t>
      </w:r>
      <w:r>
        <w:rPr>
          <w:rFonts w:ascii="Times New Roman" w:hAnsi="Times New Roman" w:cs="Times New Roman" w:eastAsia="Times New Roman" w:hint="default"/>
          <w:spacing w:val="-2"/>
        </w:rPr>
        <w:t>(1)</w:t>
      </w:r>
      <w:r>
        <w:rPr>
          <w:spacing w:val="-2"/>
        </w:rPr>
        <w:t>当同时满足下列条件时，开始资本化：</w:t>
      </w:r>
      <w:r>
        <w:rPr>
          <w:rFonts w:ascii="Times New Roman" w:hAnsi="Times New Roman" w:cs="Times New Roman" w:eastAsia="Times New Roman" w:hint="default"/>
          <w:spacing w:val="-2"/>
        </w:rPr>
        <w:t>1)</w:t>
      </w:r>
      <w:r>
        <w:rPr>
          <w:spacing w:val="-2"/>
        </w:rPr>
        <w:t>资产支出已经发生；</w:t>
      </w:r>
      <w:r>
        <w:rPr>
          <w:rFonts w:ascii="Times New Roman" w:hAnsi="Times New Roman" w:cs="Times New Roman" w:eastAsia="Times New Roman" w:hint="default"/>
          <w:spacing w:val="-2"/>
        </w:rPr>
        <w:t>2)</w:t>
      </w:r>
      <w:r>
        <w:rPr>
          <w:spacing w:val="-2"/>
        </w:rPr>
        <w:t>借款费用已经发生；</w:t>
      </w:r>
      <w:r>
        <w:rPr>
          <w:rFonts w:ascii="Times New Roman" w:hAnsi="Times New Roman" w:cs="Times New Roman" w:eastAsia="Times New Roman" w:hint="default"/>
          <w:spacing w:val="-2"/>
        </w:rPr>
        <w:t>3)</w:t>
      </w:r>
      <w:r>
        <w:rPr>
          <w:spacing w:val="-2"/>
        </w:rPr>
        <w:t>为使资产达到预定可使用或可</w:t>
      </w:r>
    </w:p>
    <w:p>
      <w:pPr>
        <w:pStyle w:val="BodyText"/>
        <w:spacing w:line="240" w:lineRule="auto" w:before="13"/>
        <w:ind w:right="1117"/>
        <w:jc w:val="left"/>
      </w:pPr>
      <w:r>
        <w:rPr/>
        <w:t>销售状态所必要的购建或者生产活动已经开始。</w:t>
      </w:r>
    </w:p>
    <w:p>
      <w:pPr>
        <w:pStyle w:val="BodyText"/>
        <w:spacing w:line="309" w:lineRule="auto" w:before="76"/>
        <w:ind w:right="1128" w:firstLine="420"/>
        <w:jc w:val="both"/>
      </w:pPr>
      <w:r>
        <w:rPr>
          <w:rFonts w:ascii="Times New Roman" w:hAnsi="Times New Roman" w:cs="Times New Roman" w:eastAsia="Times New Roman" w:hint="default"/>
          <w:spacing w:val="-2"/>
        </w:rPr>
        <w:t>(2)</w:t>
      </w:r>
      <w:r>
        <w:rPr>
          <w:spacing w:val="-2"/>
        </w:rPr>
        <w:t>暂停资本化：若符合资本化条件的资产在购建或者生产过程中发生非正常中断，并且中断时间连续超过</w:t>
      </w:r>
      <w:r>
        <w:rPr>
          <w:rFonts w:ascii="Times New Roman" w:hAnsi="Times New Roman" w:cs="Times New Roman" w:eastAsia="Times New Roman" w:hint="default"/>
          <w:spacing w:val="-2"/>
        </w:rPr>
        <w:t>3</w:t>
      </w:r>
      <w:r>
        <w:rPr>
          <w:spacing w:val="-2"/>
        </w:rPr>
        <w:t>个月，暂停</w:t>
      </w:r>
      <w:r>
        <w:rPr>
          <w:w w:val="99"/>
        </w:rPr>
        <w:t> </w:t>
      </w:r>
      <w:r>
        <w:rPr>
          <w:spacing w:val="-2"/>
        </w:rPr>
        <w:t>借款费用的资本化；中断期间发生的借款费用确认为当期费用，直至资产的购建或者生产活动重新开始。该项中断如是所购</w:t>
      </w:r>
      <w:r>
        <w:rPr>
          <w:spacing w:val="-63"/>
        </w:rPr>
        <w:t> </w:t>
      </w:r>
      <w:r>
        <w:rPr>
          <w:spacing w:val="-63"/>
        </w:rPr>
      </w:r>
      <w:r>
        <w:rPr/>
        <w:t>建或生产的符合资本化条件的资产达到预定可使用状态或者可销售状态必要的程序，则借款费用继续资本化。</w:t>
      </w:r>
    </w:p>
    <w:p>
      <w:pPr>
        <w:pStyle w:val="BodyText"/>
        <w:spacing w:line="309" w:lineRule="auto" w:before="24"/>
        <w:ind w:right="1133" w:firstLine="420"/>
        <w:jc w:val="both"/>
      </w:pPr>
      <w:r>
        <w:rPr>
          <w:rFonts w:ascii="Times New Roman" w:hAnsi="Times New Roman" w:cs="Times New Roman" w:eastAsia="Times New Roman" w:hint="default"/>
        </w:rPr>
        <w:t>(3)</w:t>
      </w:r>
      <w:r>
        <w:rPr/>
        <w:t>停止资本化：当所购建或者生产符合资本化条件的资产达到预定可使用或者可销售状态时，借款费用停止资本化。</w:t>
      </w:r>
      <w:r>
        <w:rPr>
          <w:w w:val="99"/>
        </w:rPr>
        <w:t> </w:t>
      </w:r>
      <w:r>
        <w:rPr>
          <w:spacing w:val="-2"/>
        </w:rPr>
        <w:t>当购建或者生产符合资本化的资产中部分项目分别完工且可单独使用时，该部分资产借款费用停止资本化。购建或者生产的</w:t>
      </w:r>
      <w:r>
        <w:rPr>
          <w:spacing w:val="-65"/>
        </w:rPr>
        <w:t> </w:t>
      </w:r>
      <w:r>
        <w:rPr>
          <w:spacing w:val="-65"/>
        </w:rPr>
      </w:r>
      <w:r>
        <w:rPr/>
        <w:t>资产的各部分分别完工，但必须等到整体完工后才可使用或者对外销售的，在该资产整体完工时停止借款费用资本化。</w:t>
      </w:r>
    </w:p>
    <w:p>
      <w:pPr>
        <w:pStyle w:val="BodyText"/>
        <w:spacing w:line="309" w:lineRule="auto" w:before="24"/>
        <w:ind w:right="1034" w:firstLine="425"/>
        <w:jc w:val="left"/>
      </w:pPr>
      <w:r>
        <w:rPr>
          <w:rFonts w:ascii="Times New Roman" w:hAnsi="Times New Roman" w:cs="Times New Roman" w:eastAsia="Times New Roman" w:hint="default"/>
        </w:rPr>
        <w:t>3</w:t>
      </w:r>
      <w:r>
        <w:rPr/>
        <w:t>．借款费用资本化率及资本化金额的计算方法 为购建或者生产符合资本化条件的资产而借入专门借款的，以专门借款当期实际发生的利息费用</w:t>
      </w:r>
      <w:r>
        <w:rPr>
          <w:rFonts w:ascii="Times New Roman" w:hAnsi="Times New Roman" w:cs="Times New Roman" w:eastAsia="Times New Roman" w:hint="default"/>
        </w:rPr>
        <w:t>(</w:t>
      </w:r>
      <w:r>
        <w:rPr/>
        <w:t>包括按照实际利率法确定 的折价或溢价的摊销</w:t>
      </w:r>
      <w:r>
        <w:rPr>
          <w:rFonts w:ascii="Times New Roman" w:hAnsi="Times New Roman" w:cs="Times New Roman" w:eastAsia="Times New Roman" w:hint="default"/>
        </w:rPr>
        <w:t>)</w:t>
      </w:r>
      <w:r>
        <w:rPr/>
        <w:t>，减去将尚未动用的借款资金存入银行取得的利息收入或进行暂时性投资取得的投资收益后的金额， </w:t>
      </w:r>
      <w:r>
        <w:rPr>
          <w:spacing w:val="-2"/>
        </w:rPr>
        <w:t>确定应予资本化的利息金额；为购建或者生产符合资本化条件的资产占用了一般借款的，根据累计资产支出超过专门借款的</w:t>
      </w:r>
      <w:r>
        <w:rPr>
          <w:spacing w:val="-64"/>
        </w:rPr>
        <w:t> </w:t>
      </w:r>
      <w:r>
        <w:rPr>
          <w:spacing w:val="-64"/>
        </w:rPr>
      </w:r>
      <w:r>
        <w:rPr/>
        <w:t>资产支出加权平均数乘以占用一般借款的资本化率</w:t>
      </w:r>
      <w:r>
        <w:rPr>
          <w:rFonts w:ascii="Times New Roman" w:hAnsi="Times New Roman" w:cs="Times New Roman" w:eastAsia="Times New Roman" w:hint="default"/>
        </w:rPr>
        <w:t>(</w:t>
      </w:r>
      <w:r>
        <w:rPr/>
        <w:t>加权平均利率</w:t>
      </w:r>
      <w:r>
        <w:rPr>
          <w:rFonts w:ascii="Times New Roman" w:hAnsi="Times New Roman" w:cs="Times New Roman" w:eastAsia="Times New Roman" w:hint="default"/>
        </w:rPr>
        <w:t>)</w:t>
      </w:r>
      <w:r>
        <w:rPr/>
        <w:t>，计算确定一般借款应予资本化的利息金额。在资本化期 </w:t>
      </w:r>
      <w:r>
        <w:rPr>
          <w:spacing w:val="-2"/>
        </w:rPr>
        <w:t>间内，每一会计期间的利息资本化金额不超过当期相关借款实际发生的利息金额。外币专门借款本金及利息的汇兑差额，在</w:t>
      </w:r>
      <w:r>
        <w:rPr>
          <w:spacing w:val="-62"/>
        </w:rPr>
        <w:t> </w:t>
      </w:r>
      <w:r>
        <w:rPr>
          <w:spacing w:val="-62"/>
        </w:rPr>
      </w:r>
      <w:r>
        <w:rPr>
          <w:spacing w:val="-2"/>
        </w:rPr>
        <w:t>资本化期间内予以资本化。专门借款发生的辅助费用，在所购建或生产的符合资本化条件的资产达到预定可使用或者可销售</w:t>
      </w:r>
      <w:r>
        <w:rPr>
          <w:spacing w:val="-64"/>
        </w:rPr>
        <w:t> </w:t>
      </w:r>
      <w:r>
        <w:rPr>
          <w:spacing w:val="-64"/>
        </w:rPr>
      </w:r>
      <w:r>
        <w:rPr/>
        <w:t>状态之前发生的，予以资本化；在达到预定可使用或者可销售状态之后发生的，计入当期损益。一般借款发生的辅助费用，</w:t>
      </w:r>
      <w:r>
        <w:rPr>
          <w:spacing w:val="-86"/>
        </w:rPr>
        <w:t> </w:t>
      </w:r>
      <w:r>
        <w:rPr>
          <w:spacing w:val="-86"/>
        </w:rPr>
      </w:r>
      <w:r>
        <w:rPr>
          <w:spacing w:val="-2"/>
        </w:rPr>
        <w:t>在发生时计入当期损益。借款存在折价或者溢价的，按照实际利率法确定每一会计期间应摊销的折价或者溢价金额，调整每</w:t>
      </w:r>
      <w:r>
        <w:rPr>
          <w:spacing w:val="-63"/>
        </w:rPr>
        <w:t> </w:t>
      </w:r>
      <w:r>
        <w:rPr>
          <w:spacing w:val="-63"/>
        </w:rPr>
      </w:r>
      <w:r>
        <w:rPr/>
        <w:t>期利息金额。</w:t>
      </w:r>
    </w:p>
    <w:p>
      <w:pPr>
        <w:spacing w:line="240" w:lineRule="auto" w:before="3"/>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 软件与信息技术服务业</w:t>
      </w:r>
      <w:r>
        <w:rPr>
          <w:rFonts w:ascii="Times New Roman" w:hAnsi="Times New Roman" w:cs="Times New Roman" w:eastAsia="Times New Roman" w:hint="default"/>
        </w:rPr>
        <w:t>;</w:t>
      </w:r>
      <w:r>
        <w:rPr/>
        <w:t>互联网营销业</w:t>
      </w:r>
    </w:p>
    <w:p>
      <w:pPr>
        <w:pStyle w:val="BodyText"/>
        <w:spacing w:line="300" w:lineRule="auto" w:before="6"/>
        <w:ind w:left="573" w:right="1153" w:firstLine="4"/>
        <w:jc w:val="left"/>
      </w:pPr>
      <w:r>
        <w:rPr>
          <w:rFonts w:ascii="Times New Roman" w:hAnsi="Times New Roman" w:cs="Times New Roman" w:eastAsia="Times New Roman" w:hint="default"/>
        </w:rPr>
        <w:t>1</w:t>
      </w:r>
      <w:r>
        <w:rPr/>
        <w:t>．无形资产的初始计量 无形资产按成本进行初始计量。外购无形资产的成本，包括购买价、相关税费以及直接归属于该项资产达到预定用途</w:t>
      </w:r>
    </w:p>
    <w:p>
      <w:pPr>
        <w:pStyle w:val="BodyText"/>
        <w:spacing w:line="319" w:lineRule="auto" w:before="31"/>
        <w:ind w:right="1130"/>
        <w:jc w:val="both"/>
      </w:pPr>
      <w:r>
        <w:rPr>
          <w:spacing w:val="-2"/>
        </w:rPr>
        <w:t>所发生的其他支出。购买无形资产的价款超过正常信用条件延期支付，实质上具有融资性质的，无形资产的成本以购买价款</w:t>
      </w:r>
      <w:r>
        <w:rPr>
          <w:spacing w:val="-63"/>
        </w:rPr>
        <w:t> </w:t>
      </w:r>
      <w:r>
        <w:rPr>
          <w:spacing w:val="-63"/>
        </w:rPr>
      </w:r>
      <w:r>
        <w:rPr>
          <w:spacing w:val="-2"/>
        </w:rPr>
        <w:t>的现值为基础确定。债务重组取得债务人用以抵债的无形资产，以该无形资产的公允价值为基础确定其入账价值，并将重组</w:t>
      </w:r>
      <w:r>
        <w:rPr>
          <w:spacing w:val="-63"/>
        </w:rPr>
        <w:t> </w:t>
      </w:r>
      <w:r>
        <w:rPr>
          <w:spacing w:val="-63"/>
        </w:rPr>
      </w:r>
      <w:r>
        <w:rPr>
          <w:spacing w:val="-2"/>
        </w:rPr>
        <w:t>债务的账面价值与该用以抵债的无形资产公允价值之间的差额，计入当期损益。在非货币性资产交换具备商业实质且换入或</w:t>
      </w:r>
      <w:r>
        <w:rPr>
          <w:spacing w:val="-64"/>
        </w:rPr>
        <w:t> </w:t>
      </w:r>
      <w:r>
        <w:rPr>
          <w:spacing w:val="-64"/>
        </w:rPr>
      </w:r>
      <w:r>
        <w:rPr>
          <w:spacing w:val="-2"/>
        </w:rPr>
        <w:t>换出资产的公允价值能够可靠计量的前提下，非货币性资产交换换入的无形资产以换出资产的公允价值为基础确定其入账价</w:t>
      </w:r>
      <w:r>
        <w:rPr>
          <w:spacing w:val="-64"/>
        </w:rPr>
        <w:t> </w:t>
      </w:r>
      <w:r>
        <w:rPr>
          <w:spacing w:val="-64"/>
        </w:rPr>
      </w:r>
      <w:r>
        <w:rPr>
          <w:spacing w:val="-2"/>
        </w:rPr>
        <w:t>值，除非有确凿证据表明换入资产的公允价值更可靠；不满足上述前提的非货币性资产交换，以换出资产的账面价值和应支</w:t>
      </w:r>
    </w:p>
    <w:p>
      <w:pPr>
        <w:spacing w:after="0" w:line="319" w:lineRule="auto"/>
        <w:jc w:val="both"/>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316" w:lineRule="auto" w:before="44"/>
        <w:ind w:left="587" w:right="1139" w:hanging="435"/>
        <w:jc w:val="left"/>
      </w:pPr>
      <w:r>
        <w:rPr/>
        <w:t>付的相关税费作为换入无形资产的成本，不确认损益。 与无形资产有关的支出，如果相关的经济利益很可能流入本公司且成本能可靠地计量，则计入无形资产成本。除此之</w:t>
      </w:r>
    </w:p>
    <w:p>
      <w:pPr>
        <w:pStyle w:val="BodyText"/>
        <w:spacing w:line="316" w:lineRule="auto" w:before="19"/>
        <w:ind w:left="587" w:right="1139" w:hanging="435"/>
        <w:jc w:val="left"/>
      </w:pPr>
      <w:r>
        <w:rPr/>
        <w:t>外的其他项目的支出，在发生时计入当期损益。 取得的土地使用权通常作为无形资产核算。自行开发构建厂房等建筑物，相关的土地使用权支出和建筑物建造成本分</w:t>
      </w:r>
    </w:p>
    <w:p>
      <w:pPr>
        <w:pStyle w:val="BodyText"/>
        <w:spacing w:line="316" w:lineRule="auto" w:before="19"/>
        <w:ind w:right="1117"/>
        <w:jc w:val="left"/>
      </w:pPr>
      <w:r>
        <w:rPr>
          <w:spacing w:val="-2"/>
        </w:rPr>
        <w:t>别作为无形资产和固定资产核算。如为外购的房屋及建筑物，则将有关价款在土地使用权和建筑物之间分配，难以合理分配</w:t>
      </w:r>
      <w:r>
        <w:rPr>
          <w:spacing w:val="-63"/>
        </w:rPr>
        <w:t> </w:t>
      </w:r>
      <w:r>
        <w:rPr>
          <w:spacing w:val="-63"/>
        </w:rPr>
      </w:r>
      <w:r>
        <w:rPr/>
        <w:t>的，全部作为固定资产处理。</w:t>
      </w:r>
    </w:p>
    <w:p>
      <w:pPr>
        <w:pStyle w:val="BodyText"/>
        <w:spacing w:line="300" w:lineRule="auto" w:before="19"/>
        <w:ind w:left="573" w:right="1153" w:firstLine="4"/>
        <w:jc w:val="left"/>
      </w:pPr>
      <w:r>
        <w:rPr>
          <w:rFonts w:ascii="Times New Roman" w:hAnsi="Times New Roman" w:cs="Times New Roman" w:eastAsia="Times New Roman" w:hint="default"/>
        </w:rPr>
        <w:t>2</w:t>
      </w:r>
      <w:r>
        <w:rPr/>
        <w:t>．无形资产使用寿命及摊销 根据无形资产的合同性权利或其他法定权利、同行业情况、历史经验、相关专家论证等综合因素判断，能合理确定无</w:t>
      </w:r>
    </w:p>
    <w:p>
      <w:pPr>
        <w:pStyle w:val="BodyText"/>
        <w:spacing w:line="316" w:lineRule="auto" w:before="31"/>
        <w:ind w:right="1117"/>
        <w:jc w:val="left"/>
      </w:pPr>
      <w:r>
        <w:rPr>
          <w:spacing w:val="-2"/>
        </w:rPr>
        <w:t>形资产为公司带来经济利益期限的，作为使用寿命有限的无形资产；无法合理确定无形资产为公司带来经济利益期限的，视</w:t>
      </w:r>
      <w:r>
        <w:rPr>
          <w:spacing w:val="-63"/>
        </w:rPr>
        <w:t> </w:t>
      </w:r>
      <w:r>
        <w:rPr>
          <w:spacing w:val="-63"/>
        </w:rPr>
      </w:r>
      <w:r>
        <w:rPr/>
        <w:t>为使用寿命不确定的无形资产。</w:t>
      </w:r>
    </w:p>
    <w:p>
      <w:pPr>
        <w:pStyle w:val="BodyText"/>
        <w:spacing w:line="300" w:lineRule="auto" w:before="19"/>
        <w:ind w:right="1140" w:firstLine="420"/>
        <w:jc w:val="both"/>
        <w:rPr>
          <w:rFonts w:ascii="Times New Roman" w:hAnsi="Times New Roman" w:cs="Times New Roman" w:eastAsia="Times New Roman" w:hint="default"/>
        </w:rPr>
      </w:pPr>
      <w:r>
        <w:rPr/>
        <w:t>对使用寿命有限的无形资产，估计其使用寿命时通常考虑以下因素：</w:t>
      </w:r>
      <w:r>
        <w:rPr>
          <w:rFonts w:ascii="Times New Roman" w:hAnsi="Times New Roman" w:cs="Times New Roman" w:eastAsia="Times New Roman" w:hint="default"/>
        </w:rPr>
        <w:t>(1)</w:t>
      </w:r>
      <w:r>
        <w:rPr/>
        <w:t>运用该资产生产的产品通常的寿命周期、可获 得的类似资产使用寿命的信息；</w:t>
      </w:r>
      <w:r>
        <w:rPr>
          <w:rFonts w:ascii="Times New Roman" w:hAnsi="Times New Roman" w:cs="Times New Roman" w:eastAsia="Times New Roman" w:hint="default"/>
        </w:rPr>
        <w:t>(2)</w:t>
      </w:r>
      <w:r>
        <w:rPr/>
        <w:t>技术、工艺等方面的现阶段情况及对未来发展趋势的估计；</w:t>
      </w:r>
      <w:r>
        <w:rPr>
          <w:rFonts w:ascii="Times New Roman" w:hAnsi="Times New Roman" w:cs="Times New Roman" w:eastAsia="Times New Roman" w:hint="default"/>
        </w:rPr>
        <w:t>(3)</w:t>
      </w:r>
      <w:r>
        <w:rPr/>
        <w:t>以该资产生产的产品或提 供劳务的市场需求情况；</w:t>
      </w:r>
      <w:r>
        <w:rPr>
          <w:rFonts w:ascii="Times New Roman" w:hAnsi="Times New Roman" w:cs="Times New Roman" w:eastAsia="Times New Roman" w:hint="default"/>
        </w:rPr>
        <w:t>(4)</w:t>
      </w:r>
      <w:r>
        <w:rPr/>
        <w:t>现在或潜在的竞争者预期采取的行动；</w:t>
      </w:r>
      <w:r>
        <w:rPr>
          <w:rFonts w:ascii="Times New Roman" w:hAnsi="Times New Roman" w:cs="Times New Roman" w:eastAsia="Times New Roman" w:hint="default"/>
        </w:rPr>
        <w:t>(5)</w:t>
      </w:r>
      <w:r>
        <w:rPr/>
        <w:t>为维持该资产带来经济利益能力的预期维护支出，以</w:t>
      </w:r>
      <w:r>
        <w:rPr>
          <w:spacing w:val="-87"/>
        </w:rPr>
        <w:t> </w:t>
      </w:r>
      <w:r>
        <w:rPr/>
        <w:t>及公司预计支付有关支出的能力；</w:t>
      </w:r>
      <w:r>
        <w:rPr>
          <w:rFonts w:ascii="Times New Roman" w:hAnsi="Times New Roman" w:cs="Times New Roman" w:eastAsia="Times New Roman" w:hint="default"/>
        </w:rPr>
        <w:t>(6)</w:t>
      </w:r>
      <w:r>
        <w:rPr/>
        <w:t>对该资产控制期限的相关法律规定或类似限制，如特许使用期、租赁期等；</w:t>
      </w:r>
      <w:r>
        <w:rPr>
          <w:rFonts w:ascii="Times New Roman" w:hAnsi="Times New Roman" w:cs="Times New Roman" w:eastAsia="Times New Roman" w:hint="default"/>
        </w:rPr>
        <w:t>(7)</w:t>
      </w:r>
      <w:r>
        <w:rPr/>
        <w:t>与公司</w:t>
      </w:r>
      <w:r>
        <w:rPr>
          <w:spacing w:val="-86"/>
        </w:rPr>
        <w:t> </w:t>
      </w:r>
      <w:r>
        <w:rPr/>
        <w:t>持有其他资产使用寿命的关联性等。使用寿命有限的无形资产的使用寿命估计情况</w:t>
      </w:r>
      <w:r>
        <w:rPr>
          <w:rFonts w:ascii="Times New Roman" w:hAnsi="Times New Roman" w:cs="Times New Roman" w:eastAsia="Times New Roman" w:hint="default"/>
        </w:rPr>
        <w:t>:</w:t>
      </w:r>
    </w:p>
    <w:tbl>
      <w:tblPr>
        <w:tblW w:w="0" w:type="auto"/>
        <w:jc w:val="left"/>
        <w:tblInd w:w="145" w:type="dxa"/>
        <w:tblLayout w:type="fixed"/>
        <w:tblCellMar>
          <w:top w:w="0" w:type="dxa"/>
          <w:left w:w="0" w:type="dxa"/>
          <w:bottom w:w="0" w:type="dxa"/>
          <w:right w:w="0" w:type="dxa"/>
        </w:tblCellMar>
        <w:tblLook w:val="01E0"/>
      </w:tblPr>
      <w:tblGrid>
        <w:gridCol w:w="2809"/>
        <w:gridCol w:w="2458"/>
        <w:gridCol w:w="3260"/>
      </w:tblGrid>
      <w:tr>
        <w:trPr>
          <w:trHeight w:val="348"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预计使用寿命依据</w:t>
            </w:r>
          </w:p>
        </w:tc>
        <w:tc>
          <w:tcPr>
            <w:tcW w:w="32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7"/>
              <w:jc w:val="right"/>
              <w:rPr>
                <w:rFonts w:ascii="Times New Roman" w:hAnsi="Times New Roman" w:cs="Times New Roman" w:eastAsia="Times New Roman" w:hint="default"/>
                <w:sz w:val="18"/>
                <w:szCs w:val="18"/>
              </w:rPr>
            </w:pPr>
            <w:r>
              <w:rPr>
                <w:rFonts w:ascii="宋体" w:hAnsi="宋体" w:cs="宋体" w:eastAsia="宋体" w:hint="default"/>
                <w:sz w:val="18"/>
                <w:szCs w:val="18"/>
              </w:rPr>
              <w:t>期限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6"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预计受益期限</w:t>
            </w:r>
          </w:p>
        </w:tc>
        <w:tc>
          <w:tcPr>
            <w:tcW w:w="32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5</w:t>
            </w:r>
          </w:p>
        </w:tc>
      </w:tr>
      <w:tr>
        <w:trPr>
          <w:trHeight w:val="348"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预计受益期限</w:t>
            </w:r>
          </w:p>
        </w:tc>
        <w:tc>
          <w:tcPr>
            <w:tcW w:w="32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3-5</w:t>
            </w:r>
          </w:p>
        </w:tc>
      </w:tr>
    </w:tbl>
    <w:p>
      <w:pPr>
        <w:pStyle w:val="BodyText"/>
        <w:spacing w:line="316" w:lineRule="auto" w:before="13"/>
        <w:ind w:right="1130" w:firstLine="420"/>
        <w:jc w:val="both"/>
      </w:pPr>
      <w:r>
        <w:rPr/>
        <w:t>使用寿命有限的无形资产，在使用寿命内按照与该项无形资产有关的经济利益的预期实现方式系统合理地摊销，无法 </w:t>
      </w:r>
      <w:r>
        <w:rPr>
          <w:spacing w:val="-2"/>
        </w:rPr>
        <w:t>可靠确定预期实现方式的，采用直线法摊销。使用寿命不确定的无形资产不予摊销，但每年均对该无形资产的使用寿命进行</w:t>
      </w:r>
      <w:r>
        <w:rPr>
          <w:spacing w:val="-63"/>
        </w:rPr>
        <w:t> </w:t>
      </w:r>
      <w:r>
        <w:rPr>
          <w:spacing w:val="-63"/>
        </w:rPr>
      </w:r>
      <w:r>
        <w:rPr/>
        <w:t>复核，并进行减值测试。</w:t>
      </w:r>
    </w:p>
    <w:p>
      <w:pPr>
        <w:pStyle w:val="BodyText"/>
        <w:spacing w:line="316" w:lineRule="auto" w:before="19"/>
        <w:ind w:right="1130" w:firstLine="420"/>
        <w:jc w:val="both"/>
      </w:pPr>
      <w:r>
        <w:rPr/>
        <w:t>本公司于每年年度终了，对使用寿命有限的无形资产的使用寿命及摊销方法进行复核，与以前估计不同的，调整原先 </w:t>
      </w:r>
      <w:r>
        <w:rPr>
          <w:spacing w:val="-2"/>
        </w:rPr>
        <w:t>估计数，并按会计估计变更处理；预计某项无形资产已经不能给企业带来未来经济利益的，将该项无形资产的账面价值全部</w:t>
      </w:r>
      <w:r>
        <w:rPr>
          <w:spacing w:val="-63"/>
        </w:rPr>
        <w:t> </w:t>
      </w:r>
      <w:r>
        <w:rPr>
          <w:spacing w:val="-63"/>
        </w:rPr>
      </w:r>
      <w:r>
        <w:rPr/>
        <w:t>转入当期损益。</w:t>
      </w:r>
    </w:p>
    <w:p>
      <w:pPr>
        <w:spacing w:line="240" w:lineRule="auto" w:before="10"/>
        <w:rPr>
          <w:rFonts w:ascii="宋体" w:hAnsi="宋体" w:cs="宋体" w:eastAsia="宋体" w:hint="default"/>
          <w:sz w:val="22"/>
          <w:szCs w:val="22"/>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420"/>
        <w:jc w:val="left"/>
      </w:pPr>
      <w:r>
        <w:rPr/>
        <w:t>内部研究开发项目的支出，区分为研究阶段支出和开发阶段支出。划分研究阶段和开发阶段的标准：为获取新的技术 和知识等进行的有计划的调查阶段，应确定为研究阶段，该阶段具有计划性和探索性等特点；在进行商业性生产或使用前，</w:t>
      </w:r>
      <w:r>
        <w:rPr>
          <w:spacing w:val="-83"/>
        </w:rPr>
        <w:t> </w:t>
      </w:r>
      <w:r>
        <w:rPr>
          <w:spacing w:val="-83"/>
        </w:rPr>
      </w:r>
      <w:r>
        <w:rPr>
          <w:spacing w:val="-2"/>
        </w:rPr>
        <w:t>将研究成果或其他知识应用于某项计划或设计，以生产出新的或具有实质性改进的材料、装置、产品等阶段，应确定为开发</w:t>
      </w:r>
      <w:r>
        <w:rPr>
          <w:spacing w:val="-64"/>
        </w:rPr>
        <w:t> </w:t>
      </w:r>
      <w:r>
        <w:rPr>
          <w:spacing w:val="-64"/>
        </w:rPr>
      </w:r>
      <w:r>
        <w:rPr/>
        <w:t>阶段，该阶段具有针对性和形成成果的可能性较大等特点。</w:t>
      </w:r>
    </w:p>
    <w:p>
      <w:pPr>
        <w:pStyle w:val="BodyText"/>
        <w:spacing w:line="302" w:lineRule="auto" w:before="19"/>
        <w:ind w:right="1130" w:firstLine="420"/>
        <w:jc w:val="both"/>
      </w:pPr>
      <w:r>
        <w:rPr/>
        <w:t>内部研究开发项目研究阶段的支出，于发生时计入当期损益。内部研究开发项目开发阶段的支出，同时满足下列条件 的，确认为无形资产：</w:t>
      </w:r>
      <w:r>
        <w:rPr>
          <w:rFonts w:ascii="Times New Roman" w:hAnsi="Times New Roman" w:cs="Times New Roman" w:eastAsia="Times New Roman" w:hint="default"/>
        </w:rPr>
        <w:t>(1)</w:t>
      </w:r>
      <w:r>
        <w:rPr/>
        <w:t>完成该无形资产以使其能够使用或出售在技术上具有可行性；</w:t>
      </w:r>
      <w:r>
        <w:rPr>
          <w:rFonts w:ascii="Times New Roman" w:hAnsi="Times New Roman" w:cs="Times New Roman" w:eastAsia="Times New Roman" w:hint="default"/>
        </w:rPr>
        <w:t>(2)</w:t>
      </w:r>
      <w:r>
        <w:rPr/>
        <w:t>具有完成该无形资产并使用或出</w:t>
      </w:r>
      <w:r>
        <w:rPr>
          <w:spacing w:val="-55"/>
        </w:rPr>
        <w:t> </w:t>
      </w:r>
      <w:r>
        <w:rPr>
          <w:spacing w:val="-55"/>
        </w:rPr>
      </w:r>
      <w:r>
        <w:rPr>
          <w:spacing w:val="-2"/>
        </w:rPr>
        <w:t>售的意图；</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无形资产产生经济利益的方式，包括能够证明运用该无形资产生产的产品存在市场或无形资产自身存在市场，</w:t>
      </w:r>
      <w:r>
        <w:rPr/>
        <w:t> 无形资产将在内部使用的，可证明其有用性；</w:t>
      </w:r>
      <w:r>
        <w:rPr>
          <w:rFonts w:ascii="Times New Roman" w:hAnsi="Times New Roman" w:cs="Times New Roman" w:eastAsia="Times New Roman" w:hint="default"/>
        </w:rPr>
        <w:t>(4)</w:t>
      </w:r>
      <w:r>
        <w:rPr/>
        <w:t>有足够的技术、财务资源和其他资源支持，以完成该无形资产的开发，并</w:t>
      </w:r>
      <w:r>
        <w:rPr>
          <w:spacing w:val="-31"/>
        </w:rPr>
        <w:t> </w:t>
      </w:r>
      <w:r>
        <w:rPr>
          <w:spacing w:val="-31"/>
        </w:rPr>
      </w:r>
      <w:r>
        <w:rPr/>
        <w:t>有能力使用或出售该无形资产；</w:t>
      </w:r>
      <w:r>
        <w:rPr>
          <w:rFonts w:ascii="Times New Roman" w:hAnsi="Times New Roman" w:cs="Times New Roman" w:eastAsia="Times New Roman" w:hint="default"/>
        </w:rPr>
        <w:t>(5)</w:t>
      </w:r>
      <w:r>
        <w:rPr/>
        <w:t>归属于该无形资产开发阶段的支出能够可靠地计量。如不满足上述条件的，于发生时计</w:t>
      </w:r>
      <w:r>
        <w:rPr>
          <w:spacing w:val="-32"/>
        </w:rPr>
        <w:t> </w:t>
      </w:r>
      <w:r>
        <w:rPr>
          <w:spacing w:val="-32"/>
        </w:rPr>
      </w:r>
      <w:r>
        <w:rPr/>
        <w:t>入当期损益；无法区分研究阶段支出和开发阶段支出的，将发生的研发支出全部计入当期损益。</w:t>
      </w:r>
    </w:p>
    <w:p>
      <w:pPr>
        <w:pStyle w:val="BodyText"/>
        <w:spacing w:line="316" w:lineRule="auto" w:before="29"/>
        <w:ind w:right="1129" w:firstLine="362"/>
        <w:jc w:val="left"/>
      </w:pPr>
      <w:r>
        <w:rPr/>
        <w:t>本公司开发支出的具体确认原则 </w:t>
      </w:r>
      <w:r>
        <w:rPr>
          <w:spacing w:val="-2"/>
        </w:rPr>
        <w:t>本公司研究开发支出在开发阶段具有针对性，形成一项新产品或者新技术的基本条件已经具备，且该阶段的支出能够可靠计</w:t>
      </w:r>
      <w:r>
        <w:rPr>
          <w:spacing w:val="-64"/>
        </w:rPr>
        <w:t> </w:t>
      </w:r>
      <w:r>
        <w:rPr>
          <w:spacing w:val="-64"/>
        </w:rPr>
      </w:r>
      <w:r>
        <w:rPr>
          <w:spacing w:val="-5"/>
        </w:rPr>
        <w:t>量、未来经济利益流入能够可靠预计。此阶段由项目组负责申请立项，研发管理委员会负责组织立项文档及各阶段产品评审，</w:t>
      </w:r>
      <w:r>
        <w:rPr>
          <w:spacing w:val="-76"/>
        </w:rPr>
        <w:t> </w:t>
      </w:r>
      <w:r>
        <w:rPr>
          <w:spacing w:val="-76"/>
        </w:rPr>
      </w:r>
      <w:r>
        <w:rPr/>
        <w:t>部门总经理及以上领导负责立项终审。经立项审批后，项目研究进入开发阶段，有关支出于发生时予以资本化。</w:t>
      </w:r>
    </w:p>
    <w:p>
      <w:pPr>
        <w:spacing w:after="0" w:line="316" w:lineRule="auto"/>
        <w:jc w:val="left"/>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both"/>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5" w:right="1117"/>
        <w:jc w:val="left"/>
      </w:pPr>
      <w:r>
        <w:rPr/>
        <w:t>长期股权投资、固定资产、无形资产、商誉等长期资产，存在下列迹象的，表明资产可能发生了减值：</w:t>
      </w:r>
    </w:p>
    <w:p>
      <w:pPr>
        <w:pStyle w:val="BodyText"/>
        <w:spacing w:line="240" w:lineRule="auto" w:before="76"/>
        <w:ind w:left="573" w:right="1117"/>
        <w:jc w:val="left"/>
      </w:pP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300" w:lineRule="auto" w:before="63"/>
        <w:ind w:right="1132" w:firstLine="420"/>
        <w:jc w:val="both"/>
      </w:pPr>
      <w:r>
        <w:rPr>
          <w:rFonts w:ascii="Times New Roman" w:hAnsi="Times New Roman" w:cs="Times New Roman" w:eastAsia="Times New Roman" w:hint="default"/>
          <w:spacing w:val="-1"/>
        </w:rPr>
        <w:t>2</w:t>
      </w:r>
      <w:r>
        <w:rPr>
          <w:spacing w:val="-1"/>
        </w:rPr>
        <w:t>．企业经营所处的经济、技术或者法律等环境以及资产所处的市场在当期或者将在近期发生重大变化，从而对企业产</w:t>
      </w:r>
      <w:r>
        <w:rPr/>
        <w:t> 生不利影响；</w:t>
      </w:r>
    </w:p>
    <w:p>
      <w:pPr>
        <w:pStyle w:val="BodyText"/>
        <w:spacing w:line="300" w:lineRule="auto" w:before="31"/>
        <w:ind w:right="1132" w:firstLine="420"/>
        <w:jc w:val="both"/>
      </w:pPr>
      <w:r>
        <w:rPr>
          <w:rFonts w:ascii="Times New Roman" w:hAnsi="Times New Roman" w:cs="Times New Roman" w:eastAsia="Times New Roman" w:hint="default"/>
          <w:spacing w:val="-1"/>
        </w:rPr>
        <w:t>3</w:t>
      </w:r>
      <w:r>
        <w:rPr>
          <w:spacing w:val="-1"/>
        </w:rPr>
        <w:t>．市场利率或者其他市场投资报酬率在当期已经提高，从而影响企业计算资产预计未来现金流量现值的折现率，导致</w:t>
      </w:r>
      <w:r>
        <w:rPr/>
        <w:t> 资产可收回金额大幅度降低；</w:t>
      </w:r>
    </w:p>
    <w:p>
      <w:pPr>
        <w:pStyle w:val="BodyText"/>
        <w:spacing w:line="240" w:lineRule="auto" w:before="31"/>
        <w:ind w:left="573" w:right="1117"/>
        <w:jc w:val="left"/>
      </w:pP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63"/>
        <w:ind w:left="573" w:right="1117"/>
        <w:jc w:val="left"/>
      </w:pPr>
      <w:r>
        <w:rPr>
          <w:rFonts w:ascii="Times New Roman" w:hAnsi="Times New Roman" w:cs="Times New Roman" w:eastAsia="Times New Roman" w:hint="default"/>
        </w:rPr>
        <w:t>5</w:t>
      </w:r>
      <w:r>
        <w:rPr/>
        <w:t>．资产已经或者将被闲置、终止使用或者计划提前处置；</w:t>
      </w:r>
    </w:p>
    <w:p>
      <w:pPr>
        <w:pStyle w:val="BodyText"/>
        <w:spacing w:line="300" w:lineRule="auto" w:before="63"/>
        <w:ind w:right="1132" w:firstLine="420"/>
        <w:jc w:val="both"/>
      </w:pPr>
      <w:r>
        <w:rPr>
          <w:rFonts w:ascii="Times New Roman" w:hAnsi="Times New Roman" w:cs="Times New Roman" w:eastAsia="Times New Roman" w:hint="default"/>
          <w:spacing w:val="-1"/>
        </w:rPr>
        <w:t>6</w:t>
      </w:r>
      <w:r>
        <w:rPr>
          <w:spacing w:val="-1"/>
        </w:rPr>
        <w:t>．企业内部报告的证据表明资产的经济绩效已经低于或者将低于预期，如资产所创造的净现金流量或者实现的营业利</w:t>
      </w:r>
      <w:r>
        <w:rPr/>
        <w:t> 润</w:t>
      </w:r>
      <w:r>
        <w:rPr>
          <w:rFonts w:ascii="Times New Roman" w:hAnsi="Times New Roman" w:cs="Times New Roman" w:eastAsia="Times New Roman" w:hint="default"/>
        </w:rPr>
        <w:t>(</w:t>
      </w:r>
      <w:r>
        <w:rPr/>
        <w:t>或者亏损</w:t>
      </w:r>
      <w:r>
        <w:rPr>
          <w:rFonts w:ascii="Times New Roman" w:hAnsi="Times New Roman" w:cs="Times New Roman" w:eastAsia="Times New Roman" w:hint="default"/>
        </w:rPr>
        <w:t>)</w:t>
      </w:r>
      <w:r>
        <w:rPr/>
        <w:t>远远低于</w:t>
      </w:r>
      <w:r>
        <w:rPr>
          <w:rFonts w:ascii="Times New Roman" w:hAnsi="Times New Roman" w:cs="Times New Roman" w:eastAsia="Times New Roman" w:hint="default"/>
        </w:rPr>
        <w:t>(</w:t>
      </w:r>
      <w:r>
        <w:rPr/>
        <w:t>或者高于</w:t>
      </w:r>
      <w:r>
        <w:rPr>
          <w:rFonts w:ascii="Times New Roman" w:hAnsi="Times New Roman" w:cs="Times New Roman" w:eastAsia="Times New Roman" w:hint="default"/>
        </w:rPr>
        <w:t>)</w:t>
      </w:r>
      <w:r>
        <w:rPr/>
        <w:t>预计金额等；</w:t>
      </w:r>
    </w:p>
    <w:p>
      <w:pPr>
        <w:pStyle w:val="BodyText"/>
        <w:spacing w:line="300" w:lineRule="auto" w:before="13"/>
        <w:ind w:left="573" w:right="1117"/>
        <w:jc w:val="left"/>
      </w:pPr>
      <w:r>
        <w:rPr>
          <w:rFonts w:ascii="Times New Roman" w:hAnsi="Times New Roman" w:cs="Times New Roman" w:eastAsia="Times New Roman" w:hint="default"/>
        </w:rPr>
        <w:t>7</w:t>
      </w:r>
      <w:r>
        <w:rPr/>
        <w:t>．其他表明资产可能已经发生减值的迹象。 上述长期资产于资产负债日存在减值迹象的，应当进行减值测试。减值测试结果表明资产的可收回金额低于其账面价</w:t>
      </w:r>
    </w:p>
    <w:p>
      <w:pPr>
        <w:pStyle w:val="BodyText"/>
        <w:spacing w:line="312" w:lineRule="auto" w:before="31"/>
        <w:ind w:right="1130"/>
        <w:jc w:val="both"/>
      </w:pPr>
      <w:r>
        <w:rPr>
          <w:spacing w:val="-2"/>
        </w:rPr>
        <w:t>值的，按其差额计提减值准备并计入减值损失。可收回金额为资产的公允价值减去处置费用后的净额与资产预计未来现金流</w:t>
      </w:r>
      <w:r>
        <w:rPr>
          <w:spacing w:val="-64"/>
        </w:rPr>
        <w:t> </w:t>
      </w:r>
      <w:r>
        <w:rPr>
          <w:spacing w:val="-64"/>
        </w:rPr>
      </w:r>
      <w:r>
        <w:rPr>
          <w:spacing w:val="-1"/>
        </w:rPr>
        <w:t>量的现值两者之间的较高者。公允价值的确定方法详见本附注三</w:t>
      </w:r>
      <w:r>
        <w:rPr>
          <w:rFonts w:ascii="Times New Roman" w:hAnsi="Times New Roman" w:cs="Times New Roman" w:eastAsia="Times New Roman" w:hint="default"/>
          <w:spacing w:val="-1"/>
        </w:rPr>
        <w:t>(</w:t>
      </w:r>
      <w:r>
        <w:rPr>
          <w:spacing w:val="-1"/>
        </w:rPr>
        <w:t>十一</w:t>
      </w:r>
      <w:r>
        <w:rPr>
          <w:rFonts w:ascii="Times New Roman" w:hAnsi="Times New Roman" w:cs="Times New Roman" w:eastAsia="Times New Roman" w:hint="default"/>
          <w:spacing w:val="-1"/>
        </w:rPr>
        <w:t>)</w:t>
      </w:r>
      <w:r>
        <w:rPr>
          <w:spacing w:val="-1"/>
        </w:rPr>
        <w:t>；处置费用包括与资产处置有关的法律费用、相关税</w:t>
      </w:r>
      <w:r>
        <w:rPr>
          <w:spacing w:val="-58"/>
        </w:rPr>
        <w:t> </w:t>
      </w:r>
      <w:r>
        <w:rPr>
          <w:spacing w:val="-58"/>
        </w:rPr>
      </w:r>
      <w:r>
        <w:rPr>
          <w:spacing w:val="-2"/>
        </w:rPr>
        <w:t>费、搬运费以及为使资产达到可销售状态所发生的直接费用；资产预计未来现金流量的现值，按照资产在持续使用过程中和</w:t>
      </w:r>
      <w:r>
        <w:rPr>
          <w:spacing w:val="-63"/>
        </w:rPr>
        <w:t> </w:t>
      </w:r>
      <w:r>
        <w:rPr>
          <w:spacing w:val="-63"/>
        </w:rPr>
      </w:r>
      <w:r>
        <w:rPr/>
        <w:t>最终处置时所产生的预计未来现金流量，选择恰当的折现率对其进行折现后的金额加以确定。</w:t>
      </w:r>
    </w:p>
    <w:p>
      <w:pPr>
        <w:pStyle w:val="BodyText"/>
        <w:spacing w:line="316" w:lineRule="auto" w:before="22"/>
        <w:ind w:right="1138" w:firstLine="420"/>
        <w:jc w:val="both"/>
      </w:pPr>
      <w:r>
        <w:rPr/>
        <w:t>资产减值准备按单项资产为基础计算并确认，如果难以对单项资产的可收回金额进行估计的，以资产组所属的资产组 确定资产组的可收回金额。资产组是能够独立产生现金流入的最小资产组合。</w:t>
      </w:r>
    </w:p>
    <w:p>
      <w:pPr>
        <w:pStyle w:val="BodyText"/>
        <w:spacing w:line="319" w:lineRule="auto" w:before="19"/>
        <w:ind w:right="1132" w:firstLine="420"/>
        <w:jc w:val="both"/>
      </w:pPr>
      <w:r>
        <w:rPr/>
        <w:t>在财务报表中单独列示的商誉，在进行减值测试时，将商誉的账面价值分摊至预期从企业合并的协同效应收益中收益 </w:t>
      </w:r>
      <w:r>
        <w:rPr>
          <w:spacing w:val="-2"/>
        </w:rPr>
        <w:t>的资产组或资产组组合。测试结果表明包含分摊的商誉的资产组或者资产组组合的可收回金额低于其账面价值的，确认相应</w:t>
      </w:r>
      <w:r>
        <w:rPr>
          <w:spacing w:val="-64"/>
        </w:rPr>
        <w:t> </w:t>
      </w:r>
      <w:r>
        <w:rPr>
          <w:spacing w:val="-64"/>
        </w:rPr>
      </w:r>
      <w:r>
        <w:rPr>
          <w:spacing w:val="-2"/>
        </w:rPr>
        <w:t>的减值损失。减值损失金额先抵减分摊至该资产组或者资产组组合的商誉的账面价值，再根据资产组或者资产组组合中除商</w:t>
      </w:r>
      <w:r>
        <w:rPr>
          <w:spacing w:val="-63"/>
        </w:rPr>
        <w:t> </w:t>
      </w:r>
      <w:r>
        <w:rPr>
          <w:spacing w:val="-63"/>
        </w:rPr>
      </w:r>
      <w:r>
        <w:rPr/>
        <w:t>誉以外的其他各项资产的账面价值所占比重，按比例抵减其他各项资产的账面价值。</w:t>
      </w:r>
    </w:p>
    <w:p>
      <w:pPr>
        <w:pStyle w:val="BodyText"/>
        <w:spacing w:line="316" w:lineRule="auto" w:before="17"/>
        <w:ind w:right="4754" w:firstLine="420"/>
        <w:jc w:val="left"/>
      </w:pPr>
      <w:r>
        <w:rPr/>
        <w:t>商誉和使用寿命不确定的无形资产至少在每年年终终了进行减值测试。 上述资产减值损失一经确认，在以后期间不予转回。</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jc w:val="left"/>
      </w:pPr>
      <w:r>
        <w:rPr>
          <w:spacing w:val="-2"/>
        </w:rPr>
        <w:t>长期待摊费用按实际支出入账，在受益期或规定的期限内平均摊销。如果长期待摊的费用项目不能使以后会计期间受益，则</w:t>
      </w:r>
      <w:r>
        <w:rPr>
          <w:spacing w:val="-63"/>
        </w:rPr>
        <w:t> </w:t>
      </w:r>
      <w:r>
        <w:rPr>
          <w:spacing w:val="-63"/>
        </w:rPr>
      </w:r>
      <w:r>
        <w:rPr/>
        <w:t>将尚未摊销的该项目的摊余价值全部转入当期损益。摊销年限为</w:t>
      </w:r>
      <w:r>
        <w:rPr>
          <w:rFonts w:ascii="Times New Roman" w:hAnsi="Times New Roman" w:cs="Times New Roman" w:eastAsia="Times New Roman" w:hint="default"/>
        </w:rPr>
        <w:t>3-5</w:t>
      </w:r>
      <w:r>
        <w:rPr/>
        <w:t>年。</w:t>
      </w:r>
    </w:p>
    <w:p>
      <w:pPr>
        <w:spacing w:line="240" w:lineRule="auto" w:before="4"/>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454"/>
        <w:jc w:val="both"/>
      </w:pPr>
      <w:r>
        <w:rPr/>
        <w:t>本公司在职工提供服务的会计期间，将实际发生的职工工资、奖金、按规定的基准和比例为职工缴纳的医疗保险费、 </w:t>
      </w:r>
      <w:r>
        <w:rPr>
          <w:spacing w:val="-2"/>
        </w:rPr>
        <w:t>工伤保险费和生育保险费等社会保险费和住房公积金，确认为负债，并计入当期损益或相关资产成本。职工福利费为非货币</w:t>
      </w:r>
      <w:r>
        <w:rPr>
          <w:spacing w:val="-63"/>
        </w:rPr>
        <w:t> </w:t>
      </w:r>
      <w:r>
        <w:rPr>
          <w:spacing w:val="-63"/>
        </w:rPr>
      </w:r>
      <w:r>
        <w:rPr>
          <w:spacing w:val="-2"/>
        </w:rPr>
        <w:t>性福利的，如能够可靠计量的，按照公允价值计量。如果该负债预期在职工提供相关服务的年度报告期结束后十二个月内不</w:t>
      </w:r>
      <w:r>
        <w:rPr>
          <w:spacing w:val="-66"/>
        </w:rPr>
        <w:t> </w:t>
      </w:r>
      <w:r>
        <w:rPr>
          <w:spacing w:val="-66"/>
        </w:rPr>
      </w:r>
      <w:r>
        <w:rPr/>
        <w:t>能完全支付，且财务影响重大的，则该负债将以折现后的金额计量。</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606" w:right="991"/>
        <w:jc w:val="left"/>
      </w:pPr>
      <w:r>
        <w:rPr/>
        <w:t>离职后福利计划包括设定提存计划。设定提存计划，是指向独立的基金缴存固定费用后，企业不再承担进一步支付义</w:t>
      </w:r>
    </w:p>
    <w:p>
      <w:pPr>
        <w:spacing w:after="0" w:line="240" w:lineRule="auto"/>
        <w:jc w:val="left"/>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316" w:lineRule="auto" w:before="44"/>
        <w:ind w:right="1117"/>
        <w:jc w:val="left"/>
      </w:pPr>
      <w:r>
        <w:rPr>
          <w:spacing w:val="-2"/>
        </w:rPr>
        <w:t>务的离职后福利计划。本公司按当期政府的相关规定为职工缴纳基本养老保险和失业保险，在职工为本公司提供服务的会计</w:t>
      </w:r>
      <w:r>
        <w:rPr>
          <w:spacing w:val="-64"/>
        </w:rPr>
        <w:t> </w:t>
      </w:r>
      <w:r>
        <w:rPr>
          <w:spacing w:val="-64"/>
        </w:rPr>
      </w:r>
      <w:r>
        <w:rPr/>
        <w:t>期间，根据设定提存计划计算的应缴存金额确认为负债，并计入当期损益或相关资产成本。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2"/>
        <w:jc w:val="both"/>
      </w:pPr>
      <w:r>
        <w:rPr>
          <w:spacing w:val="-2"/>
        </w:rPr>
        <w:t>在本公司不能单方面撤回因解除劳动关系计划或者裁减建议所提供的辞退福利时，和本公司确认与涉及支付辞退福利的</w:t>
      </w:r>
      <w:r>
        <w:rPr/>
        <w:t> </w:t>
      </w:r>
      <w:r>
        <w:rPr>
          <w:spacing w:val="-2"/>
        </w:rPr>
        <w:t>重组相关的成本或费用时两者孰早日，确认辞退福利产生的职工薪酬负债，并计入当期损益。但辞退福利预期在年度报告期</w:t>
      </w:r>
      <w:r>
        <w:rPr>
          <w:spacing w:val="-63"/>
        </w:rPr>
        <w:t> </w:t>
      </w:r>
      <w:r>
        <w:rPr>
          <w:spacing w:val="-63"/>
        </w:rPr>
      </w:r>
      <w:r>
        <w:rPr/>
        <w:t>结束后十二个月不能完全支付的，按照其他长期职工薪酬处理。</w:t>
      </w:r>
    </w:p>
    <w:p>
      <w:pPr>
        <w:pStyle w:val="BodyText"/>
        <w:spacing w:line="309" w:lineRule="auto" w:before="19"/>
        <w:ind w:right="1131" w:firstLine="362"/>
        <w:jc w:val="both"/>
      </w:pPr>
      <w:r>
        <w:rPr>
          <w:spacing w:val="-2"/>
        </w:rPr>
        <w:t>职工内部退休计划采用与上述辞退福利相同的原则处理。本公司将自职工停止提供服务日至正常退休日的期间拟支付的</w:t>
      </w:r>
      <w:r>
        <w:rPr/>
        <w:t> </w:t>
      </w:r>
      <w:r>
        <w:rPr>
          <w:spacing w:val="-1"/>
        </w:rPr>
        <w:t>内退人员工资和缴纳的社会保险费等，在符合预计负债确认条件时，计入当期损益</w:t>
      </w:r>
      <w:r>
        <w:rPr>
          <w:rFonts w:ascii="Times New Roman" w:hAnsi="Times New Roman" w:cs="Times New Roman" w:eastAsia="Times New Roman" w:hint="default"/>
          <w:spacing w:val="-1"/>
        </w:rPr>
        <w:t>(</w:t>
      </w:r>
      <w:r>
        <w:rPr>
          <w:spacing w:val="-1"/>
        </w:rPr>
        <w:t>辞退福利</w:t>
      </w:r>
      <w:r>
        <w:rPr>
          <w:rFonts w:ascii="Times New Roman" w:hAnsi="Times New Roman" w:cs="Times New Roman" w:eastAsia="Times New Roman" w:hint="default"/>
          <w:spacing w:val="-1"/>
        </w:rPr>
        <w:t>)</w:t>
      </w:r>
      <w:r>
        <w:rPr>
          <w:spacing w:val="-1"/>
        </w:rPr>
        <w:t>。正式退休日期之后的经济补</w:t>
      </w:r>
      <w:r>
        <w:rPr>
          <w:spacing w:val="-58"/>
        </w:rPr>
        <w:t> </w:t>
      </w:r>
      <w:r>
        <w:rPr>
          <w:spacing w:val="-58"/>
        </w:rPr>
      </w:r>
      <w:r>
        <w:rPr/>
        <w:t>偿</w:t>
      </w:r>
      <w:r>
        <w:rPr>
          <w:rFonts w:ascii="Times New Roman" w:hAnsi="Times New Roman" w:cs="Times New Roman" w:eastAsia="Times New Roman" w:hint="default"/>
        </w:rPr>
        <w:t>(</w:t>
      </w:r>
      <w:r>
        <w:rPr/>
        <w:t>如正常养老退休金</w:t>
      </w:r>
      <w:r>
        <w:rPr>
          <w:rFonts w:ascii="Times New Roman" w:hAnsi="Times New Roman" w:cs="Times New Roman" w:eastAsia="Times New Roman" w:hint="default"/>
        </w:rPr>
        <w:t>)</w:t>
      </w:r>
      <w:r>
        <w:rPr/>
        <w:t>，按照离职后福利处理。</w:t>
      </w:r>
    </w:p>
    <w:p>
      <w:pPr>
        <w:spacing w:line="240" w:lineRule="auto" w:before="10"/>
        <w:rPr>
          <w:rFonts w:ascii="宋体" w:hAnsi="宋体" w:cs="宋体" w:eastAsia="宋体" w:hint="default"/>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78" w:right="1028" w:hanging="5"/>
        <w:jc w:val="left"/>
      </w:pPr>
      <w:r>
        <w:rPr>
          <w:rFonts w:ascii="Times New Roman" w:hAnsi="Times New Roman" w:cs="Times New Roman" w:eastAsia="Times New Roman" w:hint="default"/>
        </w:rPr>
        <w:t>1</w:t>
      </w:r>
      <w:r>
        <w:rPr/>
        <w:t>．股份支付的种类 本公司的股份支付是为了获取职工</w:t>
      </w:r>
      <w:r>
        <w:rPr>
          <w:rFonts w:ascii="Times New Roman" w:hAnsi="Times New Roman" w:cs="Times New Roman" w:eastAsia="Times New Roman" w:hint="default"/>
        </w:rPr>
        <w:t>(</w:t>
      </w:r>
      <w:r>
        <w:rPr/>
        <w:t>或其他方</w:t>
      </w:r>
      <w:r>
        <w:rPr>
          <w:rFonts w:ascii="Times New Roman" w:hAnsi="Times New Roman" w:cs="Times New Roman" w:eastAsia="Times New Roman" w:hint="default"/>
        </w:rPr>
        <w:t>)</w:t>
      </w:r>
      <w:r>
        <w:rPr/>
        <w:t>提供服务而授予权益工具或者承担以权益工具为基础确定的负债的交易。</w:t>
      </w:r>
    </w:p>
    <w:p>
      <w:pPr>
        <w:pStyle w:val="BodyText"/>
        <w:spacing w:line="240" w:lineRule="auto" w:before="13"/>
        <w:ind w:right="0"/>
        <w:jc w:val="both"/>
      </w:pPr>
      <w:r>
        <w:rPr/>
        <w:t>包括以权益结算的股份支付和以现金结算的股份支付。</w:t>
      </w:r>
    </w:p>
    <w:p>
      <w:pPr>
        <w:pStyle w:val="BodyText"/>
        <w:spacing w:line="300" w:lineRule="auto" w:before="76"/>
        <w:ind w:left="573" w:right="1138"/>
        <w:jc w:val="left"/>
      </w:pPr>
      <w:r>
        <w:rPr>
          <w:rFonts w:ascii="Times New Roman" w:hAnsi="Times New Roman" w:cs="Times New Roman" w:eastAsia="Times New Roman" w:hint="default"/>
        </w:rPr>
        <w:t>2</w:t>
      </w:r>
      <w:r>
        <w:rPr/>
        <w:t>．权益工具公允价值的确定方法 </w:t>
      </w:r>
      <w:r>
        <w:rPr>
          <w:rFonts w:ascii="Times New Roman" w:hAnsi="Times New Roman" w:cs="Times New Roman" w:eastAsia="Times New Roman" w:hint="default"/>
        </w:rPr>
        <w:t>(1)</w:t>
      </w:r>
      <w:r>
        <w:rPr/>
        <w:t>存在活跃市场的，按照活跃市场中的报价确定；</w:t>
      </w:r>
      <w:r>
        <w:rPr>
          <w:rFonts w:ascii="Times New Roman" w:hAnsi="Times New Roman" w:cs="Times New Roman" w:eastAsia="Times New Roman" w:hint="default"/>
        </w:rPr>
        <w:t>(2)</w:t>
      </w:r>
      <w:r>
        <w:rPr/>
        <w:t>不存在活跃市场的，采用布莱克</w:t>
      </w:r>
      <w:r>
        <w:rPr>
          <w:rFonts w:ascii="Times New Roman" w:hAnsi="Times New Roman" w:cs="Times New Roman" w:eastAsia="Times New Roman" w:hint="default"/>
        </w:rPr>
        <w:t>-</w:t>
      </w:r>
      <w:r>
        <w:rPr/>
        <w:t>斯科尔斯期权定价模型。 </w:t>
      </w:r>
      <w:r>
        <w:rPr>
          <w:rFonts w:ascii="Times New Roman" w:hAnsi="Times New Roman" w:cs="Times New Roman" w:eastAsia="Times New Roman" w:hint="default"/>
        </w:rPr>
        <w:t>3</w:t>
      </w:r>
      <w:r>
        <w:rPr/>
        <w:t>．确认可行权权益工具最佳估计的依据 等待期内每个资产负债表日，本公司根据最新取得的可行权职工人数变动等后续信息做出最佳估计，修正预计可行权</w:t>
      </w:r>
    </w:p>
    <w:p>
      <w:pPr>
        <w:pStyle w:val="BodyText"/>
        <w:spacing w:line="240" w:lineRule="auto" w:before="31"/>
        <w:ind w:right="0"/>
        <w:jc w:val="both"/>
      </w:pPr>
      <w:r>
        <w:rPr/>
        <w:t>的权益工具数量。在可行权日，最终预计可行权权益工具的数量应当与实际可行权数量一致。</w:t>
      </w:r>
    </w:p>
    <w:p>
      <w:pPr>
        <w:pStyle w:val="BodyText"/>
        <w:spacing w:line="300" w:lineRule="auto" w:before="76"/>
        <w:ind w:left="573" w:right="8323"/>
        <w:jc w:val="left"/>
      </w:pPr>
      <w:r>
        <w:rPr>
          <w:rFonts w:ascii="Times New Roman" w:hAnsi="Times New Roman" w:cs="Times New Roman" w:eastAsia="Times New Roman" w:hint="default"/>
        </w:rPr>
        <w:t>4</w:t>
      </w:r>
      <w:r>
        <w:rPr/>
        <w:t>．股份支付的会计处理 </w:t>
      </w:r>
      <w:r>
        <w:rPr>
          <w:rFonts w:ascii="Times New Roman" w:hAnsi="Times New Roman" w:cs="Times New Roman" w:eastAsia="Times New Roman" w:hint="default"/>
        </w:rPr>
        <w:t>(1)</w:t>
      </w:r>
      <w:r>
        <w:rPr/>
        <w:t>以权益结算的股份支付</w:t>
      </w:r>
    </w:p>
    <w:p>
      <w:pPr>
        <w:pStyle w:val="BodyText"/>
        <w:spacing w:line="319" w:lineRule="auto" w:before="13"/>
        <w:ind w:right="1130" w:firstLine="420"/>
        <w:jc w:val="both"/>
      </w:pPr>
      <w:r>
        <w:rPr/>
        <w:t>以权益结算的股份支付换取职工提供服务的，授予后立即可行权的，在授予日按照权益工具的公允价值计入相关成本 </w:t>
      </w:r>
      <w:r>
        <w:rPr>
          <w:spacing w:val="-2"/>
        </w:rPr>
        <w:t>或费用，相应调整资本公积；完成等待期内的服务或达到规定业绩条件才可行权的，在等待期内的每个资产负债表日，以对</w:t>
      </w:r>
      <w:r>
        <w:rPr>
          <w:spacing w:val="-64"/>
        </w:rPr>
        <w:t> </w:t>
      </w:r>
      <w:r>
        <w:rPr>
          <w:spacing w:val="-64"/>
        </w:rPr>
      </w:r>
      <w:r>
        <w:rPr>
          <w:spacing w:val="-2"/>
        </w:rPr>
        <w:t>可行权权益工具数量的最佳估计为基础，按权益工具授予日的公允价值，将当期取得的服务计入相关成本或费用，相应调整</w:t>
      </w:r>
      <w:r>
        <w:rPr>
          <w:spacing w:val="-63"/>
        </w:rPr>
        <w:t> </w:t>
      </w:r>
      <w:r>
        <w:rPr>
          <w:spacing w:val="-63"/>
        </w:rPr>
      </w:r>
      <w:r>
        <w:rPr/>
        <w:t>资本公积，在可行权日之后不再对已确认的相关成本或费用和所有者权益总额进行调整。</w:t>
      </w:r>
    </w:p>
    <w:p>
      <w:pPr>
        <w:pStyle w:val="BodyText"/>
        <w:spacing w:line="316" w:lineRule="auto" w:before="17"/>
        <w:ind w:right="1133" w:firstLine="420"/>
        <w:jc w:val="both"/>
      </w:pPr>
      <w:r>
        <w:rPr/>
        <w:t>以权益结算的股份支付换取其他方服务的，若其他方服务的公允价值能够可靠计量的，按照其他方服务在取得日的公 </w:t>
      </w:r>
      <w:r>
        <w:rPr>
          <w:spacing w:val="-2"/>
        </w:rPr>
        <w:t>允价值计量；其他方服务的公允价值不能可靠计量但权益工具公允价值能够可靠计量的，按照权益工具在服务取得日的公允</w:t>
      </w:r>
      <w:r>
        <w:rPr>
          <w:spacing w:val="-64"/>
        </w:rPr>
        <w:t> </w:t>
      </w:r>
      <w:r>
        <w:rPr>
          <w:spacing w:val="-64"/>
        </w:rPr>
      </w:r>
      <w:r>
        <w:rPr/>
        <w:t>价值计量，计入相关成本或费用，相应增加所有者权益。</w:t>
      </w:r>
    </w:p>
    <w:p>
      <w:pPr>
        <w:pStyle w:val="BodyText"/>
        <w:spacing w:line="300" w:lineRule="auto" w:before="19"/>
        <w:ind w:left="573" w:right="1117"/>
        <w:jc w:val="left"/>
      </w:pPr>
      <w:r>
        <w:rPr>
          <w:rFonts w:ascii="Times New Roman" w:hAnsi="Times New Roman" w:cs="Times New Roman" w:eastAsia="Times New Roman" w:hint="default"/>
        </w:rPr>
        <w:t>(2)</w:t>
      </w:r>
      <w:r>
        <w:rPr/>
        <w:t>以现金结算的股份支付</w:t>
      </w:r>
      <w:r>
        <w:rPr>
          <w:w w:val="99"/>
        </w:rPr>
        <w:t> </w:t>
      </w:r>
      <w:r>
        <w:rPr/>
        <w:t>以现金结算的股份支付换取职工服务的，授予后立即可行权的，在授予日按公司承担负债的公允价值计入相关成本或</w:t>
      </w:r>
    </w:p>
    <w:p>
      <w:pPr>
        <w:pStyle w:val="BodyText"/>
        <w:spacing w:line="316" w:lineRule="auto" w:before="31"/>
        <w:ind w:right="1130"/>
        <w:jc w:val="both"/>
      </w:pPr>
      <w:r>
        <w:rPr>
          <w:spacing w:val="-2"/>
        </w:rPr>
        <w:t>费用，相应增加负债；完成等待期内的服务或达到规定业绩条件才可行权的换取职工服务的以现金结算的股份支付，在等待</w:t>
      </w:r>
      <w:r>
        <w:rPr>
          <w:spacing w:val="-66"/>
        </w:rPr>
        <w:t> </w:t>
      </w:r>
      <w:r>
        <w:rPr>
          <w:spacing w:val="-66"/>
        </w:rPr>
      </w:r>
      <w:r>
        <w:rPr>
          <w:spacing w:val="-2"/>
        </w:rPr>
        <w:t>期内的每个资产负债表日，以对可行权情况的最佳估计为基础，按公司承担负债的公允价值，将当期取得的服务计入相关成</w:t>
      </w:r>
      <w:r>
        <w:rPr>
          <w:spacing w:val="-63"/>
        </w:rPr>
        <w:t> </w:t>
      </w:r>
      <w:r>
        <w:rPr>
          <w:spacing w:val="-63"/>
        </w:rPr>
      </w:r>
      <w:r>
        <w:rPr>
          <w:spacing w:val="-2"/>
        </w:rPr>
        <w:t>本或费用和相应的负债。在相关负债结算前的每个资产负债表日以及结算日，对负债的公允价值重新计量，其变动计入当期</w:t>
      </w:r>
      <w:r>
        <w:rPr>
          <w:spacing w:val="-63"/>
        </w:rPr>
        <w:t> </w:t>
      </w:r>
      <w:r>
        <w:rPr>
          <w:spacing w:val="-63"/>
        </w:rPr>
      </w:r>
      <w:r>
        <w:rPr/>
        <w:t>损益。</w:t>
      </w:r>
    </w:p>
    <w:p>
      <w:pPr>
        <w:pStyle w:val="BodyText"/>
        <w:spacing w:line="300" w:lineRule="auto" w:before="19"/>
        <w:ind w:left="573" w:right="1117"/>
        <w:jc w:val="left"/>
      </w:pPr>
      <w:r>
        <w:rPr>
          <w:rFonts w:ascii="Times New Roman" w:hAnsi="Times New Roman" w:cs="Times New Roman" w:eastAsia="Times New Roman" w:hint="default"/>
        </w:rPr>
        <w:t>(3)</w:t>
      </w:r>
      <w:r>
        <w:rPr/>
        <w:t>修改、终止股份支付计划</w:t>
      </w:r>
      <w:r>
        <w:rPr>
          <w:w w:val="99"/>
        </w:rPr>
        <w:t> </w:t>
      </w:r>
      <w:r>
        <w:rPr/>
        <w:t>如果修改增加了所授予的权益工具的公允价值，公司按照权益工具公允价值的增加相应地确认取得服务的增加；如果</w:t>
      </w:r>
    </w:p>
    <w:p>
      <w:pPr>
        <w:spacing w:after="0" w:line="300" w:lineRule="auto"/>
        <w:jc w:val="left"/>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316" w:lineRule="auto" w:before="44"/>
        <w:ind w:right="1117"/>
        <w:jc w:val="left"/>
      </w:pPr>
      <w:r>
        <w:rPr>
          <w:spacing w:val="-2"/>
        </w:rPr>
        <w:t>修改增加了所授予的权益工具的数量，公司将增加的权益工具的公允价值相应地确认为取得服务的增加；如果公司按照有利</w:t>
      </w:r>
      <w:r>
        <w:rPr>
          <w:spacing w:val="-64"/>
        </w:rPr>
        <w:t> </w:t>
      </w:r>
      <w:r>
        <w:rPr>
          <w:spacing w:val="-64"/>
        </w:rPr>
      </w:r>
      <w:r>
        <w:rPr/>
        <w:t>于职工的方式修改可行权条件，公司在处理可行权条件时，考虑修改后的可行权条件。</w:t>
      </w:r>
    </w:p>
    <w:p>
      <w:pPr>
        <w:pStyle w:val="BodyText"/>
        <w:spacing w:line="316" w:lineRule="auto" w:before="19"/>
        <w:ind w:right="1133" w:firstLine="420"/>
        <w:jc w:val="both"/>
      </w:pPr>
      <w:r>
        <w:rPr>
          <w:spacing w:val="-3"/>
        </w:rPr>
        <w:t>如果修改减少了授予的权益工具的公允价值，公司继续以权益工具在授予日的公允价值为基础，确认取得服务的金额，</w:t>
      </w:r>
      <w:r>
        <w:rPr/>
        <w:t> </w:t>
      </w:r>
      <w:r>
        <w:rPr>
          <w:spacing w:val="-2"/>
        </w:rPr>
        <w:t>而不考虑权益工具公允价值的减少；如果修改减少了授予的权益工具的数量，公司将减少部分作为已授予的权益工具的取消</w:t>
      </w:r>
      <w:r>
        <w:rPr>
          <w:spacing w:val="-64"/>
        </w:rPr>
        <w:t> </w:t>
      </w:r>
      <w:r>
        <w:rPr>
          <w:spacing w:val="-64"/>
        </w:rPr>
      </w:r>
      <w:r>
        <w:rPr/>
        <w:t>来进行处理；如果以不利于职工的方式修改了可行权条件，在处理可行权条件时，不考虑修改后的可行权条件。</w:t>
      </w:r>
    </w:p>
    <w:p>
      <w:pPr>
        <w:pStyle w:val="BodyText"/>
        <w:spacing w:line="307" w:lineRule="auto" w:before="19"/>
        <w:ind w:right="1128" w:firstLine="420"/>
        <w:jc w:val="both"/>
      </w:pPr>
      <w:r>
        <w:rPr>
          <w:spacing w:val="-1"/>
        </w:rPr>
        <w:t>如果取消了以权益结算的股份支付，则于取消日作为加速行权处理，立即确认尚未确认的金额</w:t>
      </w:r>
      <w:r>
        <w:rPr>
          <w:rFonts w:ascii="Times New Roman" w:hAnsi="Times New Roman" w:cs="Times New Roman" w:eastAsia="Times New Roman" w:hint="default"/>
          <w:spacing w:val="-1"/>
        </w:rPr>
        <w:t>(</w:t>
      </w:r>
      <w:r>
        <w:rPr>
          <w:spacing w:val="-1"/>
        </w:rPr>
        <w:t>将剩余等待期内应确认</w:t>
      </w:r>
      <w:r>
        <w:rPr/>
        <w:t> 的金额立即计入当期损益，同时确认资本公积</w:t>
      </w:r>
      <w:r>
        <w:rPr>
          <w:rFonts w:ascii="Times New Roman" w:hAnsi="Times New Roman" w:cs="Times New Roman" w:eastAsia="Times New Roman" w:hint="default"/>
        </w:rPr>
        <w:t>)</w:t>
      </w:r>
      <w:r>
        <w:rPr/>
        <w:t>。职工或者其他方能够选择满足非可行权条件但在等待期内未满足的，作为</w:t>
      </w:r>
      <w:r>
        <w:rPr>
          <w:spacing w:val="-56"/>
        </w:rPr>
        <w:t> </w:t>
      </w:r>
      <w:r>
        <w:rPr>
          <w:spacing w:val="-56"/>
        </w:rPr>
      </w:r>
      <w:r>
        <w:rPr>
          <w:spacing w:val="-2"/>
        </w:rPr>
        <w:t>取消以权益结算的股份支付处理。但是，如果授予新的权益工具，并在新权益工具授予日认定所授予权益工具用于替代被取</w:t>
      </w:r>
      <w:r>
        <w:rPr>
          <w:spacing w:val="-66"/>
        </w:rPr>
        <w:t> </w:t>
      </w:r>
      <w:r>
        <w:rPr>
          <w:spacing w:val="-66"/>
        </w:rPr>
      </w:r>
      <w:r>
        <w:rPr/>
        <w:t>消的权益工具的，则以与处理原权益工具条款和条件修改相同的方式，对被授予的替代权益工具进行处理。</w:t>
      </w:r>
    </w:p>
    <w:p>
      <w:pPr>
        <w:pStyle w:val="BodyText"/>
        <w:spacing w:line="300" w:lineRule="auto" w:before="26"/>
        <w:ind w:left="573" w:right="1117"/>
        <w:jc w:val="left"/>
      </w:pPr>
      <w:r>
        <w:rPr>
          <w:rFonts w:ascii="Times New Roman" w:hAnsi="Times New Roman" w:cs="Times New Roman" w:eastAsia="Times New Roman" w:hint="default"/>
        </w:rPr>
        <w:t>5</w:t>
      </w:r>
      <w:r>
        <w:rPr/>
        <w:t>．涉及本公司与本公司股东或实际控制人的股份支付交易的会计处理 涉及本公司与本公司股东或实际控制人的股份支付交易，结算企业与接受服务企业中其一在本公司内，另一在本公司</w:t>
      </w:r>
    </w:p>
    <w:p>
      <w:pPr>
        <w:pStyle w:val="BodyText"/>
        <w:spacing w:line="240" w:lineRule="auto" w:before="32"/>
        <w:ind w:right="1117"/>
        <w:jc w:val="left"/>
      </w:pPr>
      <w:r>
        <w:rPr/>
        <w:t>外的，在本公司合并财务报表中按照以下规定进行会计处理：</w:t>
      </w:r>
    </w:p>
    <w:p>
      <w:pPr>
        <w:pStyle w:val="BodyText"/>
        <w:spacing w:line="300" w:lineRule="auto" w:before="76"/>
        <w:ind w:right="1135" w:firstLine="420"/>
        <w:jc w:val="both"/>
      </w:pPr>
      <w:r>
        <w:rPr>
          <w:rFonts w:ascii="Times New Roman" w:hAnsi="Times New Roman" w:cs="Times New Roman" w:eastAsia="Times New Roman" w:hint="default"/>
        </w:rPr>
        <w:t>(1)</w:t>
      </w:r>
      <w:r>
        <w:rPr/>
        <w:t>结算企业以其本身权益工具结算的，将该股份支付交易作为权益结算的股份支付处理；除此之外，作为现金结算的</w:t>
      </w:r>
      <w:r>
        <w:rPr>
          <w:w w:val="99"/>
        </w:rPr>
        <w:t> </w:t>
      </w:r>
      <w:r>
        <w:rPr/>
        <w:t>股份支付处理。</w:t>
      </w:r>
    </w:p>
    <w:p>
      <w:pPr>
        <w:pStyle w:val="BodyText"/>
        <w:spacing w:line="316" w:lineRule="auto" w:before="31"/>
        <w:ind w:right="1138" w:firstLine="420"/>
        <w:jc w:val="both"/>
      </w:pPr>
      <w:r>
        <w:rPr/>
        <w:t>结算企业是接受服务企业的投资者的，按照授予日权益工具的公允价值或应承担负债的公允价值确认为对接受服务企 业的长期股权投资，同时确认资本公积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或负债。</w:t>
      </w:r>
    </w:p>
    <w:p>
      <w:pPr>
        <w:pStyle w:val="BodyText"/>
        <w:spacing w:line="312" w:lineRule="auto"/>
        <w:ind w:right="1117" w:firstLine="362"/>
        <w:jc w:val="left"/>
      </w:pPr>
      <w:r>
        <w:rPr>
          <w:rFonts w:ascii="Times New Roman" w:hAnsi="Times New Roman" w:cs="Times New Roman" w:eastAsia="Times New Roman" w:hint="default"/>
        </w:rPr>
        <w:t>(2)</w:t>
      </w:r>
      <w:r>
        <w:rPr/>
        <w:t>接受服务企业没有结算义务或授予本企业职工的是其本身权益工具的，将该股份支付交易作为权益结算的股份支付</w:t>
      </w:r>
      <w:r>
        <w:rPr>
          <w:w w:val="99"/>
        </w:rPr>
        <w:t> </w:t>
      </w:r>
      <w:r>
        <w:rPr>
          <w:spacing w:val="-2"/>
        </w:rPr>
        <w:t>处理；接受服务企业具有结算义务且授予本企业职工的并非其本身权益工具的，将该股份支付交易作为现金结算的股份支付</w:t>
      </w:r>
      <w:r>
        <w:rPr>
          <w:spacing w:val="-65"/>
        </w:rPr>
        <w:t> </w:t>
      </w:r>
      <w:r>
        <w:rPr>
          <w:spacing w:val="-65"/>
        </w:rPr>
      </w:r>
      <w:r>
        <w:rPr>
          <w:spacing w:val="-2"/>
        </w:rPr>
        <w:t>处理。本公司内各企业之间发生的股份支付交易，接受服务企业和结算企业不是同一企业的，在接受服务企业和结算企业各</w:t>
      </w:r>
      <w:r>
        <w:rPr>
          <w:spacing w:val="-63"/>
        </w:rPr>
        <w:t> </w:t>
      </w:r>
      <w:r>
        <w:rPr>
          <w:spacing w:val="-63"/>
        </w:rPr>
      </w:r>
      <w:r>
        <w:rPr/>
        <w:t>自的个别财务报表中对该股份支付交易的确认和计量，比照上述原则处理。</w:t>
      </w:r>
    </w:p>
    <w:p>
      <w:pPr>
        <w:spacing w:line="240" w:lineRule="auto" w:before="1"/>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是 软件与信息技术服务业</w:t>
      </w:r>
      <w:r>
        <w:rPr>
          <w:rFonts w:ascii="Times New Roman" w:hAnsi="Times New Roman" w:cs="Times New Roman" w:eastAsia="Times New Roman" w:hint="default"/>
        </w:rPr>
        <w:t>;</w:t>
      </w:r>
      <w:r>
        <w:rPr/>
        <w:t>互联网营销业</w:t>
      </w:r>
    </w:p>
    <w:p>
      <w:pPr>
        <w:pStyle w:val="BodyText"/>
        <w:spacing w:line="240" w:lineRule="auto" w:before="6"/>
        <w:ind w:right="1117"/>
        <w:jc w:val="left"/>
      </w:pPr>
      <w:r>
        <w:rPr/>
        <w:t>公司是否需遵守《深圳证券交易所创业板行业信息披露指引第</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上市公司从事互联网营销业务》的披露要求</w:t>
      </w:r>
    </w:p>
    <w:p>
      <w:pPr>
        <w:pStyle w:val="BodyText"/>
        <w:spacing w:line="300" w:lineRule="auto" w:before="103"/>
        <w:ind w:left="573" w:right="7423"/>
        <w:jc w:val="left"/>
      </w:pPr>
      <w:r>
        <w:rPr>
          <w:rFonts w:ascii="Times New Roman" w:hAnsi="Times New Roman" w:cs="Times New Roman" w:eastAsia="Times New Roman" w:hint="default"/>
        </w:rPr>
        <w:t>1</w:t>
      </w:r>
      <w:r>
        <w:rPr/>
        <w:t>．收入的总确认原则 </w:t>
      </w:r>
      <w:r>
        <w:rPr>
          <w:rFonts w:ascii="Times New Roman" w:hAnsi="Times New Roman" w:cs="Times New Roman" w:eastAsia="Times New Roman" w:hint="default"/>
        </w:rPr>
        <w:t>(1)</w:t>
      </w:r>
      <w:r>
        <w:rPr/>
        <w:t>自行开发研制的软件产品销售收入</w:t>
      </w:r>
    </w:p>
    <w:p>
      <w:pPr>
        <w:pStyle w:val="BodyText"/>
        <w:spacing w:line="316" w:lineRule="auto" w:before="13"/>
        <w:ind w:right="1131" w:firstLine="420"/>
        <w:jc w:val="both"/>
      </w:pPr>
      <w:r>
        <w:rPr/>
        <w:t>软件产品在同时满足软件产品所有权上的主要风险和报酬转移给购买方；公司不再保留通常与所有权相联系的继续管 </w:t>
      </w:r>
      <w:r>
        <w:rPr>
          <w:spacing w:val="-2"/>
        </w:rPr>
        <w:t>理权，也不再对已售出的软件产品实施有效控制；收入的金额能够可靠地计量；相关的经济利益很可能流入；相关的已发生</w:t>
      </w:r>
      <w:r>
        <w:rPr>
          <w:spacing w:val="-65"/>
        </w:rPr>
        <w:t> </w:t>
      </w:r>
      <w:r>
        <w:rPr>
          <w:spacing w:val="-65"/>
        </w:rPr>
      </w:r>
      <w:r>
        <w:rPr/>
        <w:t>或将发生的成本能够可靠地计量时，确认销售收入的实现。</w:t>
      </w:r>
    </w:p>
    <w:p>
      <w:pPr>
        <w:pStyle w:val="BodyText"/>
        <w:spacing w:line="316" w:lineRule="auto" w:before="19"/>
        <w:ind w:right="1138" w:firstLine="420"/>
        <w:jc w:val="both"/>
      </w:pPr>
      <w:r>
        <w:rPr/>
        <w:t>对合同规定由公司负责免费维护或免费升级的软件产品，在确认收入的同时，合理地估计并预提可能发生的软件维护 费用</w:t>
      </w:r>
      <w:r>
        <w:rPr>
          <w:rFonts w:ascii="Times New Roman" w:hAnsi="Times New Roman" w:cs="Times New Roman" w:eastAsia="Times New Roman" w:hint="default"/>
        </w:rPr>
        <w:t>/</w:t>
      </w:r>
      <w:r>
        <w:rPr/>
        <w:t>按收入的一定比例预提软件维护费用。</w:t>
      </w:r>
    </w:p>
    <w:p>
      <w:pPr>
        <w:pStyle w:val="BodyText"/>
        <w:spacing w:line="300" w:lineRule="auto"/>
        <w:ind w:left="573" w:right="1117"/>
        <w:jc w:val="left"/>
      </w:pPr>
      <w:r>
        <w:rPr>
          <w:rFonts w:ascii="Times New Roman" w:hAnsi="Times New Roman" w:cs="Times New Roman" w:eastAsia="Times New Roman" w:hint="default"/>
        </w:rPr>
        <w:t>(2)</w:t>
      </w:r>
      <w:r>
        <w:rPr/>
        <w:t>定制软件销售收入</w:t>
      </w:r>
      <w:r>
        <w:rPr>
          <w:w w:val="99"/>
        </w:rPr>
        <w:t> </w:t>
      </w:r>
      <w:r>
        <w:rPr>
          <w:spacing w:val="-1"/>
        </w:rPr>
        <w:t>提供定制软件劳务交易的结果在资产负债表日能够可靠估计的</w:t>
      </w:r>
      <w:r>
        <w:rPr>
          <w:rFonts w:ascii="Times New Roman" w:hAnsi="Times New Roman" w:cs="Times New Roman" w:eastAsia="Times New Roman" w:hint="default"/>
          <w:spacing w:val="-1"/>
        </w:rPr>
        <w:t>(</w:t>
      </w:r>
      <w:r>
        <w:rPr>
          <w:spacing w:val="-1"/>
        </w:rPr>
        <w:t>同时满足收入的金额能够可靠地计量、相关经济利益很</w:t>
      </w:r>
    </w:p>
    <w:p>
      <w:pPr>
        <w:pStyle w:val="BodyText"/>
        <w:spacing w:line="300" w:lineRule="auto" w:before="13"/>
        <w:ind w:right="1117"/>
        <w:jc w:val="left"/>
      </w:pPr>
      <w:r>
        <w:rPr/>
        <w:t>可能流入、交易的完工进度能够可靠地确定、交易中已发生和将发生的成本能够可靠地计量</w:t>
      </w:r>
      <w:r>
        <w:rPr>
          <w:rFonts w:ascii="Times New Roman" w:hAnsi="Times New Roman" w:cs="Times New Roman" w:eastAsia="Times New Roman" w:hint="default"/>
        </w:rPr>
        <w:t>)</w:t>
      </w:r>
      <w:r>
        <w:rPr/>
        <w:t>，采用完工百分比法确认提供</w:t>
      </w:r>
      <w:r>
        <w:rPr>
          <w:spacing w:val="-55"/>
        </w:rPr>
        <w:t> </w:t>
      </w:r>
      <w:r>
        <w:rPr>
          <w:spacing w:val="-55"/>
        </w:rPr>
      </w:r>
      <w:r>
        <w:rPr/>
        <w:t>劳务的收入，并按已经发生的成本占估计总成本的比例</w:t>
      </w:r>
      <w:r>
        <w:rPr>
          <w:rFonts w:ascii="Times New Roman" w:hAnsi="Times New Roman" w:cs="Times New Roman" w:eastAsia="Times New Roman" w:hint="default"/>
        </w:rPr>
        <w:t>]</w:t>
      </w:r>
      <w:r>
        <w:rPr/>
        <w:t>确定提供劳务交易的完工进度。</w:t>
      </w:r>
    </w:p>
    <w:p>
      <w:pPr>
        <w:pStyle w:val="BodyText"/>
        <w:spacing w:line="319" w:lineRule="auto" w:before="13"/>
        <w:ind w:right="1130" w:firstLine="420"/>
        <w:jc w:val="both"/>
      </w:pPr>
      <w:r>
        <w:rPr/>
        <w:t>提供定制软件劳务交易的结果在资产负债表日不能够可靠估计的，分别下列情况处理：若已经发生的劳务成本预计能 </w:t>
      </w:r>
      <w:r>
        <w:rPr>
          <w:spacing w:val="-2"/>
        </w:rPr>
        <w:t>够得到补偿的，按照已经发生的劳务成本金额确认提供劳务收入，并按相同金额结转劳务成本；若已经发生的劳务成本预计</w:t>
      </w:r>
      <w:r>
        <w:rPr>
          <w:spacing w:val="-63"/>
        </w:rPr>
        <w:t> </w:t>
      </w:r>
      <w:r>
        <w:rPr>
          <w:spacing w:val="-63"/>
        </w:rPr>
      </w:r>
      <w:r>
        <w:rPr/>
        <w:t>不能够得到补偿的，将已经发生的劳务成本计入当期损益，不确认提供劳务收入。</w:t>
      </w:r>
    </w:p>
    <w:p>
      <w:pPr>
        <w:pStyle w:val="BodyText"/>
        <w:spacing w:line="240" w:lineRule="auto" w:before="17"/>
        <w:ind w:left="573" w:right="1117"/>
        <w:jc w:val="left"/>
      </w:pPr>
      <w:r>
        <w:rPr/>
        <w:t>对合同规定由公司负责免费维护或免费升级的软件产品，在确认收入的同时，合理地估计并预提可能发生的软件维护</w:t>
      </w:r>
    </w:p>
    <w:p>
      <w:pPr>
        <w:spacing w:after="0" w:line="240" w:lineRule="auto"/>
        <w:jc w:val="left"/>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1117"/>
        <w:jc w:val="left"/>
      </w:pPr>
      <w:r>
        <w:rPr/>
        <w:t>费用</w:t>
      </w:r>
      <w:r>
        <w:rPr>
          <w:rFonts w:ascii="Times New Roman" w:hAnsi="Times New Roman" w:cs="Times New Roman" w:eastAsia="Times New Roman" w:hint="default"/>
        </w:rPr>
        <w:t>/</w:t>
      </w:r>
      <w:r>
        <w:rPr/>
        <w:t>按收入一定比例提软件维护费用。</w:t>
      </w:r>
    </w:p>
    <w:p>
      <w:pPr>
        <w:pStyle w:val="BodyText"/>
        <w:spacing w:line="300" w:lineRule="auto" w:before="63"/>
        <w:ind w:left="573" w:right="1117"/>
        <w:jc w:val="left"/>
      </w:pPr>
      <w:r>
        <w:rPr>
          <w:rFonts w:ascii="Times New Roman" w:hAnsi="Times New Roman" w:cs="Times New Roman" w:eastAsia="Times New Roman" w:hint="default"/>
        </w:rPr>
        <w:t>(3)</w:t>
      </w:r>
      <w:r>
        <w:rPr/>
        <w:t>软件服务收入</w:t>
      </w:r>
      <w:r>
        <w:rPr>
          <w:w w:val="99"/>
        </w:rPr>
        <w:t> </w:t>
      </w:r>
      <w:r>
        <w:rPr>
          <w:spacing w:val="-1"/>
        </w:rPr>
        <w:t>提供软件服务交易的结果在资产负债表日能够可靠估计的</w:t>
      </w:r>
      <w:r>
        <w:rPr>
          <w:rFonts w:ascii="Times New Roman" w:hAnsi="Times New Roman" w:cs="Times New Roman" w:eastAsia="Times New Roman" w:hint="default"/>
          <w:spacing w:val="-1"/>
        </w:rPr>
        <w:t>(</w:t>
      </w:r>
      <w:r>
        <w:rPr>
          <w:spacing w:val="-1"/>
        </w:rPr>
        <w:t>同时满足收入的金额能够可靠地计量、相关经济利益很可能</w:t>
      </w:r>
    </w:p>
    <w:p>
      <w:pPr>
        <w:pStyle w:val="BodyText"/>
        <w:spacing w:line="300" w:lineRule="auto" w:before="13"/>
        <w:ind w:right="1117"/>
        <w:jc w:val="left"/>
      </w:pPr>
      <w:r>
        <w:rPr/>
        <w:t>流入、交易的完工进度能够可靠地确定、交易中已发生和将发生的成本能够可靠地计量</w:t>
      </w:r>
      <w:r>
        <w:rPr>
          <w:rFonts w:ascii="Times New Roman" w:hAnsi="Times New Roman" w:cs="Times New Roman" w:eastAsia="Times New Roman" w:hint="default"/>
        </w:rPr>
        <w:t>)</w:t>
      </w:r>
      <w:r>
        <w:rPr/>
        <w:t>，采用完工百分比法确认提供劳务</w:t>
      </w:r>
      <w:r>
        <w:rPr>
          <w:spacing w:val="-55"/>
        </w:rPr>
        <w:t> </w:t>
      </w:r>
      <w:r>
        <w:rPr>
          <w:spacing w:val="-55"/>
        </w:rPr>
      </w:r>
      <w:r>
        <w:rPr/>
        <w:t>的收入，并按已经发生的成本占估计总成本的比例确定提供劳务交易的完工进度。</w:t>
      </w:r>
    </w:p>
    <w:p>
      <w:pPr>
        <w:pStyle w:val="BodyText"/>
        <w:spacing w:line="316" w:lineRule="auto" w:before="31"/>
        <w:ind w:right="1135" w:firstLine="420"/>
        <w:jc w:val="both"/>
      </w:pPr>
      <w:r>
        <w:rPr/>
        <w:t>如果提供软件服务交易的结果不能够可靠估计，则按已经发生并预计能够得到补偿的劳务成本金额确认提供的劳务收 入，并将已发生的劳务成本作为当期费用。已经发生的劳务成本如预计不能得到补偿的，则不确认收入。</w:t>
      </w:r>
    </w:p>
    <w:p>
      <w:pPr>
        <w:pStyle w:val="BodyText"/>
        <w:spacing w:line="300" w:lineRule="auto" w:before="19"/>
        <w:ind w:left="573" w:right="1117"/>
        <w:jc w:val="left"/>
      </w:pPr>
      <w:r>
        <w:rPr>
          <w:rFonts w:ascii="Times New Roman" w:hAnsi="Times New Roman" w:cs="Times New Roman" w:eastAsia="Times New Roman" w:hint="default"/>
        </w:rPr>
        <w:t>(4)</w:t>
      </w:r>
      <w:r>
        <w:rPr/>
        <w:t>系统集成收入</w:t>
      </w:r>
      <w:r>
        <w:rPr>
          <w:w w:val="99"/>
        </w:rPr>
        <w:t> </w:t>
      </w:r>
      <w:r>
        <w:rPr/>
        <w:t>在软件收入、工程安装收入与外购商品销售收入能分开核算的情况下，软件收入按上述软件产品销售和定制软件的原</w:t>
      </w:r>
    </w:p>
    <w:p>
      <w:pPr>
        <w:pStyle w:val="BodyText"/>
        <w:spacing w:line="316" w:lineRule="auto" w:before="31"/>
        <w:ind w:right="1117"/>
        <w:jc w:val="left"/>
      </w:pPr>
      <w:r>
        <w:rPr>
          <w:spacing w:val="-2"/>
        </w:rPr>
        <w:t>则进行确认；在软件收入、工程安装收入与外购商品销售收入不能分开核算，且工程安装费是商品销售收入的一部分时，则</w:t>
      </w:r>
      <w:r>
        <w:rPr>
          <w:spacing w:val="-66"/>
        </w:rPr>
        <w:t> </w:t>
      </w:r>
      <w:r>
        <w:rPr>
          <w:spacing w:val="-66"/>
        </w:rPr>
      </w:r>
      <w:r>
        <w:rPr/>
        <w:t>一并核算，软件产品收入与工程安装收入在整个商品销售时一并确认。</w:t>
      </w:r>
    </w:p>
    <w:p>
      <w:pPr>
        <w:pStyle w:val="BodyText"/>
        <w:spacing w:line="300" w:lineRule="auto" w:before="19"/>
        <w:ind w:left="573" w:right="1123"/>
        <w:jc w:val="left"/>
      </w:pPr>
      <w:r>
        <w:rPr>
          <w:rFonts w:ascii="Times New Roman" w:hAnsi="Times New Roman" w:cs="Times New Roman" w:eastAsia="Times New Roman" w:hint="default"/>
        </w:rPr>
        <w:t>(5)</w:t>
      </w:r>
      <w:r>
        <w:rPr/>
        <w:t>外购商品销售收入</w:t>
      </w:r>
      <w:r>
        <w:rPr>
          <w:w w:val="99"/>
        </w:rPr>
        <w:t> </w:t>
      </w:r>
      <w:r>
        <w:rPr/>
        <w:t>外购商品包括外购软、硬件商品。外购商品销售收入同时满足下列条件时予以确认：</w:t>
      </w:r>
      <w:r>
        <w:rPr>
          <w:rFonts w:ascii="Times New Roman" w:hAnsi="Times New Roman" w:cs="Times New Roman" w:eastAsia="Times New Roman" w:hint="default"/>
        </w:rPr>
        <w:t>(1)</w:t>
      </w:r>
      <w:r>
        <w:rPr/>
        <w:t>公司已将商品所有权上的主要</w:t>
      </w:r>
    </w:p>
    <w:p>
      <w:pPr>
        <w:pStyle w:val="BodyText"/>
        <w:spacing w:line="300" w:lineRule="auto" w:before="13"/>
        <w:ind w:right="1154"/>
        <w:jc w:val="left"/>
      </w:pPr>
      <w:r>
        <w:rPr/>
        <w:t>风险和报酬转移给购买方；</w:t>
      </w:r>
      <w:r>
        <w:rPr>
          <w:rFonts w:ascii="Times New Roman" w:hAnsi="Times New Roman" w:cs="Times New Roman" w:eastAsia="Times New Roman" w:hint="default"/>
        </w:rPr>
        <w:t>(2)</w:t>
      </w:r>
      <w:r>
        <w:rPr/>
        <w:t>公司既没有保留与所有权相联系的继续管理权，也没有对已售出的商品实施有效控制；</w:t>
      </w:r>
      <w:r>
        <w:rPr>
          <w:rFonts w:ascii="Times New Roman" w:hAnsi="Times New Roman" w:cs="Times New Roman" w:eastAsia="Times New Roman" w:hint="default"/>
        </w:rPr>
        <w:t>(3)</w:t>
      </w:r>
      <w:r>
        <w:rPr/>
        <w:t>收</w:t>
      </w:r>
      <w:r>
        <w:rPr>
          <w:spacing w:val="-87"/>
        </w:rPr>
        <w:t> </w:t>
      </w:r>
      <w:r>
        <w:rPr/>
        <w:t>入的金额能够可靠地计量；</w:t>
      </w:r>
      <w:r>
        <w:rPr>
          <w:rFonts w:ascii="Times New Roman" w:hAnsi="Times New Roman" w:cs="Times New Roman" w:eastAsia="Times New Roman" w:hint="default"/>
        </w:rPr>
        <w:t>(4)</w:t>
      </w:r>
      <w:r>
        <w:rPr/>
        <w:t>相关的经济利益很可能流入企业；</w:t>
      </w:r>
      <w:r>
        <w:rPr>
          <w:rFonts w:ascii="Times New Roman" w:hAnsi="Times New Roman" w:cs="Times New Roman" w:eastAsia="Times New Roman" w:hint="default"/>
        </w:rPr>
        <w:t>(5)</w:t>
      </w:r>
      <w:r>
        <w:rPr/>
        <w:t>相关的已发生或将发生的成本能够可靠地计量。</w:t>
      </w:r>
    </w:p>
    <w:p>
      <w:pPr>
        <w:pStyle w:val="BodyText"/>
        <w:spacing w:line="300" w:lineRule="auto" w:before="13"/>
        <w:ind w:left="573" w:right="1129"/>
        <w:jc w:val="left"/>
      </w:pPr>
      <w:r>
        <w:rPr>
          <w:rFonts w:ascii="Times New Roman" w:hAnsi="Times New Roman" w:cs="Times New Roman" w:eastAsia="Times New Roman" w:hint="default"/>
        </w:rPr>
        <w:t>(6)</w:t>
      </w:r>
      <w:r>
        <w:rPr/>
        <w:t>让渡资产使用权</w:t>
      </w:r>
      <w:r>
        <w:rPr>
          <w:w w:val="99"/>
        </w:rPr>
        <w:t> </w:t>
      </w:r>
      <w:r>
        <w:rPr>
          <w:spacing w:val="-3"/>
        </w:rPr>
        <w:t>让渡资产使用权在同时满足相关的经济利益很可能流入、收入的金额能够可靠地计量时，确认让渡资产使用权的收入。</w:t>
      </w:r>
    </w:p>
    <w:p>
      <w:pPr>
        <w:pStyle w:val="BodyText"/>
        <w:spacing w:line="316" w:lineRule="auto" w:before="31"/>
        <w:ind w:right="1117"/>
        <w:jc w:val="left"/>
      </w:pPr>
      <w:r>
        <w:rPr>
          <w:spacing w:val="-2"/>
        </w:rPr>
        <w:t>利息收入金额，按照他人使用本公司货币资金的时间和实际利率计算确定；使用费收入金额，按照有关合同或协议约定的收</w:t>
      </w:r>
      <w:r>
        <w:rPr>
          <w:spacing w:val="-63"/>
        </w:rPr>
        <w:t> </w:t>
      </w:r>
      <w:r>
        <w:rPr>
          <w:spacing w:val="-63"/>
        </w:rPr>
      </w:r>
      <w:r>
        <w:rPr/>
        <w:t>费时间和方法计算确定。</w:t>
      </w:r>
    </w:p>
    <w:p>
      <w:pPr>
        <w:pStyle w:val="BodyText"/>
        <w:spacing w:line="316" w:lineRule="auto" w:before="19"/>
        <w:ind w:right="1171" w:firstLine="420"/>
        <w:jc w:val="both"/>
      </w:pPr>
      <w:r>
        <w:rPr/>
        <w:t>如果在商品的售价内可区分售后一定期限内的服务费，则在商品销售实现时，按售价扣除该项服务费后的余额确认为 商品销售收入，服务费递延至提供服务的期间内确认为销售收入。</w:t>
      </w:r>
    </w:p>
    <w:p>
      <w:pPr>
        <w:pStyle w:val="BodyText"/>
        <w:spacing w:line="316" w:lineRule="auto" w:before="19"/>
        <w:ind w:right="1130" w:firstLine="420"/>
        <w:jc w:val="both"/>
      </w:pPr>
      <w:r>
        <w:rPr/>
        <w:t>对于无法在商品的售价内区分售后服务的，则在确认收入的同时，合理地估计并预提可能发生的支出；如提供的系统 </w:t>
      </w:r>
      <w:r>
        <w:rPr>
          <w:spacing w:val="-2"/>
        </w:rPr>
        <w:t>维护及一般性的系统升级等系有偿服务，应在提供劳务时确认收入，其相应的成本计入当期费用；而对于有偿的主程序升级</w:t>
      </w:r>
      <w:r>
        <w:rPr>
          <w:spacing w:val="-63"/>
        </w:rPr>
        <w:t> </w:t>
      </w:r>
      <w:r>
        <w:rPr>
          <w:spacing w:val="-63"/>
        </w:rPr>
      </w:r>
      <w:r>
        <w:rPr/>
        <w:t>换代，视为新产品的上市按正常的程序核算销售收入及成本。</w:t>
      </w:r>
    </w:p>
    <w:p>
      <w:pPr>
        <w:pStyle w:val="BodyText"/>
        <w:spacing w:line="300" w:lineRule="auto" w:before="19"/>
        <w:ind w:left="573" w:right="1117"/>
        <w:jc w:val="left"/>
      </w:pPr>
      <w:r>
        <w:rPr>
          <w:rFonts w:ascii="Times New Roman" w:hAnsi="Times New Roman" w:cs="Times New Roman" w:eastAsia="Times New Roman" w:hint="default"/>
        </w:rPr>
        <w:t>2</w:t>
      </w:r>
      <w:r>
        <w:rPr/>
        <w:t>．本公司收入的具体确认原则 公司的主营业务为</w:t>
      </w:r>
      <w:r>
        <w:rPr>
          <w:rFonts w:ascii="Times New Roman" w:hAnsi="Times New Roman" w:cs="Times New Roman" w:eastAsia="Times New Roman" w:hint="default"/>
        </w:rPr>
        <w:t>IT</w:t>
      </w:r>
      <w:r>
        <w:rPr/>
        <w:t>服务，包括</w:t>
      </w:r>
      <w:r>
        <w:rPr>
          <w:rFonts w:ascii="Times New Roman" w:hAnsi="Times New Roman" w:cs="Times New Roman" w:eastAsia="Times New Roman" w:hint="default"/>
        </w:rPr>
        <w:t>IT</w:t>
      </w:r>
      <w:r>
        <w:rPr/>
        <w:t>解决方案、系统集成、</w:t>
      </w:r>
      <w:r>
        <w:rPr>
          <w:rFonts w:ascii="Times New Roman" w:hAnsi="Times New Roman" w:cs="Times New Roman" w:eastAsia="Times New Roman" w:hint="default"/>
        </w:rPr>
        <w:t>IT</w:t>
      </w:r>
      <w:r>
        <w:rPr/>
        <w:t>运维服务和软件外包服务；移动广告营销，包括移动数据</w:t>
      </w:r>
    </w:p>
    <w:p>
      <w:pPr>
        <w:pStyle w:val="BodyText"/>
        <w:spacing w:line="316" w:lineRule="auto" w:before="13"/>
        <w:ind w:right="1117"/>
        <w:jc w:val="left"/>
      </w:pPr>
      <w:r>
        <w:rPr>
          <w:spacing w:val="-2"/>
        </w:rPr>
        <w:t>推广、专有品牌推广、自有平台广告、电商推广、第三方平台广告、小说代理业务。主营业务与具体收入确认原则对应关系</w:t>
      </w:r>
      <w:r>
        <w:rPr>
          <w:spacing w:val="-67"/>
        </w:rPr>
        <w:t> </w:t>
      </w:r>
      <w:r>
        <w:rPr>
          <w:spacing w:val="-67"/>
        </w:rPr>
      </w:r>
      <w:r>
        <w:rPr/>
        <w:t>如下：</w:t>
      </w:r>
    </w:p>
    <w:tbl>
      <w:tblPr>
        <w:tblW w:w="0" w:type="auto"/>
        <w:jc w:val="left"/>
        <w:tblInd w:w="148" w:type="dxa"/>
        <w:tblLayout w:type="fixed"/>
        <w:tblCellMar>
          <w:top w:w="0" w:type="dxa"/>
          <w:left w:w="0" w:type="dxa"/>
          <w:bottom w:w="0" w:type="dxa"/>
          <w:right w:w="0" w:type="dxa"/>
        </w:tblCellMar>
        <w:tblLook w:val="01E0"/>
      </w:tblPr>
      <w:tblGrid>
        <w:gridCol w:w="3006"/>
        <w:gridCol w:w="2765"/>
        <w:gridCol w:w="2770"/>
      </w:tblGrid>
      <w:tr>
        <w:trPr>
          <w:trHeight w:val="343" w:hRule="exact"/>
        </w:trPr>
        <w:tc>
          <w:tcPr>
            <w:tcW w:w="300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主营业务类型</w:t>
            </w:r>
          </w:p>
        </w:tc>
        <w:tc>
          <w:tcPr>
            <w:tcW w:w="276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业务内容</w:t>
            </w:r>
          </w:p>
        </w:tc>
        <w:tc>
          <w:tcPr>
            <w:tcW w:w="277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收入确认具体方法</w:t>
            </w:r>
          </w:p>
        </w:tc>
      </w:tr>
      <w:tr>
        <w:trPr>
          <w:trHeight w:val="348" w:hRule="exact"/>
        </w:trPr>
        <w:tc>
          <w:tcPr>
            <w:tcW w:w="3006" w:type="dxa"/>
            <w:vMerge w:val="restart"/>
            <w:tcBorders>
              <w:top w:val="single" w:sz="6" w:space="0" w:color="000000"/>
              <w:left w:val="single" w:sz="4" w:space="0" w:color="000000"/>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宋体" w:hAnsi="宋体" w:cs="宋体" w:eastAsia="宋体" w:hint="default"/>
                <w:sz w:val="18"/>
                <w:szCs w:val="18"/>
              </w:rPr>
              <w:t>解决方案</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应用软件开发服务</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348" w:hRule="exact"/>
        </w:trPr>
        <w:tc>
          <w:tcPr>
            <w:tcW w:w="3006" w:type="dxa"/>
            <w:vMerge/>
            <w:tcBorders>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应用软件运维服务</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346" w:hRule="exact"/>
        </w:trPr>
        <w:tc>
          <w:tcPr>
            <w:tcW w:w="30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系统集成服务</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按销售商品确认收入</w:t>
            </w:r>
          </w:p>
        </w:tc>
      </w:tr>
      <w:tr>
        <w:trPr>
          <w:trHeight w:val="348" w:hRule="exact"/>
        </w:trPr>
        <w:tc>
          <w:tcPr>
            <w:tcW w:w="30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宋体" w:hAnsi="宋体" w:cs="宋体" w:eastAsia="宋体" w:hint="default"/>
                <w:sz w:val="18"/>
                <w:szCs w:val="18"/>
              </w:rPr>
              <w:t>运维服务</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数据中心</w:t>
            </w:r>
            <w:r>
              <w:rPr>
                <w:rFonts w:ascii="Times New Roman" w:hAnsi="Times New Roman" w:cs="Times New Roman" w:eastAsia="Times New Roman" w:hint="default"/>
                <w:sz w:val="18"/>
                <w:szCs w:val="18"/>
              </w:rPr>
              <w:t>IT</w:t>
            </w:r>
            <w:r>
              <w:rPr>
                <w:rFonts w:ascii="宋体" w:hAnsi="宋体" w:cs="宋体" w:eastAsia="宋体" w:hint="default"/>
                <w:sz w:val="18"/>
                <w:szCs w:val="18"/>
              </w:rPr>
              <w:t>运维服务</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346" w:hRule="exact"/>
        </w:trPr>
        <w:tc>
          <w:tcPr>
            <w:tcW w:w="30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软件外包服务</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软件服务外包服务</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348" w:hRule="exact"/>
        </w:trPr>
        <w:tc>
          <w:tcPr>
            <w:tcW w:w="30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移动数据推广</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移动广告营销服务</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348" w:hRule="exact"/>
        </w:trPr>
        <w:tc>
          <w:tcPr>
            <w:tcW w:w="30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专有品牌推广</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专有品牌广告业务服务</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346" w:hRule="exact"/>
        </w:trPr>
        <w:tc>
          <w:tcPr>
            <w:tcW w:w="30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自有平台广告</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自有平台广告业务服务</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348" w:hRule="exact"/>
        </w:trPr>
        <w:tc>
          <w:tcPr>
            <w:tcW w:w="30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电商推广</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电商推广服务</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346" w:hRule="exact"/>
        </w:trPr>
        <w:tc>
          <w:tcPr>
            <w:tcW w:w="30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第三方平台广告</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第三方平台广告代理服务</w:t>
            </w:r>
          </w:p>
        </w:tc>
        <w:tc>
          <w:tcPr>
            <w:tcW w:w="277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r>
        <w:trPr>
          <w:trHeight w:val="346" w:hRule="exact"/>
        </w:trPr>
        <w:tc>
          <w:tcPr>
            <w:tcW w:w="3006"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小说代理业务</w:t>
            </w:r>
          </w:p>
        </w:tc>
        <w:tc>
          <w:tcPr>
            <w:tcW w:w="276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小说阅读推广服务</w:t>
            </w:r>
          </w:p>
        </w:tc>
        <w:tc>
          <w:tcPr>
            <w:tcW w:w="277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按提供劳务确认收入</w:t>
            </w:r>
          </w:p>
        </w:tc>
      </w:tr>
    </w:tbl>
    <w:p>
      <w:pPr>
        <w:pStyle w:val="BodyText"/>
        <w:spacing w:line="300" w:lineRule="auto" w:before="19"/>
        <w:ind w:left="573" w:right="1117"/>
        <w:jc w:val="left"/>
      </w:pPr>
      <w:r>
        <w:rPr>
          <w:rFonts w:ascii="Times New Roman" w:hAnsi="Times New Roman" w:cs="Times New Roman" w:eastAsia="Times New Roman" w:hint="default"/>
        </w:rPr>
        <w:t>(1)IT</w:t>
      </w:r>
      <w:r>
        <w:rPr/>
        <w:t>解决方案收入</w:t>
      </w:r>
      <w:r>
        <w:rPr>
          <w:w w:val="99"/>
        </w:rPr>
        <w:t> </w:t>
      </w:r>
      <w:r>
        <w:rPr>
          <w:rFonts w:ascii="Times New Roman" w:hAnsi="Times New Roman" w:cs="Times New Roman" w:eastAsia="Times New Roman" w:hint="default"/>
        </w:rPr>
        <w:t>IT</w:t>
      </w:r>
      <w:r>
        <w:rPr/>
        <w:t>解决方案收入是指针对客户的</w:t>
      </w:r>
      <w:r>
        <w:rPr>
          <w:rFonts w:ascii="Times New Roman" w:hAnsi="Times New Roman" w:cs="Times New Roman" w:eastAsia="Times New Roman" w:hint="default"/>
        </w:rPr>
        <w:t>IT</w:t>
      </w:r>
      <w:r>
        <w:rPr/>
        <w:t>应用需求而提供的软件开发与实施服务维护服务所取得的收入。该类业务的实质是</w:t>
      </w:r>
    </w:p>
    <w:p>
      <w:pPr>
        <w:pStyle w:val="BodyText"/>
        <w:spacing w:line="240" w:lineRule="auto" w:before="13"/>
        <w:ind w:right="1117"/>
        <w:jc w:val="left"/>
      </w:pPr>
      <w:r>
        <w:rPr/>
        <w:t>提供软件开发劳务，公司实际操作中按如下具体标准确认收入：</w:t>
      </w:r>
    </w:p>
    <w:p>
      <w:pPr>
        <w:spacing w:after="0" w:line="240" w:lineRule="auto"/>
        <w:jc w:val="left"/>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300" w:lineRule="auto" w:before="44"/>
        <w:ind w:right="1117" w:firstLine="420"/>
        <w:jc w:val="left"/>
      </w:pPr>
      <w:r>
        <w:rPr>
          <w:rFonts w:ascii="Times New Roman" w:hAnsi="Times New Roman" w:cs="Times New Roman" w:eastAsia="Times New Roman" w:hint="default"/>
        </w:rPr>
        <w:t>1)</w:t>
      </w:r>
      <w:r>
        <w:rPr/>
        <w:t>对于在同一会计年度开始并完工的软件开发项目，公司在取得客户的最终验收证明（包括但不限于完工报告、验收</w:t>
      </w:r>
      <w:r>
        <w:rPr>
          <w:w w:val="99"/>
        </w:rPr>
        <w:t> </w:t>
      </w:r>
      <w:r>
        <w:rPr/>
        <w:t>报告或其他完工证明）时，按合同金额确认收入。</w:t>
      </w:r>
    </w:p>
    <w:p>
      <w:pPr>
        <w:pStyle w:val="BodyText"/>
        <w:spacing w:line="300" w:lineRule="auto" w:before="31"/>
        <w:ind w:right="1117" w:firstLine="42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对于跨期的软件开发项目，公司于资产负债表日按照完工百分比法确认收入：公司编写《项目实施进度确认》函，</w:t>
      </w:r>
      <w:r>
        <w:rPr>
          <w:w w:val="99"/>
        </w:rPr>
        <w:t> </w:t>
      </w:r>
      <w:r>
        <w:rPr/>
        <w:t>就项目实施阶段（含工程质量）以及按照已发生的成本占项目预算总成本的比例计算出已完成合同金额与客户进行核对</w:t>
      </w:r>
      <w:r>
        <w:rPr>
          <w:rFonts w:ascii="Times New Roman" w:hAnsi="Times New Roman" w:cs="Times New Roman" w:eastAsia="Times New Roman" w:hint="default"/>
        </w:rPr>
        <w:t>:</w:t>
      </w:r>
    </w:p>
    <w:p>
      <w:pPr>
        <w:pStyle w:val="BodyText"/>
        <w:spacing w:line="300" w:lineRule="auto" w:before="13"/>
        <w:ind w:right="1117" w:firstLine="420"/>
        <w:jc w:val="left"/>
      </w:pPr>
      <w:r>
        <w:rPr>
          <w:rFonts w:ascii="Times New Roman" w:hAnsi="Times New Roman" w:cs="Times New Roman" w:eastAsia="Times New Roman" w:hint="default"/>
        </w:rPr>
        <w:t>3)</w:t>
      </w:r>
      <w:r>
        <w:rPr/>
        <w:t>如果上述项目实施阶段、已完成合同金额客户确认无误，公司按已完成合同金额扣除以前会计期间累计已确认的收</w:t>
      </w:r>
      <w:r>
        <w:rPr>
          <w:w w:val="99"/>
        </w:rPr>
        <w:t> </w:t>
      </w:r>
      <w:r>
        <w:rPr/>
        <w:t>入后的金额，确认为当期收入；</w:t>
      </w:r>
    </w:p>
    <w:p>
      <w:pPr>
        <w:pStyle w:val="BodyText"/>
        <w:spacing w:line="240" w:lineRule="auto" w:before="31"/>
        <w:ind w:left="573" w:right="1117"/>
        <w:jc w:val="left"/>
      </w:pPr>
      <w:r>
        <w:rPr>
          <w:rFonts w:ascii="Times New Roman" w:hAnsi="Times New Roman" w:cs="Times New Roman" w:eastAsia="Times New Roman" w:hint="default"/>
        </w:rPr>
        <w:t>4)</w:t>
      </w:r>
      <w:r>
        <w:rPr/>
        <w:t>若客户确认的已完成合同金额大于公司计算的已完成合同金额，公司仍按原有完工进度确认当期收入；</w:t>
      </w:r>
    </w:p>
    <w:p>
      <w:pPr>
        <w:pStyle w:val="BodyText"/>
        <w:spacing w:line="300" w:lineRule="auto" w:before="63"/>
        <w:ind w:right="1117" w:firstLine="420"/>
        <w:jc w:val="left"/>
      </w:pPr>
      <w:r>
        <w:rPr>
          <w:rFonts w:ascii="Times New Roman" w:hAnsi="Times New Roman" w:cs="Times New Roman" w:eastAsia="Times New Roman" w:hint="default"/>
        </w:rPr>
        <w:t>5)</w:t>
      </w:r>
      <w:r>
        <w:rPr/>
        <w:t>若客户确认的已完成合同金额小于公司计算的已完成合同金额，则公司将分析差异形成的原因，在必要时对预算总</w:t>
      </w:r>
      <w:r>
        <w:rPr>
          <w:w w:val="99"/>
        </w:rPr>
        <w:t> </w:t>
      </w:r>
      <w:r>
        <w:rPr/>
        <w:t>成本及完工进度进行调整，并按调整后完工进度确认当期收入；</w:t>
      </w:r>
    </w:p>
    <w:p>
      <w:pPr>
        <w:pStyle w:val="BodyText"/>
        <w:spacing w:line="300" w:lineRule="auto" w:before="31"/>
        <w:ind w:right="1117" w:firstLine="420"/>
        <w:jc w:val="left"/>
      </w:pPr>
      <w:r>
        <w:rPr>
          <w:rFonts w:ascii="Times New Roman" w:hAnsi="Times New Roman" w:cs="Times New Roman" w:eastAsia="Times New Roman" w:hint="default"/>
        </w:rPr>
        <w:t>6)</w:t>
      </w:r>
      <w:r>
        <w:rPr/>
        <w:t>如果未能取得以上两项确认，则在取得客户的最终验收证明（包括但不限于完工报告、验收报告或其他完工证明）</w:t>
      </w:r>
      <w:r>
        <w:rPr>
          <w:w w:val="99"/>
        </w:rPr>
        <w:t> </w:t>
      </w:r>
      <w:r>
        <w:rPr/>
        <w:t>时，以合同总金额确认收入。</w:t>
      </w:r>
    </w:p>
    <w:p>
      <w:pPr>
        <w:pStyle w:val="BodyText"/>
        <w:spacing w:line="300" w:lineRule="auto" w:before="32"/>
        <w:ind w:left="573" w:right="1129"/>
        <w:jc w:val="left"/>
      </w:pPr>
      <w:r>
        <w:rPr>
          <w:rFonts w:ascii="Times New Roman" w:hAnsi="Times New Roman" w:cs="Times New Roman" w:eastAsia="Times New Roman" w:hint="default"/>
        </w:rPr>
        <w:t>(2)</w:t>
      </w:r>
      <w:r>
        <w:rPr/>
        <w:t>系统集成收入</w:t>
      </w:r>
      <w:r>
        <w:rPr>
          <w:w w:val="99"/>
        </w:rPr>
        <w:t> </w:t>
      </w:r>
      <w:r>
        <w:rPr>
          <w:spacing w:val="-3"/>
        </w:rPr>
        <w:t>系统集成是指应客户需求，代客户采购数据中心相关的软硬件设备，并提供相应的集成服务，包括数据中心集成设计、</w:t>
      </w:r>
    </w:p>
    <w:p>
      <w:pPr>
        <w:pStyle w:val="BodyText"/>
        <w:spacing w:line="300" w:lineRule="auto" w:before="31"/>
        <w:ind w:right="1040"/>
        <w:jc w:val="both"/>
      </w:pPr>
      <w:r>
        <w:rPr/>
        <w:t>机房一体化建设、智能化综合布线、产品选型、软硬件详细配置、软硬件供货、软硬件安装调试、</w:t>
      </w:r>
      <w:r>
        <w:rPr>
          <w:rFonts w:ascii="Times New Roman" w:hAnsi="Times New Roman" w:cs="Times New Roman" w:eastAsia="Times New Roman" w:hint="default"/>
        </w:rPr>
        <w:t>IT</w:t>
      </w:r>
      <w:r>
        <w:rPr/>
        <w:t>系统软硬件改造升级、</w:t>
      </w:r>
      <w:r>
        <w:rPr>
          <w:spacing w:val="-72"/>
        </w:rPr>
        <w:t> </w:t>
      </w:r>
      <w:r>
        <w:rPr>
          <w:spacing w:val="-72"/>
        </w:rPr>
      </w:r>
      <w:r>
        <w:rPr/>
        <w:t>技术咨询等。公司按照合同约定，在相关货物发出并经客户验收合格后确认系统集成收入。</w:t>
      </w:r>
    </w:p>
    <w:p>
      <w:pPr>
        <w:pStyle w:val="BodyText"/>
        <w:spacing w:line="300" w:lineRule="auto" w:before="31"/>
        <w:ind w:left="573" w:right="1117"/>
        <w:jc w:val="left"/>
      </w:pPr>
      <w:r>
        <w:rPr>
          <w:rFonts w:ascii="Times New Roman" w:hAnsi="Times New Roman" w:cs="Times New Roman" w:eastAsia="Times New Roman" w:hint="default"/>
        </w:rPr>
        <w:t>(3)IT</w:t>
      </w:r>
      <w:r>
        <w:rPr/>
        <w:t>运维服务收入</w:t>
      </w:r>
      <w:r>
        <w:rPr>
          <w:w w:val="99"/>
        </w:rPr>
        <w:t> </w:t>
      </w:r>
      <w:r>
        <w:rPr/>
        <w:t>公司的运维服务收入主要包括为客户云数据中心提供从云基础规划、建设到运维的全业务流程，包括：</w:t>
      </w:r>
      <w:r>
        <w:rPr>
          <w:rFonts w:ascii="Times New Roman" w:hAnsi="Times New Roman" w:cs="Times New Roman" w:eastAsia="Times New Roman" w:hint="default"/>
        </w:rPr>
        <w:t>IT</w:t>
      </w:r>
      <w:r>
        <w:rPr/>
        <w:t>系统优化升</w:t>
      </w:r>
    </w:p>
    <w:p>
      <w:pPr>
        <w:pStyle w:val="BodyText"/>
        <w:spacing w:line="312" w:lineRule="auto" w:before="13"/>
        <w:ind w:right="1129"/>
        <w:jc w:val="both"/>
      </w:pPr>
      <w:r>
        <w:rPr/>
        <w:t>级、日常变更操作、健康检查、故障分析及恢复、数据</w:t>
      </w:r>
      <w:r>
        <w:rPr>
          <w:rFonts w:ascii="Times New Roman" w:hAnsi="Times New Roman" w:cs="Times New Roman" w:eastAsia="Times New Roman" w:hint="default"/>
        </w:rPr>
        <w:t>/</w:t>
      </w:r>
      <w:r>
        <w:rPr/>
        <w:t>存储</w:t>
      </w:r>
      <w:r>
        <w:rPr>
          <w:rFonts w:ascii="Times New Roman" w:hAnsi="Times New Roman" w:cs="Times New Roman" w:eastAsia="Times New Roman" w:hint="default"/>
        </w:rPr>
        <w:t>/</w:t>
      </w:r>
      <w:r>
        <w:rPr/>
        <w:t>容灾管理、信息安全管理等技术服务，以及与</w:t>
      </w:r>
      <w:r>
        <w:rPr>
          <w:rFonts w:ascii="Times New Roman" w:hAnsi="Times New Roman" w:cs="Times New Roman" w:eastAsia="Times New Roman" w:hint="default"/>
        </w:rPr>
        <w:t>IT</w:t>
      </w:r>
      <w:r>
        <w:rPr/>
        <w:t>解决方案相关</w:t>
      </w:r>
      <w:r>
        <w:rPr>
          <w:spacing w:val="-81"/>
        </w:rPr>
        <w:t> </w:t>
      </w:r>
      <w:r>
        <w:rPr>
          <w:spacing w:val="-81"/>
        </w:rPr>
      </w:r>
      <w:r>
        <w:rPr>
          <w:spacing w:val="-2"/>
        </w:rPr>
        <w:t>的应用软件系统运行维护服务，通常包括按期（如年度）提供的服务和按次提供的服务。按期提供的服务，公司按照合同约</w:t>
      </w:r>
      <w:r>
        <w:rPr>
          <w:spacing w:val="-65"/>
        </w:rPr>
        <w:t> </w:t>
      </w:r>
      <w:r>
        <w:rPr>
          <w:spacing w:val="-65"/>
        </w:rPr>
      </w:r>
      <w:r>
        <w:rPr>
          <w:spacing w:val="-2"/>
        </w:rPr>
        <w:t>定的内容提供劳务，在服务期间分期确认技术服务收入；按次提供的服务，公司在劳务已经提供完毕，并符合合同约定的服</w:t>
      </w:r>
      <w:r>
        <w:rPr>
          <w:spacing w:val="-65"/>
        </w:rPr>
        <w:t> </w:t>
      </w:r>
      <w:r>
        <w:rPr>
          <w:spacing w:val="-65"/>
        </w:rPr>
      </w:r>
      <w:r>
        <w:rPr/>
        <w:t>务条款时一次性确认技术服务收入。</w:t>
      </w:r>
    </w:p>
    <w:p>
      <w:pPr>
        <w:pStyle w:val="BodyText"/>
        <w:spacing w:line="300" w:lineRule="auto" w:before="23"/>
        <w:ind w:left="573" w:right="4033"/>
        <w:jc w:val="left"/>
      </w:pPr>
      <w:r>
        <w:rPr>
          <w:rFonts w:ascii="Times New Roman" w:hAnsi="Times New Roman" w:cs="Times New Roman" w:eastAsia="Times New Roman" w:hint="default"/>
        </w:rPr>
        <w:t>(4)</w:t>
      </w:r>
      <w:r>
        <w:rPr/>
        <w:t>软件外包服务收入</w:t>
      </w:r>
      <w:r>
        <w:rPr>
          <w:w w:val="99"/>
        </w:rPr>
        <w:t> </w:t>
      </w:r>
      <w:r>
        <w:rPr/>
        <w:t>软件外包服务收入是指根据客户需求，提供技术人员完成开发服务取得的收入。</w:t>
      </w:r>
    </w:p>
    <w:p>
      <w:pPr>
        <w:pStyle w:val="BodyText"/>
        <w:spacing w:line="316" w:lineRule="auto" w:before="31"/>
        <w:ind w:right="1117" w:firstLine="420"/>
        <w:jc w:val="left"/>
      </w:pPr>
      <w:r>
        <w:rPr/>
        <w:t>公司根据合同，于约定的每个结算时点与客户确认对应提供服务期间内提供的人员数量、出勤情况、考核评价，按合 同约定的人员定额费用标准，以双方确认的工作量确认收入。</w:t>
      </w:r>
    </w:p>
    <w:p>
      <w:pPr>
        <w:spacing w:line="240" w:lineRule="auto" w:before="0"/>
        <w:rPr>
          <w:rFonts w:ascii="宋体" w:hAnsi="宋体" w:cs="宋体" w:eastAsia="宋体" w:hint="default"/>
          <w:sz w:val="18"/>
          <w:szCs w:val="18"/>
        </w:rPr>
      </w:pPr>
    </w:p>
    <w:p>
      <w:pPr>
        <w:pStyle w:val="BodyText"/>
        <w:spacing w:line="319" w:lineRule="auto" w:before="136"/>
        <w:ind w:left="573" w:right="1117" w:hanging="42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rFonts w:ascii="Times New Roman" w:hAnsi="Times New Roman" w:cs="Times New Roman" w:eastAsia="Times New Roman" w:hint="default"/>
        </w:rPr>
        <w:t>(1)</w:t>
      </w:r>
      <w:r>
        <w:rPr/>
        <w:t>移动数据推广收入 移动数据推广业务是指通过移动互联网广告平台进行广告推广，公司按客户系统后台统计推广数量及单价暂估当月收</w:t>
      </w:r>
    </w:p>
    <w:p>
      <w:pPr>
        <w:pStyle w:val="BodyText"/>
        <w:spacing w:line="316" w:lineRule="auto" w:before="17"/>
        <w:ind w:left="573" w:right="1117" w:hanging="421"/>
        <w:jc w:val="left"/>
      </w:pPr>
      <w:r>
        <w:rPr/>
        <w:t>入，次月根据双方确认的结算单、对账单及后台系统数据进行调整。 公司第三方平台业务和自有平台业务分为按</w:t>
      </w:r>
      <w:r>
        <w:rPr>
          <w:rFonts w:ascii="Times New Roman" w:hAnsi="Times New Roman" w:cs="Times New Roman" w:eastAsia="Times New Roman" w:hint="default"/>
        </w:rPr>
        <w:t>CPC</w:t>
      </w:r>
      <w:r>
        <w:rPr/>
        <w:t>、</w:t>
      </w:r>
      <w:r>
        <w:rPr>
          <w:rFonts w:ascii="Times New Roman" w:hAnsi="Times New Roman" w:cs="Times New Roman" w:eastAsia="Times New Roman" w:hint="default"/>
        </w:rPr>
        <w:t>CPM</w:t>
      </w:r>
      <w:r>
        <w:rPr/>
        <w:t>、</w:t>
      </w:r>
      <w:r>
        <w:rPr>
          <w:rFonts w:ascii="Times New Roman" w:hAnsi="Times New Roman" w:cs="Times New Roman" w:eastAsia="Times New Roman" w:hint="default"/>
        </w:rPr>
        <w:t>CPA</w:t>
      </w:r>
      <w:r>
        <w:rPr/>
        <w:t>、</w:t>
      </w:r>
      <w:r>
        <w:rPr>
          <w:rFonts w:ascii="Times New Roman" w:hAnsi="Times New Roman" w:cs="Times New Roman" w:eastAsia="Times New Roman" w:hint="default"/>
        </w:rPr>
        <w:t>CPD</w:t>
      </w:r>
      <w:r>
        <w:rPr/>
        <w:t>四种结算方式确认收入：以</w:t>
      </w:r>
      <w:r>
        <w:rPr>
          <w:rFonts w:ascii="Times New Roman" w:hAnsi="Times New Roman" w:cs="Times New Roman" w:eastAsia="Times New Roman" w:hint="default"/>
        </w:rPr>
        <w:t>CPC</w:t>
      </w:r>
      <w:r>
        <w:rPr/>
        <w:t>方式结算的移动</w:t>
      </w:r>
    </w:p>
    <w:p>
      <w:pPr>
        <w:pStyle w:val="BodyText"/>
        <w:spacing w:line="300" w:lineRule="auto"/>
        <w:ind w:right="1047"/>
        <w:jc w:val="both"/>
      </w:pPr>
      <w:r>
        <w:rPr/>
        <w:t>数据推广收入系根据公司与客户的协议约定按用户实际点击数确认；以</w:t>
      </w:r>
      <w:r>
        <w:rPr>
          <w:rFonts w:ascii="Times New Roman" w:hAnsi="Times New Roman" w:cs="Times New Roman" w:eastAsia="Times New Roman" w:hint="default"/>
        </w:rPr>
        <w:t>CPM</w:t>
      </w:r>
      <w:r>
        <w:rPr/>
        <w:t>方式结算的移动数据推广收入系根据公司与客</w:t>
      </w:r>
      <w:r>
        <w:rPr>
          <w:spacing w:val="-23"/>
        </w:rPr>
        <w:t> </w:t>
      </w:r>
      <w:r>
        <w:rPr>
          <w:spacing w:val="-23"/>
        </w:rPr>
      </w:r>
      <w:r>
        <w:rPr>
          <w:spacing w:val="-2"/>
          <w:w w:val="99"/>
        </w:rPr>
        <w:t>户的协议约定按展示量和展示效果进行确认；以</w:t>
      </w:r>
      <w:r>
        <w:rPr>
          <w:rFonts w:ascii="Times New Roman" w:hAnsi="Times New Roman" w:cs="Times New Roman" w:eastAsia="Times New Roman" w:hint="default"/>
          <w:spacing w:val="-2"/>
          <w:w w:val="99"/>
        </w:rPr>
        <w:t>CPA</w:t>
      </w:r>
      <w:r>
        <w:rPr>
          <w:spacing w:val="-2"/>
          <w:w w:val="99"/>
        </w:rPr>
        <w:t>方式结算的移动数据推广收入系公司根据用户激活广告的数量及按协议</w:t>
      </w:r>
      <w:r>
        <w:rPr>
          <w:spacing w:val="-52"/>
          <w:w w:val="99"/>
        </w:rPr>
        <w:t> </w:t>
      </w:r>
      <w:r>
        <w:rPr>
          <w:spacing w:val="-2"/>
        </w:rPr>
        <w:t>约定的激活单价，与客户提供的数据进行核对，核对无误后确认收入；以</w:t>
      </w:r>
      <w:r>
        <w:rPr>
          <w:rFonts w:ascii="Times New Roman" w:hAnsi="Times New Roman" w:cs="Times New Roman" w:eastAsia="Times New Roman" w:hint="default"/>
          <w:spacing w:val="-2"/>
        </w:rPr>
        <w:t>CPD</w:t>
      </w:r>
      <w:r>
        <w:rPr>
          <w:spacing w:val="-2"/>
        </w:rPr>
        <w:t>方式结算的移动数据推广收入系公司根据用户</w:t>
      </w:r>
      <w:r>
        <w:rPr>
          <w:spacing w:val="-53"/>
        </w:rPr>
        <w:t> </w:t>
      </w:r>
      <w:r>
        <w:rPr>
          <w:spacing w:val="-53"/>
        </w:rPr>
      </w:r>
      <w:r>
        <w:rPr/>
        <w:t>使用平台访问广告并成功下载的数量以及按约定的下载单价进行结算，与客户提供的数据进行核对，核对无误后确认收入。</w:t>
      </w:r>
    </w:p>
    <w:p>
      <w:pPr>
        <w:pStyle w:val="BodyText"/>
        <w:spacing w:line="309" w:lineRule="auto" w:before="31"/>
        <w:ind w:left="573" w:right="1153"/>
        <w:jc w:val="left"/>
      </w:pPr>
      <w:r>
        <w:rPr>
          <w:rFonts w:ascii="Times New Roman" w:hAnsi="Times New Roman" w:cs="Times New Roman" w:eastAsia="Times New Roman" w:hint="default"/>
        </w:rPr>
        <w:t>(2)</w:t>
      </w:r>
      <w:r>
        <w:rPr/>
        <w:t>专有品牌推广收入</w:t>
      </w:r>
      <w:r>
        <w:rPr>
          <w:w w:val="99"/>
        </w:rPr>
        <w:t> </w:t>
      </w:r>
      <w:r>
        <w:rPr/>
        <w:t>根据用户消费充值的总额，按公司与广告主协议约定的比例计算享有的分成部分，在与广告主核对无误后确认收入。</w:t>
      </w:r>
      <w:r>
        <w:rPr>
          <w:w w:val="99"/>
        </w:rPr>
        <w:t> </w:t>
      </w:r>
      <w:r>
        <w:rPr>
          <w:rFonts w:ascii="Times New Roman" w:hAnsi="Times New Roman" w:cs="Times New Roman" w:eastAsia="Times New Roman" w:hint="default"/>
        </w:rPr>
        <w:t>(3)</w:t>
      </w:r>
      <w:r>
        <w:rPr/>
        <w:t>自有平台广告收入</w:t>
      </w:r>
    </w:p>
    <w:p>
      <w:pPr>
        <w:pStyle w:val="BodyText"/>
        <w:spacing w:line="300" w:lineRule="auto" w:before="5"/>
        <w:ind w:right="1039" w:firstLine="420"/>
        <w:jc w:val="left"/>
      </w:pPr>
      <w:r>
        <w:rPr/>
        <w:t>自有平台广告分为按</w:t>
      </w:r>
      <w:r>
        <w:rPr>
          <w:rFonts w:ascii="Times New Roman" w:hAnsi="Times New Roman" w:cs="Times New Roman" w:eastAsia="Times New Roman" w:hint="default"/>
        </w:rPr>
        <w:t>CPC</w:t>
      </w:r>
      <w:r>
        <w:rPr/>
        <w:t>、</w:t>
      </w:r>
      <w:r>
        <w:rPr>
          <w:rFonts w:ascii="Times New Roman" w:hAnsi="Times New Roman" w:cs="Times New Roman" w:eastAsia="Times New Roman" w:hint="default"/>
        </w:rPr>
        <w:t>CPA</w:t>
      </w:r>
      <w:r>
        <w:rPr/>
        <w:t>及</w:t>
      </w:r>
      <w:r>
        <w:rPr>
          <w:rFonts w:ascii="Times New Roman" w:hAnsi="Times New Roman" w:cs="Times New Roman" w:eastAsia="Times New Roman" w:hint="default"/>
        </w:rPr>
        <w:t>CPT</w:t>
      </w:r>
      <w:r>
        <w:rPr/>
        <w:t>三种结算方式确认收入</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以</w:t>
      </w:r>
      <w:r>
        <w:rPr>
          <w:rFonts w:ascii="Times New Roman" w:hAnsi="Times New Roman" w:cs="Times New Roman" w:eastAsia="Times New Roman" w:hint="default"/>
        </w:rPr>
        <w:t>CPC</w:t>
      </w:r>
      <w:r>
        <w:rPr/>
        <w:t>方式结算的营业收入系根据公司与广告主的协议 </w:t>
      </w:r>
      <w:r>
        <w:rPr>
          <w:spacing w:val="-2"/>
        </w:rPr>
        <w:t>约定按用户实际点击数确认；以</w:t>
      </w:r>
      <w:r>
        <w:rPr>
          <w:rFonts w:ascii="Times New Roman" w:hAnsi="Times New Roman" w:cs="Times New Roman" w:eastAsia="Times New Roman" w:hint="default"/>
          <w:spacing w:val="-2"/>
        </w:rPr>
        <w:t>CPA</w:t>
      </w:r>
      <w:r>
        <w:rPr>
          <w:spacing w:val="-2"/>
        </w:rPr>
        <w:t>方式结算的移动</w:t>
      </w:r>
      <w:r>
        <w:rPr>
          <w:rFonts w:ascii="Times New Roman" w:hAnsi="Times New Roman" w:cs="Times New Roman" w:eastAsia="Times New Roman" w:hint="default"/>
          <w:spacing w:val="-2"/>
        </w:rPr>
        <w:t>APP</w:t>
      </w:r>
      <w:r>
        <w:rPr>
          <w:spacing w:val="-2"/>
        </w:rPr>
        <w:t>营销收入，公司根据用户激活</w:t>
      </w:r>
      <w:r>
        <w:rPr>
          <w:rFonts w:ascii="Times New Roman" w:hAnsi="Times New Roman" w:cs="Times New Roman" w:eastAsia="Times New Roman" w:hint="default"/>
          <w:spacing w:val="-2"/>
        </w:rPr>
        <w:t>APP</w:t>
      </w:r>
      <w:r>
        <w:rPr>
          <w:spacing w:val="-2"/>
        </w:rPr>
        <w:t>的数量及按协议约定的激活单价，</w:t>
      </w:r>
      <w:r>
        <w:rPr>
          <w:spacing w:val="-81"/>
        </w:rPr>
        <w:t> </w:t>
      </w:r>
      <w:r>
        <w:rPr/>
        <w:t>与广告主核对无误后确认收入；以</w:t>
      </w:r>
      <w:r>
        <w:rPr>
          <w:rFonts w:ascii="Times New Roman" w:hAnsi="Times New Roman" w:cs="Times New Roman" w:eastAsia="Times New Roman" w:hint="default"/>
        </w:rPr>
        <w:t>CPT</w:t>
      </w:r>
      <w:r>
        <w:rPr/>
        <w:t>方式结算的包时段投放广告收入，公司根据已经媒体和广告客户确认后的广告投放的 服务天数以及合作协议中所约定的单价确认收入。</w:t>
      </w:r>
    </w:p>
    <w:p>
      <w:pPr>
        <w:pStyle w:val="BodyText"/>
        <w:spacing w:line="300" w:lineRule="auto" w:before="32"/>
        <w:ind w:left="573" w:right="1117"/>
        <w:jc w:val="left"/>
      </w:pPr>
      <w:r>
        <w:rPr>
          <w:rFonts w:ascii="Times New Roman" w:hAnsi="Times New Roman" w:cs="Times New Roman" w:eastAsia="Times New Roman" w:hint="default"/>
        </w:rPr>
        <w:t>(4)</w:t>
      </w:r>
      <w:r>
        <w:rPr/>
        <w:t>电商推广收入</w:t>
      </w:r>
      <w:r>
        <w:rPr>
          <w:w w:val="99"/>
        </w:rPr>
        <w:t> </w:t>
      </w:r>
      <w:r>
        <w:rPr>
          <w:rFonts w:ascii="Times New Roman" w:hAnsi="Times New Roman" w:cs="Times New Roman" w:eastAsia="Times New Roman" w:hint="default"/>
        </w:rPr>
        <w:t>1)</w:t>
      </w:r>
      <w:r>
        <w:rPr/>
        <w:t>公司作为淘宝客直接推广商品：淘宝用户购买公司推广商品后，商户将推广费用返利给公司，公司根据阿里妈妈后</w:t>
      </w:r>
    </w:p>
    <w:p>
      <w:pPr>
        <w:spacing w:after="0" w:line="300" w:lineRule="auto"/>
        <w:jc w:val="left"/>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1117"/>
        <w:jc w:val="left"/>
      </w:pPr>
      <w:r>
        <w:rPr/>
        <w:t>台统计数据确认收入；</w:t>
      </w:r>
    </w:p>
    <w:p>
      <w:pPr>
        <w:pStyle w:val="BodyText"/>
        <w:spacing w:line="300" w:lineRule="auto" w:before="76"/>
        <w:ind w:right="1139" w:firstLine="420"/>
        <w:jc w:val="both"/>
      </w:pPr>
      <w:r>
        <w:rPr>
          <w:rFonts w:ascii="Times New Roman" w:hAnsi="Times New Roman" w:cs="Times New Roman" w:eastAsia="Times New Roman" w:hint="default"/>
        </w:rPr>
        <w:t>2)</w:t>
      </w:r>
      <w:r>
        <w:rPr/>
        <w:t>公司与其他淘宝客代理商合作推广商品：淘宝用户购买合作推广的商品后，商户将推广费返利给代理商，公司与代</w:t>
      </w:r>
      <w:r>
        <w:rPr>
          <w:w w:val="99"/>
        </w:rPr>
        <w:t> </w:t>
      </w:r>
      <w:r>
        <w:rPr/>
        <w:t>理商根据阿里妈妈后台数据按协议约定的比例进行结算，公司按照结算金额确认收入。</w:t>
      </w:r>
    </w:p>
    <w:p>
      <w:pPr>
        <w:pStyle w:val="BodyText"/>
        <w:spacing w:line="300" w:lineRule="auto" w:before="31"/>
        <w:ind w:left="573" w:right="1117" w:firstLine="91"/>
        <w:jc w:val="left"/>
      </w:pPr>
      <w:r>
        <w:rPr>
          <w:rFonts w:ascii="Times New Roman" w:hAnsi="Times New Roman" w:cs="Times New Roman" w:eastAsia="Times New Roman" w:hint="default"/>
        </w:rPr>
        <w:t>(5)</w:t>
      </w:r>
      <w:r>
        <w:rPr/>
        <w:t>第三方平台广告</w:t>
      </w:r>
      <w:r>
        <w:rPr>
          <w:w w:val="99"/>
        </w:rPr>
        <w:t> </w:t>
      </w:r>
      <w:r>
        <w:rPr/>
        <w:t>公司在腾讯等第三方平台充值并获得虚拟货币，取得广告资源代理权，再将投放广告权利让渡给客户，腾讯等第三方</w:t>
      </w:r>
    </w:p>
    <w:p>
      <w:pPr>
        <w:pStyle w:val="BodyText"/>
        <w:spacing w:line="316" w:lineRule="auto" w:before="31"/>
        <w:ind w:right="1117"/>
        <w:jc w:val="left"/>
      </w:pPr>
      <w:r>
        <w:rPr>
          <w:spacing w:val="-2"/>
        </w:rPr>
        <w:t>平台在用户点击广告后对广告客户扣除已充值的虚拟货币，不点击则不消耗虚拟货币。公司与广告客户定期对消耗情况进行</w:t>
      </w:r>
      <w:r>
        <w:rPr>
          <w:spacing w:val="-63"/>
        </w:rPr>
        <w:t> </w:t>
      </w:r>
      <w:r>
        <w:rPr>
          <w:spacing w:val="-63"/>
        </w:rPr>
      </w:r>
      <w:r>
        <w:rPr/>
        <w:t>核对，按用户实际点击量的消耗金额确认收入。</w:t>
      </w:r>
    </w:p>
    <w:p>
      <w:pPr>
        <w:pStyle w:val="BodyText"/>
        <w:spacing w:line="300" w:lineRule="auto" w:before="19"/>
        <w:ind w:right="1129" w:firstLine="420"/>
        <w:jc w:val="left"/>
      </w:pPr>
      <w:r>
        <w:rPr>
          <w:rFonts w:ascii="Times New Roman" w:hAnsi="Times New Roman" w:cs="Times New Roman" w:eastAsia="Times New Roman" w:hint="default"/>
        </w:rPr>
        <w:t>(6)</w:t>
      </w:r>
      <w:r>
        <w:rPr/>
        <w:t>小说代理业务</w:t>
      </w:r>
      <w:r>
        <w:rPr>
          <w:w w:val="99"/>
        </w:rPr>
        <w:t> </w:t>
      </w:r>
      <w:r>
        <w:rPr>
          <w:spacing w:val="-1"/>
        </w:rPr>
        <w:t>以</w:t>
      </w:r>
      <w:r>
        <w:rPr>
          <w:rFonts w:ascii="Times New Roman" w:hAnsi="Times New Roman" w:cs="Times New Roman" w:eastAsia="Times New Roman" w:hint="default"/>
          <w:spacing w:val="-1"/>
        </w:rPr>
        <w:t>CPS</w:t>
      </w:r>
      <w:r>
        <w:rPr>
          <w:spacing w:val="-1"/>
        </w:rPr>
        <w:t>方式结算的小说阅读营业收入，系公司根据用户点击公司推广的相关链接跳转至平台消费付费的总额按协议约定的比</w:t>
      </w:r>
      <w:r>
        <w:rPr>
          <w:spacing w:val="-80"/>
        </w:rPr>
        <w:t> </w:t>
      </w:r>
      <w:r>
        <w:rPr>
          <w:spacing w:val="-80"/>
        </w:rPr>
      </w:r>
      <w:r>
        <w:rPr/>
        <w:t>例计算享有的分成部分，与客户核对无误后确认收入。</w:t>
      </w:r>
    </w:p>
    <w:p>
      <w:pPr>
        <w:spacing w:line="240" w:lineRule="auto" w:before="10"/>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73" w:right="1117"/>
        <w:jc w:val="left"/>
      </w:pPr>
      <w:r>
        <w:rPr>
          <w:rFonts w:ascii="Times New Roman" w:hAnsi="Times New Roman" w:cs="Times New Roman" w:eastAsia="Times New Roman" w:hint="default"/>
        </w:rPr>
        <w:t>1</w:t>
      </w:r>
      <w:r>
        <w:rPr/>
        <w:t>．政府补助的分类 政府补助，是指本公司从政府无偿取得货币性资产或非货币性资产。分为与资产相关的政府补助和与收益相关的政府</w:t>
      </w:r>
    </w:p>
    <w:p>
      <w:pPr>
        <w:pStyle w:val="BodyText"/>
        <w:spacing w:line="240" w:lineRule="auto" w:before="31"/>
        <w:ind w:right="1117"/>
        <w:jc w:val="left"/>
      </w:pPr>
      <w:r>
        <w:rPr/>
        <w:t>补助。</w:t>
      </w:r>
    </w:p>
    <w:p>
      <w:pPr>
        <w:pStyle w:val="BodyText"/>
        <w:spacing w:line="316" w:lineRule="auto" w:before="76"/>
        <w:ind w:right="1130" w:firstLine="420"/>
        <w:jc w:val="both"/>
      </w:pPr>
      <w:r>
        <w:rPr/>
        <w:t>与资产相关的政府补助，是指本公司取得的、用于购建或以其他方式形成长期资产的政府补助，包括购买固定资产或 </w:t>
      </w:r>
      <w:r>
        <w:rPr>
          <w:spacing w:val="-2"/>
        </w:rPr>
        <w:t>无形资产的财政拨款、固定资产专门借款的财政贴息等；与收益相关的政府补助，是指除与资产相关的政府补助之外的政府</w:t>
      </w:r>
      <w:r>
        <w:rPr>
          <w:spacing w:val="-63"/>
        </w:rPr>
        <w:t> </w:t>
      </w:r>
      <w:r>
        <w:rPr>
          <w:spacing w:val="-63"/>
        </w:rPr>
      </w:r>
      <w:r>
        <w:rPr>
          <w:spacing w:val="-2"/>
        </w:rPr>
        <w:t>补助。对于同时包含与资产相关部分和与收益相关部分的政府补助，区分不同部分分别进行会计处理；难以区分的，整体归</w:t>
      </w:r>
      <w:r>
        <w:rPr>
          <w:spacing w:val="-64"/>
        </w:rPr>
        <w:t> </w:t>
      </w:r>
      <w:r>
        <w:rPr>
          <w:spacing w:val="-64"/>
        </w:rPr>
      </w:r>
      <w:r>
        <w:rPr/>
        <w:t>类为与收益相关的政府补助。</w:t>
      </w:r>
    </w:p>
    <w:p>
      <w:pPr>
        <w:pStyle w:val="BodyText"/>
        <w:spacing w:line="240" w:lineRule="auto" w:before="19"/>
        <w:ind w:left="573" w:right="1117"/>
        <w:jc w:val="left"/>
      </w:pPr>
      <w:r>
        <w:rPr/>
        <w:t>本公司在进行政府补助分类时采取的具体标准为：</w:t>
      </w:r>
    </w:p>
    <w:p>
      <w:pPr>
        <w:pStyle w:val="BodyText"/>
        <w:spacing w:line="300" w:lineRule="auto" w:before="77"/>
        <w:ind w:right="1135" w:firstLine="420"/>
        <w:jc w:val="both"/>
      </w:pPr>
      <w:r>
        <w:rPr>
          <w:rFonts w:ascii="Times New Roman" w:hAnsi="Times New Roman" w:cs="Times New Roman" w:eastAsia="Times New Roman" w:hint="default"/>
        </w:rPr>
        <w:t>(1)</w:t>
      </w:r>
      <w:r>
        <w:rPr/>
        <w:t>政府补助文件规定的补助对象用于购建或以其他方式形成长期资产，或者补助对象的支出主要用于购建或以其他方</w:t>
      </w:r>
      <w:r>
        <w:rPr>
          <w:w w:val="99"/>
        </w:rPr>
        <w:t> </w:t>
      </w:r>
      <w:r>
        <w:rPr/>
        <w:t>式形成长期资产的，划分为与资产相关的政府补助。</w:t>
      </w:r>
    </w:p>
    <w:p>
      <w:pPr>
        <w:pStyle w:val="BodyText"/>
        <w:spacing w:line="300" w:lineRule="auto" w:before="31"/>
        <w:ind w:right="1135" w:firstLine="420"/>
        <w:jc w:val="both"/>
      </w:pPr>
      <w:r>
        <w:rPr>
          <w:rFonts w:ascii="Times New Roman" w:hAnsi="Times New Roman" w:cs="Times New Roman" w:eastAsia="Times New Roman" w:hint="default"/>
        </w:rPr>
        <w:t>(2)</w:t>
      </w:r>
      <w:r>
        <w:rPr/>
        <w:t>根据政府补助文件获得的政府补助全部或者主要用于补偿以后期间或已发生的费用或损失的政府补助，划分为与收</w:t>
      </w:r>
      <w:r>
        <w:rPr>
          <w:w w:val="99"/>
        </w:rPr>
        <w:t> </w:t>
      </w:r>
      <w:r>
        <w:rPr/>
        <w:t>益相关的政府补助。</w:t>
      </w:r>
    </w:p>
    <w:p>
      <w:pPr>
        <w:pStyle w:val="BodyText"/>
        <w:spacing w:line="300" w:lineRule="auto" w:before="31"/>
        <w:ind w:right="1131" w:firstLine="420"/>
        <w:jc w:val="both"/>
      </w:pPr>
      <w:r>
        <w:rPr>
          <w:rFonts w:ascii="Times New Roman" w:hAnsi="Times New Roman" w:cs="Times New Roman" w:eastAsia="Times New Roman" w:hint="default"/>
        </w:rPr>
        <w:t>(3)</w:t>
      </w:r>
      <w:r>
        <w:rPr/>
        <w:t>若政府文件未明确规定补助对象，则采用以下方式将该政府补助款划分为与资产相关的政府补助或与收益相关的政</w:t>
      </w:r>
      <w:r>
        <w:rPr>
          <w:w w:val="99"/>
        </w:rPr>
        <w:t> </w:t>
      </w:r>
      <w:r>
        <w:rPr>
          <w:spacing w:val="-1"/>
        </w:rPr>
        <w:t>府补助：</w:t>
      </w:r>
      <w:r>
        <w:rPr>
          <w:rFonts w:ascii="Times New Roman" w:hAnsi="Times New Roman" w:cs="Times New Roman" w:eastAsia="Times New Roman" w:hint="default"/>
          <w:spacing w:val="-1"/>
        </w:rPr>
        <w:t>1)</w:t>
      </w:r>
      <w:r>
        <w:rPr>
          <w:spacing w:val="-1"/>
        </w:rPr>
        <w:t>政府文件明确了补助所针对的特定项目的，根据该特定项目的预算中将形成资产的支出金额和计入费用的支出金</w:t>
      </w:r>
      <w:r>
        <w:rPr>
          <w:spacing w:val="-88"/>
        </w:rPr>
        <w:t> </w:t>
      </w:r>
      <w:r>
        <w:rPr>
          <w:spacing w:val="-88"/>
        </w:rPr>
      </w:r>
      <w:r>
        <w:rPr>
          <w:spacing w:val="-1"/>
        </w:rPr>
        <w:t>额的相对比例进行划分，对该划分比例需在每个资产负债表日进行复核，必要时进行变更；</w:t>
      </w:r>
      <w:r>
        <w:rPr>
          <w:rFonts w:ascii="Times New Roman" w:hAnsi="Times New Roman" w:cs="Times New Roman" w:eastAsia="Times New Roman" w:hint="default"/>
          <w:spacing w:val="-1"/>
        </w:rPr>
        <w:t>2)</w:t>
      </w:r>
      <w:r>
        <w:rPr>
          <w:spacing w:val="-1"/>
        </w:rPr>
        <w:t>政府文件中对用途仅作一般性</w:t>
      </w:r>
      <w:r>
        <w:rPr>
          <w:spacing w:val="-88"/>
        </w:rPr>
        <w:t> </w:t>
      </w:r>
      <w:r>
        <w:rPr>
          <w:spacing w:val="-88"/>
        </w:rPr>
      </w:r>
      <w:r>
        <w:rPr/>
        <w:t>表述，没有指明特定项目的，作为与收益相关的政府补助。</w:t>
      </w:r>
    </w:p>
    <w:p>
      <w:pPr>
        <w:pStyle w:val="BodyText"/>
        <w:spacing w:line="300" w:lineRule="auto" w:before="31"/>
        <w:ind w:left="573" w:right="1153"/>
        <w:jc w:val="left"/>
      </w:pPr>
      <w:r>
        <w:rPr>
          <w:rFonts w:ascii="Times New Roman" w:hAnsi="Times New Roman" w:cs="Times New Roman" w:eastAsia="Times New Roman" w:hint="default"/>
        </w:rPr>
        <w:t>2</w:t>
      </w:r>
      <w:r>
        <w:rPr/>
        <w:t>．政府补助的确认时点 本公司对于政府补助通常在实际收到时，按照实收金额予以确认和计量。但对于期末有确凿证据表明能够符合财政扶</w:t>
      </w:r>
    </w:p>
    <w:p>
      <w:pPr>
        <w:pStyle w:val="BodyText"/>
        <w:spacing w:line="319" w:lineRule="auto" w:before="31"/>
        <w:ind w:right="1117"/>
        <w:jc w:val="left"/>
      </w:pPr>
      <w:r>
        <w:rPr>
          <w:spacing w:val="-2"/>
        </w:rPr>
        <w:t>持政策规定的相关条件预计能够收到财政扶持资金，按照应收的金额计量。按照应收金额计量的政府补助应同时符合以下条</w:t>
      </w:r>
      <w:r>
        <w:rPr>
          <w:spacing w:val="-64"/>
        </w:rPr>
        <w:t> </w:t>
      </w:r>
      <w:r>
        <w:rPr>
          <w:spacing w:val="-64"/>
        </w:rPr>
      </w:r>
      <w:r>
        <w:rPr/>
        <w:t>件：</w:t>
      </w:r>
    </w:p>
    <w:p>
      <w:pPr>
        <w:pStyle w:val="BodyText"/>
        <w:spacing w:line="300" w:lineRule="auto" w:before="17"/>
        <w:ind w:right="1124" w:firstLine="420"/>
        <w:jc w:val="left"/>
      </w:pPr>
      <w:r>
        <w:rPr>
          <w:rFonts w:ascii="Times New Roman" w:hAnsi="Times New Roman" w:cs="Times New Roman" w:eastAsia="Times New Roman" w:hint="default"/>
        </w:rPr>
        <w:t>(1)</w:t>
      </w:r>
      <w:r>
        <w:rPr/>
        <w:t>所依据的是当地财政部门正式发布并按照《政府信息公开条例》的规定予以主动公开的财政扶持项目及其财政资金</w:t>
      </w:r>
      <w:r>
        <w:rPr>
          <w:w w:val="99"/>
        </w:rPr>
        <w:t> </w:t>
      </w:r>
      <w:r>
        <w:rPr/>
        <w:t>管理办法，且该管理办法应当是普惠性的</w:t>
      </w:r>
      <w:r>
        <w:rPr>
          <w:rFonts w:ascii="Times New Roman" w:hAnsi="Times New Roman" w:cs="Times New Roman" w:eastAsia="Times New Roman" w:hint="default"/>
        </w:rPr>
        <w:t>(</w:t>
      </w:r>
      <w:r>
        <w:rPr/>
        <w:t>任何符合规定条件的企业均可申请</w:t>
      </w:r>
      <w:r>
        <w:rPr>
          <w:rFonts w:ascii="Times New Roman" w:hAnsi="Times New Roman" w:cs="Times New Roman" w:eastAsia="Times New Roman" w:hint="default"/>
        </w:rPr>
        <w:t>)</w:t>
      </w:r>
      <w:r>
        <w:rPr/>
        <w:t>，而不是专门针对特定企业制定的；</w:t>
      </w:r>
    </w:p>
    <w:p>
      <w:pPr>
        <w:pStyle w:val="BodyText"/>
        <w:spacing w:line="297" w:lineRule="auto" w:before="13"/>
        <w:ind w:right="1124" w:firstLine="420"/>
        <w:jc w:val="left"/>
      </w:pPr>
      <w:r>
        <w:rPr>
          <w:rFonts w:ascii="Times New Roman" w:hAnsi="Times New Roman" w:cs="Times New Roman" w:eastAsia="Times New Roman" w:hint="default"/>
        </w:rPr>
        <w:t>(2)</w:t>
      </w:r>
      <w:r>
        <w:rPr/>
        <w:t>应收补助款的金额已经过有权政府部门发文确认，或者可根据正式发布的财政资金管理办法的有关规定自行合理测</w:t>
      </w:r>
      <w:r>
        <w:rPr>
          <w:w w:val="99"/>
        </w:rPr>
        <w:t> </w:t>
      </w:r>
      <w:r>
        <w:rPr/>
        <w:t>算，且预计其金额不存在重大不确定性；</w:t>
      </w:r>
    </w:p>
    <w:p>
      <w:pPr>
        <w:pStyle w:val="BodyText"/>
        <w:spacing w:line="300" w:lineRule="auto" w:before="33"/>
        <w:ind w:right="1124" w:firstLine="420"/>
        <w:jc w:val="left"/>
      </w:pPr>
      <w:r>
        <w:rPr>
          <w:rFonts w:ascii="Times New Roman" w:hAnsi="Times New Roman" w:cs="Times New Roman" w:eastAsia="Times New Roman" w:hint="default"/>
        </w:rPr>
        <w:t>(3)</w:t>
      </w:r>
      <w:r>
        <w:rPr/>
        <w:t>相关的补助款批文中已明确承诺了拨付期限，且该款项的拨付是有相应财政预算作为保障的，因而可以合理保证其</w:t>
      </w:r>
      <w:r>
        <w:rPr>
          <w:w w:val="99"/>
        </w:rPr>
        <w:t> </w:t>
      </w:r>
      <w:r>
        <w:rPr/>
        <w:t>可在规定期限内收到；</w:t>
      </w:r>
    </w:p>
    <w:p>
      <w:pPr>
        <w:pStyle w:val="BodyText"/>
        <w:spacing w:line="300" w:lineRule="auto" w:before="31"/>
        <w:ind w:left="573" w:right="4603"/>
        <w:jc w:val="left"/>
      </w:pPr>
      <w:r>
        <w:rPr>
          <w:rFonts w:ascii="Times New Roman" w:hAnsi="Times New Roman" w:cs="Times New Roman" w:eastAsia="Times New Roman" w:hint="default"/>
        </w:rPr>
        <w:t>(4)</w:t>
      </w:r>
      <w:r>
        <w:rPr/>
        <w:t>根据本公司和该补助事项的具体情况，应满足的其他相关条件</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w:t>
      </w:r>
      <w:r>
        <w:rPr>
          <w:w w:val="99"/>
        </w:rPr>
        <w:t> </w:t>
      </w:r>
      <w:r>
        <w:rPr>
          <w:rFonts w:ascii="Times New Roman" w:hAnsi="Times New Roman" w:cs="Times New Roman" w:eastAsia="Times New Roman" w:hint="default"/>
        </w:rPr>
        <w:t>3</w:t>
      </w:r>
      <w:r>
        <w:rPr/>
        <w:t>．政府补助的会计处理</w:t>
      </w:r>
    </w:p>
    <w:p>
      <w:pPr>
        <w:pStyle w:val="BodyText"/>
        <w:spacing w:line="319" w:lineRule="auto" w:before="13"/>
        <w:ind w:right="1154" w:firstLine="420"/>
        <w:jc w:val="left"/>
      </w:pPr>
      <w:r>
        <w:rPr/>
        <w:t>政府补助为货币性资产的，按收到或应收的金额计量；为非货币性资产的，按公允价值计量；非货币性资产公允价值 不能可靠取得的，按名义金额计量。按照名义金额计量的政府补助，直接计入当期损益。</w:t>
      </w:r>
    </w:p>
    <w:p>
      <w:pPr>
        <w:pStyle w:val="BodyText"/>
        <w:spacing w:line="240" w:lineRule="auto" w:before="17"/>
        <w:ind w:left="573" w:right="1117"/>
        <w:jc w:val="left"/>
      </w:pPr>
      <w:r>
        <w:rPr/>
        <w:t>本公司对政府补助采用的是总额法，具体会计处理如下：</w:t>
      </w:r>
    </w:p>
    <w:p>
      <w:pPr>
        <w:spacing w:after="0" w:line="240" w:lineRule="auto"/>
        <w:jc w:val="left"/>
        <w:sectPr>
          <w:footerReference w:type="default" r:id="rId21"/>
          <w:pgSz w:w="11910" w:h="16840"/>
          <w:pgMar w:footer="1294" w:header="786" w:top="1100" w:bottom="1480" w:left="980" w:right="0"/>
          <w:pgNumType w:start="118"/>
        </w:sectPr>
      </w:pPr>
    </w:p>
    <w:p>
      <w:pPr>
        <w:spacing w:line="240" w:lineRule="auto" w:before="8"/>
        <w:rPr>
          <w:rFonts w:ascii="宋体" w:hAnsi="宋体" w:cs="宋体" w:eastAsia="宋体" w:hint="default"/>
          <w:sz w:val="22"/>
          <w:szCs w:val="22"/>
        </w:rPr>
      </w:pPr>
    </w:p>
    <w:p>
      <w:pPr>
        <w:pStyle w:val="BodyText"/>
        <w:spacing w:line="316" w:lineRule="auto" w:before="44"/>
        <w:ind w:right="1138" w:firstLine="420"/>
        <w:jc w:val="both"/>
      </w:pPr>
      <w:r>
        <w:rPr/>
        <w:t>与资产相关的政府补助确认为递延收益，在相关资产使用寿命内按照合理、系统的方法分期计入当期损益；相关资产 在使用寿命结束前被出售、转让、报废或发生毁损的，将相关递延收益余额转入资产处置当期的损益。</w:t>
      </w:r>
    </w:p>
    <w:p>
      <w:pPr>
        <w:pStyle w:val="BodyText"/>
        <w:spacing w:line="316" w:lineRule="auto" w:before="19"/>
        <w:ind w:right="1138" w:firstLine="420"/>
        <w:jc w:val="both"/>
      </w:pPr>
      <w:r>
        <w:rPr/>
        <w:t>与收益相关的政府补助，用于补偿本公司以后期间的相关成本费用或损失的，确认为递延收益，并在确认相关成本费 用或损失的期间，计入当期损益；用于补偿企业已发生的相关成本费用或损失的，直接计入当期损益。</w:t>
      </w:r>
    </w:p>
    <w:p>
      <w:pPr>
        <w:pStyle w:val="BodyText"/>
        <w:spacing w:line="240" w:lineRule="auto" w:before="19"/>
        <w:ind w:left="573" w:right="1117"/>
        <w:jc w:val="left"/>
      </w:pPr>
      <w:r>
        <w:rPr/>
        <w:t>本公司取得的政策性优惠贷款贴息，区分以下两种情况，分别进行会计处理：</w:t>
      </w:r>
    </w:p>
    <w:p>
      <w:pPr>
        <w:pStyle w:val="BodyText"/>
        <w:spacing w:line="300" w:lineRule="auto" w:before="76"/>
        <w:ind w:right="1135" w:firstLine="420"/>
        <w:jc w:val="both"/>
      </w:pPr>
      <w:r>
        <w:rPr>
          <w:rFonts w:ascii="Times New Roman" w:hAnsi="Times New Roman" w:cs="Times New Roman" w:eastAsia="Times New Roman" w:hint="default"/>
        </w:rPr>
        <w:t>(1)</w:t>
      </w:r>
      <w:r>
        <w:rPr/>
        <w:t>财政将贴息资金拨付给贷款银行，由贷款银行以政策性优惠利率向企业提供贷款的，本公司以实际收到的借款金额</w:t>
      </w:r>
      <w:r>
        <w:rPr>
          <w:w w:val="99"/>
        </w:rPr>
        <w:t> </w:t>
      </w:r>
      <w:r>
        <w:rPr/>
        <w:t>作为借款的入账价值，按照借款本金和该政策性优惠利率计算相关借款费用。</w:t>
      </w:r>
    </w:p>
    <w:p>
      <w:pPr>
        <w:pStyle w:val="BodyText"/>
        <w:spacing w:line="304" w:lineRule="auto" w:before="31"/>
        <w:ind w:left="573" w:right="3823"/>
        <w:jc w:val="left"/>
      </w:pPr>
      <w:r>
        <w:rPr>
          <w:rFonts w:ascii="Times New Roman" w:hAnsi="Times New Roman" w:cs="Times New Roman" w:eastAsia="Times New Roman" w:hint="default"/>
        </w:rPr>
        <w:t>(2)</w:t>
      </w:r>
      <w:r>
        <w:rPr/>
        <w:t>财政将贴息资金直接拨付给本公司的，本公司将对应的贴息冲减相关借款费用。</w:t>
      </w:r>
      <w:r>
        <w:rPr>
          <w:w w:val="99"/>
        </w:rPr>
        <w:t> </w:t>
      </w:r>
      <w:r>
        <w:rPr/>
        <w:t>已确认的政府补助需要退回的，在需要退回的当期分以下情况进行会计处理：</w:t>
      </w:r>
      <w:r>
        <w:rPr>
          <w:w w:val="99"/>
        </w:rPr>
        <w:t> </w:t>
      </w:r>
      <w:r>
        <w:rPr>
          <w:rFonts w:ascii="Times New Roman" w:hAnsi="Times New Roman" w:cs="Times New Roman" w:eastAsia="Times New Roman" w:hint="default"/>
        </w:rPr>
        <w:t>(1)</w:t>
      </w:r>
      <w:r>
        <w:rPr/>
        <w:t>初始确认时冲减相关资产账面价值的，调整资产账面价值；</w:t>
      </w:r>
      <w:r>
        <w:rPr>
          <w:w w:val="99"/>
        </w:rPr>
        <w:t> </w:t>
      </w:r>
      <w:r>
        <w:rPr>
          <w:rFonts w:ascii="Times New Roman" w:hAnsi="Times New Roman" w:cs="Times New Roman" w:eastAsia="Times New Roman" w:hint="default"/>
        </w:rPr>
        <w:t>(2)</w:t>
      </w:r>
      <w:r>
        <w:rPr/>
        <w:t>存在相关递延收益的，冲减相关递延收益账面余额，超出部分计入当期损益；</w:t>
      </w:r>
      <w:r>
        <w:rPr>
          <w:w w:val="99"/>
        </w:rPr>
        <w:t> </w:t>
      </w:r>
      <w:r>
        <w:rPr>
          <w:rFonts w:ascii="Times New Roman" w:hAnsi="Times New Roman" w:cs="Times New Roman" w:eastAsia="Times New Roman" w:hint="default"/>
        </w:rPr>
        <w:t>(3)</w:t>
      </w:r>
      <w:r>
        <w:rPr/>
        <w:t>属于其他情况的，直接计入当期损益。</w:t>
      </w:r>
    </w:p>
    <w:p>
      <w:pPr>
        <w:pStyle w:val="BodyText"/>
        <w:spacing w:line="316" w:lineRule="auto" w:before="9"/>
        <w:ind w:right="1117"/>
        <w:jc w:val="left"/>
      </w:pPr>
      <w:r>
        <w:rPr>
          <w:spacing w:val="-2"/>
        </w:rPr>
        <w:t>政府补助计入不同损益项目的区分原则为：与本公司日常活动相关的政府补助，按照经济业务实质，计入其他收益或冲减相</w:t>
      </w:r>
      <w:r>
        <w:rPr>
          <w:spacing w:val="-62"/>
        </w:rPr>
        <w:t> </w:t>
      </w:r>
      <w:r>
        <w:rPr>
          <w:spacing w:val="-62"/>
        </w:rPr>
      </w:r>
      <w:r>
        <w:rPr/>
        <w:t>关成本费用；与本公司日常活动无关的政府补助，计入营业外收支。</w:t>
      </w:r>
    </w:p>
    <w:p>
      <w:pPr>
        <w:spacing w:line="240" w:lineRule="auto" w:before="10"/>
        <w:rPr>
          <w:rFonts w:ascii="宋体" w:hAnsi="宋体" w:cs="宋体" w:eastAsia="宋体" w:hint="default"/>
          <w:sz w:val="22"/>
          <w:szCs w:val="22"/>
        </w:rPr>
      </w:pPr>
    </w:p>
    <w:p>
      <w:pPr>
        <w:pStyle w:val="Heading3"/>
        <w:spacing w:line="240" w:lineRule="auto"/>
        <w:ind w:right="1117"/>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73" w:right="1117"/>
        <w:jc w:val="left"/>
      </w:pPr>
      <w:r>
        <w:rPr>
          <w:rFonts w:ascii="Times New Roman" w:hAnsi="Times New Roman" w:cs="Times New Roman" w:eastAsia="Times New Roman" w:hint="default"/>
        </w:rPr>
        <w:t>1</w:t>
      </w:r>
      <w:r>
        <w:rPr/>
        <w:t>．递延所得税资产和递延所得税负债的确认和计量 本公司根据资产、负债与资产负债日的账面价值与计税基础之间的暂时性差异，采用资产负债表债务法确认递延所得</w:t>
      </w:r>
    </w:p>
    <w:p>
      <w:pPr>
        <w:pStyle w:val="BodyText"/>
        <w:spacing w:line="300" w:lineRule="auto" w:before="31"/>
        <w:ind w:right="1117"/>
        <w:jc w:val="left"/>
      </w:pPr>
      <w:r>
        <w:rPr>
          <w:spacing w:val="-3"/>
        </w:rPr>
        <w:t>税。公司当期所得税和递延所得税作为所得税费用或收益计入当期损益，但不包括下列情况产生的所得税：</w:t>
      </w:r>
      <w:r>
        <w:rPr>
          <w:rFonts w:ascii="Times New Roman" w:hAnsi="Times New Roman" w:cs="Times New Roman" w:eastAsia="Times New Roman" w:hint="default"/>
          <w:spacing w:val="-3"/>
        </w:rPr>
        <w:t>(1)</w:t>
      </w:r>
      <w:r>
        <w:rPr>
          <w:spacing w:val="-3"/>
        </w:rPr>
        <w:t>企业合并；</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直接在所有者权益中确认的交易或者事项。</w:t>
      </w:r>
    </w:p>
    <w:p>
      <w:pPr>
        <w:pStyle w:val="BodyText"/>
        <w:spacing w:line="316" w:lineRule="auto" w:before="32"/>
        <w:ind w:right="1133" w:firstLine="420"/>
        <w:jc w:val="both"/>
      </w:pPr>
      <w:r>
        <w:rPr>
          <w:spacing w:val="-3"/>
        </w:rPr>
        <w:t>对于可抵扣暂时性差异、能够结转以后年度的可抵扣亏损和税款抵减，公司以很可能取得用来抵扣可抵扣暂时性差异、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p>
    <w:p>
      <w:pPr>
        <w:pStyle w:val="BodyText"/>
        <w:spacing w:line="300" w:lineRule="auto" w:before="19"/>
        <w:ind w:left="573" w:right="1123"/>
        <w:jc w:val="left"/>
      </w:pPr>
      <w:r>
        <w:rPr>
          <w:rFonts w:ascii="Times New Roman" w:hAnsi="Times New Roman" w:cs="Times New Roman" w:eastAsia="Times New Roman" w:hint="default"/>
        </w:rPr>
        <w:t>(1)</w:t>
      </w:r>
      <w:r>
        <w:rPr/>
        <w:t>该交易不是企业合并，并且交易发生时既不影响会计利润也不影响应纳税所得额；</w:t>
      </w:r>
      <w:r>
        <w:rPr>
          <w:w w:val="99"/>
        </w:rPr>
        <w:t> </w:t>
      </w: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对于与子公司、合营企业及联营企业投资相关的可抵扣暂时性差异，同时满足下列条件的，确认相应的递延所得税</w:t>
      </w:r>
    </w:p>
    <w:p>
      <w:pPr>
        <w:pStyle w:val="BodyText"/>
        <w:spacing w:line="316" w:lineRule="auto" w:before="13"/>
        <w:ind w:left="573" w:right="1123" w:hanging="421"/>
        <w:jc w:val="left"/>
      </w:pPr>
      <w:r>
        <w:rPr/>
        <w:t>资产：暂时性差异在可预见的未来很可能转回，且未来很可能获得用来抵扣可抵扣暂时性差异的应纳税所得额。 各项应纳税暂时性差异均确认相关的递延所得税负债，除非该应纳税暂时性差异是在以下交易中产生的： </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商誉的初始确认，或者具有以下特征的交易中产生的资产或负债的初始确认：该交易不是企业合并，并且交易发生</w:t>
      </w:r>
    </w:p>
    <w:p>
      <w:pPr>
        <w:pStyle w:val="BodyText"/>
        <w:spacing w:line="235" w:lineRule="exact"/>
        <w:ind w:right="1117"/>
        <w:jc w:val="left"/>
      </w:pPr>
      <w:r>
        <w:rPr/>
        <w:t>时既不影响会计利润也不影响应纳税所得额；</w:t>
      </w:r>
    </w:p>
    <w:p>
      <w:pPr>
        <w:pStyle w:val="BodyText"/>
        <w:spacing w:line="300" w:lineRule="auto" w:before="76"/>
        <w:ind w:right="1139" w:firstLine="420"/>
        <w:jc w:val="both"/>
      </w:pP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对于与子公司、合营企业及联营企业投资相关的应纳税暂时性差异，该暂时性差异转回的时间能够控制并且该暂时</w:t>
      </w:r>
      <w:r>
        <w:rPr>
          <w:w w:val="99"/>
        </w:rPr>
        <w:t> </w:t>
      </w:r>
      <w:r>
        <w:rPr/>
        <w:t>性差异在可预见的未来很可能不会转回。</w:t>
      </w:r>
    </w:p>
    <w:p>
      <w:pPr>
        <w:pStyle w:val="BodyText"/>
        <w:spacing w:line="300" w:lineRule="auto" w:before="32"/>
        <w:ind w:right="1132" w:firstLine="420"/>
        <w:jc w:val="both"/>
      </w:pPr>
      <w:r>
        <w:rPr>
          <w:spacing w:val="-1"/>
        </w:rPr>
        <w:t>根据资产、负债的账面价值与其计税基础之间的差额</w:t>
      </w:r>
      <w:r>
        <w:rPr>
          <w:rFonts w:ascii="Times New Roman" w:hAnsi="Times New Roman" w:cs="Times New Roman" w:eastAsia="Times New Roman" w:hint="default"/>
          <w:spacing w:val="-1"/>
        </w:rPr>
        <w:t>(</w:t>
      </w:r>
      <w:r>
        <w:rPr>
          <w:spacing w:val="-1"/>
        </w:rPr>
        <w:t>未作为资产和负债确认的项目按照税法规定可以确定其计税基础</w:t>
      </w:r>
      <w:r>
        <w:rPr/>
        <w:t> 的，该计税基础与其账面数之间的差额</w:t>
      </w:r>
      <w:r>
        <w:rPr>
          <w:rFonts w:ascii="Times New Roman" w:hAnsi="Times New Roman" w:cs="Times New Roman" w:eastAsia="Times New Roman" w:hint="default"/>
        </w:rPr>
        <w:t>)</w:t>
      </w:r>
      <w:r>
        <w:rPr/>
        <w:t>，按照预期收回该资产或清偿该负债期间的适用税率计算确认递延所得税资产或递 延所得税负债。</w:t>
      </w:r>
    </w:p>
    <w:p>
      <w:pPr>
        <w:pStyle w:val="BodyText"/>
        <w:spacing w:line="316" w:lineRule="auto" w:before="31"/>
        <w:ind w:right="1133" w:firstLine="420"/>
        <w:jc w:val="both"/>
      </w:pPr>
      <w:r>
        <w:rPr/>
        <w:t>确认递延所得税资产以很可能取得用来抵扣可抵扣暂时性差异的应纳税所得额为限。资产负债表日，有确凿证据表明 </w:t>
      </w:r>
      <w:r>
        <w:rPr>
          <w:spacing w:val="-2"/>
        </w:rPr>
        <w:t>未来期间很可能获得足够的应纳税所得额用来抵扣可抵扣暂时性差异的，确认以前会计期间未确认的递延所得税资产。对递</w:t>
      </w:r>
      <w:r>
        <w:rPr>
          <w:spacing w:val="-64"/>
        </w:rPr>
        <w:t> </w:t>
      </w:r>
      <w:r>
        <w:rPr>
          <w:spacing w:val="-64"/>
        </w:rPr>
      </w:r>
      <w:r>
        <w:rPr>
          <w:spacing w:val="-2"/>
        </w:rPr>
        <w:t>延所得税资产的账面价值进行复核，如果未来期间很可能无法获得足够的应纳税所得额用以抵扣递延所得税资产的利益，则</w:t>
      </w:r>
      <w:r>
        <w:rPr>
          <w:spacing w:val="-64"/>
        </w:rPr>
        <w:t> </w:t>
      </w:r>
      <w:r>
        <w:rPr>
          <w:spacing w:val="-64"/>
        </w:rPr>
      </w:r>
      <w:r>
        <w:rPr/>
        <w:t>减记递延所得税资产的账面价值。在很可能获得足够的应纳税所得额时，转回减记的金额。</w:t>
      </w:r>
    </w:p>
    <w:p>
      <w:pPr>
        <w:pStyle w:val="BodyText"/>
        <w:spacing w:line="314" w:lineRule="auto" w:before="19"/>
        <w:ind w:right="1117" w:firstLine="420"/>
        <w:jc w:val="left"/>
      </w:pPr>
      <w:r>
        <w:rPr>
          <w:rFonts w:ascii="Times New Roman" w:hAnsi="Times New Roman" w:cs="Times New Roman" w:eastAsia="Times New Roman" w:hint="default"/>
          <w:spacing w:val="-2"/>
        </w:rPr>
        <w:t>2</w:t>
      </w:r>
      <w:r>
        <w:rPr>
          <w:spacing w:val="-2"/>
        </w:rPr>
        <w:t>．当拥有以净额结算的法定权利，且意图以净额结算或取得资产、清偿负债同时进行时，本公司当期所得税资产及当</w:t>
      </w:r>
      <w:r>
        <w:rPr/>
        <w:t> 期所得税负债以抵销后的净额列报。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p>
    <w:p>
      <w:pPr>
        <w:spacing w:after="0" w:line="314" w:lineRule="auto"/>
        <w:jc w:val="left"/>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1117"/>
        <w:jc w:val="left"/>
      </w:pPr>
      <w:r>
        <w:rPr/>
        <w:t>及递延所得税负债以抵销后的净额列报。</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2" w:lineRule="auto"/>
        <w:ind w:right="1131" w:firstLine="362"/>
        <w:jc w:val="both"/>
      </w:pPr>
      <w:r>
        <w:rPr>
          <w:rFonts w:ascii="Times New Roman" w:hAnsi="Times New Roman" w:cs="Times New Roman" w:eastAsia="Times New Roman" w:hint="default"/>
          <w:spacing w:val="-3"/>
        </w:rPr>
        <w:t>(1)</w:t>
      </w:r>
      <w:r>
        <w:rPr>
          <w:spacing w:val="-3"/>
        </w:rPr>
        <w:t>出租人：公司出租资产收取的租赁费，在不扣除免租期的整个租赁期内，按直线法进行分摊，确认为租赁相关收入。</w:t>
      </w:r>
      <w:r>
        <w:rPr>
          <w:w w:val="99"/>
        </w:rPr>
        <w:t> </w:t>
      </w:r>
      <w:r>
        <w:rPr>
          <w:spacing w:val="-2"/>
        </w:rPr>
        <w:t>公司支付的与租赁交易相关的初始直接费用，计入当期费用；如金额较大的，则予以资本化，在这个租赁期间内按照与租赁</w:t>
      </w:r>
      <w:r>
        <w:rPr>
          <w:spacing w:val="-65"/>
        </w:rPr>
        <w:t> </w:t>
      </w:r>
      <w:r>
        <w:rPr>
          <w:spacing w:val="-65"/>
        </w:rPr>
      </w:r>
      <w:r>
        <w:rPr>
          <w:spacing w:val="-2"/>
        </w:rPr>
        <w:t>相关收入确认相同的基础分期计入当期收益。公司承担了应由承租方承担的与租赁相关的费用时，公司将该部分费用从租金</w:t>
      </w:r>
      <w:r>
        <w:rPr>
          <w:spacing w:val="-65"/>
        </w:rPr>
        <w:t> </w:t>
      </w:r>
      <w:r>
        <w:rPr>
          <w:spacing w:val="-65"/>
        </w:rPr>
      </w:r>
      <w:r>
        <w:rPr/>
        <w:t>收入总额扣除，按扣除后的租金费用在租赁期内分配。或有租金于实际发生时计入当期损益。</w:t>
      </w:r>
    </w:p>
    <w:p>
      <w:pPr>
        <w:pStyle w:val="BodyText"/>
        <w:spacing w:line="309" w:lineRule="auto" w:before="22"/>
        <w:ind w:right="1129" w:firstLine="425"/>
        <w:jc w:val="both"/>
      </w:pPr>
      <w:r>
        <w:rPr>
          <w:rFonts w:ascii="Times New Roman" w:hAnsi="Times New Roman" w:cs="Times New Roman" w:eastAsia="Times New Roman" w:hint="default"/>
        </w:rPr>
        <w:t>(2)</w:t>
      </w:r>
      <w:r>
        <w:rPr/>
        <w:t>承租人：公司租入资产所支付的租赁费，在不扣除免租期的整个租赁期内，按直线法进行分摊，计入当期费用。公</w:t>
      </w:r>
      <w:r>
        <w:rPr>
          <w:w w:val="99"/>
        </w:rPr>
        <w:t> </w:t>
      </w:r>
      <w:r>
        <w:rPr>
          <w:spacing w:val="-2"/>
        </w:rPr>
        <w:t>司支付的与租赁交易相关的初始直接费用，计入当期费用；资产出租方承担了应由公司承担的与租赁相关的费用时，公司将</w:t>
      </w:r>
      <w:r>
        <w:rPr>
          <w:spacing w:val="-66"/>
        </w:rPr>
        <w:t> </w:t>
      </w:r>
      <w:r>
        <w:rPr>
          <w:spacing w:val="-66"/>
        </w:rPr>
      </w:r>
      <w:r>
        <w:rPr>
          <w:spacing w:val="-5"/>
          <w:w w:val="99"/>
        </w:rPr>
        <w:t>该部分费用从租金总额中扣除，按扣除后的租金费用在租赁期内分摊，计入当期费用。或有租金于实际发生时计入当期损益。</w:t>
      </w:r>
      <w:r>
        <w:rPr>
          <w:spacing w:val="-5"/>
        </w:rPr>
      </w:r>
    </w:p>
    <w:p>
      <w:pPr>
        <w:spacing w:line="240" w:lineRule="auto" w:before="3"/>
        <w:rPr>
          <w:rFonts w:ascii="宋体" w:hAnsi="宋体" w:cs="宋体" w:eastAsia="宋体" w:hint="default"/>
          <w:sz w:val="23"/>
          <w:szCs w:val="23"/>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72"/>
        <w:jc w:val="both"/>
      </w:pPr>
      <w:r>
        <w:rPr/>
        <w:t>出租人：在租赁期开始日本公司按最低租赁收款额与初始直接费用之和作为应收融资租赁款的入账价值，同时记录未 </w:t>
      </w:r>
      <w:r>
        <w:rPr>
          <w:spacing w:val="-2"/>
        </w:rPr>
        <w:t>担保余值；将最低租赁收款额、初始直接费用及未担保余值之和与其现值之和的差额确认为未实现融资收益。未实现融资收</w:t>
      </w:r>
      <w:r>
        <w:rPr>
          <w:spacing w:val="-63"/>
        </w:rPr>
        <w:t> </w:t>
      </w:r>
      <w:r>
        <w:rPr>
          <w:spacing w:val="-63"/>
        </w:rPr>
      </w:r>
      <w:r>
        <w:rPr>
          <w:spacing w:val="-2"/>
        </w:rPr>
        <w:t>益在租赁期内各个期间采用实际利率法计算确认当期的融资收入。应收融资租赁款扣除未实现融资收益后的余额分别长期债</w:t>
      </w:r>
      <w:r>
        <w:rPr>
          <w:spacing w:val="-64"/>
        </w:rPr>
        <w:t> </w:t>
      </w:r>
      <w:r>
        <w:rPr>
          <w:spacing w:val="-64"/>
        </w:rPr>
      </w:r>
      <w:r>
        <w:rPr/>
        <w:t>权和一年内到期的长期债权列示。或有租金于实际发生时计入当期损益。</w:t>
      </w:r>
    </w:p>
    <w:p>
      <w:pPr>
        <w:pStyle w:val="BodyText"/>
        <w:spacing w:line="319" w:lineRule="auto" w:before="19"/>
        <w:ind w:right="1130" w:firstLine="362"/>
        <w:jc w:val="both"/>
      </w:pPr>
      <w:r>
        <w:rPr>
          <w:spacing w:val="-2"/>
        </w:rPr>
        <w:t>承租人：在租赁期开始日本公司将租赁资产公允价值与最低租赁付款额现值两者中较低者作为租入资产的入账价值，将</w:t>
      </w:r>
      <w:r>
        <w:rPr/>
        <w:t> </w:t>
      </w:r>
      <w:r>
        <w:rPr>
          <w:spacing w:val="-2"/>
        </w:rPr>
        <w:t>最低租赁付款额作为长期应付款的入账价值，其差额作为未确认融资费用。初始直接费用计入租入资产价值。未确认融资费</w:t>
      </w:r>
      <w:r>
        <w:rPr>
          <w:spacing w:val="-63"/>
        </w:rPr>
        <w:t> </w:t>
      </w:r>
      <w:r>
        <w:rPr>
          <w:spacing w:val="-63"/>
        </w:rPr>
      </w:r>
      <w:r>
        <w:rPr>
          <w:spacing w:val="-2"/>
        </w:rPr>
        <w:t>用在租赁期内各个期间采用实际利率法计算确认当期的融资费用。最低租赁付款额扣除未确认融资费用后的余额分别长期负</w:t>
      </w:r>
      <w:r>
        <w:rPr>
          <w:spacing w:val="-64"/>
        </w:rPr>
        <w:t> </w:t>
      </w:r>
      <w:r>
        <w:rPr>
          <w:spacing w:val="-64"/>
        </w:rPr>
      </w:r>
      <w:r>
        <w:rPr/>
        <w:t>债和一年内到期的长期负债列示。或有租金于实际发生时计入当期损益。</w:t>
      </w:r>
    </w:p>
    <w:p>
      <w:pPr>
        <w:spacing w:line="240" w:lineRule="auto" w:before="9"/>
        <w:rPr>
          <w:rFonts w:ascii="宋体" w:hAnsi="宋体" w:cs="宋体" w:eastAsia="宋体" w:hint="default"/>
          <w:sz w:val="22"/>
          <w:szCs w:val="22"/>
        </w:rPr>
      </w:pPr>
    </w:p>
    <w:p>
      <w:pPr>
        <w:pStyle w:val="Heading3"/>
        <w:spacing w:line="240" w:lineRule="auto"/>
        <w:ind w:right="1117"/>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Heading5"/>
        <w:spacing w:line="240" w:lineRule="auto"/>
        <w:ind w:right="1117"/>
        <w:jc w:val="left"/>
        <w:rPr>
          <w:b w:val="0"/>
          <w:bCs w:val="0"/>
        </w:rPr>
      </w:pPr>
      <w:r>
        <w:rPr/>
        <w:t>（</w:t>
      </w:r>
      <w:r>
        <w:rPr>
          <w:rFonts w:ascii="Times New Roman" w:hAnsi="Times New Roman" w:cs="Times New Roman" w:eastAsia="Times New Roman" w:hint="default"/>
        </w:rPr>
        <w:t>1</w:t>
      </w:r>
      <w:r>
        <w:rPr/>
        <w:t>）公允价值</w:t>
      </w:r>
      <w:r>
        <w:rPr>
          <w:b w:val="0"/>
          <w:bCs w:val="0"/>
        </w:rPr>
      </w:r>
    </w:p>
    <w:p>
      <w:pPr>
        <w:spacing w:line="240" w:lineRule="auto" w:before="9"/>
        <w:rPr>
          <w:rFonts w:ascii="宋体" w:hAnsi="宋体" w:cs="宋体" w:eastAsia="宋体" w:hint="default"/>
          <w:b/>
          <w:bCs/>
          <w:sz w:val="12"/>
          <w:szCs w:val="12"/>
        </w:rPr>
      </w:pPr>
    </w:p>
    <w:p>
      <w:pPr>
        <w:pStyle w:val="BodyText"/>
        <w:spacing w:line="312" w:lineRule="auto"/>
        <w:ind w:right="2264" w:firstLine="360"/>
        <w:jc w:val="both"/>
      </w:pPr>
      <w:r>
        <w:rPr/>
        <w:t>公允价值是指市场参与者在计量日发生的有序交易中，出售一项资产所能收到或者转移一项负债所需支 付的价格。本公司以公允价值计量相关资产或负债，假定出售资产或者转移负债的有序交易在相关资产或负</w:t>
      </w:r>
      <w:r>
        <w:rPr>
          <w:spacing w:val="-51"/>
        </w:rPr>
        <w:t> </w:t>
      </w:r>
      <w:r>
        <w:rPr>
          <w:spacing w:val="-51"/>
        </w:rPr>
      </w:r>
      <w:r>
        <w:rPr>
          <w:spacing w:val="-4"/>
        </w:rPr>
        <w:t>债的主要市场进行；不存在主要市场的，本公司假定该交易在相关资产或负债的最有利市场进行。主要市场</w:t>
      </w:r>
      <w:r>
        <w:rPr>
          <w:rFonts w:ascii="Times New Roman" w:hAnsi="Times New Roman" w:cs="Times New Roman" w:eastAsia="Times New Roman" w:hint="default"/>
          <w:spacing w:val="-4"/>
        </w:rPr>
        <w:t>(</w:t>
      </w:r>
      <w:r>
        <w:rPr>
          <w:spacing w:val="-4"/>
        </w:rPr>
        <w:t>或</w:t>
      </w:r>
      <w:r>
        <w:rPr>
          <w:spacing w:val="-87"/>
        </w:rPr>
        <w:t> </w:t>
      </w:r>
      <w:r>
        <w:rPr/>
        <w:t>最有利市场</w:t>
      </w:r>
      <w:r>
        <w:rPr>
          <w:rFonts w:ascii="Times New Roman" w:hAnsi="Times New Roman" w:cs="Times New Roman" w:eastAsia="Times New Roman" w:hint="default"/>
        </w:rPr>
        <w:t>)</w:t>
      </w:r>
      <w:r>
        <w:rPr/>
        <w:t>是本公司在计量日能够进入的交易市场。</w:t>
      </w:r>
    </w:p>
    <w:p>
      <w:pPr>
        <w:pStyle w:val="BodyText"/>
        <w:spacing w:line="316" w:lineRule="auto" w:before="65"/>
        <w:ind w:right="2268" w:firstLine="360"/>
        <w:jc w:val="both"/>
      </w:pPr>
      <w:r>
        <w:rPr/>
        <w:t>本公司采用在当前情况下适用并且有足够可利用数据和其他信息支持的估值技术，考虑市场参与者将该 资产用于最佳用途产生经济利益的能力，或者将该资产出售给能够用于最佳用途的其他市场参与者产生经济</w:t>
      </w:r>
      <w:r>
        <w:rPr>
          <w:spacing w:val="-51"/>
        </w:rPr>
        <w:t> </w:t>
      </w:r>
      <w:r>
        <w:rPr>
          <w:spacing w:val="-51"/>
        </w:rPr>
      </w:r>
      <w:r>
        <w:rPr/>
        <w:t>利益的能力，优先使用相关可观察输入值，只有在可观察输入值无法取得或取得不切实可行的情况下，才使</w:t>
      </w:r>
      <w:r>
        <w:rPr>
          <w:spacing w:val="-51"/>
        </w:rPr>
        <w:t> </w:t>
      </w:r>
      <w:r>
        <w:rPr>
          <w:spacing w:val="-51"/>
        </w:rPr>
      </w:r>
      <w:r>
        <w:rPr/>
        <w:t>用不可观察输入值。</w:t>
      </w:r>
    </w:p>
    <w:p>
      <w:pPr>
        <w:pStyle w:val="BodyText"/>
        <w:spacing w:line="312" w:lineRule="auto" w:before="74"/>
        <w:ind w:right="2162" w:firstLine="422"/>
        <w:jc w:val="left"/>
      </w:pPr>
      <w:r>
        <w:rPr/>
        <w:t>在财务报表中以公允价值计量或披露的资产和负债，根据对公允价值计量整体而言具有重要意义的最低 层次输入值，</w:t>
      </w:r>
      <w:r>
        <w:rPr>
          <w:spacing w:val="1"/>
        </w:rPr>
        <w:t> </w:t>
      </w:r>
      <w:r>
        <w:rPr/>
        <w:t>确定所属的公允价值层次：第一层次输入值，是在计量日能够取得的相同资产或负债在活跃市</w:t>
      </w:r>
      <w:r>
        <w:rPr/>
        <w:t> </w:t>
      </w:r>
      <w:r>
        <w:rPr>
          <w:spacing w:val="-3"/>
        </w:rPr>
        <w:t>场上未经调整的报价；第二层次输入值，是除第一层次输入值外相关资产或负债直接或间接可观察的输入值</w:t>
      </w:r>
      <w:r>
        <w:rPr>
          <w:rFonts w:ascii="Times New Roman" w:hAnsi="Times New Roman" w:cs="Times New Roman" w:eastAsia="Times New Roman" w:hint="default"/>
          <w:spacing w:val="-3"/>
        </w:rPr>
        <w:t>[</w:t>
      </w:r>
      <w:r>
        <w:rPr>
          <w:spacing w:val="-3"/>
        </w:rPr>
        <w:t>包</w:t>
      </w:r>
      <w:r>
        <w:rPr>
          <w:spacing w:val="-52"/>
        </w:rPr>
        <w:t> </w:t>
      </w:r>
      <w:r>
        <w:rPr/>
        <w:t>括：活跃市场中有类似资产或负债的报价；</w:t>
      </w:r>
      <w:r>
        <w:rPr>
          <w:spacing w:val="2"/>
        </w:rPr>
        <w:t> </w:t>
      </w:r>
      <w:r>
        <w:rPr/>
        <w:t>非活跃市场中相同或类似资产或负债的报价；除报价以外的其他</w:t>
      </w:r>
      <w:r>
        <w:rPr/>
        <w:t> 可观察输入值，如在正常报价间隔期间可观察的利率和收益率曲线等</w:t>
      </w:r>
      <w:r>
        <w:rPr>
          <w:rFonts w:ascii="Times New Roman" w:hAnsi="Times New Roman" w:cs="Times New Roman" w:eastAsia="Times New Roman" w:hint="default"/>
        </w:rPr>
        <w:t>]</w:t>
      </w:r>
      <w:r>
        <w:rPr/>
        <w:t>；第三层次输入值，是相关资产或负债 </w:t>
      </w:r>
      <w:r>
        <w:rPr>
          <w:spacing w:val="-1"/>
        </w:rPr>
        <w:t>的不可观察输入值。每个资产负债表日，本公司对在财务报表中确认的持续以公允价值计量的资产和负债进行</w:t>
      </w:r>
      <w:r>
        <w:rPr/>
        <w:t> 重新评估，以确定是否在公允价值计量层次之间发生转换</w:t>
      </w:r>
    </w:p>
    <w:p>
      <w:pPr>
        <w:spacing w:after="0" w:line="312" w:lineRule="auto"/>
        <w:jc w:val="left"/>
        <w:sectPr>
          <w:footerReference w:type="default" r:id="rId22"/>
          <w:pgSz w:w="11910" w:h="16840"/>
          <w:pgMar w:footer="1294" w:header="786" w:top="1100" w:bottom="1480" w:left="980" w:right="0"/>
          <w:pgNumType w:start="120"/>
        </w:sectPr>
      </w:pPr>
    </w:p>
    <w:p>
      <w:pPr>
        <w:spacing w:line="240" w:lineRule="auto" w:before="8"/>
        <w:rPr>
          <w:rFonts w:ascii="宋体" w:hAnsi="宋体" w:cs="宋体" w:eastAsia="宋体" w:hint="default"/>
          <w:sz w:val="22"/>
          <w:szCs w:val="22"/>
        </w:rPr>
      </w:pPr>
    </w:p>
    <w:p>
      <w:pPr>
        <w:pStyle w:val="BodyText"/>
        <w:spacing w:line="338" w:lineRule="auto" w:before="44"/>
        <w:ind w:right="1576"/>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）股份回购</w:t>
      </w:r>
      <w:r>
        <w:rPr>
          <w:rFonts w:ascii="宋体" w:hAnsi="宋体" w:cs="宋体" w:eastAsia="宋体" w:hint="default"/>
          <w:b/>
          <w:bCs/>
          <w:w w:val="99"/>
        </w:rPr>
        <w:t> </w:t>
      </w:r>
      <w:r>
        <w:rPr/>
        <w:t>因减少注册资本或奖励职工等原因收购本公司股份的，按实际支付的金额作为库存股处理，同时进行备查登</w:t>
      </w:r>
      <w:r>
        <w:rPr>
          <w:spacing w:val="-45"/>
        </w:rPr>
        <w:t> </w:t>
      </w:r>
      <w:r>
        <w:rPr>
          <w:spacing w:val="-45"/>
        </w:rPr>
      </w:r>
      <w:r>
        <w:rPr/>
        <w:t>记。如果将回购的股份注销，则将按注销股票面值和注销股数计算的股票面值总额与实际回购所支付的金额</w:t>
      </w:r>
    </w:p>
    <w:p>
      <w:pPr>
        <w:pStyle w:val="BodyText"/>
        <w:spacing w:line="316" w:lineRule="auto" w:before="2"/>
        <w:ind w:right="2268"/>
        <w:jc w:val="both"/>
      </w:pPr>
      <w:r>
        <w:rPr/>
        <w:t>之间的差额冲减资本公积，资本公积不足冲减的，冲减留存收益；如果将回购的股份奖励给本公司职工属于</w:t>
      </w:r>
      <w:r>
        <w:rPr>
          <w:spacing w:val="-51"/>
        </w:rPr>
        <w:t> </w:t>
      </w:r>
      <w:r>
        <w:rPr>
          <w:spacing w:val="-51"/>
        </w:rPr>
      </w:r>
      <w:r>
        <w:rPr/>
        <w:t>以权益结算的股份支付，于职工行权购买本公司股份收到价款时，转销交付职工的库存股成本和等待期内资</w:t>
      </w:r>
      <w:r>
        <w:rPr>
          <w:spacing w:val="-51"/>
        </w:rPr>
        <w:t> </w:t>
      </w:r>
      <w:r>
        <w:rPr>
          <w:spacing w:val="-51"/>
        </w:rPr>
      </w:r>
      <w:r>
        <w:rPr/>
        <w:t>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累计金额，同时，按照其差额调整资本公积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pStyle w:val="Heading5"/>
        <w:spacing w:line="240" w:lineRule="auto" w:before="1"/>
        <w:ind w:right="1117"/>
        <w:jc w:val="left"/>
        <w:rPr>
          <w:b w:val="0"/>
          <w:bCs w:val="0"/>
        </w:rPr>
      </w:pPr>
      <w:r>
        <w:rPr/>
        <w:t>（</w:t>
      </w:r>
      <w:r>
        <w:rPr>
          <w:rFonts w:ascii="Times New Roman" w:hAnsi="Times New Roman" w:cs="Times New Roman" w:eastAsia="Times New Roman" w:hint="default"/>
        </w:rPr>
        <w:t>3</w:t>
      </w:r>
      <w:r>
        <w:rPr/>
        <w:t>）库存股</w:t>
      </w:r>
      <w:r>
        <w:rPr>
          <w:b w:val="0"/>
          <w:bCs w:val="0"/>
        </w:rPr>
      </w:r>
    </w:p>
    <w:p>
      <w:pPr>
        <w:pStyle w:val="BodyText"/>
        <w:spacing w:line="314" w:lineRule="auto" w:before="125"/>
        <w:ind w:right="1117" w:firstLine="420"/>
        <w:jc w:val="left"/>
      </w:pPr>
      <w:r>
        <w:rPr>
          <w:spacing w:val="-1"/>
        </w:rPr>
        <w:t>本公司回购的股份在注销或者转让之前，作为库存股管理，回购股份的全部支出转作库存股成本。股份</w:t>
      </w:r>
      <w:r>
        <w:rPr/>
        <w:t> 回购中支付的对价和交易费用减少所有者权益，回购、转让或注销本公司股份时，不确认利得或损失。</w:t>
      </w:r>
    </w:p>
    <w:p>
      <w:pPr>
        <w:pStyle w:val="BodyText"/>
        <w:spacing w:line="319" w:lineRule="auto" w:before="40"/>
        <w:ind w:right="2262" w:firstLine="420"/>
        <w:jc w:val="both"/>
      </w:pPr>
      <w:r>
        <w:rPr>
          <w:spacing w:val="-1"/>
        </w:rPr>
        <w:t>转让库存股，按实际收到的金额与库存股账面金额的差额，计入资本公积，资本公积不足冲减的，冲减</w:t>
      </w:r>
      <w:r>
        <w:rPr/>
        <w:t> 盈余公积和未分配利润。注销库存股，按股票面值和注销股数减少股本，按注销库存股的账面余额与面值的</w:t>
      </w:r>
      <w:r>
        <w:rPr>
          <w:spacing w:val="-57"/>
        </w:rPr>
        <w:t> </w:t>
      </w:r>
      <w:r>
        <w:rPr>
          <w:spacing w:val="-57"/>
        </w:rPr>
      </w:r>
      <w:r>
        <w:rPr/>
        <w:t>差额，冲减资本公积，资本公积不足冲减的，冲减盈余公积和未分配利润。</w:t>
      </w:r>
    </w:p>
    <w:p>
      <w:pPr>
        <w:pStyle w:val="Heading5"/>
        <w:spacing w:line="240" w:lineRule="auto" w:before="17"/>
        <w:ind w:right="1117"/>
        <w:jc w:val="left"/>
        <w:rPr>
          <w:b w:val="0"/>
          <w:bCs w:val="0"/>
        </w:rPr>
      </w:pPr>
      <w:r>
        <w:rPr/>
        <w:t>（</w:t>
      </w:r>
      <w:r>
        <w:rPr>
          <w:rFonts w:ascii="Times New Roman" w:hAnsi="Times New Roman" w:cs="Times New Roman" w:eastAsia="Times New Roman" w:hint="default"/>
        </w:rPr>
        <w:t>4</w:t>
      </w:r>
      <w:r>
        <w:rPr/>
        <w:t>）限制性股票</w:t>
      </w:r>
      <w:r>
        <w:rPr>
          <w:b w:val="0"/>
          <w:bCs w:val="0"/>
        </w:rPr>
      </w:r>
    </w:p>
    <w:p>
      <w:pPr>
        <w:pStyle w:val="BodyText"/>
        <w:spacing w:line="312" w:lineRule="auto" w:before="125"/>
        <w:ind w:right="1117" w:firstLine="420"/>
        <w:jc w:val="left"/>
      </w:pPr>
      <w:r>
        <w:rPr/>
        <w:t>股权激励计划中，本公司授予被激励对象限制性股票，被激励对象先认购股票，如果后续未达到股权激 励计划规定的解锁条件，则本公司按照事先约定的价格回购股票。向职工发行的限制性股票按有关规定履行</w:t>
      </w:r>
      <w:r>
        <w:rPr>
          <w:spacing w:val="-33"/>
        </w:rPr>
        <w:t> </w:t>
      </w:r>
      <w:r>
        <w:rPr>
          <w:spacing w:val="-33"/>
        </w:rPr>
      </w:r>
      <w:r>
        <w:rPr/>
        <w:t>了注册登记等增资手续的，在授予日，本公司根据收到的职工缴纳的认股款确认股本和资本公积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r>
        <w:rPr>
          <w:spacing w:val="-57"/>
        </w:rPr>
        <w:t> </w:t>
      </w:r>
      <w:r>
        <w:rPr/>
        <w:t>同时就回购义务确认库存股和其他应付款。</w:t>
      </w:r>
    </w:p>
    <w:p>
      <w:pPr>
        <w:pStyle w:val="Heading5"/>
        <w:spacing w:line="240" w:lineRule="auto" w:before="22"/>
        <w:ind w:right="1117"/>
        <w:jc w:val="left"/>
        <w:rPr>
          <w:b w:val="0"/>
          <w:bCs w:val="0"/>
        </w:rPr>
      </w:pPr>
      <w:r>
        <w:rPr/>
        <w:t>（</w:t>
      </w:r>
      <w:r>
        <w:rPr>
          <w:rFonts w:ascii="Times New Roman" w:hAnsi="Times New Roman" w:cs="Times New Roman" w:eastAsia="Times New Roman" w:hint="default"/>
        </w:rPr>
        <w:t>5</w:t>
      </w:r>
      <w:r>
        <w:rPr/>
        <w:t>）终止经营</w:t>
      </w:r>
      <w:r>
        <w:rPr>
          <w:b w:val="0"/>
          <w:bCs w:val="0"/>
        </w:rPr>
      </w:r>
    </w:p>
    <w:p>
      <w:pPr>
        <w:pStyle w:val="BodyText"/>
        <w:spacing w:line="360" w:lineRule="auto" w:before="125"/>
        <w:ind w:left="506" w:right="1040" w:hanging="301"/>
        <w:jc w:val="left"/>
      </w:pPr>
      <w:r>
        <w:rPr>
          <w:rFonts w:ascii="Times New Roman" w:hAnsi="Times New Roman" w:cs="Times New Roman" w:eastAsia="Times New Roman" w:hint="default"/>
        </w:rPr>
        <w:t>1</w:t>
      </w:r>
      <w:r>
        <w:rPr/>
        <w:t>．终止经营的条件 终止经营，是指公司满足下列条件之一的、能够单独区分的组成部分，且该组成部分已经处置或划分为持有待售类别：</w:t>
      </w:r>
    </w:p>
    <w:p>
      <w:pPr>
        <w:pStyle w:val="BodyText"/>
        <w:spacing w:line="360" w:lineRule="auto" w:before="61"/>
        <w:ind w:left="205" w:right="2211" w:firstLine="5"/>
        <w:jc w:val="left"/>
      </w:pPr>
      <w:r>
        <w:rPr>
          <w:rFonts w:ascii="Times New Roman" w:hAnsi="Times New Roman" w:cs="Times New Roman" w:eastAsia="Times New Roman" w:hint="default"/>
        </w:rPr>
        <w:t>(1)</w:t>
      </w:r>
      <w:r>
        <w:rPr/>
        <w:t>该组成部分代表一项独立的主要业务或一个单独的主要经营地区；</w:t>
      </w:r>
      <w:r>
        <w:rPr>
          <w:w w:val="99"/>
        </w:rPr>
        <w:t> </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r>
        <w:rPr>
          <w:w w:val="99"/>
        </w:rPr>
        <w:t> </w:t>
      </w:r>
      <w:r>
        <w:rPr>
          <w:rFonts w:ascii="Times New Roman" w:hAnsi="Times New Roman" w:cs="Times New Roman" w:eastAsia="Times New Roman" w:hint="default"/>
        </w:rPr>
        <w:t>(3)</w:t>
      </w:r>
      <w:r>
        <w:rPr/>
        <w:t>该组成部分是专为转售而取得</w:t>
      </w:r>
    </w:p>
    <w:p>
      <w:pPr>
        <w:pStyle w:val="BodyText"/>
        <w:spacing w:line="199" w:lineRule="exact"/>
        <w:ind w:left="205" w:right="1117"/>
        <w:jc w:val="left"/>
      </w:pPr>
      <w:r>
        <w:rPr/>
        <w:t>的子公司。</w:t>
      </w:r>
    </w:p>
    <w:p>
      <w:pPr>
        <w:pStyle w:val="BodyText"/>
        <w:spacing w:line="316" w:lineRule="auto" w:before="139"/>
        <w:ind w:left="335" w:right="1117" w:hanging="131"/>
        <w:jc w:val="left"/>
      </w:pPr>
      <w:r>
        <w:rPr>
          <w:rFonts w:ascii="Times New Roman" w:hAnsi="Times New Roman" w:cs="Times New Roman" w:eastAsia="Times New Roman" w:hint="default"/>
        </w:rPr>
        <w:t>2</w:t>
      </w:r>
      <w:r>
        <w:rPr/>
        <w:t>．终止经营的列报 拟结束使用而非出售的处置组满足终止经营定义中有关组成部分的，自停止使用日起作为终止经营列报； 因出售对子公司的投资等原因导致其丧失对子公司控制权，且该子公司符合终止经营定义的，在合并报表 中列报相关终止经营损益；在利润表中将终止经营处置损益的调整金额作为终止经营损益列报。</w:t>
      </w:r>
    </w:p>
    <w:p>
      <w:pPr>
        <w:pStyle w:val="BodyText"/>
        <w:spacing w:line="319" w:lineRule="auto" w:before="64"/>
        <w:ind w:right="2268" w:firstLine="182"/>
        <w:jc w:val="both"/>
      </w:pPr>
      <w:r>
        <w:rPr/>
        <w:t>非流动资产或处置组不再划分为持有待售类别或非流动资产从持有待售的处置组中移除的，公司在当期利 润表中将非流动资产或处置组的账面价值调整金额作为持续经营损益列报。公司的子公司、共同经营、合营</w:t>
      </w:r>
      <w:r>
        <w:rPr>
          <w:spacing w:val="-51"/>
        </w:rPr>
        <w:t> </w:t>
      </w:r>
      <w:r>
        <w:rPr>
          <w:spacing w:val="-51"/>
        </w:rPr>
      </w:r>
      <w:r>
        <w:rPr/>
        <w:t>企业、联营企业以及部分对合营企业或联营企业的投资不再继续划分为持有待售类别或从持有待售的处置组</w:t>
      </w:r>
      <w:r>
        <w:rPr>
          <w:spacing w:val="-51"/>
        </w:rPr>
        <w:t> </w:t>
      </w:r>
      <w:r>
        <w:rPr>
          <w:spacing w:val="-51"/>
        </w:rPr>
      </w:r>
      <w:r>
        <w:rPr/>
        <w:t>中移除的，公司在当期财务报表中相应调整各个划分为持有待售类别后可比会计期间的比较数据。</w:t>
      </w:r>
    </w:p>
    <w:p>
      <w:pPr>
        <w:pStyle w:val="BodyText"/>
        <w:spacing w:line="316" w:lineRule="auto" w:before="62"/>
        <w:ind w:right="2263" w:firstLine="274"/>
        <w:jc w:val="both"/>
      </w:pPr>
      <w:r>
        <w:rPr>
          <w:spacing w:val="-2"/>
        </w:rPr>
        <w:t>不符合终止经营定义的持有待售的非流动资产或处置组，其减值损失或转回金额及处置损益作为持续经营</w:t>
      </w:r>
      <w:r>
        <w:rPr/>
        <w:t> 损益列报。终止经营的减值损失或转回金额等经营损益及处置损益作为终止经营损益列报。</w:t>
      </w:r>
    </w:p>
    <w:p>
      <w:pPr>
        <w:pStyle w:val="BodyText"/>
        <w:spacing w:line="316" w:lineRule="auto" w:before="19"/>
        <w:ind w:right="1133" w:firstLine="274"/>
        <w:jc w:val="both"/>
      </w:pPr>
      <w:r>
        <w:rPr/>
        <w:t>对于当期列报的终止经营，公司在当期财务报表中，将原来作为持续经营损益列报的信息重新作为可比会计期间的终止 </w:t>
      </w:r>
      <w:r>
        <w:rPr>
          <w:spacing w:val="-2"/>
        </w:rPr>
        <w:t>经营损益列报。终止经营不再满足持有待售类别划分条件的，公司在当期财务报表中，将原来作为终止经营损益列报的信息</w:t>
      </w:r>
      <w:r>
        <w:rPr>
          <w:spacing w:val="-66"/>
        </w:rPr>
        <w:t> </w:t>
      </w:r>
      <w:r>
        <w:rPr>
          <w:spacing w:val="-66"/>
        </w:rPr>
      </w:r>
      <w:r>
        <w:rPr/>
        <w:t>重新作为可比会计期间的持续经营损益列报。</w:t>
      </w:r>
    </w:p>
    <w:p>
      <w:pPr>
        <w:spacing w:after="0" w:line="316" w:lineRule="auto"/>
        <w:jc w:val="both"/>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79"/>
      </w:tblGrid>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00" w:lineRule="auto" w:before="8"/>
        <w:ind w:left="573" w:right="1125" w:hanging="421"/>
        <w:jc w:val="left"/>
      </w:pPr>
      <w:r>
        <w:rPr>
          <w:rFonts w:ascii="Times New Roman" w:hAnsi="Times New Roman" w:cs="Times New Roman" w:eastAsia="Times New Roman" w:hint="default"/>
        </w:rPr>
        <w:t>(1)</w:t>
      </w:r>
      <w:r>
        <w:rPr/>
        <w:t>因企业会计准则及其他法律法规修订引起的会计政策变更</w:t>
      </w:r>
      <w:r>
        <w:rPr>
          <w:w w:val="99"/>
        </w:rPr>
        <w:t> </w:t>
      </w:r>
      <w:r>
        <w:rPr>
          <w:rFonts w:ascii="Times New Roman" w:hAnsi="Times New Roman" w:cs="Times New Roman" w:eastAsia="Times New Roman" w:hint="default"/>
        </w:rPr>
        <w:t>1)</w:t>
      </w:r>
      <w:r>
        <w:rPr/>
        <w:t>执行《财政部关于修订印发</w:t>
      </w:r>
      <w:r>
        <w:rPr>
          <w:rFonts w:ascii="Times New Roman" w:hAnsi="Times New Roman" w:cs="Times New Roman" w:eastAsia="Times New Roman" w:hint="default"/>
        </w:rPr>
        <w:t>2018</w:t>
      </w:r>
      <w:r>
        <w:rPr/>
        <w:t>年度一般企业财务报表格式的通知》</w:t>
      </w:r>
      <w:r>
        <w:rPr>
          <w:w w:val="99"/>
        </w:rPr>
        <w:t> </w:t>
      </w:r>
      <w:r>
        <w:rPr>
          <w:spacing w:val="-1"/>
        </w:rPr>
        <w:t>财政部于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日发布了《财政部关于修订印发</w:t>
      </w:r>
      <w:r>
        <w:rPr>
          <w:rFonts w:ascii="Times New Roman" w:hAnsi="Times New Roman" w:cs="Times New Roman" w:eastAsia="Times New Roman" w:hint="default"/>
          <w:spacing w:val="-1"/>
        </w:rPr>
        <w:t>2018</w:t>
      </w:r>
      <w:r>
        <w:rPr>
          <w:spacing w:val="-1"/>
        </w:rPr>
        <w:t>年度一般企业财务报表格式的通知》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[2018]15</w:t>
      </w:r>
      <w:r>
        <w:rPr>
          <w:spacing w:val="-1"/>
        </w:rPr>
        <w:t>号，以下</w:t>
      </w:r>
    </w:p>
    <w:p>
      <w:pPr>
        <w:pStyle w:val="BodyText"/>
        <w:spacing w:line="300" w:lineRule="auto" w:before="13"/>
        <w:ind w:right="1117"/>
        <w:jc w:val="left"/>
      </w:pPr>
      <w:r>
        <w:rPr>
          <w:spacing w:val="-1"/>
        </w:rPr>
        <w:t>简称</w:t>
      </w:r>
      <w:r>
        <w:rPr>
          <w:rFonts w:ascii="Times New Roman" w:hAnsi="Times New Roman" w:cs="Times New Roman" w:eastAsia="Times New Roman" w:hint="default"/>
          <w:spacing w:val="-1"/>
        </w:rPr>
        <w:t>“</w:t>
      </w:r>
      <w:r>
        <w:rPr>
          <w:spacing w:val="-1"/>
        </w:rPr>
        <w:t>新修订的财务报表格式</w:t>
      </w:r>
      <w:r>
        <w:rPr>
          <w:rFonts w:ascii="Times New Roman" w:hAnsi="Times New Roman" w:cs="Times New Roman" w:eastAsia="Times New Roman" w:hint="default"/>
          <w:spacing w:val="-1"/>
        </w:rPr>
        <w:t>”)</w:t>
      </w:r>
      <w:r>
        <w:rPr>
          <w:spacing w:val="-1"/>
        </w:rPr>
        <w:t>。新修订的财务报表格式主要将资产负债表中的部分项目合并列报，在利润表中将原</w:t>
      </w:r>
      <w:r>
        <w:rPr>
          <w:rFonts w:ascii="Times New Roman" w:hAnsi="Times New Roman" w:cs="Times New Roman" w:eastAsia="Times New Roman" w:hint="default"/>
          <w:spacing w:val="-1"/>
        </w:rPr>
        <w:t>“</w:t>
      </w:r>
      <w:r>
        <w:rPr>
          <w:spacing w:val="-1"/>
        </w:rPr>
        <w:t>管理费</w:t>
      </w:r>
      <w:r>
        <w:rPr>
          <w:spacing w:val="-57"/>
        </w:rPr>
        <w:t> </w:t>
      </w:r>
      <w:r>
        <w:rPr>
          <w:spacing w:val="-57"/>
        </w:rPr>
      </w:r>
      <w:r>
        <w:rPr/>
        <w:t>用</w:t>
      </w:r>
      <w:r>
        <w:rPr>
          <w:rFonts w:ascii="Times New Roman" w:hAnsi="Times New Roman" w:cs="Times New Roman" w:eastAsia="Times New Roman" w:hint="default"/>
        </w:rPr>
        <w:t>”</w:t>
      </w:r>
      <w:r>
        <w:rPr/>
        <w:t>中的研发费用分拆单独列示，新增</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项目，反映企业进行研究与开发过程中发生的费用化支出。</w:t>
      </w:r>
    </w:p>
    <w:p>
      <w:pPr>
        <w:pStyle w:val="BodyText"/>
        <w:spacing w:line="300" w:lineRule="auto" w:before="13"/>
        <w:ind w:right="1128" w:firstLine="420"/>
        <w:jc w:val="both"/>
      </w:pPr>
      <w:r>
        <w:rPr>
          <w:spacing w:val="-1"/>
        </w:rPr>
        <w:t>本公司按照《企业会计准则第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财务报表列报》等相关规定，对此项会计政策变更采用追溯调整法，</w:t>
      </w:r>
      <w:r>
        <w:rPr>
          <w:rFonts w:ascii="Times New Roman" w:hAnsi="Times New Roman" w:cs="Times New Roman" w:eastAsia="Times New Roman" w:hint="default"/>
          <w:spacing w:val="-1"/>
        </w:rPr>
        <w:t>2018/2017</w:t>
      </w:r>
      <w:r>
        <w:rPr>
          <w:rFonts w:ascii="Times New Roman" w:hAnsi="Times New Roman" w:cs="Times New Roman" w:eastAsia="Times New Roman" w:hint="default"/>
        </w:rPr>
        <w:t> </w:t>
      </w:r>
      <w:r>
        <w:rPr/>
        <w:t>年度比较财务报表已重新表述。对</w:t>
      </w:r>
      <w:r>
        <w:rPr>
          <w:rFonts w:ascii="Times New Roman" w:hAnsi="Times New Roman" w:cs="Times New Roman" w:eastAsia="Times New Roman" w:hint="default"/>
        </w:rPr>
        <w:t>2017</w:t>
      </w:r>
      <w:r>
        <w:rPr/>
        <w:t>年度合并财务报表相关损益项目的影响为增加</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”41,617,264.60</w:t>
      </w:r>
      <w:r>
        <w:rPr/>
        <w:t>元，减少</w:t>
      </w:r>
      <w:r>
        <w:rPr>
          <w:rFonts w:ascii="Times New Roman" w:hAnsi="Times New Roman" w:cs="Times New Roman" w:eastAsia="Times New Roman" w:hint="default"/>
        </w:rPr>
        <w:t>“</w:t>
      </w:r>
      <w:r>
        <w:rPr/>
        <w:t>管</w:t>
      </w:r>
      <w:r>
        <w:rPr>
          <w:spacing w:val="-17"/>
        </w:rPr>
        <w:t> </w:t>
      </w:r>
      <w:r>
        <w:rPr/>
        <w:t>理费用</w:t>
      </w:r>
      <w:r>
        <w:rPr>
          <w:rFonts w:ascii="Times New Roman" w:hAnsi="Times New Roman" w:cs="Times New Roman" w:eastAsia="Times New Roman" w:hint="default"/>
        </w:rPr>
        <w:t>”41,617,264.60</w:t>
      </w:r>
      <w:r>
        <w:rPr/>
        <w:t>元；对</w:t>
      </w:r>
      <w:r>
        <w:rPr>
          <w:rFonts w:ascii="Times New Roman" w:hAnsi="Times New Roman" w:cs="Times New Roman" w:eastAsia="Times New Roman" w:hint="default"/>
        </w:rPr>
        <w:t>2017</w:t>
      </w:r>
      <w:r>
        <w:rPr/>
        <w:t>年度母公司财务报表相关损益项目的影响为增加</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”15,005,823.66</w:t>
      </w:r>
      <w:r>
        <w:rPr/>
        <w:t>元，减少</w:t>
      </w:r>
      <w:r>
        <w:rPr>
          <w:rFonts w:ascii="Times New Roman" w:hAnsi="Times New Roman" w:cs="Times New Roman" w:eastAsia="Times New Roman" w:hint="default"/>
        </w:rPr>
        <w:t>“</w:t>
      </w:r>
      <w:r>
        <w:rPr/>
        <w:t>管理费</w:t>
      </w:r>
      <w:r>
        <w:rPr>
          <w:spacing w:val="-52"/>
        </w:rPr>
        <w:t> </w:t>
      </w:r>
      <w:r>
        <w:rPr/>
        <w:t>用</w:t>
      </w:r>
      <w:r>
        <w:rPr>
          <w:rFonts w:ascii="Times New Roman" w:hAnsi="Times New Roman" w:cs="Times New Roman" w:eastAsia="Times New Roman" w:hint="default"/>
        </w:rPr>
        <w:t>”15,005,823.66</w:t>
      </w:r>
      <w:r>
        <w:rPr/>
        <w:t>元。</w:t>
      </w:r>
    </w:p>
    <w:p>
      <w:pPr>
        <w:pStyle w:val="BodyText"/>
        <w:spacing w:line="300" w:lineRule="auto" w:before="13"/>
        <w:ind w:left="573" w:right="1033"/>
        <w:jc w:val="left"/>
      </w:pPr>
      <w:r>
        <w:rPr>
          <w:rFonts w:ascii="Times New Roman" w:hAnsi="Times New Roman" w:cs="Times New Roman" w:eastAsia="Times New Roman" w:hint="default"/>
        </w:rPr>
        <w:t>2)</w:t>
      </w:r>
      <w:r>
        <w:rPr/>
        <w:t>执行财政部发布的《关于</w:t>
      </w:r>
      <w:r>
        <w:rPr>
          <w:rFonts w:ascii="Times New Roman" w:hAnsi="Times New Roman" w:cs="Times New Roman" w:eastAsia="Times New Roman" w:hint="default"/>
        </w:rPr>
        <w:t>2018</w:t>
      </w:r>
      <w:r>
        <w:rPr/>
        <w:t>年度一般企业财务报表格式有关问题的解读》</w:t>
      </w:r>
      <w:r>
        <w:rPr>
          <w:w w:val="99"/>
        </w:rPr>
        <w:t> </w:t>
      </w:r>
      <w:r>
        <w:rPr/>
        <w:t>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日发布了《关于</w:t>
      </w:r>
      <w:r>
        <w:rPr>
          <w:rFonts w:ascii="Times New Roman" w:hAnsi="Times New Roman" w:cs="Times New Roman" w:eastAsia="Times New Roman" w:hint="default"/>
        </w:rPr>
        <w:t>2018</w:t>
      </w:r>
      <w:r>
        <w:rPr/>
        <w:t>年度一般企业财务报表格式有关问题的解读》</w:t>
      </w:r>
      <w:r>
        <w:rPr>
          <w:rFonts w:ascii="Times New Roman" w:hAnsi="Times New Roman" w:cs="Times New Roman" w:eastAsia="Times New Roman" w:hint="default"/>
        </w:rPr>
        <w:t>(</w:t>
      </w:r>
      <w:r>
        <w:rPr/>
        <w:t>以下简称《解读》</w:t>
      </w:r>
      <w:r>
        <w:rPr>
          <w:rFonts w:ascii="Times New Roman" w:hAnsi="Times New Roman" w:cs="Times New Roman" w:eastAsia="Times New Roman" w:hint="default"/>
        </w:rPr>
        <w:t>)</w:t>
      </w:r>
      <w:r>
        <w:rPr/>
        <w:t>。《解读》</w:t>
      </w:r>
    </w:p>
    <w:p>
      <w:pPr>
        <w:pStyle w:val="BodyText"/>
        <w:spacing w:line="309" w:lineRule="auto" w:before="13"/>
        <w:ind w:right="1117"/>
        <w:jc w:val="left"/>
      </w:pPr>
      <w:r>
        <w:rPr>
          <w:spacing w:val="-2"/>
        </w:rPr>
        <w:t>规定：企业作为个人所得税的扣缴义务人，根据《中华人民共和国个人所得税法》收到的扣缴税款手续费，应作为其他与日</w:t>
      </w:r>
      <w:r>
        <w:rPr>
          <w:spacing w:val="-67"/>
        </w:rPr>
        <w:t> </w:t>
      </w:r>
      <w:r>
        <w:rPr>
          <w:spacing w:val="-67"/>
        </w:rPr>
      </w:r>
      <w:r>
        <w:rPr>
          <w:spacing w:val="-2"/>
        </w:rPr>
        <w:t>常活动相关的项目在利润表的</w:t>
      </w:r>
      <w:r>
        <w:rPr>
          <w:rFonts w:ascii="Times New Roman" w:hAnsi="Times New Roman" w:cs="Times New Roman" w:eastAsia="Times New Roman" w:hint="default"/>
          <w:spacing w:val="-2"/>
        </w:rPr>
        <w:t>“</w:t>
      </w:r>
      <w:r>
        <w:rPr>
          <w:spacing w:val="-2"/>
        </w:rPr>
        <w:t>其他收益</w:t>
      </w:r>
      <w:r>
        <w:rPr>
          <w:rFonts w:ascii="Times New Roman" w:hAnsi="Times New Roman" w:cs="Times New Roman" w:eastAsia="Times New Roman" w:hint="default"/>
          <w:spacing w:val="-2"/>
        </w:rPr>
        <w:t>”</w:t>
      </w:r>
      <w:r>
        <w:rPr>
          <w:spacing w:val="-2"/>
        </w:rPr>
        <w:t>项目中填列；企业实际收到的政府补助，无论是与资产相关还是与收益相关，在编</w:t>
      </w:r>
      <w:r>
        <w:rPr>
          <w:spacing w:val="-46"/>
        </w:rPr>
        <w:t> </w:t>
      </w:r>
      <w:r>
        <w:rPr>
          <w:spacing w:val="-46"/>
        </w:rPr>
      </w:r>
      <w:r>
        <w:rPr/>
        <w:t>制现金流量表时均作为经营活动产生的现金流量列报。 此项会计政策变更，未对本公司</w:t>
      </w:r>
      <w:r>
        <w:rPr>
          <w:rFonts w:ascii="Times New Roman" w:hAnsi="Times New Roman" w:cs="Times New Roman" w:eastAsia="Times New Roman" w:hint="default"/>
        </w:rPr>
        <w:t>2018/2017</w:t>
      </w:r>
      <w:r>
        <w:rPr/>
        <w:t>年度合并及母公司财务报表的损益项目、现金流量表项目产生影响。 </w:t>
      </w:r>
      <w:r>
        <w:rPr>
          <w:rFonts w:ascii="Times New Roman" w:hAnsi="Times New Roman" w:cs="Times New Roman" w:eastAsia="Times New Roman" w:hint="default"/>
        </w:rPr>
        <w:t>(2)</w:t>
      </w:r>
      <w:r>
        <w:rPr/>
        <w:t>企业自行变更会计政策</w:t>
      </w:r>
    </w:p>
    <w:p>
      <w:pPr>
        <w:pStyle w:val="BodyText"/>
        <w:spacing w:line="240" w:lineRule="auto" w:before="5"/>
        <w:ind w:left="453" w:right="1117"/>
        <w:jc w:val="left"/>
      </w:pPr>
      <w:r>
        <w:rPr/>
        <w:t>本期公司无自行变更会计政策事项。</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spacing w:line="487" w:lineRule="auto" w:before="0"/>
        <w:ind w:left="152" w:right="89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91"/>
        <w:gridCol w:w="3167"/>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4"/>
              <w:jc w:val="center"/>
              <w:rPr>
                <w:rFonts w:ascii="宋体" w:hAnsi="宋体" w:cs="宋体" w:eastAsia="宋体" w:hint="default"/>
                <w:sz w:val="18"/>
                <w:szCs w:val="18"/>
              </w:rPr>
            </w:pPr>
            <w:r>
              <w:rPr>
                <w:rFonts w:ascii="宋体" w:hAnsi="宋体" w:cs="宋体" w:eastAsia="宋体" w:hint="default"/>
                <w:sz w:val="18"/>
                <w:szCs w:val="18"/>
              </w:rPr>
              <w:t>税种</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1" w:type="dxa"/>
            <w:tcBorders>
              <w:top w:val="single" w:sz="4" w:space="0" w:color="000000"/>
              <w:left w:val="single" w:sz="4" w:space="0" w:color="000000"/>
              <w:bottom w:val="nil" w:sz="6" w:space="0" w:color="auto"/>
              <w:right w:val="single" w:sz="10" w:space="0" w:color="CCE8CF"/>
            </w:tcBorders>
            <w:shd w:val="clear" w:color="auto" w:fill="D2D2D2"/>
          </w:tcPr>
          <w:p>
            <w:pPr/>
          </w:p>
        </w:tc>
        <w:tc>
          <w:tcPr>
            <w:tcW w:w="3167" w:type="dxa"/>
            <w:vMerge w:val="restart"/>
            <w:tcBorders>
              <w:top w:val="single" w:sz="4" w:space="0" w:color="000000"/>
              <w:left w:val="single" w:sz="9" w:space="0" w:color="D2D2D2"/>
              <w:right w:val="single" w:sz="4" w:space="0" w:color="000000"/>
            </w:tcBorders>
            <w:shd w:val="clear" w:color="auto" w:fill="CCE8CF"/>
          </w:tcPr>
          <w:p>
            <w:pPr>
              <w:pStyle w:val="TableParagraph"/>
              <w:spacing w:line="316" w:lineRule="auto" w:before="49"/>
              <w:ind w:left="6" w:right="83"/>
              <w:jc w:val="left"/>
              <w:rPr>
                <w:rFonts w:ascii="宋体" w:hAnsi="宋体" w:cs="宋体" w:eastAsia="宋体" w:hint="default"/>
                <w:sz w:val="18"/>
                <w:szCs w:val="18"/>
              </w:rPr>
            </w:pPr>
            <w:r>
              <w:rPr>
                <w:rFonts w:ascii="宋体" w:hAnsi="宋体" w:cs="宋体" w:eastAsia="宋体" w:hint="default"/>
                <w:sz w:val="18"/>
                <w:szCs w:val="18"/>
              </w:rPr>
              <w:t>销售货物或提供应税劳务过程中产生的 增值额</w:t>
            </w:r>
          </w:p>
        </w:tc>
        <w:tc>
          <w:tcPr>
            <w:tcW w:w="3190"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4" w:hRule="exact"/>
        </w:trPr>
        <w:tc>
          <w:tcPr>
            <w:tcW w:w="3191" w:type="dxa"/>
            <w:tcBorders>
              <w:top w:val="nil" w:sz="6" w:space="0" w:color="auto"/>
              <w:left w:val="single" w:sz="4" w:space="0" w:color="000000"/>
              <w:bottom w:val="nil" w:sz="6" w:space="0" w:color="auto"/>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67" w:type="dxa"/>
            <w:vMerge/>
            <w:tcBorders>
              <w:left w:val="single" w:sz="9" w:space="0" w:color="D2D2D2"/>
              <w:right w:val="single" w:sz="4" w:space="0" w:color="000000"/>
            </w:tcBorders>
            <w:shd w:val="clear" w:color="auto" w:fill="CCE8CF"/>
          </w:tcPr>
          <w:p>
            <w:pPr/>
          </w:p>
        </w:tc>
        <w:tc>
          <w:tcPr>
            <w:tcW w:w="319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9"/>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、免税等</w:t>
            </w:r>
          </w:p>
        </w:tc>
      </w:tr>
      <w:tr>
        <w:trPr>
          <w:trHeight w:val="161" w:hRule="exact"/>
        </w:trPr>
        <w:tc>
          <w:tcPr>
            <w:tcW w:w="3191" w:type="dxa"/>
            <w:tcBorders>
              <w:top w:val="nil" w:sz="6" w:space="0" w:color="auto"/>
              <w:left w:val="single" w:sz="4" w:space="0" w:color="000000"/>
              <w:bottom w:val="single" w:sz="4" w:space="0" w:color="000000"/>
              <w:right w:val="single" w:sz="10" w:space="0" w:color="CCE8CF"/>
            </w:tcBorders>
            <w:shd w:val="clear" w:color="auto" w:fill="D2D2D2"/>
          </w:tcPr>
          <w:p>
            <w:pPr/>
          </w:p>
        </w:tc>
        <w:tc>
          <w:tcPr>
            <w:tcW w:w="3167" w:type="dxa"/>
            <w:vMerge/>
            <w:tcBorders>
              <w:left w:val="single" w:sz="9" w:space="0" w:color="D2D2D2"/>
              <w:bottom w:val="single" w:sz="4" w:space="0" w:color="000000"/>
              <w:right w:val="single" w:sz="4" w:space="0" w:color="000000"/>
            </w:tcBorders>
            <w:shd w:val="clear" w:color="auto" w:fill="CCE8CF"/>
          </w:tcPr>
          <w:p>
            <w:pPr/>
          </w:p>
        </w:tc>
        <w:tc>
          <w:tcPr>
            <w:tcW w:w="3190"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401" w:hRule="exact"/>
        </w:trPr>
        <w:tc>
          <w:tcPr>
            <w:tcW w:w="3191"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67"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191"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67"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、免税</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CCE8CF"/>
          </w:tcPr>
          <w:p>
            <w:pPr/>
          </w:p>
        </w:tc>
        <w:tc>
          <w:tcPr>
            <w:tcW w:w="3167"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后余值的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67" w:type="dxa"/>
            <w:vMerge/>
            <w:tcBorders>
              <w:left w:val="single" w:sz="4" w:space="0" w:color="000000"/>
              <w:right w:val="single" w:sz="4" w:space="0" w:color="000000"/>
            </w:tcBorders>
            <w:shd w:val="clear" w:color="auto" w:fill="CCE8CF"/>
          </w:tcPr>
          <w:p>
            <w:pPr/>
          </w:p>
        </w:tc>
        <w:tc>
          <w:tcPr>
            <w:tcW w:w="319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1.2%</w:t>
            </w: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CCE8CF"/>
          </w:tcPr>
          <w:p>
            <w:pPr/>
          </w:p>
        </w:tc>
        <w:tc>
          <w:tcPr>
            <w:tcW w:w="3167" w:type="dxa"/>
            <w:vMerge/>
            <w:tcBorders>
              <w:left w:val="single" w:sz="4" w:space="0" w:color="000000"/>
              <w:bottom w:val="single" w:sz="4" w:space="0" w:color="000000"/>
              <w:right w:val="single" w:sz="4" w:space="0" w:color="000000"/>
            </w:tcBorders>
            <w:shd w:val="clear" w:color="auto" w:fill="CCE8CF"/>
          </w:tcPr>
          <w:p>
            <w:pPr/>
          </w:p>
        </w:tc>
        <w:tc>
          <w:tcPr>
            <w:tcW w:w="3190"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79"/>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pStyle w:val="BodyText"/>
        <w:spacing w:line="240" w:lineRule="auto" w:before="50"/>
        <w:ind w:right="1117"/>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高伟达软件股份有限公司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江苏高伟达信息技术有限公司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深圳市快读科技有限公司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上海睿民互联网科技有限公司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海南坚果创娱信息技术有限公司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Nuts Information Technology</w:t>
            </w:r>
            <w:r>
              <w:rPr>
                <w:rFonts w:ascii="Times New Roman"/>
                <w:spacing w:val="-30"/>
                <w:sz w:val="18"/>
              </w:rPr>
              <w:t> </w:t>
            </w:r>
            <w:r>
              <w:rPr>
                <w:rFonts w:ascii="Times New Roman"/>
                <w:sz w:val="18"/>
              </w:rPr>
              <w:t>CO.,Limited</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Nuts Information Technology</w:t>
            </w:r>
            <w:r>
              <w:rPr>
                <w:rFonts w:ascii="Times New Roman"/>
                <w:spacing w:val="-28"/>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霍尔果斯魔力果信息技术有限公司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喀什完美时空信息科技有限公司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喀什腾娱信息科技有限公司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喀什尚河信息科技有限公司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北京高伟达钽云科技有限公司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江苏盈达信息技术有限公司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4"/>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73" w:right="1117"/>
        <w:jc w:val="left"/>
      </w:pPr>
      <w:r>
        <w:rPr>
          <w:rFonts w:ascii="Times New Roman" w:hAnsi="Times New Roman" w:cs="Times New Roman" w:eastAsia="Times New Roman" w:hint="default"/>
        </w:rPr>
        <w:t>1</w:t>
      </w:r>
      <w:r>
        <w:rPr/>
        <w:t>．企业所得税 </w:t>
      </w:r>
      <w:r>
        <w:rPr>
          <w:spacing w:val="-2"/>
        </w:rPr>
        <w:t>根据《高新技术企业认定管理办法》（国科发火</w:t>
      </w:r>
      <w:r>
        <w:rPr>
          <w:rFonts w:ascii="Times New Roman" w:hAnsi="Times New Roman" w:cs="Times New Roman" w:eastAsia="Times New Roman" w:hint="default"/>
          <w:spacing w:val="-2"/>
        </w:rPr>
        <w:t>[2016]32</w:t>
      </w:r>
      <w:r>
        <w:rPr>
          <w:spacing w:val="-2"/>
        </w:rPr>
        <w:t>号）的规定，本公司于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日通过了高新技术企业资</w:t>
      </w:r>
    </w:p>
    <w:p>
      <w:pPr>
        <w:pStyle w:val="BodyText"/>
        <w:spacing w:line="300" w:lineRule="auto" w:before="13"/>
        <w:ind w:left="0" w:right="1128"/>
        <w:jc w:val="right"/>
      </w:pPr>
      <w:r>
        <w:rPr>
          <w:spacing w:val="-3"/>
        </w:rPr>
        <w:t>格复审，取得了</w:t>
      </w:r>
      <w:r>
        <w:rPr>
          <w:rFonts w:ascii="Times New Roman" w:hAnsi="Times New Roman" w:cs="Times New Roman" w:eastAsia="Times New Roman" w:hint="default"/>
          <w:spacing w:val="-3"/>
        </w:rPr>
        <w:t>GR201711003713</w:t>
      </w:r>
      <w:r>
        <w:rPr>
          <w:spacing w:val="-3"/>
        </w:rPr>
        <w:t>号《高新技术企业证书》，有效期三年，</w:t>
      </w:r>
      <w:r>
        <w:rPr>
          <w:rFonts w:ascii="Times New Roman" w:hAnsi="Times New Roman" w:cs="Times New Roman" w:eastAsia="Times New Roman" w:hint="default"/>
          <w:spacing w:val="-3"/>
        </w:rPr>
        <w:t>2017</w:t>
      </w:r>
      <w:r>
        <w:rPr>
          <w:spacing w:val="-3"/>
        </w:rPr>
        <w:t>年至</w:t>
      </w:r>
      <w:r>
        <w:rPr>
          <w:rFonts w:ascii="Times New Roman" w:hAnsi="Times New Roman" w:cs="Times New Roman" w:eastAsia="Times New Roman" w:hint="default"/>
          <w:spacing w:val="-3"/>
        </w:rPr>
        <w:t>2019</w:t>
      </w:r>
      <w:r>
        <w:rPr>
          <w:spacing w:val="-3"/>
        </w:rPr>
        <w:t>年企业所得税的适用税率为</w:t>
      </w:r>
      <w:r>
        <w:rPr>
          <w:rFonts w:ascii="Times New Roman" w:hAnsi="Times New Roman" w:cs="Times New Roman" w:eastAsia="Times New Roman" w:hint="default"/>
          <w:spacing w:val="-3"/>
        </w:rPr>
        <w:t>15.00%</w:t>
      </w:r>
      <w:r>
        <w:rPr>
          <w:spacing w:val="-3"/>
        </w:rPr>
        <w:t>。</w:t>
      </w:r>
      <w:r>
        <w:rPr/>
        <w:t> </w:t>
      </w:r>
      <w:r>
        <w:rPr>
          <w:spacing w:val="-1"/>
          <w:w w:val="95"/>
        </w:rPr>
        <w:t>本公司全资子公司江苏高伟达信息技术有限公司于</w:t>
      </w:r>
      <w:r>
        <w:rPr>
          <w:rFonts w:ascii="Times New Roman" w:hAnsi="Times New Roman" w:cs="Times New Roman" w:eastAsia="Times New Roman" w:hint="default"/>
          <w:spacing w:val="-1"/>
          <w:w w:val="95"/>
        </w:rPr>
        <w:t>2017</w:t>
      </w:r>
      <w:r>
        <w:rPr>
          <w:spacing w:val="-1"/>
          <w:w w:val="95"/>
        </w:rPr>
        <w:t>年</w:t>
      </w:r>
      <w:r>
        <w:rPr>
          <w:rFonts w:ascii="Times New Roman" w:hAnsi="Times New Roman" w:cs="Times New Roman" w:eastAsia="Times New Roman" w:hint="default"/>
          <w:spacing w:val="-1"/>
          <w:w w:val="95"/>
        </w:rPr>
        <w:t>12</w:t>
      </w:r>
      <w:r>
        <w:rPr>
          <w:spacing w:val="-1"/>
          <w:w w:val="95"/>
        </w:rPr>
        <w:t>月</w:t>
      </w:r>
      <w:r>
        <w:rPr>
          <w:rFonts w:ascii="Times New Roman" w:hAnsi="Times New Roman" w:cs="Times New Roman" w:eastAsia="Times New Roman" w:hint="default"/>
          <w:spacing w:val="-1"/>
          <w:w w:val="95"/>
        </w:rPr>
        <w:t>7</w:t>
      </w:r>
      <w:r>
        <w:rPr>
          <w:spacing w:val="-1"/>
          <w:w w:val="95"/>
        </w:rPr>
        <w:t>日取得了江苏省科学技术厅、江苏省财政厅、江苏省国</w:t>
      </w:r>
      <w:r>
        <w:rPr>
          <w:spacing w:val="-59"/>
          <w:w w:val="95"/>
        </w:rPr>
        <w:t> </w:t>
      </w:r>
      <w:r>
        <w:rPr>
          <w:spacing w:val="-59"/>
          <w:w w:val="95"/>
        </w:rPr>
      </w:r>
      <w:r>
        <w:rPr/>
        <w:t>家税务局、江苏省地方税务局联合颁发的</w:t>
      </w:r>
      <w:r>
        <w:rPr>
          <w:rFonts w:ascii="Times New Roman" w:hAnsi="Times New Roman" w:cs="Times New Roman" w:eastAsia="Times New Roman" w:hint="default"/>
        </w:rPr>
        <w:t>GR201732002287</w:t>
      </w:r>
      <w:r>
        <w:rPr/>
        <w:t>号《高新技术企业证书》，有效期三年，</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年企业所</w:t>
      </w:r>
    </w:p>
    <w:p>
      <w:pPr>
        <w:pStyle w:val="BodyText"/>
        <w:spacing w:line="240" w:lineRule="auto" w:before="13"/>
        <w:ind w:right="0"/>
        <w:jc w:val="both"/>
      </w:pPr>
      <w:r>
        <w:rPr/>
        <w:t>得税的适用税率为</w:t>
      </w:r>
      <w:r>
        <w:rPr>
          <w:rFonts w:ascii="Times New Roman" w:hAnsi="Times New Roman" w:cs="Times New Roman" w:eastAsia="Times New Roman" w:hint="default"/>
        </w:rPr>
        <w:t>15.00%</w:t>
      </w:r>
      <w:r>
        <w:rPr/>
        <w:t>。</w:t>
      </w:r>
    </w:p>
    <w:p>
      <w:pPr>
        <w:pStyle w:val="BodyText"/>
        <w:spacing w:line="240" w:lineRule="auto" w:before="63"/>
        <w:ind w:left="573" w:right="991"/>
        <w:jc w:val="left"/>
      </w:pPr>
      <w:r>
        <w:rPr/>
        <w:t>根据《高新技术企业认定管理办法》（国科发火</w:t>
      </w:r>
      <w:r>
        <w:rPr>
          <w:rFonts w:ascii="Times New Roman" w:hAnsi="Times New Roman" w:cs="Times New Roman" w:eastAsia="Times New Roman" w:hint="default"/>
        </w:rPr>
        <w:t>[2016]32 </w:t>
      </w:r>
      <w:r>
        <w:rPr>
          <w:rFonts w:ascii="Times New Roman" w:hAnsi="Times New Roman" w:cs="Times New Roman" w:eastAsia="Times New Roman" w:hint="default"/>
          <w:spacing w:val="2"/>
        </w:rPr>
        <w:t> </w:t>
      </w:r>
      <w:r>
        <w:rPr/>
        <w:t>号）的规定，本公司全资子公司深圳市快读科技有限公司于</w:t>
      </w:r>
    </w:p>
    <w:p>
      <w:pPr>
        <w:pStyle w:val="BodyText"/>
        <w:spacing w:line="240" w:lineRule="auto" w:before="63"/>
        <w:ind w:right="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日通过了高新技术企业资格复审，取得了</w:t>
      </w:r>
      <w:r>
        <w:rPr>
          <w:rFonts w:ascii="Times New Roman" w:hAnsi="Times New Roman" w:cs="Times New Roman" w:eastAsia="Times New Roman" w:hint="default"/>
        </w:rPr>
        <w:t>GR201844205236</w:t>
      </w:r>
      <w:r>
        <w:rPr/>
        <w:t>号《高新技术企业证书》，有效期三年，</w:t>
      </w:r>
      <w:r>
        <w:rPr>
          <w:rFonts w:ascii="Times New Roman" w:hAnsi="Times New Roman" w:cs="Times New Roman" w:eastAsia="Times New Roman" w:hint="default"/>
        </w:rPr>
        <w:t>2018</w:t>
      </w:r>
      <w:r>
        <w:rPr/>
        <w:t>年至</w:t>
      </w:r>
    </w:p>
    <w:p>
      <w:pPr>
        <w:pStyle w:val="BodyText"/>
        <w:spacing w:line="300" w:lineRule="auto" w:before="63"/>
        <w:ind w:left="573" w:right="1128" w:hanging="421"/>
        <w:jc w:val="left"/>
      </w:pPr>
      <w:r>
        <w:rPr>
          <w:rFonts w:ascii="Times New Roman" w:hAnsi="Times New Roman" w:cs="Times New Roman" w:eastAsia="Times New Roman" w:hint="default"/>
        </w:rPr>
        <w:t>2020</w:t>
      </w:r>
      <w:r>
        <w:rPr/>
        <w:t>年企业所得税的适用税率为</w:t>
      </w:r>
      <w:r>
        <w:rPr>
          <w:rFonts w:ascii="Times New Roman" w:hAnsi="Times New Roman" w:cs="Times New Roman" w:eastAsia="Times New Roman" w:hint="default"/>
        </w:rPr>
        <w:t>15.00%</w:t>
      </w:r>
      <w:r>
        <w:rPr/>
        <w:t>。 </w:t>
      </w:r>
      <w:r>
        <w:rPr>
          <w:spacing w:val="-2"/>
        </w:rPr>
        <w:t>本公司全资子公司上海睿民互联网科技有限公司于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日取得证书编号为沪</w:t>
      </w:r>
      <w:r>
        <w:rPr>
          <w:rFonts w:ascii="Times New Roman" w:hAnsi="Times New Roman" w:cs="Times New Roman" w:eastAsia="Times New Roman" w:hint="default"/>
          <w:spacing w:val="-2"/>
        </w:rPr>
        <w:t>RQ-2016-0325</w:t>
      </w:r>
      <w:r>
        <w:rPr>
          <w:spacing w:val="-2"/>
        </w:rPr>
        <w:t>号、有效期均为一年</w:t>
      </w:r>
    </w:p>
    <w:p>
      <w:pPr>
        <w:pStyle w:val="BodyText"/>
        <w:spacing w:line="300" w:lineRule="auto" w:before="13"/>
        <w:ind w:right="1131"/>
        <w:jc w:val="both"/>
      </w:pPr>
      <w:r>
        <w:rPr/>
        <w:t>的《软件企业证书》，于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日换发新证，并分别于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日在主管税务机 关办理软件企业</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所得税优惠备案。</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年度免征企业所得税，</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-2020</w:t>
      </w:r>
      <w:r>
        <w:rPr/>
        <w:t>年度减半征收企业所</w:t>
      </w:r>
      <w:r>
        <w:rPr>
          <w:spacing w:val="-40"/>
        </w:rPr>
        <w:t> </w:t>
      </w:r>
      <w:r>
        <w:rPr>
          <w:spacing w:val="-40"/>
        </w:rPr>
      </w:r>
      <w:r>
        <w:rPr/>
        <w:t>得税，税率</w:t>
      </w:r>
      <w:r>
        <w:rPr>
          <w:rFonts w:ascii="Times New Roman" w:hAnsi="Times New Roman" w:cs="Times New Roman" w:eastAsia="Times New Roman" w:hint="default"/>
        </w:rPr>
        <w:t>12.50%</w:t>
      </w:r>
      <w:r>
        <w:rPr/>
        <w:t>。</w:t>
      </w:r>
    </w:p>
    <w:p>
      <w:pPr>
        <w:pStyle w:val="BodyText"/>
        <w:spacing w:line="300" w:lineRule="auto" w:before="13"/>
        <w:ind w:right="1131" w:firstLine="420"/>
        <w:jc w:val="both"/>
      </w:pPr>
      <w:r>
        <w:rPr/>
        <w:t>本公司全资子公司海南坚果创娱信息技术有限公司于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日获得由海南省软件行业协会颁发的并经双软评估</w:t>
      </w:r>
      <w:r>
        <w:rPr>
          <w:spacing w:val="2"/>
        </w:rPr>
        <w:t> </w:t>
      </w:r>
      <w:r>
        <w:rPr/>
        <w:t>标准互认协议机构认定的软件企业证书和软件产品证书，并于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日获得税务局批复，</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年度免征企 业所得税，</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年度减半征收企业所得税，税率</w:t>
      </w:r>
      <w:r>
        <w:rPr>
          <w:rFonts w:ascii="Times New Roman" w:hAnsi="Times New Roman" w:cs="Times New Roman" w:eastAsia="Times New Roman" w:hint="default"/>
        </w:rPr>
        <w:t>12.50%</w:t>
      </w:r>
      <w:r>
        <w:rPr/>
        <w:t>。</w:t>
      </w:r>
    </w:p>
    <w:p>
      <w:pPr>
        <w:pStyle w:val="BodyText"/>
        <w:spacing w:line="300" w:lineRule="auto" w:before="13"/>
        <w:ind w:left="573" w:right="991"/>
        <w:jc w:val="left"/>
      </w:pPr>
      <w:r>
        <w:rPr/>
        <w:t>本公司之二级子公司</w:t>
      </w:r>
      <w:r>
        <w:rPr>
          <w:rFonts w:ascii="Times New Roman" w:hAnsi="Times New Roman" w:cs="Times New Roman" w:eastAsia="Times New Roman" w:hint="default"/>
        </w:rPr>
        <w:t>Nuts Information Technology</w:t>
      </w:r>
      <w:r>
        <w:rPr>
          <w:rFonts w:ascii="Times New Roman" w:hAnsi="Times New Roman" w:cs="Times New Roman" w:eastAsia="Times New Roman" w:hint="default"/>
          <w:spacing w:val="-5"/>
        </w:rPr>
        <w:t> </w:t>
      </w:r>
      <w:r>
        <w:rPr>
          <w:rFonts w:ascii="Times New Roman" w:hAnsi="Times New Roman" w:cs="Times New Roman" w:eastAsia="Times New Roman" w:hint="default"/>
        </w:rPr>
        <w:t>CO.,Limited</w:t>
      </w:r>
      <w:r>
        <w:rPr/>
        <w:t>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日在香港注册成立，利得税</w:t>
      </w:r>
      <w:r>
        <w:rPr>
          <w:rFonts w:ascii="Times New Roman" w:hAnsi="Times New Roman" w:cs="Times New Roman" w:eastAsia="Times New Roman" w:hint="default"/>
        </w:rPr>
        <w:t>16.5%</w:t>
      </w:r>
      <w:r>
        <w:rPr/>
        <w:t>。 依据塞舌尔共和国</w:t>
      </w:r>
      <w:r>
        <w:rPr>
          <w:rFonts w:ascii="Times New Roman" w:hAnsi="Times New Roman" w:cs="Times New Roman" w:eastAsia="Times New Roman" w:hint="default"/>
        </w:rPr>
        <w:t>1994</w:t>
      </w:r>
      <w:r>
        <w:rPr/>
        <w:t>年和</w:t>
      </w:r>
      <w:r>
        <w:rPr>
          <w:rFonts w:ascii="Times New Roman" w:hAnsi="Times New Roman" w:cs="Times New Roman" w:eastAsia="Times New Roman" w:hint="default"/>
        </w:rPr>
        <w:t>2009</w:t>
      </w:r>
      <w:r>
        <w:rPr/>
        <w:t>年国际商业法</w:t>
      </w:r>
      <w:r>
        <w:rPr>
          <w:rFonts w:ascii="Times New Roman" w:hAnsi="Times New Roman" w:cs="Times New Roman" w:eastAsia="Times New Roman" w:hint="default"/>
        </w:rPr>
        <w:t>109</w:t>
      </w:r>
      <w:r>
        <w:rPr/>
        <w:t>条规定，在塞舌尔共和国境内设立的国际商业公司免征企业所得税，</w:t>
      </w:r>
    </w:p>
    <w:p>
      <w:pPr>
        <w:pStyle w:val="BodyText"/>
        <w:spacing w:line="240" w:lineRule="auto" w:before="13"/>
        <w:ind w:right="0"/>
        <w:jc w:val="both"/>
      </w:pPr>
      <w:r>
        <w:rPr/>
        <w:t>本公司之二级子公司</w:t>
      </w:r>
      <w:r>
        <w:rPr>
          <w:rFonts w:ascii="Times New Roman" w:hAnsi="Times New Roman" w:cs="Times New Roman" w:eastAsia="Times New Roman" w:hint="default"/>
        </w:rPr>
        <w:t>Nuts</w:t>
      </w:r>
      <w:r>
        <w:rPr>
          <w:rFonts w:ascii="Times New Roman" w:hAnsi="Times New Roman" w:cs="Times New Roman" w:eastAsia="Times New Roman" w:hint="default"/>
          <w:spacing w:val="-22"/>
        </w:rPr>
        <w:t> </w:t>
      </w:r>
      <w:r>
        <w:rPr>
          <w:rFonts w:ascii="Times New Roman" w:hAnsi="Times New Roman" w:cs="Times New Roman" w:eastAsia="Times New Roman" w:hint="default"/>
        </w:rPr>
        <w:t>Information</w:t>
      </w:r>
      <w:r>
        <w:rPr>
          <w:rFonts w:ascii="Times New Roman" w:hAnsi="Times New Roman" w:cs="Times New Roman" w:eastAsia="Times New Roman" w:hint="default"/>
          <w:spacing w:val="-22"/>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23"/>
        </w:rPr>
        <w:t> </w:t>
      </w:r>
      <w:r>
        <w:rPr>
          <w:rFonts w:ascii="Times New Roman" w:hAnsi="Times New Roman" w:cs="Times New Roman" w:eastAsia="Times New Roman" w:hint="default"/>
        </w:rPr>
        <w:t>Limited</w:t>
      </w:r>
      <w:r>
        <w:rPr/>
        <w:t>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日取得国际商业公司营业执照，享受企业所得税免税</w:t>
      </w:r>
    </w:p>
    <w:p>
      <w:pPr>
        <w:spacing w:after="0" w:line="240" w:lineRule="auto"/>
        <w:jc w:val="both"/>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1117"/>
        <w:jc w:val="left"/>
      </w:pPr>
      <w:r>
        <w:rPr/>
        <w:t>政策。</w:t>
      </w:r>
    </w:p>
    <w:p>
      <w:pPr>
        <w:pStyle w:val="BodyText"/>
        <w:spacing w:line="304" w:lineRule="auto" w:before="76"/>
        <w:ind w:right="1130" w:firstLine="420"/>
        <w:jc w:val="both"/>
      </w:pPr>
      <w:r>
        <w:rPr>
          <w:spacing w:val="-5"/>
        </w:rPr>
        <w:t>根据《财政部</w:t>
      </w:r>
      <w:r>
        <w:rPr>
          <w:spacing w:val="-48"/>
        </w:rPr>
        <w:t> </w:t>
      </w:r>
      <w:r>
        <w:rPr/>
        <w:t>国家税务总局关于新疆喀什霍尔果斯两个特殊经济开发区企业所得税优惠政策的通知》（财税</w:t>
      </w:r>
      <w:r>
        <w:rPr>
          <w:rFonts w:ascii="Times New Roman" w:hAnsi="Times New Roman" w:cs="Times New Roman" w:eastAsia="Times New Roman" w:hint="default"/>
        </w:rPr>
        <w:t>[2011]112 </w:t>
      </w:r>
      <w:r>
        <w:rPr>
          <w:spacing w:val="-2"/>
        </w:rPr>
        <w:t>号》，</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日，对在新疆喀什、霍尔果斯两个特殊经济开发区内新办的属于《新疆困难地区重点鼓</w:t>
      </w:r>
      <w:r>
        <w:rPr>
          <w:spacing w:val="-57"/>
        </w:rPr>
        <w:t> </w:t>
      </w:r>
      <w:r>
        <w:rPr>
          <w:spacing w:val="-57"/>
        </w:rPr>
      </w:r>
      <w:r>
        <w:rPr>
          <w:spacing w:val="-2"/>
        </w:rPr>
        <w:t>励发展产业企业所得税优惠目录》（以下简称《目录》）范围内的企业，自取得第一笔生产经营收入所属纳税年度起，五年</w:t>
      </w:r>
      <w:r>
        <w:rPr>
          <w:spacing w:val="-69"/>
        </w:rPr>
        <w:t> </w:t>
      </w:r>
      <w:r>
        <w:rPr>
          <w:spacing w:val="-69"/>
        </w:rPr>
      </w:r>
      <w:r>
        <w:rPr/>
        <w:t>内免征企业所得税。本公司之二级子公司霍尔果斯魔力果信息技术有限公司主营业务符合《目录》规定，自</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2020</w:t>
      </w:r>
      <w:r>
        <w:rPr>
          <w:rFonts w:ascii="Times New Roman" w:hAnsi="Times New Roman" w:cs="Times New Roman" w:eastAsia="Times New Roman" w:hint="default"/>
          <w:spacing w:val="31"/>
        </w:rPr>
        <w:t> </w:t>
      </w:r>
      <w:r>
        <w:rPr/>
        <w:t>年免征企业所得税。</w:t>
      </w:r>
    </w:p>
    <w:p>
      <w:pPr>
        <w:pStyle w:val="BodyText"/>
        <w:spacing w:line="304" w:lineRule="auto" w:before="28"/>
        <w:ind w:right="1130" w:firstLine="420"/>
        <w:jc w:val="both"/>
      </w:pPr>
      <w:r>
        <w:rPr>
          <w:spacing w:val="-5"/>
        </w:rPr>
        <w:t>根据《财政部</w:t>
      </w:r>
      <w:r>
        <w:rPr>
          <w:spacing w:val="-48"/>
        </w:rPr>
        <w:t> </w:t>
      </w:r>
      <w:r>
        <w:rPr/>
        <w:t>国家税务总局关于新疆喀什霍尔果斯两个特殊经济开发区企业所得税优惠政策的通知》（财税</w:t>
      </w:r>
      <w:r>
        <w:rPr>
          <w:rFonts w:ascii="Times New Roman" w:hAnsi="Times New Roman" w:cs="Times New Roman" w:eastAsia="Times New Roman" w:hint="default"/>
        </w:rPr>
        <w:t>[2011]112 </w:t>
      </w:r>
      <w:r>
        <w:rPr>
          <w:spacing w:val="-2"/>
        </w:rPr>
        <w:t>号），</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日，对在新疆喀什、霍尔果斯两个特殊经济开发区内新办的属于《新疆困难地区重点鼓</w:t>
      </w:r>
      <w:r>
        <w:rPr>
          <w:spacing w:val="-57"/>
        </w:rPr>
        <w:t> </w:t>
      </w:r>
      <w:r>
        <w:rPr>
          <w:spacing w:val="-57"/>
        </w:rPr>
      </w:r>
      <w:r>
        <w:rPr>
          <w:spacing w:val="-2"/>
        </w:rPr>
        <w:t>励发展产业企业所得税优惠目录》（以下简称《目录》）范围内的企业，五年内免征企业所得税。本公司之二级子公司喀什</w:t>
      </w:r>
      <w:r>
        <w:rPr>
          <w:spacing w:val="-69"/>
        </w:rPr>
        <w:t> </w:t>
      </w:r>
      <w:r>
        <w:rPr>
          <w:spacing w:val="-69"/>
        </w:rPr>
      </w:r>
      <w:r>
        <w:rPr>
          <w:spacing w:val="-2"/>
        </w:rPr>
        <w:t>完美时空信息科技有限公司以及喀什腾娱信息科技有限公司主营业务符合《目录》规定，喀什完美自</w:t>
      </w:r>
      <w:r>
        <w:rPr>
          <w:rFonts w:ascii="Times New Roman" w:hAnsi="Times New Roman" w:cs="Times New Roman" w:eastAsia="Times New Roman" w:hint="default"/>
          <w:spacing w:val="-2"/>
        </w:rPr>
        <w:t>2017</w:t>
      </w:r>
      <w:r>
        <w:rPr>
          <w:spacing w:val="-2"/>
        </w:rPr>
        <w:t>年至</w:t>
      </w:r>
      <w:r>
        <w:rPr>
          <w:rFonts w:ascii="Times New Roman" w:hAnsi="Times New Roman" w:cs="Times New Roman" w:eastAsia="Times New Roman" w:hint="default"/>
          <w:spacing w:val="-2"/>
        </w:rPr>
        <w:t>2020</w:t>
      </w:r>
      <w:r>
        <w:rPr>
          <w:spacing w:val="-2"/>
        </w:rPr>
        <w:t>年免征企</w:t>
      </w:r>
      <w:r>
        <w:rPr>
          <w:spacing w:val="-60"/>
        </w:rPr>
        <w:t> </w:t>
      </w:r>
      <w:r>
        <w:rPr>
          <w:spacing w:val="-60"/>
        </w:rPr>
      </w:r>
      <w:r>
        <w:rPr/>
        <w:t>业所得税。</w:t>
      </w:r>
    </w:p>
    <w:p>
      <w:pPr>
        <w:pStyle w:val="BodyText"/>
        <w:spacing w:line="304" w:lineRule="auto" w:before="28"/>
        <w:ind w:right="1128" w:firstLine="420"/>
        <w:jc w:val="both"/>
      </w:pPr>
      <w:r>
        <w:rPr>
          <w:spacing w:val="-5"/>
        </w:rPr>
        <w:t>根据《财政部</w:t>
      </w:r>
      <w:r>
        <w:rPr>
          <w:spacing w:val="-47"/>
        </w:rPr>
        <w:t> </w:t>
      </w:r>
      <w:r>
        <w:rPr/>
        <w:t>国家税务总局关于新疆喀什霍尔果斯两个特殊经济开发区企业所得税优惠政策的通知》（财税</w:t>
      </w:r>
      <w:r>
        <w:rPr>
          <w:rFonts w:ascii="Times New Roman" w:hAnsi="Times New Roman" w:cs="Times New Roman" w:eastAsia="Times New Roman" w:hint="default"/>
        </w:rPr>
        <w:t>[2011]112 </w:t>
      </w:r>
      <w:r>
        <w:rPr>
          <w:spacing w:val="-2"/>
        </w:rPr>
        <w:t>号），</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日，对在新疆喀什、霍尔果斯两个特殊经济开发区内新办的属于《新疆困难地区重点鼓</w:t>
      </w:r>
      <w:r>
        <w:rPr>
          <w:spacing w:val="-57"/>
        </w:rPr>
        <w:t> </w:t>
      </w:r>
      <w:r>
        <w:rPr>
          <w:spacing w:val="-57"/>
        </w:rPr>
      </w:r>
      <w:r>
        <w:rPr>
          <w:spacing w:val="-2"/>
        </w:rPr>
        <w:t>励发展产业企业所得税优惠目录》（以下简称《目录》）范围内的企业，自取得第一笔生产经营收入所属纳税年度起，五年</w:t>
      </w:r>
      <w:r>
        <w:rPr>
          <w:spacing w:val="-69"/>
        </w:rPr>
        <w:t> </w:t>
      </w:r>
      <w:r>
        <w:rPr>
          <w:spacing w:val="-69"/>
        </w:rPr>
      </w:r>
      <w:r>
        <w:rPr>
          <w:spacing w:val="-2"/>
        </w:rPr>
        <w:t>内免征企业所得税。本公司全资子公司喀什尚河信息科技有限公司主营业务符合《目录》规定，自</w:t>
      </w:r>
      <w:r>
        <w:rPr>
          <w:rFonts w:ascii="Times New Roman" w:hAnsi="Times New Roman" w:cs="Times New Roman" w:eastAsia="Times New Roman" w:hint="default"/>
          <w:spacing w:val="-2"/>
        </w:rPr>
        <w:t>2015</w:t>
      </w:r>
      <w:r>
        <w:rPr>
          <w:spacing w:val="-2"/>
        </w:rPr>
        <w:t>年至</w:t>
      </w:r>
      <w:r>
        <w:rPr>
          <w:rFonts w:ascii="Times New Roman" w:hAnsi="Times New Roman" w:cs="Times New Roman" w:eastAsia="Times New Roman" w:hint="default"/>
          <w:spacing w:val="-2"/>
        </w:rPr>
        <w:t>2019</w:t>
      </w:r>
      <w:r>
        <w:rPr>
          <w:spacing w:val="-2"/>
        </w:rPr>
        <w:t>年免征企业</w:t>
      </w:r>
      <w:r>
        <w:rPr>
          <w:spacing w:val="-57"/>
        </w:rPr>
        <w:t> </w:t>
      </w:r>
      <w:r>
        <w:rPr>
          <w:spacing w:val="-57"/>
        </w:rPr>
      </w:r>
      <w:r>
        <w:rPr/>
        <w:t>所得税。</w:t>
      </w:r>
    </w:p>
    <w:p>
      <w:pPr>
        <w:pStyle w:val="BodyText"/>
        <w:spacing w:line="304" w:lineRule="auto" w:before="28"/>
        <w:ind w:right="1128" w:firstLine="420"/>
        <w:jc w:val="both"/>
      </w:pPr>
      <w:r>
        <w:rPr/>
        <w:t>经北京软件和信息服务业协会评估，本公司之控股子公司北京高伟达钽云科技有限公司符合《进一步鼓励软件产业和 集成电路产业发展的若干政策》和《软件企业评估标准》，于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日取得京</w:t>
      </w:r>
      <w:r>
        <w:rPr>
          <w:rFonts w:ascii="Times New Roman" w:hAnsi="Times New Roman" w:cs="Times New Roman" w:eastAsia="Times New Roman" w:hint="default"/>
        </w:rPr>
        <w:t>RQ-2018-0665</w:t>
      </w:r>
      <w:r>
        <w:rPr/>
        <w:t>号《软件企业证书》，有</w:t>
      </w:r>
      <w:r>
        <w:rPr>
          <w:w w:val="99"/>
        </w:rPr>
        <w:t> </w:t>
      </w:r>
      <w:r>
        <w:rPr>
          <w:spacing w:val="-2"/>
        </w:rPr>
        <w:t>效期一年；取得京</w:t>
      </w:r>
      <w:r>
        <w:rPr>
          <w:rFonts w:ascii="Times New Roman" w:hAnsi="Times New Roman" w:cs="Times New Roman" w:eastAsia="Times New Roman" w:hint="default"/>
          <w:spacing w:val="-2"/>
        </w:rPr>
        <w:t>RC-2018-1058</w:t>
      </w:r>
      <w:r>
        <w:rPr>
          <w:spacing w:val="-2"/>
        </w:rPr>
        <w:t>号《软件产品证书》，有效期五年。根据财税〔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27</w:t>
      </w:r>
      <w:r>
        <w:rPr>
          <w:spacing w:val="-2"/>
        </w:rPr>
        <w:t>号规定，符合我国境内新办的集成</w:t>
      </w:r>
      <w:r>
        <w:rPr>
          <w:spacing w:val="-59"/>
        </w:rPr>
        <w:t> </w:t>
      </w:r>
      <w:r>
        <w:rPr>
          <w:spacing w:val="-59"/>
        </w:rPr>
      </w:r>
      <w:r>
        <w:rPr/>
        <w:t>电路设计企业和符合条件的软件企业的企业所得税优惠标准，</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年度免征企业所得税，</w:t>
      </w:r>
      <w:r>
        <w:rPr>
          <w:rFonts w:ascii="Times New Roman" w:hAnsi="Times New Roman" w:cs="Times New Roman" w:eastAsia="Times New Roman" w:hint="default"/>
        </w:rPr>
        <w:t>2020</w:t>
      </w:r>
      <w:r>
        <w:rPr/>
        <w:t>年度</w:t>
      </w:r>
      <w:r>
        <w:rPr>
          <w:rFonts w:ascii="Times New Roman" w:hAnsi="Times New Roman" w:cs="Times New Roman" w:eastAsia="Times New Roman" w:hint="default"/>
        </w:rPr>
        <w:t>-2022</w:t>
      </w:r>
      <w:r>
        <w:rPr/>
        <w:t>年度减</w:t>
      </w:r>
      <w:r>
        <w:rPr>
          <w:spacing w:val="-58"/>
        </w:rPr>
        <w:t> </w:t>
      </w:r>
      <w:r>
        <w:rPr/>
        <w:t>半征收企业所得税，税率</w:t>
      </w:r>
      <w:r>
        <w:rPr>
          <w:rFonts w:ascii="Times New Roman" w:hAnsi="Times New Roman" w:cs="Times New Roman" w:eastAsia="Times New Roman" w:hint="default"/>
        </w:rPr>
        <w:t>12.50%</w:t>
      </w:r>
      <w:r>
        <w:rPr/>
        <w:t>。</w:t>
      </w:r>
    </w:p>
    <w:p>
      <w:pPr>
        <w:pStyle w:val="BodyText"/>
        <w:spacing w:line="304" w:lineRule="auto" w:before="9"/>
        <w:ind w:right="1129" w:firstLine="420"/>
        <w:jc w:val="both"/>
      </w:pPr>
      <w:r>
        <w:rPr/>
        <w:t>本公司之控股子公司江苏盈达信息技术有限公司经江苏省软件行业协会评估，符合《进一步鼓励软件产业和集成电路 </w:t>
      </w:r>
      <w:r>
        <w:rPr>
          <w:spacing w:val="-1"/>
        </w:rPr>
        <w:t>产业发展的若干政策》和《软件企业评估标准》，于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25</w:t>
      </w:r>
      <w:r>
        <w:rPr>
          <w:spacing w:val="-1"/>
        </w:rPr>
        <w:t>日，取得苏</w:t>
      </w:r>
      <w:r>
        <w:rPr>
          <w:rFonts w:ascii="Times New Roman" w:hAnsi="Times New Roman" w:cs="Times New Roman" w:eastAsia="Times New Roman" w:hint="default"/>
          <w:spacing w:val="-1"/>
        </w:rPr>
        <w:t>RQ-2018-A0281</w:t>
      </w:r>
      <w:r>
        <w:rPr>
          <w:spacing w:val="-1"/>
        </w:rPr>
        <w:t>号《软件企业证书》，有效期</w:t>
      </w:r>
      <w:r>
        <w:rPr>
          <w:spacing w:val="-76"/>
        </w:rPr>
        <w:t> </w:t>
      </w:r>
      <w:r>
        <w:rPr>
          <w:spacing w:val="-76"/>
        </w:rPr>
      </w:r>
      <w:r>
        <w:rPr>
          <w:spacing w:val="-1"/>
        </w:rPr>
        <w:t>一年；取得苏</w:t>
      </w:r>
      <w:r>
        <w:rPr>
          <w:rFonts w:ascii="Times New Roman" w:hAnsi="Times New Roman" w:cs="Times New Roman" w:eastAsia="Times New Roman" w:hint="default"/>
          <w:spacing w:val="-1"/>
        </w:rPr>
        <w:t>RC-2018-A1926</w:t>
      </w:r>
      <w:r>
        <w:rPr>
          <w:spacing w:val="-1"/>
        </w:rPr>
        <w:t>号《软件产品证书》，有效期五年。根据财税〔</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27</w:t>
      </w:r>
      <w:r>
        <w:rPr>
          <w:spacing w:val="-1"/>
        </w:rPr>
        <w:t>号规定，符合我国境内新办的集成电</w:t>
      </w:r>
      <w:r>
        <w:rPr>
          <w:spacing w:val="-67"/>
        </w:rPr>
        <w:t> </w:t>
      </w:r>
      <w:r>
        <w:rPr>
          <w:spacing w:val="-67"/>
        </w:rPr>
      </w:r>
      <w:r>
        <w:rPr/>
        <w:t>路设计企业和符合条件的软件企业的企业所得税优惠标准，</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年度免征企业所得税，</w:t>
      </w:r>
      <w:r>
        <w:rPr>
          <w:rFonts w:ascii="Times New Roman" w:hAnsi="Times New Roman" w:cs="Times New Roman" w:eastAsia="Times New Roman" w:hint="default"/>
        </w:rPr>
        <w:t>2020</w:t>
      </w:r>
      <w:r>
        <w:rPr/>
        <w:t>年度</w:t>
      </w:r>
      <w:r>
        <w:rPr>
          <w:rFonts w:ascii="Times New Roman" w:hAnsi="Times New Roman" w:cs="Times New Roman" w:eastAsia="Times New Roman" w:hint="default"/>
        </w:rPr>
        <w:t>-2022</w:t>
      </w:r>
      <w:r>
        <w:rPr/>
        <w:t>年度减半</w:t>
      </w:r>
      <w:r>
        <w:rPr>
          <w:spacing w:val="-58"/>
        </w:rPr>
        <w:t> </w:t>
      </w:r>
      <w:r>
        <w:rPr/>
        <w:t>征收企业所得税，税率</w:t>
      </w:r>
      <w:r>
        <w:rPr>
          <w:rFonts w:ascii="Times New Roman" w:hAnsi="Times New Roman" w:cs="Times New Roman" w:eastAsia="Times New Roman" w:hint="default"/>
        </w:rPr>
        <w:t>12.50%</w:t>
      </w:r>
      <w:r>
        <w:rPr/>
        <w:t>。</w:t>
      </w:r>
    </w:p>
    <w:p>
      <w:pPr>
        <w:pStyle w:val="BodyText"/>
        <w:spacing w:line="300" w:lineRule="auto" w:before="9"/>
        <w:ind w:left="573" w:right="1123"/>
        <w:jc w:val="left"/>
      </w:pPr>
      <w:r>
        <w:rPr>
          <w:rFonts w:ascii="Times New Roman" w:hAnsi="Times New Roman" w:cs="Times New Roman" w:eastAsia="Times New Roman" w:hint="default"/>
        </w:rPr>
        <w:t>2</w:t>
      </w:r>
      <w:r>
        <w:rPr/>
        <w:t>．增值税 根据财政部、国家税务总局《关于软件产品增值税政策的通知》（财税字</w:t>
      </w:r>
      <w:r>
        <w:rPr>
          <w:rFonts w:ascii="Times New Roman" w:hAnsi="Times New Roman" w:cs="Times New Roman" w:eastAsia="Times New Roman" w:hint="default"/>
        </w:rPr>
        <w:t>[2011]100</w:t>
      </w:r>
      <w:r>
        <w:rPr/>
        <w:t>号）文件规定，本公司及本公司控</w:t>
      </w:r>
    </w:p>
    <w:p>
      <w:pPr>
        <w:pStyle w:val="BodyText"/>
        <w:spacing w:line="300" w:lineRule="auto" w:before="13"/>
        <w:ind w:right="1117"/>
        <w:jc w:val="left"/>
      </w:pPr>
      <w:r>
        <w:rPr>
          <w:spacing w:val="-2"/>
        </w:rPr>
        <w:t>股子公司北京高伟达钽云科技有限公司、上海睿民互联网科技有限公司自行开发生产的软件产品收入享受增值税</w:t>
      </w:r>
      <w:r>
        <w:rPr>
          <w:rFonts w:ascii="Times New Roman" w:hAnsi="Times New Roman" w:cs="Times New Roman" w:eastAsia="Times New Roman" w:hint="default"/>
          <w:spacing w:val="-2"/>
        </w:rPr>
        <w:t>“</w:t>
      </w:r>
      <w:r>
        <w:rPr>
          <w:spacing w:val="-2"/>
        </w:rPr>
        <w:t>即征即退</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
        </w:rPr>
        <w:t> </w:t>
      </w:r>
      <w:r>
        <w:rPr/>
        <w:t>优惠，对实际税负超过</w:t>
      </w:r>
      <w:r>
        <w:rPr>
          <w:rFonts w:ascii="Times New Roman" w:hAnsi="Times New Roman" w:cs="Times New Roman" w:eastAsia="Times New Roman" w:hint="default"/>
        </w:rPr>
        <w:t>3%</w:t>
      </w:r>
      <w:r>
        <w:rPr/>
        <w:t>的部分实行即征即退。</w:t>
      </w:r>
    </w:p>
    <w:p>
      <w:pPr>
        <w:pStyle w:val="BodyText"/>
        <w:spacing w:line="309" w:lineRule="auto" w:before="13"/>
        <w:ind w:right="1132" w:firstLine="362"/>
        <w:jc w:val="both"/>
      </w:pPr>
      <w:r>
        <w:rPr>
          <w:spacing w:val="-1"/>
        </w:rPr>
        <w:t>根据财税</w:t>
      </w:r>
      <w:r>
        <w:rPr>
          <w:rFonts w:ascii="Times New Roman" w:hAnsi="Times New Roman" w:cs="Times New Roman" w:eastAsia="Times New Roman" w:hint="default"/>
          <w:spacing w:val="-1"/>
        </w:rPr>
        <w:t>[2016]36</w:t>
      </w:r>
      <w:r>
        <w:rPr>
          <w:spacing w:val="-1"/>
        </w:rPr>
        <w:t>号规定，本公司、本公司全资子公司江苏高伟达信息技术有限公司、上海高伟达计算机系统工程有限</w:t>
      </w:r>
      <w:r>
        <w:rPr/>
        <w:t> </w:t>
      </w:r>
      <w:r>
        <w:rPr>
          <w:spacing w:val="-2"/>
        </w:rPr>
        <w:t>公司及控股子公司江苏盈达信息技术有限公司提供技术转让、技术开发和与之相关的技术咨询、技术服务取得的收入，免征</w:t>
      </w:r>
      <w:r>
        <w:rPr>
          <w:spacing w:val="-65"/>
        </w:rPr>
        <w:t> </w:t>
      </w:r>
      <w:r>
        <w:rPr>
          <w:spacing w:val="-65"/>
        </w:rPr>
      </w:r>
      <w:r>
        <w:rPr/>
        <w:t>增值税。</w:t>
      </w:r>
    </w:p>
    <w:p>
      <w:pPr>
        <w:pStyle w:val="BodyText"/>
        <w:spacing w:line="338" w:lineRule="auto" w:before="65"/>
        <w:ind w:left="426" w:right="1117" w:hanging="275"/>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spacing w:val="-1"/>
        </w:rPr>
        <w:t>根据财政部、国家税务总局《关于软件产品增值税政策的通知》（财税字</w:t>
      </w:r>
      <w:r>
        <w:rPr>
          <w:rFonts w:ascii="Times New Roman" w:hAnsi="Times New Roman" w:cs="Times New Roman" w:eastAsia="Times New Roman" w:hint="default"/>
          <w:spacing w:val="-1"/>
        </w:rPr>
        <w:t>[2011]100</w:t>
      </w:r>
      <w:r>
        <w:rPr>
          <w:spacing w:val="-1"/>
        </w:rPr>
        <w:t>号）文件规定，本公司及本公司控股</w:t>
      </w:r>
    </w:p>
    <w:p>
      <w:pPr>
        <w:pStyle w:val="BodyText"/>
        <w:spacing w:line="230" w:lineRule="exact"/>
        <w:ind w:right="1117"/>
        <w:jc w:val="left"/>
        <w:rPr>
          <w:rFonts w:ascii="Times New Roman" w:hAnsi="Times New Roman" w:cs="Times New Roman" w:eastAsia="Times New Roman" w:hint="default"/>
        </w:rPr>
      </w:pPr>
      <w:r>
        <w:rPr/>
        <w:t>子公司北京高伟达钽云科技有限公司、上海睿民互联网科技有限公司自行开发生产的软件产品收入享受增值税</w:t>
      </w:r>
      <w:r>
        <w:rPr>
          <w:rFonts w:ascii="Times New Roman" w:hAnsi="Times New Roman" w:cs="Times New Roman" w:eastAsia="Times New Roman" w:hint="default"/>
        </w:rPr>
        <w:t>“</w:t>
      </w:r>
      <w:r>
        <w:rPr/>
        <w:t>即征即退</w:t>
      </w:r>
      <w:r>
        <w:rPr>
          <w:rFonts w:ascii="Times New Roman" w:hAnsi="Times New Roman" w:cs="Times New Roman" w:eastAsia="Times New Roman" w:hint="default"/>
        </w:rPr>
        <w:t>”</w:t>
      </w:r>
    </w:p>
    <w:p>
      <w:pPr>
        <w:pStyle w:val="BodyText"/>
        <w:spacing w:line="240" w:lineRule="auto" w:before="63"/>
        <w:ind w:right="1117"/>
        <w:jc w:val="left"/>
      </w:pPr>
      <w:r>
        <w:rPr/>
        <w:t>优惠，对实际税负超过</w:t>
      </w:r>
      <w:r>
        <w:rPr>
          <w:rFonts w:ascii="Times New Roman" w:hAnsi="Times New Roman" w:cs="Times New Roman" w:eastAsia="Times New Roman" w:hint="default"/>
        </w:rPr>
        <w:t>3%</w:t>
      </w:r>
      <w:r>
        <w:rPr/>
        <w:t>的部分实行即征即退。</w:t>
      </w:r>
    </w:p>
    <w:p>
      <w:pPr>
        <w:pStyle w:val="BodyText"/>
        <w:spacing w:line="240" w:lineRule="auto" w:before="63"/>
        <w:ind w:left="515" w:right="1117"/>
        <w:jc w:val="left"/>
      </w:pPr>
      <w:r>
        <w:rPr>
          <w:rFonts w:ascii="Times New Roman" w:hAnsi="Times New Roman" w:cs="Times New Roman" w:eastAsia="Times New Roman" w:hint="default"/>
        </w:rPr>
        <w:t>2018</w:t>
      </w:r>
      <w:r>
        <w:rPr/>
        <w:t>年公司收到增值税</w:t>
      </w:r>
      <w:r>
        <w:rPr>
          <w:rFonts w:ascii="Times New Roman" w:hAnsi="Times New Roman" w:cs="Times New Roman" w:eastAsia="Times New Roman" w:hint="default"/>
        </w:rPr>
        <w:t>“</w:t>
      </w:r>
      <w:r>
        <w:rPr/>
        <w:t>即征即退</w:t>
      </w:r>
      <w:r>
        <w:rPr>
          <w:rFonts w:ascii="Times New Roman" w:hAnsi="Times New Roman" w:cs="Times New Roman" w:eastAsia="Times New Roman" w:hint="default"/>
        </w:rPr>
        <w:t>”</w:t>
      </w:r>
      <w:r>
        <w:rPr/>
        <w:t>退税金额</w:t>
      </w:r>
      <w:r>
        <w:rPr>
          <w:rFonts w:ascii="Times New Roman" w:hAnsi="Times New Roman" w:cs="Times New Roman" w:eastAsia="Times New Roman" w:hint="default"/>
        </w:rPr>
        <w:t>645,205.35</w:t>
      </w:r>
      <w:r>
        <w:rPr/>
        <w:t>元，并计入</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科目。</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10"/>
        <w:rPr>
          <w:rFonts w:ascii="宋体" w:hAnsi="宋体" w:cs="宋体" w:eastAsia="宋体" w:hint="default"/>
          <w:b/>
          <w:bCs/>
          <w:sz w:val="24"/>
          <w:szCs w:val="24"/>
        </w:rPr>
      </w:pPr>
    </w:p>
    <w:p>
      <w:pPr>
        <w:pStyle w:val="Heading4"/>
        <w:spacing w:line="256" w:lineRule="auto" w:before="0"/>
        <w:ind w:right="991" w:firstLine="300"/>
        <w:jc w:val="left"/>
      </w:pPr>
      <w:r>
        <w:rPr>
          <w:spacing w:val="-3"/>
        </w:rPr>
        <w:t>根据《财政部税务总局关于调整增值税税率的通知》财税</w:t>
      </w:r>
      <w:r>
        <w:rPr>
          <w:rFonts w:ascii="Times New Roman" w:hAnsi="Times New Roman" w:cs="Times New Roman" w:eastAsia="Times New Roman" w:hint="default"/>
          <w:spacing w:val="-3"/>
        </w:rPr>
        <w:t>(2018)32</w:t>
      </w:r>
      <w:r>
        <w:rPr>
          <w:spacing w:val="-3"/>
        </w:rPr>
        <w:t>号文件要求，自</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w:t>
      </w:r>
      <w:r>
        <w:rPr>
          <w:spacing w:val="-3"/>
        </w:rPr>
        <w:t>日起，纳</w:t>
      </w:r>
      <w:r>
        <w:rPr>
          <w:w w:val="100"/>
        </w:rPr>
        <w:t> </w:t>
      </w:r>
      <w:r>
        <w:rPr>
          <w:spacing w:val="-2"/>
        </w:rPr>
        <w:t>税人发生增值税应税销售行为或者进口货物，原适用</w:t>
      </w:r>
      <w:r>
        <w:rPr>
          <w:rFonts w:ascii="Times New Roman" w:hAnsi="Times New Roman" w:cs="Times New Roman" w:eastAsia="Times New Roman" w:hint="default"/>
          <w:spacing w:val="-2"/>
        </w:rPr>
        <w:t>17%</w:t>
      </w:r>
      <w:r>
        <w:rPr>
          <w:spacing w:val="-2"/>
        </w:rPr>
        <w:t>的税率调整为</w:t>
      </w:r>
      <w:r>
        <w:rPr>
          <w:rFonts w:ascii="Times New Roman" w:hAnsi="Times New Roman" w:cs="Times New Roman" w:eastAsia="Times New Roman" w:hint="default"/>
          <w:spacing w:val="-2"/>
        </w:rPr>
        <w:t>16%</w:t>
      </w:r>
      <w:r>
        <w:rPr>
          <w:spacing w:val="-2"/>
        </w:rPr>
        <w:t>，适用</w:t>
      </w:r>
      <w:r>
        <w:rPr>
          <w:rFonts w:ascii="Times New Roman" w:hAnsi="Times New Roman" w:cs="Times New Roman" w:eastAsia="Times New Roman" w:hint="default"/>
          <w:spacing w:val="-2"/>
        </w:rPr>
        <w:t>11%</w:t>
      </w:r>
      <w:r>
        <w:rPr>
          <w:spacing w:val="-2"/>
        </w:rPr>
        <w:t>的税率调整为</w:t>
      </w:r>
      <w:r>
        <w:rPr>
          <w:rFonts w:ascii="Times New Roman" w:hAnsi="Times New Roman" w:cs="Times New Roman" w:eastAsia="Times New Roman" w:hint="default"/>
          <w:spacing w:val="-2"/>
        </w:rPr>
        <w:t>10%</w:t>
      </w:r>
      <w:r>
        <w:rPr>
          <w:spacing w:val="-2"/>
        </w:rPr>
        <w:t>。</w:t>
      </w:r>
    </w:p>
    <w:p>
      <w:pPr>
        <w:spacing w:after="0" w:line="256" w:lineRule="auto"/>
        <w:jc w:val="left"/>
        <w:sectPr>
          <w:pgSz w:w="11910" w:h="16840"/>
          <w:pgMar w:header="786" w:footer="1294" w:top="1100" w:bottom="148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1117"/>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74,651.75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257,841.26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357,504,985.96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232,548,837.16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31,880,040.80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14,976,500.50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389,459,678.51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247,783,178.92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26,664,720.29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10,016,661.41</w:t>
            </w:r>
          </w:p>
        </w:tc>
      </w:tr>
    </w:tbl>
    <w:p>
      <w:pPr>
        <w:pStyle w:val="BodyText"/>
        <w:spacing w:line="240" w:lineRule="auto" w:before="49"/>
        <w:ind w:right="1117"/>
        <w:jc w:val="left"/>
      </w:pPr>
      <w:r>
        <w:rPr/>
        <w:t>其他说明</w:t>
      </w:r>
    </w:p>
    <w:p>
      <w:pPr>
        <w:pStyle w:val="BodyText"/>
        <w:spacing w:line="300" w:lineRule="auto" w:before="115"/>
        <w:ind w:left="573" w:right="1129" w:hanging="421"/>
        <w:jc w:val="left"/>
      </w:pPr>
      <w:r>
        <w:rPr>
          <w:rFonts w:ascii="Times New Roman" w:hAnsi="Times New Roman" w:cs="Times New Roman" w:eastAsia="Times New Roman" w:hint="default"/>
        </w:rPr>
        <w:t>1</w:t>
      </w:r>
      <w:r>
        <w:rPr/>
        <w:t>、抵押、质押、冻结等对使用有限制或存放在境外、或资金汇回受到限制的款项说明 期末存放在境外的货币资金全部为二级子公司</w:t>
      </w:r>
      <w:r>
        <w:rPr>
          <w:rFonts w:ascii="Times New Roman" w:hAnsi="Times New Roman" w:cs="Times New Roman" w:eastAsia="Times New Roman" w:hint="default"/>
        </w:rPr>
        <w:t>Nuts  Information  Technology </w:t>
      </w:r>
      <w:r>
        <w:rPr>
          <w:rFonts w:ascii="Times New Roman" w:hAnsi="Times New Roman" w:cs="Times New Roman" w:eastAsia="Times New Roman" w:hint="default"/>
          <w:spacing w:val="4"/>
        </w:rPr>
        <w:t> </w:t>
      </w:r>
      <w:r>
        <w:rPr>
          <w:rFonts w:ascii="Times New Roman" w:hAnsi="Times New Roman" w:cs="Times New Roman" w:eastAsia="Times New Roman" w:hint="default"/>
        </w:rPr>
        <w:t>Limited</w:t>
      </w:r>
      <w:r>
        <w:rPr/>
        <w:t>存放于平安银行</w:t>
      </w:r>
      <w:r>
        <w:rPr>
          <w:rFonts w:ascii="Times New Roman" w:hAnsi="Times New Roman" w:cs="Times New Roman" w:eastAsia="Times New Roman" w:hint="default"/>
        </w:rPr>
        <w:t>OSA</w:t>
      </w:r>
      <w:r>
        <w:rPr/>
        <w:t>账户以及宁波</w:t>
      </w:r>
    </w:p>
    <w:p>
      <w:pPr>
        <w:pStyle w:val="BodyText"/>
        <w:spacing w:line="240" w:lineRule="auto" w:before="13"/>
        <w:ind w:right="1117"/>
        <w:jc w:val="left"/>
      </w:pPr>
      <w:r>
        <w:rPr/>
        <w:t>银行和民生银行</w:t>
      </w:r>
      <w:r>
        <w:rPr>
          <w:rFonts w:ascii="Times New Roman" w:hAnsi="Times New Roman" w:cs="Times New Roman" w:eastAsia="Times New Roman" w:hint="default"/>
        </w:rPr>
        <w:t>NRA</w:t>
      </w:r>
      <w:r>
        <w:rPr/>
        <w:t>银行账户款项。</w:t>
      </w:r>
    </w:p>
    <w:p>
      <w:pPr>
        <w:pStyle w:val="BodyText"/>
        <w:spacing w:line="240" w:lineRule="auto" w:before="63"/>
        <w:ind w:left="573" w:right="1117"/>
        <w:jc w:val="left"/>
      </w:pPr>
      <w:r>
        <w:rPr/>
        <w:t>期末其他货币资金主要系存放在银行用于开具银行保函之保证金</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其中使用受限金额</w:t>
      </w:r>
      <w:r>
        <w:rPr>
          <w:rFonts w:ascii="Times New Roman" w:hAnsi="Times New Roman" w:cs="Times New Roman" w:eastAsia="Times New Roman" w:hint="default"/>
        </w:rPr>
        <w:t>31,880,040.80</w:t>
      </w:r>
      <w:r>
        <w:rPr/>
        <w:t>元。</w:t>
      </w:r>
    </w:p>
    <w:p>
      <w:pPr>
        <w:pStyle w:val="BodyText"/>
        <w:spacing w:line="240" w:lineRule="auto" w:before="63"/>
        <w:ind w:right="1117"/>
        <w:jc w:val="left"/>
      </w:pPr>
      <w:r>
        <w:rPr>
          <w:rFonts w:ascii="Times New Roman" w:hAnsi="Times New Roman" w:cs="Times New Roman" w:eastAsia="Times New Roman" w:hint="default"/>
        </w:rPr>
        <w:t>2</w:t>
      </w:r>
      <w:r>
        <w:rPr/>
        <w:t>、外币货币资金明细情况详见本附注七</w:t>
      </w:r>
      <w:r>
        <w:rPr>
          <w:rFonts w:ascii="Times New Roman" w:hAnsi="Times New Roman" w:cs="Times New Roman" w:eastAsia="Times New Roman" w:hint="default"/>
        </w:rPr>
        <w:t>.71</w:t>
      </w:r>
      <w:r>
        <w:rPr/>
        <w:t>外币货币性项目</w:t>
      </w:r>
      <w:r>
        <w:rPr>
          <w:rFonts w:ascii="Times New Roman" w:hAnsi="Times New Roman" w:cs="Times New Roman" w:eastAsia="Times New Roman" w:hint="default"/>
        </w:rPr>
        <w:t>”</w:t>
      </w:r>
      <w:r>
        <w:rPr/>
        <w:t>之说明。</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、应收票据及应收账款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536,114,993.27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548,585,371.69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536,114,993.27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548,585,371.69</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1)</w:t>
      </w:r>
      <w:r>
        <w:rPr/>
        <w:t>应收票据分类列示</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240" w:lineRule="auto" w:before="44"/>
        <w:ind w:right="1117"/>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49"/>
        <w:ind w:right="1117"/>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50"/>
        <w:ind w:right="1117"/>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588,394,</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234.75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52,279,2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41.48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8.89%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536,114,9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93.27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588,051</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,023.39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39,465,65</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1.70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548,585,37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1.69</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588,394,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234.75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52,279,2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41.48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8.89%</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536,114,9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93.27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588,051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,023.39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39,465,65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1.70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6.71%</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548,585,37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1.69</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86" w:footer="1294" w:top="1100" w:bottom="1480" w:left="980" w:right="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70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93"/>
      </w:tblGrid>
      <w:tr>
        <w:trPr>
          <w:trHeight w:val="204"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417,330,225.76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12,519,906.77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113,558,417.62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11,355,841.76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41,574,426.31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12,472,327.89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15,931,165.06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15,931,165.06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588,394,234.75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52,279,241.48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700" w:left="980" w:right="0"/>
        </w:sectPr>
      </w:pPr>
    </w:p>
    <w:p>
      <w:pPr>
        <w:spacing w:line="240" w:lineRule="auto" w:before="8"/>
        <w:rPr>
          <w:rFonts w:ascii="宋体" w:hAnsi="宋体" w:cs="宋体" w:eastAsia="宋体" w:hint="default"/>
          <w:sz w:val="22"/>
          <w:szCs w:val="22"/>
        </w:rPr>
      </w:pPr>
    </w:p>
    <w:p>
      <w:pPr>
        <w:pStyle w:val="BodyText"/>
        <w:spacing w:line="360" w:lineRule="auto" w:before="44"/>
        <w:ind w:right="6434"/>
        <w:jc w:val="left"/>
      </w:pPr>
      <w:r>
        <w:rPr/>
        <w:t>确定该组合依据的说明： 组合中，采用余额百分比法计提坏账准备的应收账款：</w:t>
      </w:r>
    </w:p>
    <w:p>
      <w:pPr>
        <w:pStyle w:val="BodyText"/>
        <w:spacing w:line="340" w:lineRule="auto" w:before="2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240" w:lineRule="auto" w:before="41"/>
        <w:ind w:right="11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right="1117"/>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right="4366"/>
        <w:jc w:val="left"/>
      </w:pPr>
      <w:r>
        <w:rPr/>
        <w:t>本期计提坏账准备金额</w:t>
      </w:r>
      <w:r>
        <w:rPr>
          <w:spacing w:val="-46"/>
        </w:rPr>
        <w:t> </w:t>
      </w:r>
      <w:r>
        <w:rPr>
          <w:rFonts w:ascii="Times New Roman" w:hAnsi="Times New Roman" w:cs="Times New Roman" w:eastAsia="Times New Roman" w:hint="default"/>
        </w:rPr>
        <w:t>12,813,589.78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pStyle w:val="BodyText"/>
        <w:spacing w:line="240" w:lineRule="auto" w:before="3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0"/>
        <w:ind w:right="1117"/>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17"/>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48" w:lineRule="auto" w:before="49"/>
        <w:ind w:right="6824"/>
        <w:jc w:val="left"/>
      </w:pP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357" w:lineRule="auto" w:before="36"/>
        <w:ind w:right="7824"/>
        <w:jc w:val="left"/>
      </w:pPr>
      <w:r>
        <w:rPr/>
        <w:t>是 软件与信息技术服务业</w:t>
      </w:r>
      <w:r>
        <w:rPr>
          <w:rFonts w:ascii="Times New Roman" w:hAnsi="Times New Roman" w:cs="Times New Roman" w:eastAsia="Times New Roman" w:hint="default"/>
        </w:rPr>
        <w:t>;</w:t>
      </w:r>
      <w:r>
        <w:rPr/>
        <w:t>互联网营销业</w:t>
      </w:r>
    </w:p>
    <w:tbl>
      <w:tblPr>
        <w:tblW w:w="0" w:type="auto"/>
        <w:jc w:val="left"/>
        <w:tblInd w:w="426" w:type="dxa"/>
        <w:tblLayout w:type="fixed"/>
        <w:tblCellMar>
          <w:top w:w="0" w:type="dxa"/>
          <w:left w:w="0" w:type="dxa"/>
          <w:bottom w:w="0" w:type="dxa"/>
          <w:right w:w="0" w:type="dxa"/>
        </w:tblCellMar>
        <w:tblLook w:val="01E0"/>
      </w:tblPr>
      <w:tblGrid>
        <w:gridCol w:w="1846"/>
        <w:gridCol w:w="1705"/>
        <w:gridCol w:w="2268"/>
        <w:gridCol w:w="1421"/>
        <w:gridCol w:w="1844"/>
      </w:tblGrid>
      <w:tr>
        <w:trPr>
          <w:trHeight w:val="96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76" w:right="72"/>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 余额合计数的比 例</w:t>
            </w:r>
            <w:r>
              <w:rPr>
                <w:rFonts w:ascii="Times New Roman" w:hAnsi="Times New Roman" w:cs="Times New Roman" w:eastAsia="Times New Roman" w:hint="default"/>
                <w:sz w:val="18"/>
                <w:szCs w:val="18"/>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280"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52,551,541.92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38,414,416.82</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9,430,874.70</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4,509,450.40</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196,800.00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3,645,155.09</w:t>
            </w:r>
          </w:p>
        </w:tc>
      </w:tr>
      <w:tr>
        <w:trPr>
          <w:trHeight w:val="1277"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38,166,899.15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2,710,700.11</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933,916.77</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24,888,103.43</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9,634,178.84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17,275,322.55</w:t>
            </w:r>
          </w:p>
        </w:tc>
      </w:tr>
      <w:tr>
        <w:trPr>
          <w:trHeight w:val="967"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32,243,374.08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30,087,134.44</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1,461,749.67</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694,489.97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5.48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1,257,135.99</w:t>
            </w:r>
          </w:p>
        </w:tc>
      </w:tr>
      <w:tr>
        <w:trPr>
          <w:trHeight w:val="341"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31,163,760.00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5.30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3,116,376.00</w:t>
            </w:r>
          </w:p>
        </w:tc>
      </w:tr>
      <w:tr>
        <w:trPr>
          <w:trHeight w:val="96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Times New Roman" w:hAnsi="Times New Roman" w:cs="Times New Roman" w:eastAsia="Times New Roman" w:hint="default"/>
                <w:sz w:val="18"/>
                <w:szCs w:val="18"/>
              </w:rPr>
            </w:pPr>
            <w:r>
              <w:rPr>
                <w:rFonts w:ascii="Times New Roman"/>
                <w:sz w:val="18"/>
              </w:rPr>
              <w:t>22,627,393.56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7,961,492.94</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6,507,267.55</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5,613,162.14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 w:right="0"/>
              <w:jc w:val="center"/>
              <w:rPr>
                <w:rFonts w:ascii="Times New Roman" w:hAnsi="Times New Roman" w:cs="Times New Roman" w:eastAsia="Times New Roman" w:hint="default"/>
                <w:sz w:val="18"/>
                <w:szCs w:val="18"/>
              </w:rPr>
            </w:pPr>
            <w:r>
              <w:rPr>
                <w:rFonts w:ascii="Times New Roman"/>
                <w:sz w:val="18"/>
              </w:rPr>
              <w:t>3.84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5,118,991.12</w:t>
            </w:r>
          </w:p>
        </w:tc>
      </w:tr>
    </w:tbl>
    <w:p>
      <w:pPr>
        <w:spacing w:after="0" w:line="240" w:lineRule="auto"/>
        <w:jc w:val="center"/>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426" w:type="dxa"/>
        <w:tblLayout w:type="fixed"/>
        <w:tblCellMar>
          <w:top w:w="0" w:type="dxa"/>
          <w:left w:w="0" w:type="dxa"/>
          <w:bottom w:w="0" w:type="dxa"/>
          <w:right w:w="0" w:type="dxa"/>
        </w:tblCellMar>
        <w:tblLook w:val="01E0"/>
      </w:tblPr>
      <w:tblGrid>
        <w:gridCol w:w="1846"/>
        <w:gridCol w:w="1705"/>
        <w:gridCol w:w="2268"/>
        <w:gridCol w:w="1421"/>
        <w:gridCol w:w="1844"/>
      </w:tblGrid>
      <w:tr>
        <w:trPr>
          <w:trHeight w:val="341" w:hRule="exact"/>
        </w:trPr>
        <w:tc>
          <w:tcPr>
            <w:tcW w:w="184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4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2,545,470.93</w:t>
            </w:r>
          </w:p>
        </w:tc>
        <w:tc>
          <w:tcPr>
            <w:tcW w:w="1421"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83" w:right="0"/>
              <w:jc w:val="left"/>
              <w:rPr>
                <w:rFonts w:ascii="Times New Roman" w:hAnsi="Times New Roman" w:cs="Times New Roman" w:eastAsia="Times New Roman" w:hint="default"/>
                <w:sz w:val="18"/>
                <w:szCs w:val="18"/>
              </w:rPr>
            </w:pPr>
            <w:r>
              <w:rPr>
                <w:rFonts w:ascii="Times New Roman"/>
                <w:sz w:val="18"/>
              </w:rPr>
              <w:t>176,752,968.71</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30.04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99" w:right="0"/>
              <w:jc w:val="left"/>
              <w:rPr>
                <w:rFonts w:ascii="Times New Roman" w:hAnsi="Times New Roman" w:cs="Times New Roman" w:eastAsia="Times New Roman" w:hint="default"/>
                <w:sz w:val="18"/>
                <w:szCs w:val="18"/>
              </w:rPr>
            </w:pPr>
            <w:r>
              <w:rPr>
                <w:rFonts w:ascii="Times New Roman"/>
                <w:sz w:val="18"/>
              </w:rPr>
              <w:t>30,412,980.75</w:t>
            </w:r>
          </w:p>
        </w:tc>
      </w:tr>
    </w:tbl>
    <w:p>
      <w:pPr>
        <w:spacing w:line="240" w:lineRule="auto" w:before="2"/>
        <w:rPr>
          <w:rFonts w:ascii="宋体" w:hAnsi="宋体" w:cs="宋体" w:eastAsia="宋体" w:hint="default"/>
          <w:sz w:val="24"/>
          <w:szCs w:val="24"/>
        </w:rPr>
      </w:pPr>
    </w:p>
    <w:p>
      <w:pPr>
        <w:pStyle w:val="BodyText"/>
        <w:spacing w:line="240" w:lineRule="auto" w:before="44"/>
        <w:ind w:right="1117"/>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1"/>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5"/>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43,676,724.58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48,842,670.29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99.24%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3,005,032.94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325,087.63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135,544.90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49,560.80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49,560.80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46,866,863.22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49,217,318.72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7"/>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2"/>
        <w:gridCol w:w="1841"/>
        <w:gridCol w:w="1421"/>
        <w:gridCol w:w="2050"/>
        <w:gridCol w:w="1642"/>
      </w:tblGrid>
      <w:tr>
        <w:trPr>
          <w:trHeight w:val="67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525" w:right="29" w:hanging="497"/>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 数的比例</w:t>
            </w:r>
            <w:r>
              <w:rPr>
                <w:rFonts w:ascii="Times New Roman" w:hAnsi="Times New Roman" w:cs="Times New Roman" w:eastAsia="Times New Roman" w:hint="default"/>
                <w:sz w:val="18"/>
                <w:szCs w:val="18"/>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上海新准广告有限公司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center"/>
              <w:rPr>
                <w:rFonts w:ascii="Times New Roman" w:hAnsi="Times New Roman" w:cs="Times New Roman" w:eastAsia="Times New Roman" w:hint="default"/>
                <w:sz w:val="18"/>
                <w:szCs w:val="18"/>
              </w:rPr>
            </w:pPr>
            <w:r>
              <w:rPr>
                <w:rFonts w:ascii="Times New Roman"/>
                <w:sz w:val="18"/>
              </w:rPr>
              <w:t>5,416,169.16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11.56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尚未消耗</w:t>
            </w:r>
          </w:p>
        </w:tc>
      </w:tr>
      <w:tr>
        <w:trPr>
          <w:trHeight w:val="67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广州南瞻部洲互动娱乐有限公司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5,336,088.30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11.39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尚未消耗</w:t>
            </w:r>
          </w:p>
        </w:tc>
      </w:tr>
      <w:tr>
        <w:trPr>
          <w:trHeight w:val="35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18"/>
                <w:szCs w:val="18"/>
              </w:rPr>
            </w:pPr>
            <w:r>
              <w:rPr>
                <w:rFonts w:ascii="宋体" w:hAnsi="宋体" w:cs="宋体" w:eastAsia="宋体" w:hint="default"/>
                <w:sz w:val="18"/>
                <w:szCs w:val="18"/>
              </w:rPr>
              <w:t>杭州网道广告有限公司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Times New Roman" w:hAnsi="Times New Roman" w:cs="Times New Roman" w:eastAsia="Times New Roman" w:hint="default"/>
                <w:sz w:val="18"/>
                <w:szCs w:val="18"/>
              </w:rPr>
            </w:pPr>
            <w:r>
              <w:rPr>
                <w:rFonts w:ascii="Times New Roman"/>
                <w:sz w:val="18"/>
              </w:rPr>
              <w:t>3,500,000.00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Times New Roman" w:hAnsi="Times New Roman" w:cs="Times New Roman" w:eastAsia="Times New Roman" w:hint="default"/>
                <w:sz w:val="18"/>
                <w:szCs w:val="18"/>
              </w:rPr>
            </w:pPr>
            <w:r>
              <w:rPr>
                <w:rFonts w:ascii="Times New Roman"/>
                <w:sz w:val="18"/>
              </w:rPr>
              <w:t>7.47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尚未消耗</w:t>
            </w:r>
          </w:p>
        </w:tc>
      </w:tr>
      <w:tr>
        <w:trPr>
          <w:trHeight w:val="3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8"/>
                <w:szCs w:val="18"/>
              </w:rPr>
            </w:pPr>
            <w:r>
              <w:rPr>
                <w:rFonts w:ascii="宋体" w:hAnsi="宋体" w:cs="宋体" w:eastAsia="宋体" w:hint="default"/>
                <w:sz w:val="18"/>
                <w:szCs w:val="18"/>
              </w:rPr>
              <w:t>喀什日盛文化传媒有限公司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center"/>
              <w:rPr>
                <w:rFonts w:ascii="Times New Roman" w:hAnsi="Times New Roman" w:cs="Times New Roman" w:eastAsia="Times New Roman" w:hint="default"/>
                <w:sz w:val="18"/>
                <w:szCs w:val="18"/>
              </w:rPr>
            </w:pPr>
            <w:r>
              <w:rPr>
                <w:rFonts w:ascii="Times New Roman"/>
                <w:sz w:val="18"/>
              </w:rPr>
              <w:t>2,934,512.20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 w:right="0"/>
              <w:jc w:val="center"/>
              <w:rPr>
                <w:rFonts w:ascii="Times New Roman" w:hAnsi="Times New Roman" w:cs="Times New Roman" w:eastAsia="Times New Roman" w:hint="default"/>
                <w:sz w:val="18"/>
                <w:szCs w:val="18"/>
              </w:rPr>
            </w:pPr>
            <w:r>
              <w:rPr>
                <w:rFonts w:ascii="Times New Roman"/>
                <w:sz w:val="18"/>
              </w:rPr>
              <w:t>6.26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尚未消耗</w:t>
            </w:r>
          </w:p>
        </w:tc>
      </w:tr>
      <w:tr>
        <w:trPr>
          <w:trHeight w:val="67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深圳市志合传媒股份有限公司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2,324,300.00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尚未消耗</w:t>
            </w:r>
          </w:p>
        </w:tc>
      </w:tr>
      <w:tr>
        <w:trPr>
          <w:trHeight w:val="3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19,511,069.66</w:t>
            </w:r>
          </w:p>
        </w:tc>
        <w:tc>
          <w:tcPr>
            <w:tcW w:w="1421"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41.64</w:t>
            </w:r>
          </w:p>
        </w:tc>
        <w:tc>
          <w:tcPr>
            <w:tcW w:w="16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4"/>
          <w:szCs w:val="24"/>
        </w:rPr>
      </w:pPr>
    </w:p>
    <w:p>
      <w:pPr>
        <w:pStyle w:val="BodyText"/>
        <w:spacing w:line="240" w:lineRule="auto" w:before="44"/>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11,703,383.71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8,373,896.06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11,703,383.71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8,373,896.06</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1)</w:t>
      </w:r>
      <w:r>
        <w:rPr/>
        <w:t>应收利息分类</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17"/>
        <w:jc w:val="left"/>
      </w:pPr>
      <w:r>
        <w:rPr>
          <w:rFonts w:ascii="Times New Roman" w:hAnsi="Times New Roman" w:cs="Times New Roman" w:eastAsia="Times New Roman" w:hint="default"/>
        </w:rPr>
        <w:t>2)</w:t>
      </w:r>
      <w:r>
        <w:rPr/>
        <w:t>重要逾期利息</w:t>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1)</w:t>
      </w:r>
      <w:r>
        <w:rPr/>
        <w:t>应收股利</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1117"/>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1)</w:t>
      </w:r>
      <w:r>
        <w:rPr/>
        <w:t>其他应收款分类披露</w:t>
      </w:r>
    </w:p>
    <w:p>
      <w:pPr>
        <w:pStyle w:val="BodyText"/>
        <w:spacing w:line="240" w:lineRule="auto" w:before="10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13,637,9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71.87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1,934,58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14.19%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11,703,38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3.71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10,134,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608.42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1,760,712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8,373,896.0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13,637,9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71.87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1,934,58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8.16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14.19%</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11,703,38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3.71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10,134,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608.42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1,760,712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17.37%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8,373,896.0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392"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t>期末单项金额重大并单项计提坏账准备的其他应收款：</w:t>
      </w:r>
    </w:p>
    <w:p>
      <w:pPr>
        <w:spacing w:after="0" w:line="240" w:lineRule="auto"/>
        <w:jc w:val="left"/>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86" w:footer="1294" w:top="1100" w:bottom="148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100" w:bottom="70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10,777,243.05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323,317.31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1,125,173.47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112,517.34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338,288.35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101,486.51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1,397,267.00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1,397,267.00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13,637,971.87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1,934,588.16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700" w:left="980" w:right="0"/>
        </w:sectPr>
      </w:pPr>
    </w:p>
    <w:p>
      <w:pPr>
        <w:pStyle w:val="BodyText"/>
        <w:spacing w:line="357" w:lineRule="auto" w:before="49"/>
        <w:ind w:right="1652"/>
        <w:jc w:val="left"/>
      </w:pPr>
      <w:r>
        <w:rPr/>
        <w:t>确定该组合依据的说明： 组合中，采用余额百分比法计提坏账准备的其他应收款：</w:t>
      </w:r>
    </w:p>
    <w:p>
      <w:pPr>
        <w:pStyle w:val="BodyText"/>
        <w:spacing w:line="338" w:lineRule="auto" w:before="29"/>
        <w:ind w:right="2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right="1652"/>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11"/>
        <w:jc w:val="left"/>
      </w:pPr>
      <w:r>
        <w:rPr/>
        <w:t>本期计提坏账准备金额</w:t>
      </w:r>
      <w:r>
        <w:rPr>
          <w:spacing w:val="-46"/>
        </w:rPr>
        <w:t> </w:t>
      </w:r>
      <w:r>
        <w:rPr>
          <w:rFonts w:ascii="Times New Roman" w:hAnsi="Times New Roman" w:cs="Times New Roman" w:eastAsia="Times New Roman" w:hint="default"/>
        </w:rPr>
        <w:t>173,875.80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700" w:left="980" w:right="0"/>
          <w:cols w:num="2" w:equalWidth="0">
            <w:col w:w="6325" w:space="2504"/>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1117"/>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17"/>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100" w:bottom="700" w:left="980" w:right="0"/>
        </w:sectPr>
      </w:pPr>
    </w:p>
    <w:p>
      <w:pPr>
        <w:pStyle w:val="BodyText"/>
        <w:spacing w:line="240" w:lineRule="auto" w:before="49"/>
        <w:ind w:right="-18"/>
        <w:jc w:val="left"/>
      </w:pPr>
      <w:r>
        <w:rPr/>
        <w:t>其他应收款核销说明：</w:t>
      </w:r>
    </w:p>
    <w:p>
      <w:pPr>
        <w:pStyle w:val="BodyText"/>
        <w:spacing w:line="240" w:lineRule="auto" w:before="117"/>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700" w:left="980" w:right="0"/>
          <w:cols w:num="2" w:equalWidth="0">
            <w:col w:w="2825" w:space="6004"/>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12,177,521.62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6,748,035.88</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725,138.76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1,113,808.99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应收腾讯平台返现金额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229,701.78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758,559.09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7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员工社保公积金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70,404.51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324,412.02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435,205.20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1,189,792.44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13,637,971.87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10,134,608.42</w:t>
            </w:r>
          </w:p>
        </w:tc>
      </w:tr>
    </w:tbl>
    <w:p>
      <w:pPr>
        <w:pStyle w:val="BodyText"/>
        <w:spacing w:line="240" w:lineRule="auto" w:before="49"/>
        <w:ind w:right="1117"/>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08"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21"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118"/>
              <w:jc w:val="left"/>
              <w:rPr>
                <w:rFonts w:ascii="宋体" w:hAnsi="宋体" w:cs="宋体" w:eastAsia="宋体" w:hint="default"/>
                <w:sz w:val="18"/>
                <w:szCs w:val="18"/>
              </w:rPr>
            </w:pPr>
            <w:r>
              <w:rPr>
                <w:rFonts w:ascii="宋体" w:hAnsi="宋体" w:cs="宋体" w:eastAsia="宋体" w:hint="default"/>
                <w:sz w:val="18"/>
                <w:szCs w:val="18"/>
              </w:rPr>
              <w:t>北京文化科技融资 租赁股份有限公司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2" w:right="118"/>
              <w:jc w:val="left"/>
              <w:rPr>
                <w:rFonts w:ascii="宋体" w:hAnsi="宋体" w:cs="宋体" w:eastAsia="宋体" w:hint="default"/>
                <w:sz w:val="18"/>
                <w:szCs w:val="18"/>
              </w:rPr>
            </w:pPr>
            <w:r>
              <w:rPr>
                <w:rFonts w:ascii="宋体" w:hAnsi="宋体" w:cs="宋体" w:eastAsia="宋体" w:hint="default"/>
                <w:sz w:val="18"/>
                <w:szCs w:val="18"/>
              </w:rPr>
              <w:t>中国民生银行股份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941,749.23</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28,252.48</w:t>
            </w:r>
          </w:p>
        </w:tc>
      </w:tr>
      <w:tr>
        <w:trPr>
          <w:trHeight w:val="1027"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18"/>
              <w:jc w:val="both"/>
              <w:rPr>
                <w:rFonts w:ascii="宋体" w:hAnsi="宋体" w:cs="宋体" w:eastAsia="宋体" w:hint="default"/>
                <w:sz w:val="18"/>
                <w:szCs w:val="18"/>
              </w:rPr>
            </w:pPr>
            <w:r>
              <w:rPr>
                <w:rFonts w:ascii="宋体" w:hAnsi="宋体" w:cs="宋体" w:eastAsia="宋体" w:hint="default"/>
                <w:sz w:val="18"/>
                <w:szCs w:val="18"/>
              </w:rPr>
              <w:t>上海漕河泾开发区 高科技园发展有限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444,030.90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36,002.51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408,028.39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409,108.47</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2" w:right="118"/>
              <w:jc w:val="left"/>
              <w:rPr>
                <w:rFonts w:ascii="宋体" w:hAnsi="宋体" w:cs="宋体" w:eastAsia="宋体" w:hint="default"/>
                <w:sz w:val="18"/>
                <w:szCs w:val="18"/>
              </w:rPr>
            </w:pPr>
            <w:r>
              <w:rPr>
                <w:rFonts w:ascii="宋体" w:hAnsi="宋体" w:cs="宋体" w:eastAsia="宋体" w:hint="default"/>
                <w:sz w:val="18"/>
                <w:szCs w:val="18"/>
              </w:rPr>
              <w:t>福建省农村信用社 联合社</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398,000.00</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18"/>
              <w:jc w:val="left"/>
              <w:rPr>
                <w:rFonts w:ascii="宋体" w:hAnsi="宋体" w:cs="宋体" w:eastAsia="宋体" w:hint="default"/>
                <w:sz w:val="18"/>
                <w:szCs w:val="18"/>
              </w:rPr>
            </w:pPr>
            <w:r>
              <w:rPr>
                <w:rFonts w:ascii="宋体" w:hAnsi="宋体" w:cs="宋体" w:eastAsia="宋体" w:hint="default"/>
                <w:sz w:val="18"/>
                <w:szCs w:val="18"/>
              </w:rPr>
              <w:t>深圳前海冠达实业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9,450.00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7,098,780.13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994,810.95</w:t>
            </w:r>
          </w:p>
        </w:tc>
      </w:tr>
    </w:tbl>
    <w:p>
      <w:pPr>
        <w:pStyle w:val="BodyText"/>
        <w:spacing w:line="240" w:lineRule="auto" w:before="49"/>
        <w:ind w:right="1117"/>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49"/>
        <w:ind w:right="1117"/>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1"/>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6"/>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514"/>
        <w:jc w:val="left"/>
      </w:pPr>
      <w:r>
        <w:rPr/>
        <w:t>公司是否需要遵守房地产行业的披露要求 否</w:t>
      </w:r>
    </w:p>
    <w:p>
      <w:pPr>
        <w:spacing w:line="240" w:lineRule="auto" w:before="6"/>
        <w:rPr>
          <w:rFonts w:ascii="宋体" w:hAnsi="宋体" w:cs="宋体" w:eastAsia="宋体" w:hint="default"/>
          <w:sz w:val="20"/>
          <w:szCs w:val="20"/>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68"/>
        <w:gridCol w:w="1357"/>
        <w:gridCol w:w="1368"/>
        <w:gridCol w:w="1367"/>
        <w:gridCol w:w="1367"/>
        <w:gridCol w:w="1366"/>
        <w:gridCol w:w="135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4092" w:type="dxa"/>
            <w:gridSpan w:val="3"/>
            <w:vMerge/>
            <w:tcBorders>
              <w:left w:val="single" w:sz="4" w:space="0" w:color="000000"/>
              <w:bottom w:val="single" w:sz="4" w:space="0" w:color="000000"/>
              <w:right w:val="single" w:sz="4" w:space="0" w:color="000000"/>
            </w:tcBorders>
            <w:shd w:val="clear" w:color="auto" w:fill="D2D2D2"/>
          </w:tcPr>
          <w:p>
            <w:pPr/>
          </w:p>
        </w:tc>
        <w:tc>
          <w:tcPr>
            <w:tcW w:w="4090"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left="279" w:right="0"/>
              <w:jc w:val="left"/>
              <w:rPr>
                <w:rFonts w:ascii="Times New Roman" w:hAnsi="Times New Roman" w:cs="Times New Roman" w:eastAsia="Times New Roman" w:hint="default"/>
                <w:sz w:val="18"/>
                <w:szCs w:val="18"/>
              </w:rPr>
            </w:pPr>
            <w:r>
              <w:rPr>
                <w:rFonts w:ascii="Times New Roman"/>
                <w:sz w:val="18"/>
              </w:rPr>
              <w:t>58,183,207.82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0" w:right="0"/>
              <w:jc w:val="left"/>
              <w:rPr>
                <w:rFonts w:ascii="Times New Roman" w:hAnsi="Times New Roman" w:cs="Times New Roman" w:eastAsia="Times New Roman" w:hint="default"/>
                <w:sz w:val="18"/>
                <w:szCs w:val="18"/>
              </w:rPr>
            </w:pPr>
            <w:r>
              <w:rPr>
                <w:rFonts w:ascii="Times New Roman"/>
                <w:sz w:val="18"/>
              </w:rPr>
              <w:t>58,183,207.82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8" w:right="0"/>
              <w:jc w:val="left"/>
              <w:rPr>
                <w:rFonts w:ascii="Times New Roman" w:hAnsi="Times New Roman" w:cs="Times New Roman" w:eastAsia="Times New Roman" w:hint="default"/>
                <w:sz w:val="18"/>
                <w:szCs w:val="18"/>
              </w:rPr>
            </w:pPr>
            <w:r>
              <w:rPr>
                <w:rFonts w:ascii="Times New Roman"/>
                <w:sz w:val="18"/>
              </w:rPr>
              <w:t>26,619,173.93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9" w:right="0"/>
              <w:jc w:val="left"/>
              <w:rPr>
                <w:rFonts w:ascii="Times New Roman" w:hAnsi="Times New Roman" w:cs="Times New Roman" w:eastAsia="Times New Roman" w:hint="default"/>
                <w:sz w:val="18"/>
                <w:szCs w:val="18"/>
              </w:rPr>
            </w:pPr>
            <w:r>
              <w:rPr>
                <w:rFonts w:ascii="Times New Roman"/>
                <w:sz w:val="18"/>
              </w:rPr>
              <w:t>26,619,173.93</w:t>
            </w:r>
          </w:p>
        </w:tc>
      </w:tr>
    </w:tbl>
    <w:p>
      <w:pPr>
        <w:spacing w:after="0" w:line="240" w:lineRule="auto"/>
        <w:jc w:val="lef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67,194,688.73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67,194,688.73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76,988,780.24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76,988,780.24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125,377,896.55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125,377,896.55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103,607,954.17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103,607,954.17</w:t>
            </w:r>
          </w:p>
        </w:tc>
      </w:tr>
    </w:tbl>
    <w:p>
      <w:pPr>
        <w:pStyle w:val="BodyText"/>
        <w:spacing w:line="338" w:lineRule="auto" w:before="49"/>
        <w:ind w:right="24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3"/>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1"/>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7"/>
        <w:rPr>
          <w:rFonts w:ascii="宋体" w:hAnsi="宋体" w:cs="宋体" w:eastAsia="宋体" w:hint="default"/>
          <w:sz w:val="21"/>
          <w:szCs w:val="21"/>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8</w:t>
      </w:r>
      <w:r>
        <w:rPr/>
        <w:t>、持有待售资产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待认证抵扣进项税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554,076.53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2,677,148.70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预缴流转税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3,029,433.39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690,569.20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44,431.21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48,005.95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1,211.60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128,627,941.13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73,416,935.45</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1"/>
        <w:gridCol w:w="1195"/>
        <w:gridCol w:w="1198"/>
        <w:gridCol w:w="1196"/>
        <w:gridCol w:w="1248"/>
        <w:gridCol w:w="1369"/>
        <w:gridCol w:w="1366"/>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10,495,065.00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59,004,935.00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69,500,000.00</w:t>
            </w:r>
          </w:p>
        </w:tc>
      </w:tr>
      <w:tr>
        <w:trPr>
          <w:trHeight w:val="401"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10,495,065.00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59,004,935.00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69,500,000.00</w:t>
            </w: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10,495,065.00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59,004,935.00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69,500,000.00</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14"/>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4" w:space="0" w:color="D2D2D2"/>
            </w:tcBorders>
            <w:shd w:val="clear" w:color="auto" w:fill="E0FFFF"/>
          </w:tcPr>
          <w:p>
            <w:pPr/>
          </w:p>
        </w:tc>
        <w:tc>
          <w:tcPr>
            <w:tcW w:w="1914"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2"/>
        <w:gridCol w:w="869"/>
        <w:gridCol w:w="871"/>
        <w:gridCol w:w="869"/>
        <w:gridCol w:w="871"/>
        <w:gridCol w:w="869"/>
        <w:gridCol w:w="872"/>
        <w:gridCol w:w="869"/>
        <w:gridCol w:w="871"/>
      </w:tblGrid>
      <w:tr>
        <w:trPr>
          <w:trHeight w:val="401"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5"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651" w:hRule="exact"/>
        </w:trPr>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兴业数字 金融服务 </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股 份有限公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盈行金融 信息技术</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19,500,000</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10,495,065</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10,495,065</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2"/>
        <w:gridCol w:w="869"/>
        <w:gridCol w:w="871"/>
        <w:gridCol w:w="869"/>
        <w:gridCol w:w="871"/>
        <w:gridCol w:w="869"/>
        <w:gridCol w:w="872"/>
        <w:gridCol w:w="869"/>
        <w:gridCol w:w="871"/>
      </w:tblGrid>
      <w:tr>
        <w:trPr>
          <w:trHeight w:val="363" w:hRule="exact"/>
        </w:trPr>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10,495,065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10,495,065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13" w:space="0" w:color="D2D2D2"/>
              <w:bottom w:val="single" w:sz="4" w:space="0" w:color="000000"/>
              <w:right w:val="single" w:sz="14" w:space="0" w:color="D2D2D2"/>
            </w:tcBorders>
            <w:shd w:val="clear" w:color="auto" w:fill="E0FFFF"/>
          </w:tcPr>
          <w:p>
            <w:pPr/>
          </w:p>
        </w:tc>
        <w:tc>
          <w:tcPr>
            <w:tcW w:w="191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10,495,065.00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10,495,065.00</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10,495,065.00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10,495,065.00</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1117"/>
        <w:jc w:val="left"/>
      </w:pPr>
      <w:r>
        <w:rPr/>
        <w:t>其他说明</w:t>
      </w:r>
    </w:p>
    <w:p>
      <w:pPr>
        <w:pStyle w:val="BodyText"/>
        <w:spacing w:line="309" w:lineRule="auto" w:before="117"/>
        <w:ind w:right="1129" w:firstLine="362"/>
        <w:jc w:val="both"/>
      </w:pPr>
      <w:r>
        <w:rPr>
          <w:spacing w:val="-1"/>
        </w:rPr>
        <w:t>上述被投资单位兴业数字金融服务</w:t>
      </w:r>
      <w:r>
        <w:rPr>
          <w:rFonts w:ascii="Times New Roman" w:hAnsi="Times New Roman" w:cs="Times New Roman" w:eastAsia="Times New Roman" w:hint="default"/>
          <w:spacing w:val="-1"/>
        </w:rPr>
        <w:t>(</w:t>
      </w:r>
      <w:r>
        <w:rPr>
          <w:spacing w:val="-1"/>
        </w:rPr>
        <w:t>上海</w:t>
      </w:r>
      <w:r>
        <w:rPr>
          <w:rFonts w:ascii="Times New Roman" w:hAnsi="Times New Roman" w:cs="Times New Roman" w:eastAsia="Times New Roman" w:hint="default"/>
          <w:spacing w:val="-1"/>
        </w:rPr>
        <w:t>)</w:t>
      </w:r>
      <w:r>
        <w:rPr>
          <w:spacing w:val="-1"/>
        </w:rPr>
        <w:t>股份有限公司、盈行金融信息技术（上海）有限公司均为非上市公司，目前不</w:t>
      </w:r>
      <w:r>
        <w:rPr/>
        <w:t> </w:t>
      </w:r>
      <w:r>
        <w:rPr>
          <w:spacing w:val="-2"/>
        </w:rPr>
        <w:t>存在活跃的权益交易市场，同时相关财务信息和市场信息的获取不具备持续性和及时性，公允价值无法可靠计量，此类金融</w:t>
      </w:r>
      <w:r>
        <w:rPr>
          <w:spacing w:val="-63"/>
        </w:rPr>
        <w:t> </w:t>
      </w:r>
      <w:r>
        <w:rPr>
          <w:spacing w:val="-63"/>
        </w:rPr>
      </w:r>
      <w:r>
        <w:rPr/>
        <w:t>资产按成本法计量，因此将其划分为可供出售类别且采用成本计量的权益工具投资。</w:t>
      </w:r>
    </w:p>
    <w:p>
      <w:pPr>
        <w:pStyle w:val="BodyText"/>
        <w:spacing w:line="300" w:lineRule="auto" w:before="24"/>
        <w:ind w:right="1117" w:firstLine="362"/>
        <w:jc w:val="left"/>
      </w:pPr>
      <w:r>
        <w:rPr>
          <w:spacing w:val="-1"/>
        </w:rPr>
        <w:t>根据深圳市永信瑞和资产评估有限公司于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29</w:t>
      </w:r>
      <w:r>
        <w:rPr>
          <w:spacing w:val="-1"/>
        </w:rPr>
        <w:t>日出具的深永信评报字</w:t>
      </w:r>
      <w:r>
        <w:rPr>
          <w:rFonts w:ascii="Times New Roman" w:hAnsi="Times New Roman" w:cs="Times New Roman" w:eastAsia="Times New Roman" w:hint="default"/>
          <w:spacing w:val="-1"/>
        </w:rPr>
        <w:t>[2019]</w:t>
      </w:r>
      <w:r>
        <w:rPr>
          <w:spacing w:val="-1"/>
        </w:rPr>
        <w:t>第</w:t>
      </w:r>
      <w:r>
        <w:rPr>
          <w:rFonts w:ascii="Times New Roman" w:hAnsi="Times New Roman" w:cs="Times New Roman" w:eastAsia="Times New Roman" w:hint="default"/>
          <w:spacing w:val="-1"/>
        </w:rPr>
        <w:t>037</w:t>
      </w:r>
      <w:r>
        <w:rPr>
          <w:spacing w:val="-1"/>
        </w:rPr>
        <w:t>号评估报告，盈行金融信息技</w:t>
      </w:r>
      <w:r>
        <w:rPr/>
        <w:t> 术（上海）有限公司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日的公允价值为人民币</w:t>
      </w:r>
      <w:r>
        <w:rPr>
          <w:rFonts w:ascii="Times New Roman" w:hAnsi="Times New Roman" w:cs="Times New Roman" w:eastAsia="Times New Roman" w:hint="default"/>
        </w:rPr>
        <w:t>60,032,900.00</w:t>
      </w:r>
      <w:r>
        <w:rPr/>
        <w:t>元，公司按对其持股</w:t>
      </w:r>
      <w:r>
        <w:rPr>
          <w:rFonts w:ascii="Times New Roman" w:hAnsi="Times New Roman" w:cs="Times New Roman" w:eastAsia="Times New Roman" w:hint="default"/>
        </w:rPr>
        <w:t>15.00%</w:t>
      </w:r>
      <w:r>
        <w:rPr/>
        <w:t>预计可收回投资金额 </w:t>
      </w:r>
      <w:r>
        <w:rPr>
          <w:rFonts w:ascii="Times New Roman" w:hAnsi="Times New Roman" w:cs="Times New Roman" w:eastAsia="Times New Roman" w:hint="default"/>
        </w:rPr>
        <w:t>9,004,935.00</w:t>
      </w:r>
      <w:r>
        <w:rPr/>
        <w:t>元，低于账面价值</w:t>
      </w:r>
      <w:r>
        <w:rPr>
          <w:rFonts w:ascii="Times New Roman" w:hAnsi="Times New Roman" w:cs="Times New Roman" w:eastAsia="Times New Roman" w:hint="default"/>
        </w:rPr>
        <w:t>19,500,000.00</w:t>
      </w:r>
      <w:r>
        <w:rPr/>
        <w:t>元的差额</w:t>
      </w:r>
      <w:r>
        <w:rPr>
          <w:rFonts w:ascii="Times New Roman" w:hAnsi="Times New Roman" w:cs="Times New Roman" w:eastAsia="Times New Roman" w:hint="default"/>
        </w:rPr>
        <w:t>10,495,065.00</w:t>
      </w:r>
      <w:r>
        <w:rPr/>
        <w:t>元计提减值准备。</w:t>
      </w:r>
    </w:p>
    <w:p>
      <w:pPr>
        <w:spacing w:line="240" w:lineRule="auto" w:before="4"/>
        <w:rPr>
          <w:rFonts w:ascii="宋体" w:hAnsi="宋体" w:cs="宋体" w:eastAsia="宋体" w:hint="default"/>
          <w:sz w:val="22"/>
          <w:szCs w:val="22"/>
        </w:rPr>
      </w:pPr>
    </w:p>
    <w:p>
      <w:pPr>
        <w:pStyle w:val="Heading3"/>
        <w:spacing w:line="240" w:lineRule="auto"/>
        <w:ind w:right="1117"/>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7"/>
        <w:jc w:val="left"/>
      </w:pPr>
      <w:r>
        <w:rPr/>
        <w:t>其他说明</w:t>
      </w:r>
    </w:p>
    <w:p>
      <w:pPr>
        <w:spacing w:after="0" w:line="240" w:lineRule="auto"/>
        <w:jc w:val="left"/>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中信科技 发展有限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6,812,634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700,602.2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15,013,23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北京高伟 达保科技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7,068,811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-736,875.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4,456,936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13,881,44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19,470,17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13,881,44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19,470,17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3.62</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t>其他说明</w:t>
      </w:r>
    </w:p>
    <w:p>
      <w:pPr>
        <w:pStyle w:val="Heading4"/>
        <w:spacing w:line="240" w:lineRule="auto" w:before="96"/>
        <w:ind w:right="1117"/>
        <w:jc w:val="left"/>
      </w:pPr>
      <w:r>
        <w:rPr/>
        <w:t>期末未发现长期股权投资存在明显减值迹象，故未计提减值准备。</w:t>
      </w:r>
    </w:p>
    <w:p>
      <w:pPr>
        <w:spacing w:after="0" w:line="240" w:lineRule="auto"/>
        <w:jc w:val="left"/>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3"/>
        <w:gridCol w:w="3198"/>
        <w:gridCol w:w="3188"/>
      </w:tblGrid>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63,982,246.86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111,400,048.55</w:t>
            </w:r>
          </w:p>
        </w:tc>
      </w:tr>
      <w:tr>
        <w:trPr>
          <w:trHeight w:val="403"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63,982,246.86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111,400,048.55</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114,811,038.32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18,985,600.14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6,692,506.57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1,280,101.85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141,769,246.88</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1,725,056.07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189,330.16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1,937,892.77</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52,820,769.66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8,096,537.91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76,652.16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60,993,959.73</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61,990,268.66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12,614,118.30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6,881,836.73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1,226,956.23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82,713,179.92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11,715,448.97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13,191,098.21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4,762,910.49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699,740.66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30,369,198.33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2,474,604.66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2,868,661.77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746,695.47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210,138.54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6,300,100.44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11,488,517.21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6,385,701.39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64,147.11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17,938,365.71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2,701,536.42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9,674,058.59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5,509,605.96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845,732.09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18,730,933.06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59,288,732.24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2,940,059.71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1,372,230.77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381,224.14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63,982,246.86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103,095,589.35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5,794,501.93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1,929,596.08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580,361.19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111,400,048.55</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17"/>
        <w:jc w:val="left"/>
      </w:pPr>
      <w:r>
        <w:rPr/>
        <w:t>其他说明</w:t>
      </w:r>
    </w:p>
    <w:p>
      <w:pPr>
        <w:pStyle w:val="Heading4"/>
        <w:spacing w:line="256" w:lineRule="auto" w:before="96"/>
        <w:ind w:left="258" w:right="1525" w:hanging="107"/>
        <w:jc w:val="left"/>
      </w:pPr>
      <w:r>
        <w:rPr/>
        <w:t>（</w:t>
      </w:r>
      <w:r>
        <w:rPr>
          <w:rFonts w:ascii="Times New Roman" w:hAnsi="Times New Roman" w:cs="Times New Roman" w:eastAsia="Times New Roman" w:hint="default"/>
        </w:rPr>
        <w:t>1</w:t>
      </w:r>
      <w:r>
        <w:rPr/>
        <w:t>）本期计提折旧额</w:t>
      </w:r>
      <w:r>
        <w:rPr>
          <w:rFonts w:ascii="Times New Roman" w:hAnsi="Times New Roman" w:cs="Times New Roman" w:eastAsia="Times New Roman" w:hint="default"/>
        </w:rPr>
        <w:t>6,300,100.44</w:t>
      </w:r>
      <w:r>
        <w:rPr/>
        <w:t>元。期末已提足折旧仍继续使用的固定资产原值</w:t>
      </w:r>
      <w:r>
        <w:rPr>
          <w:rFonts w:ascii="Times New Roman" w:hAnsi="Times New Roman" w:cs="Times New Roman" w:eastAsia="Times New Roman" w:hint="default"/>
        </w:rPr>
        <w:t>11,264,853.98</w:t>
      </w:r>
      <w:r>
        <w:rPr>
          <w:rFonts w:ascii="Times New Roman" w:hAnsi="Times New Roman" w:cs="Times New Roman" w:eastAsia="Times New Roman" w:hint="default"/>
          <w:spacing w:val="42"/>
        </w:rPr>
        <w:t> </w:t>
      </w:r>
      <w:r>
        <w:rPr/>
        <w:t>元。</w:t>
      </w:r>
      <w:r>
        <w:rPr>
          <w:w w:val="100"/>
        </w:rPr>
        <w:t> </w:t>
      </w:r>
      <w:r>
        <w:rPr>
          <w:rFonts w:ascii="Times New Roman" w:hAnsi="Times New Roman" w:cs="Times New Roman" w:eastAsia="Times New Roman" w:hint="default"/>
        </w:rPr>
        <w:t>(2)</w:t>
      </w:r>
      <w:r>
        <w:rPr/>
        <w:t>期末未发现固定资产存在明显减值迹象，故未计提减值准备。</w:t>
      </w:r>
      <w:r>
        <w:rPr>
          <w:w w:val="100"/>
        </w:rPr>
        <w:t> </w:t>
      </w:r>
      <w:r>
        <w:rPr>
          <w:rFonts w:ascii="Times New Roman" w:hAnsi="Times New Roman" w:cs="Times New Roman" w:eastAsia="Times New Roman" w:hint="default"/>
        </w:rPr>
        <w:t>(3)</w:t>
      </w:r>
      <w:r>
        <w:rPr/>
        <w:t>期末无融资租赁租入的固定资产。</w:t>
      </w:r>
    </w:p>
    <w:p>
      <w:pPr>
        <w:pStyle w:val="Heading4"/>
        <w:spacing w:line="256" w:lineRule="auto"/>
        <w:ind w:right="5413" w:firstLine="106"/>
        <w:jc w:val="left"/>
      </w:pPr>
      <w:r>
        <w:rPr>
          <w:rFonts w:ascii="Times New Roman" w:hAnsi="Times New Roman" w:cs="Times New Roman" w:eastAsia="Times New Roman" w:hint="default"/>
          <w:spacing w:val="-2"/>
        </w:rPr>
        <w:t>(4)</w:t>
      </w:r>
      <w:r>
        <w:rPr>
          <w:spacing w:val="-2"/>
        </w:rPr>
        <w:t>期末无经营租赁租出的固定资产。</w:t>
      </w:r>
      <w:r>
        <w:rPr>
          <w:w w:val="100"/>
        </w:rPr>
        <w:t> </w:t>
      </w:r>
      <w:r>
        <w:rPr>
          <w:rFonts w:ascii="Times New Roman" w:hAnsi="Times New Roman" w:cs="Times New Roman" w:eastAsia="Times New Roman" w:hint="default"/>
        </w:rPr>
        <w:t>(5)</w:t>
      </w:r>
      <w:r>
        <w:rPr/>
        <w:t>期末无用于借款抵押的固定资产。</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3"/>
        <w:spacing w:line="240" w:lineRule="auto"/>
        <w:ind w:right="1117"/>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48"/>
      </w:tblGrid>
      <w:tr>
        <w:trPr>
          <w:trHeight w:val="401"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40"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9" w:lineRule="auto"/>
        <w:jc w:val="left"/>
        <w:rPr>
          <w:rFonts w:ascii="宋体" w:hAnsi="宋体" w:cs="宋体" w:eastAsia="宋体" w:hint="default"/>
          <w:sz w:val="18"/>
          <w:szCs w:val="18"/>
        </w:rPr>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19</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5,270,285.40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83,675,701.72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88,945,987.12</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333,090.43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333,090.43</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16,180,115.39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16,180,115.39</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5,603,375.83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99,855,817.11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105,459,192.94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3,692,071.70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18,355,435.25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22,047,506.95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767,358.81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19,221,729.68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19,989,088.49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4,459,430.51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37,577,164.93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42,036,595.44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1,143,945.32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62,278,652.18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63,422,597.50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1,578,213.70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65,320,266.47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66,898,480.17</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9"/>
        <w:rPr>
          <w:rFonts w:ascii="Times New Roman" w:hAnsi="Times New Roman" w:cs="Times New Roman" w:eastAsia="Times New Roman" w:hint="default"/>
          <w:sz w:val="25"/>
          <w:szCs w:val="25"/>
        </w:rPr>
      </w:pPr>
    </w:p>
    <w:p>
      <w:pPr>
        <w:pStyle w:val="BodyText"/>
        <w:spacing w:line="240" w:lineRule="auto" w:before="44"/>
        <w:ind w:left="212" w:right="0"/>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79.03%</w:t>
      </w:r>
      <w:r>
        <w:rPr/>
        <w:t>。</w:t>
      </w:r>
    </w:p>
    <w:p>
      <w:pPr>
        <w:spacing w:line="240" w:lineRule="auto" w:before="2"/>
        <w:rPr>
          <w:rFonts w:ascii="宋体" w:hAnsi="宋体" w:cs="宋体" w:eastAsia="宋体" w:hint="default"/>
          <w:sz w:val="26"/>
          <w:szCs w:val="26"/>
        </w:rPr>
      </w:pPr>
    </w:p>
    <w:p>
      <w:pPr>
        <w:pStyle w:val="Heading3"/>
        <w:spacing w:line="240" w:lineRule="auto"/>
        <w:ind w:left="212"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left="212" w:right="0"/>
        <w:jc w:val="left"/>
      </w:pPr>
      <w:r>
        <w:rPr/>
        <w:t>其他说明：</w:t>
      </w:r>
    </w:p>
    <w:p>
      <w:pPr>
        <w:pStyle w:val="Heading4"/>
        <w:spacing w:line="256" w:lineRule="auto" w:before="94"/>
        <w:ind w:left="212" w:right="1126" w:firstLine="300"/>
        <w:jc w:val="both"/>
      </w:pPr>
      <w:r>
        <w:rPr>
          <w:rFonts w:ascii="Times New Roman" w:hAnsi="Times New Roman" w:cs="Times New Roman" w:eastAsia="Times New Roman" w:hint="default"/>
        </w:rPr>
        <w:t>1</w:t>
      </w:r>
      <w:r>
        <w:rPr/>
        <w:t>、本期无形资产摊销额</w:t>
      </w:r>
      <w:r>
        <w:rPr>
          <w:rFonts w:ascii="Times New Roman" w:hAnsi="Times New Roman" w:cs="Times New Roman" w:eastAsia="Times New Roman" w:hint="default"/>
        </w:rPr>
        <w:t>19,989,088.49</w:t>
      </w:r>
      <w:r>
        <w:rPr/>
        <w:t>元。公司通过内部研发形成的无形资产账面价值为</w:t>
      </w:r>
      <w:r>
        <w:rPr>
          <w:rFonts w:ascii="Times New Roman" w:hAnsi="Times New Roman" w:cs="Times New Roman" w:eastAsia="Times New Roman" w:hint="default"/>
        </w:rPr>
        <w:t>50,125,128.50</w:t>
      </w:r>
      <w:r>
        <w:rPr>
          <w:rFonts w:ascii="Times New Roman" w:hAnsi="Times New Roman" w:cs="Times New Roman" w:eastAsia="Times New Roman" w:hint="default"/>
          <w:w w:val="100"/>
        </w:rPr>
        <w:t> </w:t>
      </w:r>
      <w:r>
        <w:rPr>
          <w:spacing w:val="-3"/>
        </w:rPr>
        <w:t>元，占无形资产期末账面价值总额的</w:t>
      </w:r>
      <w:r>
        <w:rPr>
          <w:rFonts w:ascii="Times New Roman" w:hAnsi="Times New Roman" w:cs="Times New Roman" w:eastAsia="Times New Roman" w:hint="default"/>
          <w:spacing w:val="-3"/>
        </w:rPr>
        <w:t>79.03%</w:t>
      </w:r>
      <w:r>
        <w:rPr>
          <w:spacing w:val="-3"/>
        </w:rPr>
        <w:t>，上述研发形成无形资产账面价值不包含新收购子公司的无形</w:t>
      </w:r>
      <w:r>
        <w:rPr>
          <w:spacing w:val="-4"/>
        </w:rPr>
        <w:t> </w:t>
      </w:r>
      <w:r>
        <w:rPr>
          <w:spacing w:val="-4"/>
        </w:rPr>
      </w:r>
      <w:r>
        <w:rPr/>
        <w:t>资产账面价值。</w:t>
      </w:r>
    </w:p>
    <w:p>
      <w:pPr>
        <w:pStyle w:val="Heading4"/>
        <w:spacing w:line="240" w:lineRule="auto" w:before="23"/>
        <w:ind w:left="513" w:right="0"/>
        <w:jc w:val="left"/>
      </w:pPr>
      <w:r>
        <w:rPr>
          <w:rFonts w:ascii="Times New Roman" w:hAnsi="Times New Roman" w:cs="Times New Roman" w:eastAsia="Times New Roman" w:hint="default"/>
        </w:rPr>
        <w:t>2</w:t>
      </w:r>
      <w:r>
        <w:rPr/>
        <w:t>、期末未发现无形资产存在明显减值迹象，故未计提减值准备。</w:t>
      </w:r>
    </w:p>
    <w:p>
      <w:pPr>
        <w:pStyle w:val="Heading4"/>
        <w:spacing w:line="240" w:lineRule="auto" w:before="21"/>
        <w:ind w:left="530" w:right="0"/>
        <w:jc w:val="left"/>
      </w:pPr>
      <w:r>
        <w:rPr>
          <w:rFonts w:ascii="Times New Roman" w:hAnsi="Times New Roman" w:cs="Times New Roman" w:eastAsia="Times New Roman" w:hint="default"/>
        </w:rPr>
        <w:t>3</w:t>
      </w:r>
      <w:r>
        <w:rPr/>
        <w:t>、期末无用于抵押或担保的无形资产。</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3"/>
        <w:spacing w:line="240" w:lineRule="auto"/>
        <w:ind w:left="212" w:right="0"/>
        <w:jc w:val="left"/>
        <w:rPr>
          <w:b w:val="0"/>
          <w:bCs w:val="0"/>
        </w:rPr>
      </w:pPr>
      <w:r>
        <w:rPr>
          <w:rFonts w:ascii="Times New Roman" w:hAnsi="Times New Roman" w:cs="Times New Roman" w:eastAsia="Times New Roman" w:hint="default"/>
        </w:rPr>
        <w:t>21</w:t>
      </w:r>
      <w:r>
        <w:rPr/>
        <w:t>、开发支出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244"/>
        <w:gridCol w:w="1133"/>
        <w:gridCol w:w="1419"/>
        <w:gridCol w:w="850"/>
        <w:gridCol w:w="672"/>
        <w:gridCol w:w="1205"/>
        <w:gridCol w:w="1135"/>
        <w:gridCol w:w="848"/>
        <w:gridCol w:w="1063"/>
      </w:tblGrid>
      <w:tr>
        <w:trPr>
          <w:trHeight w:val="403" w:hRule="exact"/>
        </w:trPr>
        <w:tc>
          <w:tcPr>
            <w:tcW w:w="1244" w:type="dxa"/>
            <w:vMerge w:val="restart"/>
            <w:tcBorders>
              <w:top w:val="single" w:sz="4" w:space="0" w:color="000000"/>
              <w:left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9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24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4"/>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17" w:right="144" w:hanging="269"/>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472" w:right="110"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848" w:type="dxa"/>
            <w:tcBorders>
              <w:top w:val="single" w:sz="4" w:space="0" w:color="000000"/>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71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高伟达核心 业务系统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1,307,455.3</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470,927.58</w:t>
            </w:r>
          </w:p>
        </w:tc>
        <w:tc>
          <w:tcPr>
            <w:tcW w:w="85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1,778,382.97</w:t>
            </w: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8"/>
              <w:jc w:val="left"/>
              <w:rPr>
                <w:rFonts w:ascii="宋体" w:hAnsi="宋体" w:cs="宋体" w:eastAsia="宋体" w:hint="default"/>
                <w:sz w:val="18"/>
                <w:szCs w:val="18"/>
              </w:rPr>
            </w:pPr>
            <w:r>
              <w:rPr>
                <w:rFonts w:ascii="宋体" w:hAnsi="宋体" w:cs="宋体" w:eastAsia="宋体" w:hint="default"/>
                <w:sz w:val="18"/>
                <w:szCs w:val="18"/>
              </w:rPr>
              <w:t>高伟达新信 贷业务系统</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（对公信贷）</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3,446,977.3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357,045.90</w:t>
            </w:r>
          </w:p>
        </w:tc>
        <w:tc>
          <w:tcPr>
            <w:tcW w:w="85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3,804,023.24</w:t>
            </w: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4"/>
              <w:jc w:val="left"/>
              <w:rPr>
                <w:rFonts w:ascii="宋体" w:hAnsi="宋体" w:cs="宋体" w:eastAsia="宋体" w:hint="default"/>
                <w:sz w:val="18"/>
                <w:szCs w:val="18"/>
              </w:rPr>
            </w:pPr>
            <w:r>
              <w:rPr>
                <w:rFonts w:ascii="宋体" w:hAnsi="宋体" w:cs="宋体" w:eastAsia="宋体" w:hint="default"/>
                <w:sz w:val="18"/>
                <w:szCs w:val="18"/>
              </w:rPr>
              <w:t>高伟达资产 </w:t>
            </w:r>
            <w:r>
              <w:rPr>
                <w:rFonts w:ascii="宋体" w:hAnsi="宋体" w:cs="宋体" w:eastAsia="宋体" w:hint="default"/>
                <w:spacing w:val="-10"/>
                <w:sz w:val="18"/>
                <w:szCs w:val="18"/>
              </w:rPr>
              <w:t>交易平台（二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2,435,896.1</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152,420.57</w:t>
            </w:r>
          </w:p>
        </w:tc>
        <w:tc>
          <w:tcPr>
            <w:tcW w:w="85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2,588,316.70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28"/>
              <w:jc w:val="left"/>
              <w:rPr>
                <w:rFonts w:ascii="宋体" w:hAnsi="宋体" w:cs="宋体" w:eastAsia="宋体" w:hint="default"/>
                <w:sz w:val="18"/>
                <w:szCs w:val="18"/>
              </w:rPr>
            </w:pPr>
            <w:r>
              <w:rPr>
                <w:rFonts w:ascii="宋体" w:hAnsi="宋体" w:cs="宋体" w:eastAsia="宋体" w:hint="default"/>
                <w:sz w:val="18"/>
                <w:szCs w:val="18"/>
              </w:rPr>
              <w:t>高伟达新信 贷业务系统</w:t>
            </w:r>
          </w:p>
          <w:p>
            <w:pPr>
              <w:pStyle w:val="TableParagraph"/>
              <w:spacing w:line="316" w:lineRule="auto" w:before="17"/>
              <w:ind w:left="103" w:right="228"/>
              <w:jc w:val="left"/>
              <w:rPr>
                <w:rFonts w:ascii="宋体" w:hAnsi="宋体" w:cs="宋体" w:eastAsia="宋体" w:hint="default"/>
                <w:sz w:val="18"/>
                <w:szCs w:val="18"/>
              </w:rPr>
            </w:pPr>
            <w:r>
              <w:rPr>
                <w:rFonts w:ascii="宋体" w:hAnsi="宋体" w:cs="宋体" w:eastAsia="宋体" w:hint="default"/>
                <w:sz w:val="18"/>
                <w:szCs w:val="18"/>
              </w:rPr>
              <w:t>（零售信贷 移动端）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1,378,971.4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389,624.26</w:t>
            </w:r>
          </w:p>
        </w:tc>
        <w:tc>
          <w:tcPr>
            <w:tcW w:w="85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1,768,595.75</w:t>
            </w: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高伟达分布 式内存数据 库系统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189,791.00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92,364.00</w:t>
            </w:r>
          </w:p>
        </w:tc>
        <w:tc>
          <w:tcPr>
            <w:tcW w:w="85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282,155.00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8"/>
              <w:jc w:val="both"/>
              <w:rPr>
                <w:rFonts w:ascii="宋体" w:hAnsi="宋体" w:cs="宋体" w:eastAsia="宋体" w:hint="default"/>
                <w:sz w:val="18"/>
                <w:szCs w:val="18"/>
              </w:rPr>
            </w:pPr>
            <w:r>
              <w:rPr>
                <w:rFonts w:ascii="宋体" w:hAnsi="宋体" w:cs="宋体" w:eastAsia="宋体" w:hint="default"/>
                <w:sz w:val="18"/>
                <w:szCs w:val="18"/>
              </w:rPr>
              <w:t>高伟达业务 管理集成系 统（三期）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632,657.84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268,112.26</w:t>
            </w:r>
          </w:p>
        </w:tc>
        <w:tc>
          <w:tcPr>
            <w:tcW w:w="85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900,770.10</w:t>
            </w: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高伟达信息 管理发布平 </w:t>
            </w:r>
            <w:r>
              <w:rPr>
                <w:rFonts w:ascii="宋体" w:hAnsi="宋体" w:cs="宋体" w:eastAsia="宋体" w:hint="default"/>
                <w:spacing w:val="-9"/>
                <w:sz w:val="18"/>
                <w:szCs w:val="18"/>
              </w:rPr>
              <w:t>台（三期）优</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100,175.20</w:t>
            </w:r>
          </w:p>
        </w:tc>
        <w:tc>
          <w:tcPr>
            <w:tcW w:w="85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100,175.20</w:t>
            </w:r>
          </w:p>
        </w:tc>
      </w:tr>
    </w:tbl>
    <w:p>
      <w:pPr>
        <w:spacing w:after="0" w:line="240" w:lineRule="auto"/>
        <w:jc w:val="left"/>
        <w:rPr>
          <w:rFonts w:ascii="Times New Roman" w:hAnsi="Times New Roman" w:cs="Times New Roman" w:eastAsia="Times New Roman" w:hint="default"/>
          <w:sz w:val="18"/>
          <w:szCs w:val="18"/>
        </w:rPr>
        <w:sectPr>
          <w:pgSz w:w="11910" w:h="16840"/>
          <w:pgMar w:header="786" w:footer="1294" w:top="1100" w:bottom="1480" w:left="920" w:right="0"/>
        </w:sectPr>
      </w:pPr>
    </w:p>
    <w:p>
      <w:pPr>
        <w:spacing w:line="240" w:lineRule="auto" w:before="5"/>
        <w:rPr>
          <w:rFonts w:ascii="宋体" w:hAnsi="宋体" w:cs="宋体" w:eastAsia="宋体" w:hint="default"/>
          <w:sz w:val="25"/>
          <w:szCs w:val="25"/>
        </w:rPr>
      </w:pPr>
    </w:p>
    <w:tbl>
      <w:tblPr>
        <w:tblW w:w="0" w:type="auto"/>
        <w:jc w:val="left"/>
        <w:tblInd w:w="500" w:type="dxa"/>
        <w:tblLayout w:type="fixed"/>
        <w:tblCellMar>
          <w:top w:w="0" w:type="dxa"/>
          <w:left w:w="0" w:type="dxa"/>
          <w:bottom w:w="0" w:type="dxa"/>
          <w:right w:w="0" w:type="dxa"/>
        </w:tblCellMar>
        <w:tblLook w:val="01E0"/>
      </w:tblPr>
      <w:tblGrid>
        <w:gridCol w:w="1244"/>
        <w:gridCol w:w="1133"/>
        <w:gridCol w:w="1419"/>
        <w:gridCol w:w="850"/>
        <w:gridCol w:w="672"/>
        <w:gridCol w:w="1205"/>
        <w:gridCol w:w="1135"/>
        <w:gridCol w:w="848"/>
        <w:gridCol w:w="1063"/>
      </w:tblGrid>
      <w:tr>
        <w:trPr>
          <w:trHeight w:val="36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化项目</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8"/>
              <w:jc w:val="both"/>
              <w:rPr>
                <w:rFonts w:ascii="宋体" w:hAnsi="宋体" w:cs="宋体" w:eastAsia="宋体" w:hint="default"/>
                <w:sz w:val="18"/>
                <w:szCs w:val="18"/>
              </w:rPr>
            </w:pPr>
            <w:r>
              <w:rPr>
                <w:rFonts w:ascii="宋体" w:hAnsi="宋体" w:cs="宋体" w:eastAsia="宋体" w:hint="default"/>
                <w:sz w:val="18"/>
                <w:szCs w:val="18"/>
              </w:rPr>
              <w:t>钽云数据中 心一体化管 理平台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908,483.00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20,815.48</w:t>
            </w:r>
          </w:p>
        </w:tc>
        <w:tc>
          <w:tcPr>
            <w:tcW w:w="85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929,298.48</w:t>
            </w: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8"/>
              <w:jc w:val="both"/>
              <w:rPr>
                <w:rFonts w:ascii="宋体" w:hAnsi="宋体" w:cs="宋体" w:eastAsia="宋体" w:hint="default"/>
                <w:sz w:val="18"/>
                <w:szCs w:val="18"/>
              </w:rPr>
            </w:pPr>
            <w:r>
              <w:rPr>
                <w:rFonts w:ascii="宋体" w:hAnsi="宋体" w:cs="宋体" w:eastAsia="宋体" w:hint="default"/>
                <w:sz w:val="18"/>
                <w:szCs w:val="18"/>
              </w:rPr>
              <w:t>钽云计算资 源部署管理 平台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393,182.77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20,815.48</w:t>
            </w:r>
          </w:p>
        </w:tc>
        <w:tc>
          <w:tcPr>
            <w:tcW w:w="85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413,998.25</w:t>
            </w: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28"/>
              <w:jc w:val="both"/>
              <w:rPr>
                <w:rFonts w:ascii="宋体" w:hAnsi="宋体" w:cs="宋体" w:eastAsia="宋体" w:hint="default"/>
                <w:sz w:val="18"/>
                <w:szCs w:val="18"/>
              </w:rPr>
            </w:pPr>
            <w:r>
              <w:rPr>
                <w:rFonts w:ascii="宋体" w:hAnsi="宋体" w:cs="宋体" w:eastAsia="宋体" w:hint="default"/>
                <w:sz w:val="18"/>
                <w:szCs w:val="18"/>
              </w:rPr>
              <w:t>钽云场景化 自动运维管 理平台产品 迭代</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1,347,252.9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547,917.83</w:t>
            </w:r>
          </w:p>
        </w:tc>
        <w:tc>
          <w:tcPr>
            <w:tcW w:w="85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1,895,170.78</w:t>
            </w: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8"/>
              <w:jc w:val="both"/>
              <w:rPr>
                <w:rFonts w:ascii="宋体" w:hAnsi="宋体" w:cs="宋体" w:eastAsia="宋体" w:hint="default"/>
                <w:sz w:val="18"/>
                <w:szCs w:val="18"/>
              </w:rPr>
            </w:pPr>
            <w:r>
              <w:rPr>
                <w:rFonts w:ascii="宋体" w:hAnsi="宋体" w:cs="宋体" w:eastAsia="宋体" w:hint="default"/>
                <w:sz w:val="18"/>
                <w:szCs w:val="18"/>
              </w:rPr>
              <w:t>钽云双态云 管理平台产 品迭代</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1,077,719.9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741,684.16</w:t>
            </w:r>
          </w:p>
        </w:tc>
        <w:tc>
          <w:tcPr>
            <w:tcW w:w="85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1,819,404.12</w:t>
            </w: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8"/>
              <w:jc w:val="left"/>
              <w:rPr>
                <w:rFonts w:ascii="宋体" w:hAnsi="宋体" w:cs="宋体" w:eastAsia="宋体" w:hint="default"/>
                <w:sz w:val="18"/>
                <w:szCs w:val="18"/>
              </w:rPr>
            </w:pPr>
            <w:r>
              <w:rPr>
                <w:rFonts w:ascii="宋体" w:hAnsi="宋体" w:cs="宋体" w:eastAsia="宋体" w:hint="default"/>
                <w:sz w:val="18"/>
                <w:szCs w:val="18"/>
              </w:rPr>
              <w:t>高伟达聚票 盈平台业务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4,370,885.36</w:t>
            </w:r>
          </w:p>
        </w:tc>
        <w:tc>
          <w:tcPr>
            <w:tcW w:w="85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4,370,885.</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36</w:t>
            </w:r>
          </w:p>
        </w:tc>
      </w:tr>
      <w:tr>
        <w:trPr>
          <w:trHeight w:val="71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研发支出</w:t>
            </w:r>
            <w:r>
              <w:rPr>
                <w:rFonts w:ascii="Times New Roman" w:hAnsi="Times New Roman" w:cs="Times New Roman" w:eastAsia="Times New Roman" w:hint="default"/>
                <w:sz w:val="18"/>
                <w:szCs w:val="18"/>
              </w:rPr>
              <w:t>-</w:t>
            </w:r>
            <w:r>
              <w:rPr>
                <w:rFonts w:ascii="宋体" w:hAnsi="宋体" w:cs="宋体" w:eastAsia="宋体" w:hint="default"/>
                <w:sz w:val="18"/>
                <w:szCs w:val="18"/>
              </w:rPr>
              <w:t>费 用化支出</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40,577,377.11</w:t>
            </w:r>
          </w:p>
        </w:tc>
        <w:tc>
          <w:tcPr>
            <w:tcW w:w="85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40,577,377.</w:t>
            </w:r>
          </w:p>
          <w:p>
            <w:pPr>
              <w:pStyle w:val="TableParagraph"/>
              <w:spacing w:line="240" w:lineRule="auto" w:before="105"/>
              <w:ind w:right="107"/>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13,118,387.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48,110,165.19</w:t>
            </w:r>
          </w:p>
        </w:tc>
        <w:tc>
          <w:tcPr>
            <w:tcW w:w="85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16,180,115.3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40,577,377.</w:t>
            </w:r>
          </w:p>
          <w:p>
            <w:pPr>
              <w:pStyle w:val="TableParagraph"/>
              <w:spacing w:line="240" w:lineRule="auto" w:before="105"/>
              <w:ind w:right="107"/>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8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4,471,060.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56</w:t>
            </w:r>
          </w:p>
        </w:tc>
      </w:tr>
    </w:tbl>
    <w:p>
      <w:pPr>
        <w:pStyle w:val="BodyText"/>
        <w:spacing w:line="240" w:lineRule="auto" w:before="49"/>
        <w:ind w:left="612" w:right="0"/>
        <w:jc w:val="left"/>
      </w:pPr>
      <w:r>
        <w:rPr/>
        <w:t>其他说明</w:t>
      </w:r>
    </w:p>
    <w:p>
      <w:pPr>
        <w:pStyle w:val="Heading4"/>
        <w:spacing w:line="240" w:lineRule="auto" w:before="96"/>
        <w:ind w:left="1033" w:right="0"/>
        <w:jc w:val="left"/>
      </w:pPr>
      <w:r>
        <w:rPr>
          <w:rFonts w:ascii="Times New Roman" w:hAnsi="Times New Roman" w:cs="Times New Roman" w:eastAsia="Times New Roman" w:hint="default"/>
        </w:rPr>
        <w:t>1</w:t>
      </w:r>
      <w:r>
        <w:rPr/>
        <w:t>．本期开发支出资本化金额为</w:t>
      </w:r>
      <w:r>
        <w:rPr>
          <w:rFonts w:ascii="Times New Roman" w:hAnsi="Times New Roman" w:cs="Times New Roman" w:eastAsia="Times New Roman" w:hint="default"/>
        </w:rPr>
        <w:t>7,532,788.08</w:t>
      </w:r>
      <w:r>
        <w:rPr/>
        <w:t>元，占本期研究开发项目支出总额的</w:t>
      </w:r>
      <w:r>
        <w:rPr>
          <w:rFonts w:ascii="Times New Roman" w:hAnsi="Times New Roman" w:cs="Times New Roman" w:eastAsia="Times New Roman" w:hint="default"/>
        </w:rPr>
        <w:t>15.66%</w:t>
      </w:r>
      <w:r>
        <w:rPr/>
        <w:t>。</w:t>
      </w:r>
    </w:p>
    <w:p>
      <w:pPr>
        <w:pStyle w:val="Heading4"/>
        <w:spacing w:line="240" w:lineRule="auto" w:before="21"/>
        <w:ind w:left="1033" w:right="0"/>
        <w:jc w:val="left"/>
      </w:pPr>
      <w:r>
        <w:rPr>
          <w:rFonts w:ascii="Times New Roman" w:hAnsi="Times New Roman" w:cs="Times New Roman" w:eastAsia="Times New Roman" w:hint="default"/>
        </w:rPr>
        <w:t>2</w:t>
      </w:r>
      <w:r>
        <w:rPr/>
        <w:t>．说明资本化开始时点、资本化的具体依据、截至期末的研发进度等。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before="44"/>
        <w:ind w:left="0" w:right="555"/>
        <w:jc w:val="right"/>
      </w:pPr>
      <w:r>
        <w:rPr/>
        <w:pict>
          <v:shape style="position:absolute;margin-left:31.200001pt;margin-top:-94.838272pt;width:533.3pt;height:144.6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1"/>
                    <w:gridCol w:w="1702"/>
                    <w:gridCol w:w="1702"/>
                    <w:gridCol w:w="4258"/>
                  </w:tblGrid>
                  <w:tr>
                    <w:trPr>
                      <w:trHeight w:val="34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资本化时点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截止年末研发进度</w:t>
                        </w:r>
                      </w:p>
                    </w:tc>
                    <w:tc>
                      <w:tcPr>
                        <w:tcW w:w="4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资本化具体依据</w:t>
                        </w:r>
                      </w:p>
                    </w:tc>
                  </w:tr>
                  <w:tr>
                    <w:trPr>
                      <w:trHeight w:val="660"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81"/>
                          <w:jc w:val="left"/>
                          <w:rPr>
                            <w:rFonts w:ascii="宋体" w:hAnsi="宋体" w:cs="宋体" w:eastAsia="宋体" w:hint="default"/>
                            <w:sz w:val="18"/>
                            <w:szCs w:val="18"/>
                          </w:rPr>
                        </w:pPr>
                        <w:r>
                          <w:rPr>
                            <w:rFonts w:ascii="宋体" w:hAnsi="宋体" w:cs="宋体" w:eastAsia="宋体" w:hint="default"/>
                            <w:sz w:val="18"/>
                            <w:szCs w:val="18"/>
                          </w:rPr>
                          <w:t>高伟达信息管理发布平台（三期）优 化项目</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left"/>
                          <w:rPr>
                            <w:rFonts w:ascii="宋体" w:hAnsi="宋体" w:cs="宋体" w:eastAsia="宋体" w:hint="default"/>
                            <w:sz w:val="18"/>
                            <w:szCs w:val="18"/>
                          </w:rPr>
                        </w:pPr>
                        <w:r>
                          <w:rPr>
                            <w:rFonts w:ascii="宋体" w:hAnsi="宋体" w:cs="宋体" w:eastAsia="宋体" w:hint="default"/>
                            <w:spacing w:val="-3"/>
                            <w:sz w:val="18"/>
                            <w:szCs w:val="18"/>
                          </w:rPr>
                          <w:t>实施中，预计</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月结束</w:t>
                        </w:r>
                      </w:p>
                    </w:tc>
                    <w:tc>
                      <w:tcPr>
                        <w:tcW w:w="4258" w:type="dxa"/>
                        <w:vMerge w:val="restart"/>
                        <w:tcBorders>
                          <w:top w:val="single" w:sz="6" w:space="0" w:color="000000"/>
                          <w:left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4"/>
                            <w:sz w:val="18"/>
                            <w:szCs w:val="18"/>
                          </w:rPr>
                          <w:t>本公司有足够的相关资源进行研发活动，研究开发支出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在开发阶段具有针对性，形成新产品或者新技术的基本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条件已经具备，且该阶段的支出能够可靠计量、未来经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济利益流入能够可靠预计。此阶段由项目组负责申请立</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项，研发管理委员会负责组织立项文档及各阶段产品评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审，研发及业务部门负责人及以上领导负责立项终审 </w:t>
                        </w:r>
                        <w:r>
                          <w:rPr>
                            <w:rFonts w:ascii="宋体" w:hAnsi="宋体" w:cs="宋体" w:eastAsia="宋体" w:hint="default"/>
                            <w:spacing w:val="-4"/>
                            <w:sz w:val="18"/>
                            <w:szCs w:val="18"/>
                          </w:rPr>
                          <w:t>经立项审批后，项目研究进入开发阶段，有关支出于发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生时予以资本化。</w:t>
                        </w:r>
                      </w:p>
                    </w:tc>
                  </w:tr>
                  <w:tr>
                    <w:trPr>
                      <w:trHeight w:val="1873"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高伟达聚票盈平台业务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left"/>
                          <w:rPr>
                            <w:rFonts w:ascii="宋体" w:hAnsi="宋体" w:cs="宋体" w:eastAsia="宋体" w:hint="default"/>
                            <w:sz w:val="18"/>
                            <w:szCs w:val="18"/>
                          </w:rPr>
                        </w:pPr>
                        <w:r>
                          <w:rPr>
                            <w:rFonts w:ascii="宋体" w:hAnsi="宋体" w:cs="宋体" w:eastAsia="宋体" w:hint="default"/>
                            <w:spacing w:val="-3"/>
                            <w:sz w:val="18"/>
                            <w:szCs w:val="18"/>
                          </w:rPr>
                          <w:t>实施中，预计</w:t>
                        </w:r>
                        <w:r>
                          <w:rPr>
                            <w:rFonts w:ascii="Times New Roman" w:hAnsi="Times New Roman" w:cs="Times New Roman" w:eastAsia="Times New Roman" w:hint="default"/>
                            <w:spacing w:val="-3"/>
                            <w:sz w:val="18"/>
                            <w:szCs w:val="18"/>
                          </w:rPr>
                          <w:t>2021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月结束</w:t>
                        </w:r>
                      </w:p>
                    </w:tc>
                    <w:tc>
                      <w:tcPr>
                        <w:tcW w:w="4258" w:type="dxa"/>
                        <w:vMerge/>
                        <w:tcBorders>
                          <w:left w:val="single" w:sz="6" w:space="0" w:color="000000"/>
                          <w:bottom w:val="single" w:sz="6" w:space="0" w:color="000000"/>
                          <w:right w:val="single" w:sz="6"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3"/>
        <w:spacing w:line="240" w:lineRule="auto" w:before="36"/>
        <w:ind w:left="612" w:right="0"/>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612"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0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67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left"/>
              <w:rPr>
                <w:rFonts w:ascii="宋体" w:hAnsi="宋体" w:cs="宋体" w:eastAsia="宋体" w:hint="default"/>
                <w:sz w:val="18"/>
                <w:szCs w:val="18"/>
              </w:rPr>
            </w:pPr>
            <w:r>
              <w:rPr>
                <w:rFonts w:ascii="宋体" w:hAnsi="宋体" w:cs="宋体" w:eastAsia="宋体" w:hint="default"/>
                <w:sz w:val="18"/>
                <w:szCs w:val="18"/>
              </w:rPr>
              <w:t>被投资单位名称 或形成商誉的事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86" w:footer="1294" w:top="1100" w:bottom="1480" w:left="52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海南坚果创娱信 息技术有限公司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243,380,576.73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243,380,576.73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上海睿民互联网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235,429,130.86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235,429,130.86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喀什尚河信息科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107,475,857.58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107,475,857.58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深圳市快读科技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332,736,593.30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332,736,593.30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919,022,158.47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919,022,158.47</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17"/>
        <w:jc w:val="left"/>
      </w:pPr>
      <w:r>
        <w:rPr/>
        <w:t>商誉所在资产组或资产组组合的相关信息</w:t>
      </w:r>
    </w:p>
    <w:p>
      <w:pPr>
        <w:pStyle w:val="Heading4"/>
        <w:spacing w:line="240" w:lineRule="auto" w:before="96"/>
        <w:ind w:left="573" w:right="1117"/>
        <w:jc w:val="left"/>
      </w:pPr>
      <w:r>
        <w:rPr>
          <w:rFonts w:ascii="Times New Roman" w:hAnsi="Times New Roman" w:cs="Times New Roman" w:eastAsia="Times New Roman" w:hint="default"/>
        </w:rPr>
        <w:t>(1)</w:t>
      </w:r>
      <w:r>
        <w:rPr/>
        <w:t>海南坚果创娱信息技术有限公司</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385"/>
        <w:gridCol w:w="4935"/>
      </w:tblGrid>
      <w:tr>
        <w:trPr>
          <w:trHeight w:val="34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海南坚果创娱信息技术有限公司</w:t>
            </w:r>
          </w:p>
        </w:tc>
      </w:tr>
      <w:tr>
        <w:trPr>
          <w:trHeight w:val="343"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海南坚果创娱信息技术有限公司长期资产</w:t>
            </w:r>
          </w:p>
        </w:tc>
      </w:tr>
      <w:tr>
        <w:trPr>
          <w:trHeight w:val="34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资产组或资产组组合的账面价值（元）</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3,248,287.95</w:t>
            </w:r>
          </w:p>
        </w:tc>
      </w:tr>
      <w:tr>
        <w:trPr>
          <w:trHeight w:val="343"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包含整体商誉的资产组的账面价值（元）</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246,628,864.68</w:t>
            </w:r>
          </w:p>
        </w:tc>
      </w:tr>
      <w:tr>
        <w:trPr>
          <w:trHeight w:val="653"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资产组或资产组组合的确定方法</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6"/>
              <w:jc w:val="left"/>
              <w:rPr>
                <w:rFonts w:ascii="宋体" w:hAnsi="宋体" w:cs="宋体" w:eastAsia="宋体" w:hint="default"/>
                <w:sz w:val="18"/>
                <w:szCs w:val="18"/>
              </w:rPr>
            </w:pPr>
            <w:r>
              <w:rPr>
                <w:rFonts w:ascii="宋体" w:hAnsi="宋体" w:cs="宋体" w:eastAsia="宋体" w:hint="default"/>
                <w:sz w:val="18"/>
                <w:szCs w:val="18"/>
              </w:rPr>
              <w:t>商誉所在的资产组生产的产品存在活跃市场，可以带来独立的 现金流，可将其认定为一个单独的资产组。</w:t>
            </w:r>
          </w:p>
        </w:tc>
      </w:tr>
      <w:tr>
        <w:trPr>
          <w:trHeight w:val="967"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
              <w:jc w:val="left"/>
              <w:rPr>
                <w:rFonts w:ascii="宋体" w:hAnsi="宋体" w:cs="宋体" w:eastAsia="宋体" w:hint="default"/>
                <w:sz w:val="18"/>
                <w:szCs w:val="18"/>
              </w:rPr>
            </w:pPr>
            <w:r>
              <w:rPr>
                <w:rFonts w:ascii="宋体" w:hAnsi="宋体" w:cs="宋体" w:eastAsia="宋体" w:hint="default"/>
                <w:spacing w:val="-3"/>
                <w:sz w:val="18"/>
                <w:szCs w:val="18"/>
              </w:rPr>
              <w:t>资产组或资产组组合是否与购买日、以前年</w:t>
            </w:r>
            <w:r>
              <w:rPr>
                <w:rFonts w:ascii="宋体" w:hAnsi="宋体" w:cs="宋体" w:eastAsia="宋体" w:hint="default"/>
                <w:sz w:val="18"/>
                <w:szCs w:val="18"/>
              </w:rPr>
              <w:t> 度商誉减值测试时所确定的资产组或资产 组组合一致</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Heading4"/>
        <w:spacing w:line="278" w:lineRule="exact" w:before="0"/>
        <w:ind w:left="573" w:right="1117"/>
        <w:jc w:val="left"/>
      </w:pPr>
      <w:r>
        <w:rPr>
          <w:rFonts w:ascii="Times New Roman" w:hAnsi="Times New Roman" w:cs="Times New Roman" w:eastAsia="Times New Roman" w:hint="default"/>
        </w:rPr>
        <w:t>(2)</w:t>
      </w:r>
      <w:r>
        <w:rPr/>
        <w:t>上海睿民互联网科技有限公司</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385"/>
        <w:gridCol w:w="4935"/>
      </w:tblGrid>
      <w:tr>
        <w:trPr>
          <w:trHeight w:val="34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上海睿民互联网科技有限公司</w:t>
            </w:r>
          </w:p>
        </w:tc>
      </w:tr>
      <w:tr>
        <w:trPr>
          <w:trHeight w:val="343"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上海睿民互联网科技有限公司长期资产</w:t>
            </w:r>
          </w:p>
        </w:tc>
      </w:tr>
      <w:tr>
        <w:trPr>
          <w:trHeight w:val="34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资产组或资产组组合的账面价值（元）</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4,411,011.81</w:t>
            </w:r>
          </w:p>
        </w:tc>
      </w:tr>
      <w:tr>
        <w:trPr>
          <w:trHeight w:val="343"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包含整体商誉的资产组的账面价值（元）</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239,840,142.67</w:t>
            </w:r>
          </w:p>
        </w:tc>
      </w:tr>
      <w:tr>
        <w:trPr>
          <w:trHeight w:val="653"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资产组或资产组组合的确定方法</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6"/>
              <w:jc w:val="left"/>
              <w:rPr>
                <w:rFonts w:ascii="宋体" w:hAnsi="宋体" w:cs="宋体" w:eastAsia="宋体" w:hint="default"/>
                <w:sz w:val="18"/>
                <w:szCs w:val="18"/>
              </w:rPr>
            </w:pPr>
            <w:r>
              <w:rPr>
                <w:rFonts w:ascii="宋体" w:hAnsi="宋体" w:cs="宋体" w:eastAsia="宋体" w:hint="default"/>
                <w:sz w:val="18"/>
                <w:szCs w:val="18"/>
              </w:rPr>
              <w:t>商誉所在的资产组生产的产品存在活跃市场，可以带来独立的 现金流，可将其认定为一个单独的资产组。</w:t>
            </w:r>
          </w:p>
        </w:tc>
      </w:tr>
      <w:tr>
        <w:trPr>
          <w:trHeight w:val="967"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
              <w:jc w:val="both"/>
              <w:rPr>
                <w:rFonts w:ascii="宋体" w:hAnsi="宋体" w:cs="宋体" w:eastAsia="宋体" w:hint="default"/>
                <w:sz w:val="18"/>
                <w:szCs w:val="18"/>
              </w:rPr>
            </w:pPr>
            <w:r>
              <w:rPr>
                <w:rFonts w:ascii="宋体" w:hAnsi="宋体" w:cs="宋体" w:eastAsia="宋体" w:hint="default"/>
                <w:spacing w:val="-3"/>
                <w:sz w:val="18"/>
                <w:szCs w:val="18"/>
              </w:rPr>
              <w:t>资产组或资产组组合是否与购买日、以前年</w:t>
            </w:r>
            <w:r>
              <w:rPr>
                <w:rFonts w:ascii="宋体" w:hAnsi="宋体" w:cs="宋体" w:eastAsia="宋体" w:hint="default"/>
                <w:sz w:val="18"/>
                <w:szCs w:val="18"/>
              </w:rPr>
              <w:t> </w:t>
            </w:r>
            <w:r>
              <w:rPr>
                <w:rFonts w:ascii="宋体" w:hAnsi="宋体" w:cs="宋体" w:eastAsia="宋体" w:hint="default"/>
                <w:spacing w:val="7"/>
                <w:sz w:val="18"/>
                <w:szCs w:val="18"/>
              </w:rPr>
              <w:t>度商誉减值测试时所确定的资产组或资产</w:t>
            </w:r>
            <w:r>
              <w:rPr>
                <w:rFonts w:ascii="宋体" w:hAnsi="宋体" w:cs="宋体" w:eastAsia="宋体" w:hint="default"/>
                <w:spacing w:val="7"/>
                <w:sz w:val="18"/>
                <w:szCs w:val="18"/>
              </w:rPr>
              <w:t> </w:t>
            </w:r>
            <w:r>
              <w:rPr>
                <w:rFonts w:ascii="宋体" w:hAnsi="宋体" w:cs="宋体" w:eastAsia="宋体" w:hint="default"/>
                <w:sz w:val="18"/>
                <w:szCs w:val="18"/>
              </w:rPr>
              <w:t>组组合一致</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Heading4"/>
        <w:spacing w:line="279" w:lineRule="exact" w:before="0"/>
        <w:ind w:left="573" w:right="1117"/>
        <w:jc w:val="left"/>
      </w:pPr>
      <w:r>
        <w:rPr>
          <w:rFonts w:ascii="Times New Roman" w:hAnsi="Times New Roman" w:cs="Times New Roman" w:eastAsia="Times New Roman" w:hint="default"/>
        </w:rPr>
        <w:t>(3)</w:t>
      </w:r>
      <w:r>
        <w:rPr/>
        <w:t>喀什尚河信息科技有限公司</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385"/>
        <w:gridCol w:w="4935"/>
      </w:tblGrid>
      <w:tr>
        <w:trPr>
          <w:trHeight w:val="343"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喀什尚河信息科技有限公司</w:t>
            </w:r>
          </w:p>
        </w:tc>
      </w:tr>
    </w:tbl>
    <w:p>
      <w:pPr>
        <w:spacing w:after="0" w:line="240" w:lineRule="auto"/>
        <w:jc w:val="left"/>
        <w:rPr>
          <w:rFonts w:ascii="宋体" w:hAnsi="宋体" w:cs="宋体" w:eastAsia="宋体"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385"/>
        <w:gridCol w:w="4935"/>
      </w:tblGrid>
      <w:tr>
        <w:trPr>
          <w:trHeight w:val="34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喀什尚河信息科技有限公司长期资产</w:t>
            </w:r>
          </w:p>
        </w:tc>
      </w:tr>
      <w:tr>
        <w:trPr>
          <w:trHeight w:val="343"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资产组或资产组组合的账面价值（元）</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31,624.77</w:t>
            </w:r>
          </w:p>
        </w:tc>
      </w:tr>
      <w:tr>
        <w:trPr>
          <w:trHeight w:val="34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包含整体商誉的资产组的账面价值（元）</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107,507,482.35</w:t>
            </w:r>
          </w:p>
        </w:tc>
      </w:tr>
      <w:tr>
        <w:trPr>
          <w:trHeight w:val="655"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资产组或资产组组合的确定方法</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6"/>
              <w:jc w:val="left"/>
              <w:rPr>
                <w:rFonts w:ascii="宋体" w:hAnsi="宋体" w:cs="宋体" w:eastAsia="宋体" w:hint="default"/>
                <w:sz w:val="18"/>
                <w:szCs w:val="18"/>
              </w:rPr>
            </w:pPr>
            <w:r>
              <w:rPr>
                <w:rFonts w:ascii="宋体" w:hAnsi="宋体" w:cs="宋体" w:eastAsia="宋体" w:hint="default"/>
                <w:sz w:val="18"/>
                <w:szCs w:val="18"/>
              </w:rPr>
              <w:t>商誉所在的资产组生产的产品存在活跃市场，可以带来独立的 现金流，可将其认定为一个单独的资产组。</w:t>
            </w:r>
          </w:p>
        </w:tc>
      </w:tr>
      <w:tr>
        <w:trPr>
          <w:trHeight w:val="967"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left"/>
              <w:rPr>
                <w:rFonts w:ascii="宋体" w:hAnsi="宋体" w:cs="宋体" w:eastAsia="宋体" w:hint="default"/>
                <w:sz w:val="18"/>
                <w:szCs w:val="18"/>
              </w:rPr>
            </w:pPr>
            <w:r>
              <w:rPr>
                <w:rFonts w:ascii="宋体" w:hAnsi="宋体" w:cs="宋体" w:eastAsia="宋体" w:hint="default"/>
                <w:spacing w:val="-3"/>
                <w:sz w:val="18"/>
                <w:szCs w:val="18"/>
              </w:rPr>
              <w:t>资产组或资产组组合是否与购买日、以前年</w:t>
            </w:r>
            <w:r>
              <w:rPr>
                <w:rFonts w:ascii="宋体" w:hAnsi="宋体" w:cs="宋体" w:eastAsia="宋体" w:hint="default"/>
                <w:sz w:val="18"/>
                <w:szCs w:val="18"/>
              </w:rPr>
              <w:t> 度商誉减值测试时所确定的资产组或资产 组组合一致</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Heading4"/>
        <w:spacing w:line="278" w:lineRule="exact" w:before="0"/>
        <w:ind w:left="573" w:right="1117"/>
        <w:jc w:val="left"/>
      </w:pPr>
      <w:r>
        <w:rPr>
          <w:rFonts w:ascii="Times New Roman" w:hAnsi="Times New Roman" w:cs="Times New Roman" w:eastAsia="Times New Roman" w:hint="default"/>
        </w:rPr>
        <w:t>(4)</w:t>
      </w:r>
      <w:r>
        <w:rPr/>
        <w:t>深圳市快读科技有限公司</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385"/>
        <w:gridCol w:w="4935"/>
      </w:tblGrid>
      <w:tr>
        <w:trPr>
          <w:trHeight w:val="34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深圳市快读科技有限公司</w:t>
            </w:r>
          </w:p>
        </w:tc>
      </w:tr>
      <w:tr>
        <w:trPr>
          <w:trHeight w:val="344"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深圳市快读科技有限公司长期资产</w:t>
            </w:r>
          </w:p>
        </w:tc>
      </w:tr>
      <w:tr>
        <w:trPr>
          <w:trHeight w:val="341"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资产组或资产组组合的账面价值（元）</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3,192,809.18</w:t>
            </w:r>
          </w:p>
        </w:tc>
      </w:tr>
      <w:tr>
        <w:trPr>
          <w:trHeight w:val="343"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包含整体商誉的资产组的账面价值（元）</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335,929,402.48</w:t>
            </w:r>
          </w:p>
        </w:tc>
      </w:tr>
      <w:tr>
        <w:trPr>
          <w:trHeight w:val="653"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资产组或资产组组合的确定方法</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6"/>
              <w:jc w:val="left"/>
              <w:rPr>
                <w:rFonts w:ascii="宋体" w:hAnsi="宋体" w:cs="宋体" w:eastAsia="宋体" w:hint="default"/>
                <w:sz w:val="18"/>
                <w:szCs w:val="18"/>
              </w:rPr>
            </w:pPr>
            <w:r>
              <w:rPr>
                <w:rFonts w:ascii="宋体" w:hAnsi="宋体" w:cs="宋体" w:eastAsia="宋体" w:hint="default"/>
                <w:sz w:val="18"/>
                <w:szCs w:val="18"/>
              </w:rPr>
              <w:t>商誉所在的资产组生产的产品存在活跃市场，可以带来独立的 现金流，可将其认定为一个单独的资产组。</w:t>
            </w:r>
          </w:p>
        </w:tc>
      </w:tr>
      <w:tr>
        <w:trPr>
          <w:trHeight w:val="967"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left"/>
              <w:rPr>
                <w:rFonts w:ascii="宋体" w:hAnsi="宋体" w:cs="宋体" w:eastAsia="宋体" w:hint="default"/>
                <w:sz w:val="18"/>
                <w:szCs w:val="18"/>
              </w:rPr>
            </w:pPr>
            <w:r>
              <w:rPr>
                <w:rFonts w:ascii="宋体" w:hAnsi="宋体" w:cs="宋体" w:eastAsia="宋体" w:hint="default"/>
                <w:spacing w:val="-3"/>
                <w:sz w:val="18"/>
                <w:szCs w:val="18"/>
              </w:rPr>
              <w:t>资产组或资产组组合是否与购买日、以前年</w:t>
            </w:r>
            <w:r>
              <w:rPr>
                <w:rFonts w:ascii="宋体" w:hAnsi="宋体" w:cs="宋体" w:eastAsia="宋体" w:hint="default"/>
                <w:sz w:val="18"/>
                <w:szCs w:val="18"/>
              </w:rPr>
              <w:t> 度商誉减值测试时所确定的资产组或资产 组组合一致</w:t>
            </w:r>
          </w:p>
        </w:tc>
        <w:tc>
          <w:tcPr>
            <w:tcW w:w="4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24"/>
          <w:szCs w:val="24"/>
        </w:rPr>
      </w:pPr>
    </w:p>
    <w:p>
      <w:pPr>
        <w:pStyle w:val="BodyText"/>
        <w:spacing w:line="316" w:lineRule="auto" w:before="44"/>
        <w:ind w:right="1117"/>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07" w:lineRule="auto" w:before="59"/>
        <w:ind w:right="1131" w:firstLine="420"/>
        <w:jc w:val="both"/>
      </w:pPr>
      <w:r>
        <w:rPr>
          <w:spacing w:val="-1"/>
        </w:rPr>
        <w:t>本公司采用预计未来现金流现值的方法计算资产组的可收回金额。本公司根据管理层批准的财务预算并预计未来</w:t>
      </w:r>
      <w:r>
        <w:rPr>
          <w:rFonts w:ascii="Times New Roman" w:hAnsi="Times New Roman" w:cs="Times New Roman" w:eastAsia="Times New Roman" w:hint="default"/>
          <w:spacing w:val="-1"/>
        </w:rPr>
        <w:t>5</w:t>
      </w:r>
      <w:r>
        <w:rPr>
          <w:spacing w:val="-1"/>
        </w:rPr>
        <w:t>年的</w:t>
      </w:r>
      <w:r>
        <w:rPr/>
        <w:t> 现金流量，并假设其后年度保持预测期第</w:t>
      </w:r>
      <w:r>
        <w:rPr>
          <w:rFonts w:ascii="Times New Roman" w:hAnsi="Times New Roman" w:cs="Times New Roman" w:eastAsia="Times New Roman" w:hint="default"/>
        </w:rPr>
        <w:t>5</w:t>
      </w:r>
      <w:r>
        <w:rPr/>
        <w:t>年的现金流量水平。管理层根据过往表现及其对市场发展的预期编制上述财务预</w:t>
      </w:r>
      <w:r>
        <w:rPr>
          <w:spacing w:val="-83"/>
        </w:rPr>
        <w:t> </w:t>
      </w:r>
      <w:r>
        <w:rPr>
          <w:spacing w:val="-83"/>
        </w:rPr>
      </w:r>
      <w:r>
        <w:rPr>
          <w:spacing w:val="-2"/>
        </w:rPr>
        <w:t>算。本年度，管理层委聘外部估值专家基于管理层编制的现金流量预测采用预计未来现金流量折现的模型计算各相关资产及</w:t>
      </w:r>
      <w:r>
        <w:rPr>
          <w:spacing w:val="-64"/>
        </w:rPr>
        <w:t> </w:t>
      </w:r>
      <w:r>
        <w:rPr>
          <w:spacing w:val="-64"/>
        </w:rPr>
      </w:r>
      <w:r>
        <w:rPr/>
        <w:t>资产组的预计未来现金流量现值。</w:t>
      </w:r>
    </w:p>
    <w:p>
      <w:pPr>
        <w:pStyle w:val="BodyText"/>
        <w:spacing w:line="316" w:lineRule="auto" w:before="26"/>
        <w:ind w:right="1138" w:firstLine="420"/>
        <w:jc w:val="both"/>
      </w:pPr>
      <w:r>
        <w:rPr/>
        <w:t>预计未来现金流量现值时的关键参数：预测期增长率、稳定期增长率、利润率、折现率、预测期；减值测试中采用的 其他关键数据包括：预期收入、营业成本及其他相关费用。公司根据历史经验及对市场发展的预测确定上述关键数据。</w:t>
      </w:r>
    </w:p>
    <w:p>
      <w:pPr>
        <w:pStyle w:val="BodyText"/>
        <w:spacing w:line="316" w:lineRule="auto" w:before="19"/>
        <w:ind w:right="1133" w:firstLine="420"/>
        <w:jc w:val="both"/>
      </w:pPr>
      <w:r>
        <w:rPr/>
        <w:t>计算未来现金流现值所采用的税前折现率考虑了本公司的债务成本、长期国债利率、市场预期报酬率等因素，已反映 了各资产组的风险。</w:t>
      </w:r>
    </w:p>
    <w:p>
      <w:pPr>
        <w:pStyle w:val="BodyText"/>
        <w:spacing w:line="240" w:lineRule="auto" w:before="19"/>
        <w:ind w:left="573" w:right="1117"/>
        <w:jc w:val="left"/>
      </w:pPr>
      <w:r>
        <w:rPr>
          <w:rFonts w:ascii="Times New Roman" w:hAnsi="Times New Roman" w:cs="Times New Roman" w:eastAsia="Times New Roman" w:hint="default"/>
        </w:rPr>
        <w:t>(1)</w:t>
      </w:r>
      <w:r>
        <w:rPr/>
        <w:t>商誉减值测试情况：</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552"/>
        <w:gridCol w:w="1561"/>
        <w:gridCol w:w="1558"/>
        <w:gridCol w:w="1517"/>
        <w:gridCol w:w="1604"/>
      </w:tblGrid>
      <w:tr>
        <w:trPr>
          <w:trHeight w:val="34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hAnsi="宋体" w:cs="宋体" w:eastAsia="宋体" w:hint="default"/>
                <w:sz w:val="18"/>
                <w:szCs w:val="18"/>
              </w:rPr>
              <w:t>海南坚果</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
              <w:jc w:val="right"/>
              <w:rPr>
                <w:rFonts w:ascii="宋体" w:hAnsi="宋体" w:cs="宋体" w:eastAsia="宋体" w:hint="default"/>
                <w:sz w:val="18"/>
                <w:szCs w:val="18"/>
              </w:rPr>
            </w:pPr>
            <w:r>
              <w:rPr>
                <w:rFonts w:ascii="宋体" w:hAnsi="宋体" w:cs="宋体" w:eastAsia="宋体" w:hint="default"/>
                <w:sz w:val="18"/>
                <w:szCs w:val="18"/>
              </w:rPr>
              <w:t>上海睿民</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hAnsi="宋体" w:cs="宋体" w:eastAsia="宋体" w:hint="default"/>
                <w:sz w:val="18"/>
                <w:szCs w:val="18"/>
              </w:rPr>
              <w:t>喀什尚河</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hAnsi="宋体" w:cs="宋体" w:eastAsia="宋体" w:hint="default"/>
                <w:sz w:val="18"/>
                <w:szCs w:val="18"/>
              </w:rPr>
              <w:t>深圳快读</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243,380,576.73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235,429,130.86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107,475,857.58</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332,736,593.30</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商誉的账面价值③＝①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243,380,576.73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235,429,130.86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107,475,857.58</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332,736,593.30</w:t>
            </w:r>
          </w:p>
        </w:tc>
      </w:tr>
      <w:tr>
        <w:trPr>
          <w:trHeight w:val="65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2"/>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 誉价值④</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2"/>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 的商誉价值⑤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243,380,576.73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235,429,130.86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107,475,857.58</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332,736,593.30</w:t>
            </w:r>
          </w:p>
        </w:tc>
      </w:tr>
      <w:tr>
        <w:trPr>
          <w:trHeight w:val="96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12"/>
              <w:jc w:val="both"/>
              <w:rPr>
                <w:rFonts w:ascii="Times New Roman" w:hAnsi="Times New Roman" w:cs="Times New Roman" w:eastAsia="Times New Roman" w:hint="default"/>
                <w:sz w:val="18"/>
                <w:szCs w:val="18"/>
              </w:rPr>
            </w:pPr>
            <w:r>
              <w:rPr>
                <w:rFonts w:ascii="宋体" w:hAnsi="宋体" w:cs="宋体" w:eastAsia="宋体" w:hint="default"/>
                <w:sz w:val="18"/>
                <w:szCs w:val="18"/>
              </w:rPr>
              <w:t>拆分后分摊至各资产组的包含未 确认归属于少数股东权益的商誉 价值⑥</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243,380,576.73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235,429,130.86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107,475,857.58</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332,736,593.30</w:t>
            </w: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资产组的账面价值⑦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3,248,287.95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4,411,011.81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31,624.77</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3,192,809.18</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552"/>
        <w:gridCol w:w="1561"/>
        <w:gridCol w:w="1558"/>
        <w:gridCol w:w="1517"/>
        <w:gridCol w:w="1604"/>
      </w:tblGrid>
      <w:tr>
        <w:trPr>
          <w:trHeight w:val="65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12"/>
              <w:jc w:val="left"/>
              <w:rPr>
                <w:rFonts w:ascii="宋体" w:hAnsi="宋体" w:cs="宋体" w:eastAsia="宋体" w:hint="default"/>
                <w:sz w:val="18"/>
                <w:szCs w:val="18"/>
              </w:rPr>
            </w:pPr>
            <w:r>
              <w:rPr>
                <w:rFonts w:ascii="宋体" w:hAnsi="宋体" w:cs="宋体" w:eastAsia="宋体" w:hint="default"/>
                <w:sz w:val="18"/>
                <w:szCs w:val="18"/>
              </w:rPr>
              <w:t>包含整体商誉的资产组的账面价 值⑧</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r>
              <w:rPr>
                <w:rFonts w:ascii="Times New Roman" w:hAnsi="Times New Roman" w:cs="Times New Roman" w:eastAsia="Times New Roman" w:hint="default"/>
                <w:sz w:val="18"/>
                <w:szCs w:val="18"/>
              </w:rPr>
              <w:t>+</w:t>
            </w:r>
            <w:r>
              <w:rPr>
                <w:rFonts w:ascii="宋体" w:hAnsi="宋体" w:cs="宋体" w:eastAsia="宋体" w:hint="default"/>
                <w:sz w:val="18"/>
                <w:szCs w:val="18"/>
              </w:rPr>
              <w:t>⑦</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246,628,864.68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239,840,142.67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107,507,482.35</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335,929,402.48</w:t>
            </w:r>
          </w:p>
        </w:tc>
      </w:tr>
      <w:tr>
        <w:trPr>
          <w:trHeight w:val="65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资产组或资产组组合可收回金额</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288,283,100.00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240,370,000.00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109,564,643.17</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338,057,469.03</w:t>
            </w:r>
          </w:p>
        </w:tc>
      </w:tr>
      <w:tr>
        <w:trPr>
          <w:trHeight w:val="65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商誉减值损失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⑩大于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w:t>
            </w:r>
            <w:r>
              <w:rPr>
                <w:rFonts w:ascii="Times New Roman" w:hAnsi="Times New Roman" w:cs="Times New Roman" w:eastAsia="Times New Roman" w:hint="default"/>
                <w:sz w:val="18"/>
                <w:szCs w:val="18"/>
              </w:rPr>
              <w:t>)</w:t>
            </w:r>
            <w:r>
              <w:rPr>
                <w:rFonts w:ascii="宋体" w:hAnsi="宋体" w:cs="宋体" w:eastAsia="宋体" w:hint="default"/>
                <w:sz w:val="18"/>
                <w:szCs w:val="18"/>
              </w:rPr>
              <w:t>⑩</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r>
              <w:rPr>
                <w:rFonts w:ascii="Times New Roman" w:hAnsi="Times New Roman" w:cs="Times New Roman" w:eastAsia="Times New Roman" w:hint="default"/>
                <w:sz w:val="18"/>
                <w:szCs w:val="18"/>
              </w:rPr>
              <w:t>-</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归属于本公司的商誉减值损失</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8"/>
        <w:ind w:left="573" w:right="1117"/>
        <w:jc w:val="left"/>
      </w:pPr>
      <w:r>
        <w:rPr/>
        <w:t>根据本公司商誉减值测试的结果，本期期末商誉未发生减值。</w:t>
      </w:r>
    </w:p>
    <w:p>
      <w:pPr>
        <w:pStyle w:val="BodyText"/>
        <w:spacing w:line="300" w:lineRule="auto" w:before="76"/>
        <w:ind w:left="573" w:right="1117"/>
        <w:jc w:val="left"/>
      </w:pPr>
      <w:r>
        <w:rPr>
          <w:rFonts w:ascii="Times New Roman" w:hAnsi="Times New Roman" w:cs="Times New Roman" w:eastAsia="Times New Roman" w:hint="default"/>
        </w:rPr>
        <w:t>(2)</w:t>
      </w:r>
      <w:r>
        <w:rPr/>
        <w:t>可收回金额的确定方法及依据</w:t>
      </w:r>
      <w:r>
        <w:rPr>
          <w:w w:val="99"/>
        </w:rPr>
        <w:t> </w:t>
      </w:r>
      <w:r>
        <w:rPr/>
        <w:t>海南坚果创娱信息技术有限公司资产组的可收回金额参考利用中联资产评估集团有限公司于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日出具的中联</w:t>
      </w:r>
    </w:p>
    <w:p>
      <w:pPr>
        <w:pStyle w:val="BodyText"/>
        <w:spacing w:line="300" w:lineRule="auto" w:before="13"/>
        <w:ind w:left="573" w:right="1117" w:hanging="421"/>
        <w:jc w:val="left"/>
      </w:pPr>
      <w:r>
        <w:rPr/>
        <w:t>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502</w:t>
      </w:r>
      <w:r>
        <w:rPr/>
        <w:t>号评估报告，按其预计未来现金流量的现值确定。 上海睿民互联网科技有限公司资产组的可收回金额参考利用国众联资产评估土地房地产估价有限公司于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w:t>
      </w:r>
    </w:p>
    <w:p>
      <w:pPr>
        <w:pStyle w:val="BodyText"/>
        <w:spacing w:line="300" w:lineRule="auto" w:before="13"/>
        <w:ind w:left="573" w:right="1117" w:hanging="421"/>
        <w:jc w:val="left"/>
      </w:pPr>
      <w:r>
        <w:rPr/>
        <w:t>出具的国众联评报字（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2-0339</w:t>
      </w:r>
      <w:r>
        <w:rPr/>
        <w:t>号评估报告，按其预计未来现金流量的现值确定。 喀什尚河信息科技有限公司资产组的可收回金额参考利用国众联资产评估土地房地产估价有限公司于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日出</w:t>
      </w:r>
    </w:p>
    <w:p>
      <w:pPr>
        <w:pStyle w:val="BodyText"/>
        <w:spacing w:line="300" w:lineRule="auto" w:before="13"/>
        <w:ind w:right="1229"/>
        <w:jc w:val="left"/>
      </w:pPr>
      <w:r>
        <w:rPr/>
        <w:t>具的国众联评报字（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2-0341</w:t>
      </w:r>
      <w:r>
        <w:rPr/>
        <w:t>号评估报告，按其预计未来现金流量的现值确定。 深圳市快读科技有限公司资产组的可收回金额参考利用国众联资产评估土地房地产估价有限公司于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日出具的国 众联评报字（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2-0342</w:t>
      </w:r>
      <w:r>
        <w:rPr/>
        <w:t>号评估报告，按其预计未来现金流量的现值确定。</w:t>
      </w:r>
    </w:p>
    <w:p>
      <w:pPr>
        <w:pStyle w:val="BodyText"/>
        <w:spacing w:line="240" w:lineRule="auto" w:before="53"/>
        <w:ind w:right="1117"/>
        <w:jc w:val="left"/>
      </w:pPr>
      <w:r>
        <w:rPr/>
        <w:t>商誉减值测试的影响</w:t>
      </w:r>
    </w:p>
    <w:p>
      <w:pPr>
        <w:pStyle w:val="BodyText"/>
        <w:spacing w:line="240" w:lineRule="auto" w:before="115"/>
        <w:ind w:left="578" w:right="1117"/>
        <w:jc w:val="left"/>
      </w:pPr>
      <w:r>
        <w:rPr>
          <w:rFonts w:ascii="Times New Roman" w:hAnsi="Times New Roman" w:cs="Times New Roman" w:eastAsia="Times New Roman" w:hint="default"/>
        </w:rPr>
        <w:t>(1)</w:t>
      </w:r>
      <w:r>
        <w:rPr/>
        <w:t>海南坚果创娱信息技术有限公司</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956"/>
        <w:gridCol w:w="1558"/>
        <w:gridCol w:w="1611"/>
        <w:gridCol w:w="1707"/>
        <w:gridCol w:w="1709"/>
      </w:tblGrid>
      <w:tr>
        <w:trPr>
          <w:trHeight w:val="34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年度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年第四季度</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r>
      <w:tr>
        <w:trPr>
          <w:trHeight w:val="34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业绩承诺金额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700.00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1,800.00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2,340.00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3,042.00</w:t>
            </w:r>
          </w:p>
        </w:tc>
      </w:tr>
      <w:tr>
        <w:trPr>
          <w:trHeight w:val="34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1,138.75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1,821.37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2,380.77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8"/>
        <w:ind w:left="578" w:right="1117"/>
        <w:jc w:val="left"/>
      </w:pPr>
      <w:r>
        <w:rPr/>
        <w:t>海南坚果公司完成了</w:t>
      </w:r>
      <w:r>
        <w:rPr>
          <w:rFonts w:ascii="Times New Roman" w:hAnsi="Times New Roman" w:cs="Times New Roman" w:eastAsia="Times New Roman" w:hint="default"/>
        </w:rPr>
        <w:t>2016-2018</w:t>
      </w:r>
      <w:r>
        <w:rPr/>
        <w:t>年的业绩承诺。前述减值测试结果表明，收购海南坚果公司形成的商誉不存在减值。</w:t>
      </w:r>
    </w:p>
    <w:p>
      <w:pPr>
        <w:pStyle w:val="BodyText"/>
        <w:spacing w:line="240" w:lineRule="auto" w:before="63"/>
        <w:ind w:left="578" w:right="1117"/>
        <w:jc w:val="left"/>
      </w:pPr>
      <w:r>
        <w:rPr>
          <w:rFonts w:ascii="Times New Roman" w:hAnsi="Times New Roman" w:cs="Times New Roman" w:eastAsia="Times New Roman" w:hint="default"/>
        </w:rPr>
        <w:t>(2)</w:t>
      </w:r>
      <w:r>
        <w:rPr/>
        <w:t>上海睿民互联网科技有限公司</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134"/>
        <w:gridCol w:w="2137"/>
        <w:gridCol w:w="2134"/>
        <w:gridCol w:w="2137"/>
      </w:tblGrid>
      <w:tr>
        <w:trPr>
          <w:trHeight w:val="34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年度</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341"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业绩承诺金额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2,000.00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2,600.00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3,380.00</w:t>
            </w:r>
          </w:p>
        </w:tc>
      </w:tr>
      <w:tr>
        <w:trPr>
          <w:trHeight w:val="34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2,083.83</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2,718.35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3,494.03</w:t>
            </w:r>
          </w:p>
        </w:tc>
      </w:tr>
    </w:tbl>
    <w:p>
      <w:pPr>
        <w:pStyle w:val="BodyText"/>
        <w:spacing w:line="240" w:lineRule="auto" w:before="8"/>
        <w:ind w:left="573" w:right="1117"/>
        <w:jc w:val="left"/>
      </w:pPr>
      <w:r>
        <w:rPr/>
        <w:t>上海睿民公司完成了</w:t>
      </w:r>
      <w:r>
        <w:rPr>
          <w:rFonts w:ascii="Times New Roman" w:hAnsi="Times New Roman" w:cs="Times New Roman" w:eastAsia="Times New Roman" w:hint="default"/>
        </w:rPr>
        <w:t>2016-2018</w:t>
      </w:r>
      <w:r>
        <w:rPr/>
        <w:t>年的业绩承诺。前述减值测试结果表明，收购上海睿民公司形成的商誉不存在减值。</w:t>
      </w:r>
    </w:p>
    <w:p>
      <w:pPr>
        <w:pStyle w:val="BodyText"/>
        <w:spacing w:line="240" w:lineRule="auto" w:before="63"/>
        <w:ind w:left="578" w:right="1117"/>
        <w:jc w:val="left"/>
      </w:pPr>
      <w:r>
        <w:rPr>
          <w:rFonts w:ascii="Times New Roman" w:hAnsi="Times New Roman" w:cs="Times New Roman" w:eastAsia="Times New Roman" w:hint="default"/>
        </w:rPr>
        <w:t>(3)</w:t>
      </w:r>
      <w:r>
        <w:rPr/>
        <w:t>喀什尚河信息科技有限公司</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134"/>
        <w:gridCol w:w="2137"/>
        <w:gridCol w:w="2134"/>
        <w:gridCol w:w="2137"/>
      </w:tblGrid>
      <w:tr>
        <w:trPr>
          <w:trHeight w:val="341"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年度</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34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业绩承诺金额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870.00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w w:val="95"/>
                <w:sz w:val="18"/>
              </w:rPr>
              <w:t>1,131.00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w w:val="95"/>
                <w:sz w:val="18"/>
              </w:rPr>
              <w:t>1,470.00</w:t>
            </w:r>
          </w:p>
        </w:tc>
      </w:tr>
      <w:tr>
        <w:trPr>
          <w:trHeight w:val="341"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1,483.79</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1,227.62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1,525.69</w:t>
            </w:r>
          </w:p>
        </w:tc>
      </w:tr>
    </w:tbl>
    <w:p>
      <w:pPr>
        <w:pStyle w:val="BodyText"/>
        <w:spacing w:line="240" w:lineRule="auto" w:before="8"/>
        <w:ind w:left="573" w:right="1117"/>
        <w:jc w:val="left"/>
      </w:pPr>
      <w:r>
        <w:rPr/>
        <w:t>喀什尚河公司完成了</w:t>
      </w:r>
      <w:r>
        <w:rPr>
          <w:rFonts w:ascii="Times New Roman" w:hAnsi="Times New Roman" w:cs="Times New Roman" w:eastAsia="Times New Roman" w:hint="default"/>
        </w:rPr>
        <w:t>2016-2018</w:t>
      </w:r>
      <w:r>
        <w:rPr/>
        <w:t>年的业绩承诺。前述减值测试结果表明，收购喀什尚河公司形成的商誉不存在减值。</w:t>
      </w:r>
    </w:p>
    <w:p>
      <w:pPr>
        <w:pStyle w:val="BodyText"/>
        <w:spacing w:line="240" w:lineRule="auto" w:before="63"/>
        <w:ind w:left="578" w:right="1117"/>
        <w:jc w:val="left"/>
      </w:pPr>
      <w:r>
        <w:rPr>
          <w:rFonts w:ascii="Times New Roman" w:hAnsi="Times New Roman" w:cs="Times New Roman" w:eastAsia="Times New Roman" w:hint="default"/>
        </w:rPr>
        <w:t>(4)</w:t>
      </w:r>
      <w:r>
        <w:rPr/>
        <w:t>深圳市快读科技有限公司</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1956"/>
        <w:gridCol w:w="1460"/>
        <w:gridCol w:w="1709"/>
        <w:gridCol w:w="1707"/>
        <w:gridCol w:w="1709"/>
      </w:tblGrid>
      <w:tr>
        <w:trPr>
          <w:trHeight w:val="34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年度</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年度</w:t>
            </w:r>
          </w:p>
        </w:tc>
      </w:tr>
      <w:tr>
        <w:trPr>
          <w:trHeight w:val="34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业绩承诺金额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3,900.00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5,070.00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5,470.00</w:t>
            </w:r>
          </w:p>
        </w:tc>
      </w:tr>
      <w:tr>
        <w:trPr>
          <w:trHeight w:val="34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3,628.63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3,981.56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640" w:lineRule="auto" w:before="8"/>
        <w:ind w:right="1332" w:firstLine="362"/>
        <w:jc w:val="left"/>
      </w:pPr>
      <w:r>
        <w:rPr/>
        <w:t>深圳快读公司完成了</w:t>
      </w:r>
      <w:r>
        <w:rPr>
          <w:rFonts w:ascii="Times New Roman" w:hAnsi="Times New Roman" w:cs="Times New Roman" w:eastAsia="Times New Roman" w:hint="default"/>
        </w:rPr>
        <w:t>2017-2018</w:t>
      </w:r>
      <w:r>
        <w:rPr/>
        <w:t>年的业绩承诺。前述减值测试结果表明，收购深圳快读公司形成的商誉不存在减值。 其他说明</w:t>
      </w:r>
    </w:p>
    <w:p>
      <w:pPr>
        <w:spacing w:after="0" w:line="640" w:lineRule="auto"/>
        <w:jc w:val="left"/>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3,001,794.91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1,095,352.57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1,906,442.34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邮箱服务费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422,995.24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76,257.84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346,737.40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融资租赁服务费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1,111,111.11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3,888,888.89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3,424,790.15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2,282,721.52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6,142,068.63</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4"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48,951,187.52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7,320,533.27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38,779,381.60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5,761,348.02</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可供出售金融资产减值 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10,495,065.00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1,574,259.75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计入当期损益的公允价 值变动</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2,864,367.91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429,655.19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1,679,345.52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251,901.83</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预提利息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6,621,182.67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993,177.40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3,378,229.18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506,734.38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尚未解锁股权激励摊销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3,797,987.60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654,709.35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330,090.00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未确认融资费用摊销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25,733,151.23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3,859,972.68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15,564,318.21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2,334,647.71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98,462,941.93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14,832,307.64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61,599,674.51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9,184,721.94</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1895"/>
        <w:gridCol w:w="1916"/>
        <w:gridCol w:w="1916"/>
        <w:gridCol w:w="1913"/>
        <w:gridCol w:w="1916"/>
      </w:tblGrid>
      <w:tr>
        <w:trPr>
          <w:trHeight w:val="206" w:hRule="exact"/>
        </w:trPr>
        <w:tc>
          <w:tcPr>
            <w:tcW w:w="18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95"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11,759,075.00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1,763,861.25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15,702,375.00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2,355,356.25</w:t>
            </w:r>
          </w:p>
        </w:tc>
      </w:tr>
      <w:tr>
        <w:trPr>
          <w:trHeight w:val="401"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11,759,075.00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1,763,861.25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15,702,375.00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2,355,356.25</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14,832,307.64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9,184,721.94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1,763,861.25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2,355,356.25</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5,647,906.27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356,804.83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25,764,858.51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23,914,903.23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31,412,764.78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24,271,708.06</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405"/>
        <w:gridCol w:w="2369"/>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3,866,789.54</w:t>
            </w:r>
          </w:p>
        </w:tc>
        <w:tc>
          <w:tcPr>
            <w:tcW w:w="2405"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5,271,146.95</w:t>
            </w:r>
          </w:p>
        </w:tc>
        <w:tc>
          <w:tcPr>
            <w:tcW w:w="236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16,500,863.10</w:t>
            </w:r>
          </w:p>
        </w:tc>
        <w:tc>
          <w:tcPr>
            <w:tcW w:w="2405"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18,643,756.28</w:t>
            </w:r>
          </w:p>
        </w:tc>
        <w:tc>
          <w:tcPr>
            <w:tcW w:w="236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1,092,051.36</w:t>
            </w:r>
          </w:p>
        </w:tc>
        <w:tc>
          <w:tcPr>
            <w:tcW w:w="2405"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6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2028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4,305,154.51</w:t>
            </w:r>
          </w:p>
        </w:tc>
        <w:tc>
          <w:tcPr>
            <w:tcW w:w="2405"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6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25,764,858.51</w:t>
            </w:r>
          </w:p>
        </w:tc>
        <w:tc>
          <w:tcPr>
            <w:tcW w:w="240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23,914,903.23</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25</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176,926,800.00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73,752,427.00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176,926,800.00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73,752,427.00</w:t>
            </w:r>
          </w:p>
        </w:tc>
      </w:tr>
    </w:tbl>
    <w:p>
      <w:pPr>
        <w:pStyle w:val="BodyText"/>
        <w:spacing w:line="240" w:lineRule="auto" w:before="49"/>
        <w:ind w:right="1117"/>
        <w:jc w:val="left"/>
      </w:pPr>
      <w:r>
        <w:rPr/>
        <w:t>短期借款分类的说明：</w:t>
      </w:r>
    </w:p>
    <w:p>
      <w:pPr>
        <w:pStyle w:val="BodyText"/>
        <w:spacing w:line="240" w:lineRule="auto" w:before="115"/>
        <w:ind w:right="1117"/>
        <w:jc w:val="left"/>
      </w:pPr>
      <w:r>
        <w:rPr>
          <w:rFonts w:ascii="Times New Roman" w:hAnsi="Times New Roman" w:cs="Times New Roman" w:eastAsia="Times New Roman" w:hint="default"/>
        </w:rPr>
        <w:t>1</w:t>
      </w:r>
      <w:r>
        <w:rPr/>
        <w:t>．本期无已逾期未偿还的短期借款。</w:t>
      </w:r>
    </w:p>
    <w:p>
      <w:pPr>
        <w:pStyle w:val="BodyText"/>
        <w:spacing w:line="240" w:lineRule="auto" w:before="63"/>
        <w:ind w:right="1117"/>
        <w:jc w:val="left"/>
      </w:pPr>
      <w:r>
        <w:rPr>
          <w:rFonts w:ascii="Times New Roman" w:hAnsi="Times New Roman" w:cs="Times New Roman" w:eastAsia="Times New Roman" w:hint="default"/>
        </w:rPr>
        <w:t>2</w:t>
      </w:r>
      <w:r>
        <w:rPr/>
        <w:t>．本期无展期的短期借款。</w:t>
      </w:r>
    </w:p>
    <w:p>
      <w:pPr>
        <w:pStyle w:val="BodyText"/>
        <w:spacing w:line="240" w:lineRule="auto" w:before="63"/>
        <w:ind w:right="1117"/>
        <w:jc w:val="left"/>
      </w:pPr>
      <w:r>
        <w:rPr>
          <w:rFonts w:ascii="Times New Roman" w:hAnsi="Times New Roman" w:cs="Times New Roman" w:eastAsia="Times New Roman" w:hint="default"/>
        </w:rPr>
        <w:t>3</w:t>
      </w:r>
      <w:r>
        <w:rPr/>
        <w:t>．外币借款情况详见附注七</w:t>
      </w:r>
      <w:r>
        <w:rPr>
          <w:rFonts w:ascii="Times New Roman" w:hAnsi="Times New Roman" w:cs="Times New Roman" w:eastAsia="Times New Roman" w:hint="default"/>
        </w:rPr>
        <w:t>.71</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外币货币性项目</w:t>
      </w:r>
      <w:r>
        <w:rPr>
          <w:rFonts w:ascii="Times New Roman" w:hAnsi="Times New Roman" w:cs="Times New Roman" w:eastAsia="Times New Roman" w:hint="default"/>
        </w:rPr>
        <w:t>”</w:t>
      </w:r>
      <w:r>
        <w:rPr/>
        <w:t>之说明。</w:t>
      </w:r>
    </w:p>
    <w:p>
      <w:pPr>
        <w:pStyle w:val="BodyText"/>
        <w:spacing w:line="240" w:lineRule="auto" w:before="63"/>
        <w:ind w:right="111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0"/>
        </w:rPr>
        <w:t> </w:t>
      </w:r>
      <w:r>
        <w:rPr/>
        <w:t>关联方为公司短期借款提供担保情况详见附注十二</w:t>
      </w:r>
      <w:r>
        <w:rPr>
          <w:rFonts w:ascii="Times New Roman" w:hAnsi="Times New Roman" w:cs="Times New Roman" w:eastAsia="Times New Roman" w:hint="default"/>
        </w:rPr>
        <w:t>.5</w:t>
      </w:r>
      <w:r>
        <w:rPr/>
        <w:t>（四）</w:t>
      </w:r>
      <w:r>
        <w:rPr>
          <w:rFonts w:ascii="Times New Roman" w:hAnsi="Times New Roman" w:cs="Times New Roman" w:eastAsia="Times New Roman" w:hint="default"/>
        </w:rPr>
        <w:t>“</w:t>
      </w:r>
      <w:r>
        <w:rPr/>
        <w:t>关联担保情况</w:t>
      </w:r>
      <w:r>
        <w:rPr>
          <w:rFonts w:ascii="Times New Roman" w:hAnsi="Times New Roman" w:cs="Times New Roman" w:eastAsia="Times New Roman" w:hint="default"/>
        </w:rPr>
        <w:t>”</w:t>
      </w:r>
      <w:r>
        <w:rPr/>
        <w:t>之说明。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17"/>
        <w:jc w:val="left"/>
      </w:pPr>
      <w:r>
        <w:rPr/>
        <w:t>本期末已逾期未偿还的短期借款总额为元，其中重要的已逾期未偿还的短期借款情况如下：</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1"/>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2,864,367.91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1,679,345.52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2,864,367.91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1,679,345.52</w:t>
            </w:r>
          </w:p>
        </w:tc>
      </w:tr>
    </w:tbl>
    <w:p>
      <w:pPr>
        <w:pStyle w:val="BodyText"/>
        <w:spacing w:line="338" w:lineRule="auto" w:before="49"/>
        <w:ind w:right="1117"/>
        <w:jc w:val="left"/>
      </w:pPr>
      <w:r>
        <w:rPr/>
        <w:t>其他说明： </w:t>
      </w:r>
      <w:r>
        <w:rPr>
          <w:spacing w:val="-2"/>
        </w:rPr>
        <w:t>期末以公允价值计量且其变动计入当期损益的金融负债系本公司需支付给被投资单位原股东的超额业绩对价款，以公允价值</w:t>
      </w:r>
      <w:r>
        <w:rPr>
          <w:spacing w:val="-64"/>
        </w:rPr>
        <w:t> </w:t>
      </w:r>
      <w:r>
        <w:rPr>
          <w:spacing w:val="-64"/>
        </w:rPr>
      </w:r>
      <w:r>
        <w:rPr/>
        <w:t>计量且其变动计入当期损益的金融负债公允价值按照协议约定确定</w:t>
      </w:r>
    </w:p>
    <w:p>
      <w:pPr>
        <w:spacing w:line="240" w:lineRule="auto" w:before="7"/>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28</w:t>
      </w:r>
      <w:r>
        <w:rPr/>
        <w:t>、衍生金融负债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243,377,176.12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140,517,074.59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243,377,176.12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140,517,074.59</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17"/>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220,342,456.71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128,154,357.51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23,034,719.41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12,362,717.08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243,377,176.12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140,517,074.59</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1117"/>
        <w:jc w:val="left"/>
      </w:pPr>
      <w:r>
        <w:rPr/>
        <w:t>其他说明：</w:t>
      </w:r>
    </w:p>
    <w:p>
      <w:pPr>
        <w:pStyle w:val="Heading4"/>
        <w:spacing w:line="240" w:lineRule="auto" w:before="94"/>
        <w:ind w:right="1117"/>
        <w:jc w:val="left"/>
      </w:pPr>
      <w:r>
        <w:rPr>
          <w:rFonts w:ascii="Times New Roman" w:hAnsi="Times New Roman" w:cs="Times New Roman" w:eastAsia="Times New Roman" w:hint="default"/>
        </w:rPr>
        <w:t>1</w:t>
      </w:r>
      <w:r>
        <w:rPr/>
        <w:t>、外币应付账款情况详见附注七</w:t>
      </w:r>
      <w:r>
        <w:rPr>
          <w:rFonts w:ascii="Times New Roman" w:hAnsi="Times New Roman" w:cs="Times New Roman" w:eastAsia="Times New Roman" w:hint="default"/>
        </w:rPr>
        <w:t>.71“</w:t>
      </w:r>
      <w:r>
        <w:rPr/>
        <w:t>外币货币性项目</w:t>
      </w:r>
      <w:r>
        <w:rPr>
          <w:rFonts w:ascii="Times New Roman" w:hAnsi="Times New Roman" w:cs="Times New Roman" w:eastAsia="Times New Roman" w:hint="default"/>
        </w:rPr>
        <w:t>”</w:t>
      </w:r>
      <w:r>
        <w:rPr/>
        <w:t>之说明。</w:t>
      </w:r>
    </w:p>
    <w:p>
      <w:pPr>
        <w:pStyle w:val="Heading4"/>
        <w:spacing w:line="240" w:lineRule="auto" w:before="21"/>
        <w:ind w:right="1117"/>
        <w:jc w:val="left"/>
      </w:pPr>
      <w:r>
        <w:rPr>
          <w:rFonts w:ascii="Times New Roman" w:hAnsi="Times New Roman" w:cs="Times New Roman" w:eastAsia="Times New Roman" w:hint="default"/>
        </w:rPr>
        <w:t>2</w:t>
      </w:r>
      <w:r>
        <w:rPr/>
        <w:t>、期末无账龄超过</w:t>
      </w:r>
      <w:r>
        <w:rPr>
          <w:rFonts w:ascii="Times New Roman" w:hAnsi="Times New Roman" w:cs="Times New Roman" w:eastAsia="Times New Roman" w:hint="default"/>
        </w:rPr>
        <w:t>1</w:t>
      </w:r>
      <w:r>
        <w:rPr/>
        <w:t>年的大额应付账款。</w:t>
      </w:r>
    </w:p>
    <w:p>
      <w:pPr>
        <w:spacing w:line="240" w:lineRule="auto" w:before="7"/>
        <w:rPr>
          <w:rFonts w:ascii="宋体" w:hAnsi="宋体" w:cs="宋体" w:eastAsia="宋体" w:hint="default"/>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36,477,197.60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57,906,095.44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7,260,591.88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1,718,035.14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43,737,789.48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59,624,130.58</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204"/>
        <w:gridCol w:w="3167"/>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3204"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2,928,800.00</w:t>
            </w:r>
          </w:p>
        </w:tc>
        <w:tc>
          <w:tcPr>
            <w:tcW w:w="31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集成项目，尚未验收，未确认收入</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3204"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3,592,048.00</w:t>
            </w:r>
          </w:p>
        </w:tc>
        <w:tc>
          <w:tcPr>
            <w:tcW w:w="31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集成项目，尚未验收，未确认收入</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6,520,848.00</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30,982,223.59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517,439,612.97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512,900,196.11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35,521,640.45</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1,419,834.08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40,529,572.92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39,586,731.12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2,362,675.88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1,473,281.17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1,522,781.17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32,451,557.67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559,442,467.06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554,009,708.40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37,884,316.33</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29,265,384.23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460,079,927.79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457,099,164.24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32,246,147.78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3,551,017.78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3,551,017.78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816,594.37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22,863,160.97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22,341,659.73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1,338,095.61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719,786.72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20,120,770.14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19,641,372.32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1,199,184.54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32,315.63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1,040,034.64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1,038,824.13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33,526.14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64,492.02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1,702,356.19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1,661,463.28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105,384.93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848,212.19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29,264,052.29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28,278,000.21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1,834,264.27</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13,528.50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14,413.56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2,094.94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49,052.80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1,667,925.64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1,615,940.59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101,037.85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30,982,223.59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517,439,612.97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512,900,196.11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35,521,640.45</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1,374,095.34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39,156,893.60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38,250,314.40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2,280,674.54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45,738.74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1,372,679.32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1,336,416.72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82,001.34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1,419,834.08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40,529,572.92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39,586,731.12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2,362,675.88</w:t>
            </w:r>
          </w:p>
        </w:tc>
      </w:tr>
    </w:tbl>
    <w:p>
      <w:pPr>
        <w:pStyle w:val="BodyText"/>
        <w:spacing w:line="240" w:lineRule="auto" w:before="49"/>
        <w:ind w:right="1117"/>
        <w:jc w:val="left"/>
      </w:pPr>
      <w:r>
        <w:rPr/>
        <w:t>其他说明：</w:t>
      </w:r>
    </w:p>
    <w:p>
      <w:pPr>
        <w:pStyle w:val="Heading4"/>
        <w:spacing w:line="256" w:lineRule="auto" w:before="94"/>
        <w:ind w:left="573" w:right="5413" w:firstLine="4"/>
        <w:jc w:val="left"/>
      </w:pPr>
      <w:r>
        <w:rPr>
          <w:rFonts w:ascii="Times New Roman" w:hAnsi="Times New Roman" w:cs="Times New Roman" w:eastAsia="Times New Roman" w:hint="default"/>
          <w:spacing w:val="-2"/>
        </w:rPr>
        <w:t>(1)</w:t>
      </w:r>
      <w:r>
        <w:rPr>
          <w:spacing w:val="-2"/>
        </w:rPr>
        <w:t>应付职工薪酬期末数中无拖欠性质的职工薪酬。</w:t>
      </w:r>
      <w:r>
        <w:rPr>
          <w:spacing w:val="-64"/>
        </w:rPr>
        <w:t> </w:t>
      </w:r>
      <w:r>
        <w:rPr>
          <w:spacing w:val="-64"/>
        </w:rPr>
      </w:r>
      <w:r>
        <w:rPr>
          <w:rFonts w:ascii="Times New Roman" w:hAnsi="Times New Roman" w:cs="Times New Roman" w:eastAsia="Times New Roman" w:hint="default"/>
        </w:rPr>
        <w:t>(2)</w:t>
      </w:r>
      <w:r>
        <w:rPr/>
        <w:t>其他重大事项说明</w:t>
      </w:r>
    </w:p>
    <w:p>
      <w:pPr>
        <w:pStyle w:val="Heading4"/>
        <w:spacing w:line="240" w:lineRule="auto"/>
        <w:ind w:left="575" w:right="1117"/>
        <w:jc w:val="left"/>
      </w:pPr>
      <w:r>
        <w:rPr>
          <w:rFonts w:ascii="Times New Roman" w:hAnsi="Times New Roman" w:cs="Times New Roman" w:eastAsia="Times New Roman" w:hint="default"/>
        </w:rPr>
        <w:t>(3)</w:t>
      </w:r>
      <w:r>
        <w:rPr/>
        <w:t>公司参与的设定提存计划为基本养老保险和失业保险，按照当地规定比例进行缴纳。</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32</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6,338,612.51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3,610,071.20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7,270,439.89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2,678,829.34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1,314,010.94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3,053,623.69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840,945.57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97,247.78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101,288.61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20,409.71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362,898.76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42,334.01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230,706.34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28,222.66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残疾人保证金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337,535.46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16,458,927.66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9,868,273.85</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33</w:t>
      </w:r>
      <w:r>
        <w:rPr/>
        <w:t>、其他应付款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6,621,182.64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3,378,229.18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85,682.80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16,691,629.71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70,717,029.75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23,349,108.35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74,180,941.73</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6,621,182.64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3,378,229.18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6,621,182.64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3,378,229.18</w:t>
            </w:r>
          </w:p>
        </w:tc>
      </w:tr>
    </w:tbl>
    <w:p>
      <w:pPr>
        <w:pStyle w:val="BodyText"/>
        <w:spacing w:line="240" w:lineRule="auto" w:before="49"/>
        <w:ind w:right="1117"/>
        <w:jc w:val="left"/>
      </w:pPr>
      <w:r>
        <w:rPr/>
        <w:t>重要的已逾期未支付的利息情况：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1117"/>
        <w:jc w:val="left"/>
      </w:pPr>
      <w:r>
        <w:rPr/>
        <w:t>其他说明：</w:t>
      </w:r>
    </w:p>
    <w:p>
      <w:pPr>
        <w:pStyle w:val="Heading4"/>
        <w:spacing w:line="240" w:lineRule="auto" w:before="96"/>
        <w:ind w:left="364" w:right="1117"/>
        <w:jc w:val="left"/>
      </w:pPr>
      <w:r>
        <w:rPr/>
        <w:t>本期无已逾期未支付的利息。</w:t>
      </w:r>
    </w:p>
    <w:p>
      <w:pPr>
        <w:spacing w:line="240" w:lineRule="auto" w:before="11"/>
        <w:rPr>
          <w:rFonts w:ascii="宋体" w:hAnsi="宋体" w:cs="宋体" w:eastAsia="宋体" w:hint="default"/>
          <w:sz w:val="25"/>
          <w:szCs w:val="25"/>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85,682.80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85,682.80</w:t>
            </w:r>
          </w:p>
        </w:tc>
      </w:tr>
    </w:tbl>
    <w:p>
      <w:pPr>
        <w:pStyle w:val="BodyText"/>
        <w:spacing w:line="240" w:lineRule="auto" w:before="49"/>
        <w:ind w:right="1117"/>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29"/>
        <w:gridCol w:w="2107"/>
        <w:gridCol w:w="2112"/>
        <w:gridCol w:w="2108"/>
      </w:tblGrid>
      <w:tr>
        <w:trPr>
          <w:trHeight w:val="374"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3"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年未支付原因</w:t>
            </w:r>
          </w:p>
        </w:tc>
      </w:tr>
      <w:tr>
        <w:trPr>
          <w:trHeight w:val="1025"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普通股股利</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36,296.00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85,682.80</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6"/>
              <w:ind w:left="57" w:right="58"/>
              <w:jc w:val="center"/>
              <w:rPr>
                <w:rFonts w:ascii="宋体" w:hAnsi="宋体" w:cs="宋体" w:eastAsia="宋体" w:hint="default"/>
                <w:sz w:val="18"/>
                <w:szCs w:val="18"/>
              </w:rPr>
            </w:pPr>
            <w:r>
              <w:rPr>
                <w:rFonts w:ascii="宋体" w:hAnsi="宋体" w:cs="宋体" w:eastAsia="宋体" w:hint="default"/>
                <w:sz w:val="18"/>
                <w:szCs w:val="18"/>
              </w:rPr>
              <w:t>股权激励计划中应付员工 股利于达到解锁条件时支 付</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7,409.25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36,735,890.43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13,552,976.00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32,906,255.20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员工社保公积金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2,409,268.41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795,235.64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317,696.66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404,279.39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189,548.48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16,691,629.71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70,717,029.75</w:t>
            </w:r>
          </w:p>
        </w:tc>
      </w:tr>
    </w:tbl>
    <w:p>
      <w:pPr>
        <w:pStyle w:val="BodyText"/>
        <w:spacing w:line="240" w:lineRule="auto" w:before="49"/>
        <w:ind w:right="1117"/>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1"/>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204"/>
        <w:gridCol w:w="3167"/>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204"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13,503,589.20</w:t>
            </w:r>
          </w:p>
        </w:tc>
        <w:tc>
          <w:tcPr>
            <w:tcW w:w="31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1523"/>
              <w:jc w:val="right"/>
              <w:rPr>
                <w:rFonts w:ascii="宋体" w:hAnsi="宋体" w:cs="宋体" w:eastAsia="宋体" w:hint="default"/>
                <w:sz w:val="18"/>
                <w:szCs w:val="18"/>
              </w:rPr>
            </w:pPr>
            <w:r>
              <w:rPr>
                <w:rFonts w:ascii="宋体" w:hAnsi="宋体" w:cs="宋体" w:eastAsia="宋体" w:hint="default"/>
                <w:sz w:val="18"/>
                <w:szCs w:val="18"/>
              </w:rPr>
              <w:t>限制性股票回购义务</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13,503,589.20</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18"/>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7"/>
        <w:jc w:val="left"/>
      </w:pPr>
      <w:r>
        <w:rPr/>
        <w:t>其他说明</w:t>
      </w:r>
    </w:p>
    <w:p>
      <w:pPr>
        <w:pStyle w:val="Heading4"/>
        <w:spacing w:line="240" w:lineRule="auto" w:before="94"/>
        <w:ind w:right="1117"/>
        <w:jc w:val="left"/>
      </w:pPr>
      <w:r>
        <w:rPr/>
        <w:t>外币其他应付款情况详见附注五</w:t>
      </w:r>
      <w:r>
        <w:rPr>
          <w:rFonts w:ascii="Times New Roman" w:hAnsi="Times New Roman" w:cs="Times New Roman" w:eastAsia="Times New Roman" w:hint="default"/>
        </w:rPr>
        <w:t>(</w:t>
      </w:r>
      <w:r>
        <w:rPr/>
        <w:t>五十一</w:t>
      </w:r>
      <w:r>
        <w:rPr>
          <w:rFonts w:ascii="Times New Roman" w:hAnsi="Times New Roman" w:cs="Times New Roman" w:eastAsia="Times New Roman" w:hint="default"/>
        </w:rPr>
        <w:t>)“</w:t>
      </w:r>
      <w:r>
        <w:rPr/>
        <w:t>外币货币性项目</w:t>
      </w:r>
      <w:r>
        <w:rPr>
          <w:rFonts w:ascii="Times New Roman" w:hAnsi="Times New Roman" w:cs="Times New Roman" w:eastAsia="Times New Roman" w:hint="default"/>
        </w:rPr>
        <w:t>”</w:t>
      </w:r>
      <w:r>
        <w:rPr/>
        <w:t>之说明。</w:t>
      </w:r>
    </w:p>
    <w:p>
      <w:pPr>
        <w:spacing w:line="240" w:lineRule="auto" w:before="7"/>
        <w:rPr>
          <w:rFonts w:ascii="宋体" w:hAnsi="宋体" w:cs="宋体" w:eastAsia="宋体" w:hint="default"/>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34</w:t>
      </w:r>
      <w:r>
        <w:rPr/>
        <w:t>、持有待售负债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35</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15,666,600.00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37,142,100.00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242,730,418.64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155,402,333.09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258,397,018.64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192,544,433.09</w:t>
            </w:r>
          </w:p>
        </w:tc>
      </w:tr>
    </w:tbl>
    <w:p>
      <w:pPr>
        <w:pStyle w:val="BodyText"/>
        <w:spacing w:line="240" w:lineRule="auto" w:before="49"/>
        <w:ind w:right="1117"/>
        <w:jc w:val="left"/>
      </w:pPr>
      <w:r>
        <w:rPr/>
        <w:t>其他说明：</w:t>
      </w:r>
    </w:p>
    <w:p>
      <w:pPr>
        <w:pStyle w:val="Heading4"/>
        <w:spacing w:line="256" w:lineRule="auto" w:before="96"/>
        <w:ind w:left="573" w:right="7694" w:hanging="421"/>
        <w:jc w:val="left"/>
      </w:pPr>
      <w:r>
        <w:rPr>
          <w:rFonts w:ascii="Times New Roman" w:hAnsi="Times New Roman" w:cs="Times New Roman" w:eastAsia="Times New Roman" w:hint="default"/>
          <w:spacing w:val="-2"/>
        </w:rPr>
        <w:t>1</w:t>
      </w:r>
      <w:r>
        <w:rPr>
          <w:spacing w:val="-2"/>
        </w:rPr>
        <w:t>、一年内到期的长期借款</w:t>
      </w:r>
      <w:r>
        <w:rPr>
          <w:spacing w:val="-83"/>
        </w:rPr>
        <w:t> </w:t>
      </w:r>
      <w:r>
        <w:rPr>
          <w:spacing w:val="-83"/>
        </w:rPr>
      </w:r>
      <w:r>
        <w:rPr>
          <w:rFonts w:ascii="Times New Roman" w:hAnsi="Times New Roman" w:cs="Times New Roman" w:eastAsia="Times New Roman" w:hint="default"/>
        </w:rPr>
        <w:t>(1)</w:t>
      </w:r>
      <w:r>
        <w:rPr/>
        <w:t>明细情况</w:t>
      </w:r>
    </w:p>
    <w:tbl>
      <w:tblPr>
        <w:tblW w:w="0" w:type="auto"/>
        <w:jc w:val="left"/>
        <w:tblInd w:w="148" w:type="dxa"/>
        <w:tblLayout w:type="fixed"/>
        <w:tblCellMar>
          <w:top w:w="0" w:type="dxa"/>
          <w:left w:w="0" w:type="dxa"/>
          <w:bottom w:w="0" w:type="dxa"/>
          <w:right w:w="0" w:type="dxa"/>
        </w:tblCellMar>
        <w:tblLook w:val="01E0"/>
      </w:tblPr>
      <w:tblGrid>
        <w:gridCol w:w="3231"/>
        <w:gridCol w:w="3231"/>
        <w:gridCol w:w="3231"/>
      </w:tblGrid>
      <w:tr>
        <w:trPr>
          <w:trHeight w:val="346"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借款类别</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期末数</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46"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21,475,500.00</w:t>
            </w:r>
          </w:p>
        </w:tc>
      </w:tr>
      <w:tr>
        <w:trPr>
          <w:trHeight w:val="346"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质押、保证借款</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15,666,600.00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15,666,600.00</w:t>
            </w:r>
          </w:p>
        </w:tc>
      </w:tr>
      <w:tr>
        <w:trPr>
          <w:trHeight w:val="36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15,666,600.00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37,142,100.00</w:t>
            </w:r>
          </w:p>
        </w:tc>
      </w:tr>
    </w:tbl>
    <w:p>
      <w:pPr>
        <w:pStyle w:val="Heading4"/>
        <w:spacing w:line="240" w:lineRule="auto"/>
        <w:ind w:left="573" w:right="1117"/>
        <w:jc w:val="left"/>
      </w:pPr>
      <w:r>
        <w:rPr>
          <w:rFonts w:ascii="Times New Roman" w:hAnsi="Times New Roman" w:cs="Times New Roman" w:eastAsia="Times New Roman" w:hint="default"/>
        </w:rPr>
        <w:t>(2)</w:t>
      </w:r>
      <w:r>
        <w:rPr/>
        <w:t>金额前</w:t>
      </w:r>
      <w:r>
        <w:rPr>
          <w:rFonts w:ascii="Times New Roman" w:hAnsi="Times New Roman" w:cs="Times New Roman" w:eastAsia="Times New Roman" w:hint="default"/>
        </w:rPr>
        <w:t>5</w:t>
      </w:r>
      <w:r>
        <w:rPr/>
        <w:t>名的一年内到期的长期借款</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140"/>
        <w:gridCol w:w="1135"/>
        <w:gridCol w:w="1133"/>
        <w:gridCol w:w="430"/>
        <w:gridCol w:w="1841"/>
        <w:gridCol w:w="706"/>
        <w:gridCol w:w="1561"/>
        <w:gridCol w:w="708"/>
        <w:gridCol w:w="1556"/>
      </w:tblGrid>
      <w:tr>
        <w:trPr>
          <w:trHeight w:val="348" w:hRule="exact"/>
        </w:trPr>
        <w:tc>
          <w:tcPr>
            <w:tcW w:w="114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3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3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43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84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5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22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58" w:hRule="exact"/>
        </w:trPr>
        <w:tc>
          <w:tcPr>
            <w:tcW w:w="1140"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430" w:type="dxa"/>
            <w:vMerge/>
            <w:tcBorders>
              <w:left w:val="single" w:sz="6" w:space="0" w:color="000000"/>
              <w:bottom w:val="single" w:sz="6" w:space="0" w:color="000000"/>
              <w:right w:val="single" w:sz="6" w:space="0" w:color="000000"/>
            </w:tcBorders>
          </w:tcPr>
          <w:p>
            <w:pPr/>
          </w:p>
        </w:tc>
        <w:tc>
          <w:tcPr>
            <w:tcW w:w="1841" w:type="dxa"/>
            <w:vMerge/>
            <w:tcBorders>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54" w:right="74" w:hanging="180"/>
              <w:jc w:val="left"/>
              <w:rPr>
                <w:rFonts w:ascii="宋体" w:hAnsi="宋体" w:cs="宋体" w:eastAsia="宋体" w:hint="default"/>
                <w:sz w:val="18"/>
                <w:szCs w:val="18"/>
              </w:rPr>
            </w:pPr>
            <w:r>
              <w:rPr>
                <w:rFonts w:ascii="宋体" w:hAnsi="宋体" w:cs="宋体" w:eastAsia="宋体" w:hint="default"/>
                <w:sz w:val="18"/>
                <w:szCs w:val="18"/>
              </w:rPr>
              <w:t>原币金 额</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人民币金额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56" w:right="74" w:hanging="180"/>
              <w:jc w:val="left"/>
              <w:rPr>
                <w:rFonts w:ascii="宋体" w:hAnsi="宋体" w:cs="宋体" w:eastAsia="宋体" w:hint="default"/>
                <w:sz w:val="18"/>
                <w:szCs w:val="18"/>
              </w:rPr>
            </w:pPr>
            <w:r>
              <w:rPr>
                <w:rFonts w:ascii="宋体" w:hAnsi="宋体" w:cs="宋体" w:eastAsia="宋体" w:hint="default"/>
                <w:sz w:val="18"/>
                <w:szCs w:val="18"/>
              </w:rPr>
              <w:t>原币金 额</w:t>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972"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4" w:right="21"/>
              <w:jc w:val="both"/>
              <w:rPr>
                <w:rFonts w:ascii="宋体" w:hAnsi="宋体" w:cs="宋体" w:eastAsia="宋体" w:hint="default"/>
                <w:sz w:val="18"/>
                <w:szCs w:val="18"/>
              </w:rPr>
            </w:pPr>
            <w:r>
              <w:rPr>
                <w:rFonts w:ascii="宋体" w:hAnsi="宋体" w:cs="宋体" w:eastAsia="宋体" w:hint="default"/>
                <w:sz w:val="18"/>
                <w:szCs w:val="18"/>
              </w:rPr>
              <w:t>江苏银行股份 有限公司北京 中关村支行</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41" w:right="0"/>
              <w:jc w:val="left"/>
              <w:rPr>
                <w:rFonts w:ascii="Times New Roman" w:hAnsi="Times New Roman" w:cs="Times New Roman" w:eastAsia="Times New Roman" w:hint="default"/>
                <w:sz w:val="18"/>
                <w:szCs w:val="18"/>
              </w:rPr>
            </w:pPr>
            <w:r>
              <w:rPr>
                <w:rFonts w:ascii="Times New Roman"/>
                <w:sz w:val="18"/>
              </w:rPr>
              <w:t>2017-08-23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87" w:right="0"/>
              <w:jc w:val="left"/>
              <w:rPr>
                <w:rFonts w:ascii="Times New Roman" w:hAnsi="Times New Roman" w:cs="Times New Roman" w:eastAsia="Times New Roman" w:hint="default"/>
                <w:sz w:val="18"/>
                <w:szCs w:val="18"/>
              </w:rPr>
            </w:pPr>
            <w:r>
              <w:rPr>
                <w:rFonts w:ascii="Times New Roman"/>
                <w:sz w:val="18"/>
              </w:rPr>
              <w:t>2019-2-23</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17" w:right="24" w:hanging="89"/>
              <w:jc w:val="left"/>
              <w:rPr>
                <w:rFonts w:ascii="宋体" w:hAnsi="宋体" w:cs="宋体" w:eastAsia="宋体" w:hint="default"/>
                <w:sz w:val="18"/>
                <w:szCs w:val="18"/>
              </w:rPr>
            </w:pPr>
            <w:r>
              <w:rPr>
                <w:rFonts w:ascii="宋体" w:hAnsi="宋体" w:cs="宋体" w:eastAsia="宋体" w:hint="default"/>
                <w:sz w:val="18"/>
                <w:szCs w:val="18"/>
              </w:rPr>
              <w:t>人民 币</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666"/>
              <w:jc w:val="right"/>
              <w:rPr>
                <w:rFonts w:ascii="Times New Roman" w:hAnsi="Times New Roman" w:cs="Times New Roman" w:eastAsia="Times New Roman" w:hint="default"/>
                <w:sz w:val="18"/>
                <w:szCs w:val="18"/>
              </w:rPr>
            </w:pPr>
            <w:r>
              <w:rPr>
                <w:rFonts w:ascii="Times New Roman"/>
                <w:spacing w:val="-1"/>
                <w:sz w:val="18"/>
              </w:rPr>
              <w:t>6.5000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7,833,300.00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3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70"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4" w:right="21"/>
              <w:jc w:val="both"/>
              <w:rPr>
                <w:rFonts w:ascii="宋体" w:hAnsi="宋体" w:cs="宋体" w:eastAsia="宋体" w:hint="default"/>
                <w:sz w:val="18"/>
                <w:szCs w:val="18"/>
              </w:rPr>
            </w:pPr>
            <w:r>
              <w:rPr>
                <w:rFonts w:ascii="宋体" w:hAnsi="宋体" w:cs="宋体" w:eastAsia="宋体" w:hint="default"/>
                <w:sz w:val="18"/>
                <w:szCs w:val="18"/>
              </w:rPr>
              <w:t>江苏银行股份 有限公司北京 中关村支行</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87" w:right="0"/>
              <w:jc w:val="left"/>
              <w:rPr>
                <w:rFonts w:ascii="Times New Roman" w:hAnsi="Times New Roman" w:cs="Times New Roman" w:eastAsia="Times New Roman" w:hint="default"/>
                <w:sz w:val="18"/>
                <w:szCs w:val="18"/>
              </w:rPr>
            </w:pPr>
            <w:r>
              <w:rPr>
                <w:rFonts w:ascii="Times New Roman"/>
                <w:sz w:val="18"/>
              </w:rPr>
              <w:t>2017-8-23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87" w:right="0"/>
              <w:jc w:val="left"/>
              <w:rPr>
                <w:rFonts w:ascii="Times New Roman" w:hAnsi="Times New Roman" w:cs="Times New Roman" w:eastAsia="Times New Roman" w:hint="default"/>
                <w:sz w:val="18"/>
                <w:szCs w:val="18"/>
              </w:rPr>
            </w:pPr>
            <w:r>
              <w:rPr>
                <w:rFonts w:ascii="Times New Roman"/>
                <w:sz w:val="18"/>
              </w:rPr>
              <w:t>2019-8-23</w:t>
            </w:r>
          </w:p>
        </w:tc>
        <w:tc>
          <w:tcPr>
            <w:tcW w:w="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17" w:right="24" w:hanging="89"/>
              <w:jc w:val="left"/>
              <w:rPr>
                <w:rFonts w:ascii="宋体" w:hAnsi="宋体" w:cs="宋体" w:eastAsia="宋体" w:hint="default"/>
                <w:sz w:val="18"/>
                <w:szCs w:val="18"/>
              </w:rPr>
            </w:pPr>
            <w:r>
              <w:rPr>
                <w:rFonts w:ascii="宋体" w:hAnsi="宋体" w:cs="宋体" w:eastAsia="宋体" w:hint="default"/>
                <w:sz w:val="18"/>
                <w:szCs w:val="18"/>
              </w:rPr>
              <w:t>人民 币</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666"/>
              <w:jc w:val="right"/>
              <w:rPr>
                <w:rFonts w:ascii="Times New Roman" w:hAnsi="Times New Roman" w:cs="Times New Roman" w:eastAsia="Times New Roman" w:hint="default"/>
                <w:sz w:val="18"/>
                <w:szCs w:val="18"/>
              </w:rPr>
            </w:pPr>
            <w:r>
              <w:rPr>
                <w:rFonts w:ascii="Times New Roman"/>
                <w:spacing w:val="-1"/>
                <w:sz w:val="18"/>
              </w:rPr>
              <w:t>6.5000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7,833,300.00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31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9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135"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430"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15,666,600.00</w:t>
            </w:r>
          </w:p>
        </w:tc>
        <w:tc>
          <w:tcPr>
            <w:tcW w:w="708"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Heading4"/>
        <w:spacing w:line="278" w:lineRule="exact" w:before="0"/>
        <w:ind w:left="573" w:right="1117"/>
        <w:jc w:val="left"/>
      </w:pPr>
      <w:r>
        <w:rPr>
          <w:rFonts w:ascii="Times New Roman" w:hAnsi="Times New Roman" w:cs="Times New Roman" w:eastAsia="Times New Roman" w:hint="default"/>
        </w:rPr>
        <w:t>2</w:t>
      </w:r>
      <w:r>
        <w:rPr/>
        <w:t>、一年内到期的长期应付款</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277"/>
        <w:gridCol w:w="1262"/>
        <w:gridCol w:w="1544"/>
        <w:gridCol w:w="1700"/>
        <w:gridCol w:w="1277"/>
        <w:gridCol w:w="1421"/>
        <w:gridCol w:w="991"/>
      </w:tblGrid>
      <w:tr>
        <w:trPr>
          <w:trHeight w:val="65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应付单位名称</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付款期限</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初始金额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折现率</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542" w:right="91" w:hanging="449"/>
              <w:jc w:val="left"/>
              <w:rPr>
                <w:rFonts w:ascii="宋体" w:hAnsi="宋体" w:cs="宋体" w:eastAsia="宋体" w:hint="default"/>
                <w:sz w:val="18"/>
                <w:szCs w:val="18"/>
              </w:rPr>
            </w:pPr>
            <w:r>
              <w:rPr>
                <w:rFonts w:ascii="宋体" w:hAnsi="宋体" w:cs="宋体" w:eastAsia="宋体" w:hint="default"/>
                <w:sz w:val="18"/>
                <w:szCs w:val="18"/>
              </w:rPr>
              <w:t>未确认融资费 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借款条件</w:t>
            </w:r>
          </w:p>
        </w:tc>
      </w:tr>
      <w:tr>
        <w:trPr>
          <w:trHeight w:val="34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鹰潭市鹰高投</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73,900,000.00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10</w:t>
            </w:r>
            <w:r>
              <w:rPr>
                <w:rFonts w:ascii="宋体" w:hAnsi="宋体" w:cs="宋体" w:eastAsia="宋体" w:hint="default"/>
                <w:sz w:val="18"/>
                <w:szCs w:val="18"/>
              </w:rPr>
              <w:t>个月</w:t>
            </w:r>
            <w:r>
              <w:rPr>
                <w:rFonts w:ascii="Times New Roman" w:hAnsi="Times New Roman" w:cs="Times New Roman" w:eastAsia="Times New Roman" w:hint="default"/>
                <w:sz w:val="18"/>
                <w:szCs w:val="18"/>
              </w:rPr>
              <w:t>4.3750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73,900,000.00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非金融企业</w:t>
            </w:r>
          </w:p>
        </w:tc>
      </w:tr>
    </w:tbl>
    <w:p>
      <w:pPr>
        <w:spacing w:after="0" w:line="240" w:lineRule="auto"/>
        <w:jc w:val="center"/>
        <w:rPr>
          <w:rFonts w:ascii="宋体" w:hAnsi="宋体" w:cs="宋体" w:eastAsia="宋体"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277"/>
        <w:gridCol w:w="1262"/>
        <w:gridCol w:w="1544"/>
        <w:gridCol w:w="1700"/>
        <w:gridCol w:w="1277"/>
        <w:gridCol w:w="1421"/>
        <w:gridCol w:w="991"/>
      </w:tblGrid>
      <w:tr>
        <w:trPr>
          <w:trHeight w:val="65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545" w:right="89" w:hanging="449"/>
              <w:jc w:val="left"/>
              <w:rPr>
                <w:rFonts w:ascii="宋体" w:hAnsi="宋体" w:cs="宋体" w:eastAsia="宋体" w:hint="default"/>
                <w:sz w:val="18"/>
                <w:szCs w:val="18"/>
              </w:rPr>
            </w:pPr>
            <w:r>
              <w:rPr>
                <w:rFonts w:ascii="宋体" w:hAnsi="宋体" w:cs="宋体" w:eastAsia="宋体" w:hint="default"/>
                <w:sz w:val="18"/>
                <w:szCs w:val="18"/>
              </w:rPr>
              <w:t>资咨询有限公 司</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后</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r>
            <w:r>
              <w:rPr>
                <w:rFonts w:ascii="Times New Roman" w:hAnsi="Times New Roman" w:cs="Times New Roman" w:eastAsia="Times New Roman" w:hint="default"/>
                <w:sz w:val="18"/>
                <w:szCs w:val="18"/>
              </w:rPr>
              <w:t>8.3750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借款</w:t>
            </w:r>
          </w:p>
        </w:tc>
      </w:tr>
      <w:tr>
        <w:trPr>
          <w:trHeight w:val="127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寿宁县恒力智 信股权投资合 伙企业（有限合 伙）</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09" w:lineRule="auto"/>
              <w:ind w:left="88" w:right="79"/>
              <w:jc w:val="center"/>
              <w:rPr>
                <w:rFonts w:ascii="宋体" w:hAnsi="宋体" w:cs="宋体" w:eastAsia="宋体" w:hint="default"/>
                <w:sz w:val="18"/>
                <w:szCs w:val="18"/>
              </w:rPr>
            </w:pPr>
            <w:r>
              <w:rPr>
                <w:rFonts w:ascii="宋体" w:hAnsi="宋体" w:cs="宋体" w:eastAsia="宋体" w:hint="default"/>
                <w:sz w:val="18"/>
                <w:szCs w:val="18"/>
              </w:rPr>
              <w:t>出具</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 审计报告后十 个工作日</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54,450,000.00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-203,897.52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54,653,897.52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96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96" w:right="89"/>
              <w:jc w:val="left"/>
              <w:rPr>
                <w:rFonts w:ascii="宋体" w:hAnsi="宋体" w:cs="宋体" w:eastAsia="宋体" w:hint="default"/>
                <w:sz w:val="18"/>
                <w:szCs w:val="18"/>
              </w:rPr>
            </w:pPr>
            <w:r>
              <w:rPr>
                <w:rFonts w:ascii="宋体" w:hAnsi="宋体" w:cs="宋体" w:eastAsia="宋体" w:hint="default"/>
                <w:sz w:val="18"/>
                <w:szCs w:val="18"/>
              </w:rPr>
              <w:t>海南欢乐坚果 信息咨询中心</w:t>
            </w:r>
          </w:p>
          <w:p>
            <w:pPr>
              <w:pStyle w:val="TableParagraph"/>
              <w:spacing w:line="240" w:lineRule="auto" w:before="19"/>
              <w:ind w:left="9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88" w:right="79"/>
              <w:jc w:val="center"/>
              <w:rPr>
                <w:rFonts w:ascii="宋体" w:hAnsi="宋体" w:cs="宋体" w:eastAsia="宋体" w:hint="default"/>
                <w:sz w:val="18"/>
                <w:szCs w:val="18"/>
              </w:rPr>
            </w:pPr>
            <w:r>
              <w:rPr>
                <w:rFonts w:ascii="宋体" w:hAnsi="宋体" w:cs="宋体" w:eastAsia="宋体" w:hint="default"/>
                <w:sz w:val="18"/>
                <w:szCs w:val="18"/>
              </w:rPr>
              <w:t>出具</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 审计报告后十 个工作日</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44,585,640.00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3.80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413,510.34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44,172,129.66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96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南平市尚合投 资管理中心（有 限合伙）</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88" w:right="79"/>
              <w:jc w:val="center"/>
              <w:rPr>
                <w:rFonts w:ascii="宋体" w:hAnsi="宋体" w:cs="宋体" w:eastAsia="宋体" w:hint="default"/>
                <w:sz w:val="18"/>
                <w:szCs w:val="18"/>
              </w:rPr>
            </w:pPr>
            <w:r>
              <w:rPr>
                <w:rFonts w:ascii="宋体" w:hAnsi="宋体" w:cs="宋体" w:eastAsia="宋体" w:hint="default"/>
                <w:sz w:val="18"/>
                <w:szCs w:val="18"/>
              </w:rPr>
              <w:t>出具</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 审计报告后十 个工作日</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36,018,000.00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sz w:val="18"/>
              </w:rPr>
              <w:t>3.80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345,184.58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35,672,815.42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96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96" w:right="89"/>
              <w:jc w:val="center"/>
              <w:rPr>
                <w:rFonts w:ascii="宋体" w:hAnsi="宋体" w:cs="宋体" w:eastAsia="宋体" w:hint="default"/>
                <w:sz w:val="18"/>
                <w:szCs w:val="18"/>
              </w:rPr>
            </w:pPr>
            <w:r>
              <w:rPr>
                <w:rFonts w:ascii="宋体" w:hAnsi="宋体" w:cs="宋体" w:eastAsia="宋体" w:hint="default"/>
                <w:sz w:val="18"/>
                <w:szCs w:val="18"/>
              </w:rPr>
              <w:t>北京文化科技 融资租赁股份 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16,666,666.67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5.60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16,666,666.67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融资租赁款</w:t>
            </w:r>
          </w:p>
        </w:tc>
      </w:tr>
      <w:tr>
        <w:trPr>
          <w:trHeight w:val="96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96" w:right="89"/>
              <w:jc w:val="center"/>
              <w:rPr>
                <w:rFonts w:ascii="宋体" w:hAnsi="宋体" w:cs="宋体" w:eastAsia="宋体" w:hint="default"/>
                <w:sz w:val="18"/>
                <w:szCs w:val="18"/>
              </w:rPr>
            </w:pPr>
            <w:r>
              <w:rPr>
                <w:rFonts w:ascii="宋体" w:hAnsi="宋体" w:cs="宋体" w:eastAsia="宋体" w:hint="default"/>
                <w:sz w:val="18"/>
                <w:szCs w:val="18"/>
              </w:rPr>
              <w:t>北京文化科技 融资租赁股份 有限公司</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16,666,666.67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sz w:val="18"/>
              </w:rPr>
              <w:t>5.60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16,666,666.67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融资租赁款</w:t>
            </w:r>
          </w:p>
        </w:tc>
      </w:tr>
      <w:tr>
        <w:trPr>
          <w:trHeight w:val="96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黄河</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88" w:right="79"/>
              <w:jc w:val="center"/>
              <w:rPr>
                <w:rFonts w:ascii="宋体" w:hAnsi="宋体" w:cs="宋体" w:eastAsia="宋体" w:hint="default"/>
                <w:sz w:val="18"/>
                <w:szCs w:val="18"/>
              </w:rPr>
            </w:pPr>
            <w:r>
              <w:rPr>
                <w:rFonts w:ascii="宋体" w:hAnsi="宋体" w:cs="宋体" w:eastAsia="宋体" w:hint="default"/>
                <w:sz w:val="18"/>
                <w:szCs w:val="18"/>
              </w:rPr>
              <w:t>出具</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 审计报告后十 个工作日</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3" w:right="0"/>
              <w:jc w:val="center"/>
              <w:rPr>
                <w:rFonts w:ascii="Times New Roman" w:hAnsi="Times New Roman" w:cs="Times New Roman" w:eastAsia="Times New Roman" w:hint="default"/>
                <w:sz w:val="18"/>
                <w:szCs w:val="18"/>
              </w:rPr>
            </w:pPr>
            <w:r>
              <w:rPr>
                <w:rFonts w:ascii="Times New Roman"/>
                <w:sz w:val="18"/>
              </w:rPr>
              <w:t>550,000.00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4.75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-2,059.57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552,059.57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96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刘晓曦</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88" w:right="79"/>
              <w:jc w:val="center"/>
              <w:rPr>
                <w:rFonts w:ascii="宋体" w:hAnsi="宋体" w:cs="宋体" w:eastAsia="宋体" w:hint="default"/>
                <w:sz w:val="18"/>
                <w:szCs w:val="18"/>
              </w:rPr>
            </w:pPr>
            <w:r>
              <w:rPr>
                <w:rFonts w:ascii="宋体" w:hAnsi="宋体" w:cs="宋体" w:eastAsia="宋体" w:hint="default"/>
                <w:sz w:val="18"/>
                <w:szCs w:val="18"/>
              </w:rPr>
              <w:t>出具</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 审计报告后十 个工作日</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 w:right="0"/>
              <w:jc w:val="center"/>
              <w:rPr>
                <w:rFonts w:ascii="Times New Roman" w:hAnsi="Times New Roman" w:cs="Times New Roman" w:eastAsia="Times New Roman" w:hint="default"/>
                <w:sz w:val="18"/>
                <w:szCs w:val="18"/>
              </w:rPr>
            </w:pPr>
            <w:r>
              <w:rPr>
                <w:rFonts w:ascii="Times New Roman"/>
                <w:sz w:val="18"/>
              </w:rPr>
              <w:t>450,360.00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sz w:val="18"/>
              </w:rPr>
              <w:t>3.80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4,176.87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446,183.13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股权转让款</w:t>
            </w:r>
          </w:p>
        </w:tc>
      </w:tr>
      <w:tr>
        <w:trPr>
          <w:trHeight w:val="34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62"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243,287,333.34</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242,730,418.64</w:t>
            </w:r>
          </w:p>
        </w:tc>
        <w:tc>
          <w:tcPr>
            <w:tcW w:w="9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36</w:t>
      </w:r>
      <w:r>
        <w:rPr/>
        <w:t>、其他流动负债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33,331,619.14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21,438,313.35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33,331,619.14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21,438,313.35</w:t>
            </w:r>
          </w:p>
        </w:tc>
      </w:tr>
    </w:tbl>
    <w:p>
      <w:pPr>
        <w:pStyle w:val="BodyText"/>
        <w:spacing w:line="240" w:lineRule="auto" w:before="49"/>
        <w:ind w:right="1117"/>
        <w:jc w:val="left"/>
      </w:pPr>
      <w:r>
        <w:rPr/>
        <w:t>短期应付债券的增减变动：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9"/>
        <w:gridCol w:w="798"/>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17"/>
        <w:jc w:val="left"/>
      </w:pPr>
      <w:r>
        <w:rPr/>
        <w:t>其他说明：</w:t>
      </w:r>
    </w:p>
    <w:p>
      <w:pPr>
        <w:spacing w:after="0" w:line="240" w:lineRule="auto"/>
        <w:jc w:val="left"/>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31,333,400.00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42,951,000.00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减：一年内到期的非流动负债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-15,666,600.00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-37,142,100.00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52,808,900.00</w:t>
            </w:r>
          </w:p>
        </w:tc>
      </w:tr>
    </w:tbl>
    <w:p>
      <w:pPr>
        <w:pStyle w:val="BodyText"/>
        <w:spacing w:line="360" w:lineRule="auto" w:before="49"/>
        <w:ind w:left="573" w:right="1117" w:hanging="421"/>
        <w:jc w:val="left"/>
      </w:pPr>
      <w:r>
        <w:rPr/>
        <w:t>长期借款分类的说明： </w:t>
      </w:r>
      <w:r>
        <w:rPr>
          <w:spacing w:val="-1"/>
        </w:rPr>
        <w:t>期末质押、保证借款系本公司从江苏银行股份有限公司北京中关村支行借入人民币</w:t>
      </w:r>
      <w:r>
        <w:rPr>
          <w:rFonts w:ascii="Times New Roman" w:hAnsi="Times New Roman" w:cs="Times New Roman" w:eastAsia="Times New Roman" w:hint="default"/>
          <w:spacing w:val="-1"/>
        </w:rPr>
        <w:t>47,000,000.00</w:t>
      </w:r>
      <w:r>
        <w:rPr>
          <w:spacing w:val="-1"/>
        </w:rPr>
        <w:t>元，利率</w:t>
      </w:r>
      <w:r>
        <w:rPr>
          <w:rFonts w:ascii="Times New Roman" w:hAnsi="Times New Roman" w:cs="Times New Roman" w:eastAsia="Times New Roman" w:hint="default"/>
          <w:spacing w:val="-1"/>
        </w:rPr>
        <w:t>6.5000%</w:t>
      </w:r>
      <w:r>
        <w:rPr>
          <w:spacing w:val="-1"/>
        </w:rPr>
        <w:t>，借</w:t>
      </w:r>
      <w:r>
        <w:rPr/>
      </w:r>
    </w:p>
    <w:p>
      <w:pPr>
        <w:pStyle w:val="BodyText"/>
        <w:spacing w:line="212" w:lineRule="exact"/>
        <w:ind w:right="0"/>
        <w:jc w:val="both"/>
      </w:pPr>
      <w:r>
        <w:rPr/>
        <w:t>款期限</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日，该笔借款已偿还</w:t>
      </w:r>
      <w:r>
        <w:rPr>
          <w:rFonts w:ascii="Times New Roman" w:hAnsi="Times New Roman" w:cs="Times New Roman" w:eastAsia="Times New Roman" w:hint="default"/>
        </w:rPr>
        <w:t>15,666,600.00</w:t>
      </w:r>
      <w:r>
        <w:rPr/>
        <w:t>元，剩余</w:t>
      </w:r>
      <w:r>
        <w:rPr>
          <w:rFonts w:ascii="Times New Roman" w:hAnsi="Times New Roman" w:cs="Times New Roman" w:eastAsia="Times New Roman" w:hint="default"/>
        </w:rPr>
        <w:t>31,333,400.00</w:t>
      </w:r>
      <w:r>
        <w:rPr/>
        <w:t>元，其</w:t>
      </w:r>
    </w:p>
    <w:p>
      <w:pPr>
        <w:pStyle w:val="BodyText"/>
        <w:spacing w:line="300" w:lineRule="auto" w:before="63"/>
        <w:ind w:right="1117"/>
        <w:jc w:val="left"/>
      </w:pPr>
      <w:r>
        <w:rPr>
          <w:spacing w:val="-1"/>
        </w:rPr>
        <w:t>中</w:t>
      </w:r>
      <w:r>
        <w:rPr>
          <w:rFonts w:ascii="Times New Roman" w:hAnsi="Times New Roman" w:cs="Times New Roman" w:eastAsia="Times New Roman" w:hint="default"/>
          <w:spacing w:val="-1"/>
        </w:rPr>
        <w:t>15,666,600.00</w:t>
      </w:r>
      <w:r>
        <w:rPr>
          <w:spacing w:val="-1"/>
        </w:rPr>
        <w:t>元将于一年内到期。该笔借款系公司收购深圳市快读科技有限公司的并购款，其中：</w:t>
      </w:r>
      <w:r>
        <w:rPr>
          <w:rFonts w:ascii="Times New Roman" w:hAnsi="Times New Roman" w:cs="Times New Roman" w:eastAsia="Times New Roman" w:hint="default"/>
          <w:spacing w:val="-1"/>
        </w:rPr>
        <w:t>1)</w:t>
      </w:r>
      <w:r>
        <w:rPr>
          <w:spacing w:val="-1"/>
        </w:rPr>
        <w:t>江苏银行股份有限公</w:t>
      </w:r>
      <w:r>
        <w:rPr>
          <w:spacing w:val="-40"/>
        </w:rPr>
        <w:t> </w:t>
      </w:r>
      <w:r>
        <w:rPr>
          <w:spacing w:val="4"/>
        </w:rPr>
        <w:t>司北京中关村支行向本公司提供最高综合授信额度 </w:t>
      </w:r>
      <w:r>
        <w:rPr>
          <w:rFonts w:ascii="Times New Roman" w:hAnsi="Times New Roman" w:cs="Times New Roman" w:eastAsia="Times New Roman" w:hint="default"/>
        </w:rPr>
        <w:t>2.4 </w:t>
      </w:r>
      <w:r>
        <w:rPr>
          <w:rFonts w:ascii="Times New Roman" w:hAnsi="Times New Roman" w:cs="Times New Roman" w:eastAsia="Times New Roman" w:hint="default"/>
          <w:spacing w:val="17"/>
        </w:rPr>
        <w:t> </w:t>
      </w:r>
      <w:r>
        <w:rPr>
          <w:spacing w:val="4"/>
        </w:rPr>
        <w:t>亿元；</w:t>
      </w:r>
      <w:r>
        <w:rPr>
          <w:rFonts w:ascii="Times New Roman" w:hAnsi="Times New Roman" w:cs="Times New Roman" w:eastAsia="Times New Roman" w:hint="default"/>
          <w:spacing w:val="4"/>
        </w:rPr>
        <w:t>2)</w:t>
      </w:r>
      <w:r>
        <w:rPr>
          <w:spacing w:val="4"/>
        </w:rPr>
        <w:t>本公司的母公司鹰潭市鹰高投资咨询有限公司将本公司</w:t>
      </w:r>
      <w:r>
        <w:rPr/>
      </w:r>
    </w:p>
    <w:p>
      <w:pPr>
        <w:pStyle w:val="BodyText"/>
        <w:spacing w:line="300" w:lineRule="auto" w:before="13"/>
        <w:ind w:right="1130"/>
        <w:jc w:val="both"/>
      </w:pPr>
      <w:r>
        <w:rPr>
          <w:rFonts w:ascii="Times New Roman" w:hAnsi="Times New Roman" w:cs="Times New Roman" w:eastAsia="Times New Roman" w:hint="default"/>
        </w:rPr>
        <w:t>1,600.00</w:t>
      </w:r>
      <w:r>
        <w:rPr>
          <w:rFonts w:ascii="Times New Roman" w:hAnsi="Times New Roman" w:cs="Times New Roman" w:eastAsia="Times New Roman" w:hint="default"/>
          <w:spacing w:val="19"/>
        </w:rPr>
        <w:t> </w:t>
      </w:r>
      <w:r>
        <w:rPr/>
        <w:t>万股股票质押给江苏银行股份有限公司北京中关村支行并为本公司提供</w:t>
      </w:r>
      <w:r>
        <w:rPr>
          <w:spacing w:val="29"/>
        </w:rPr>
        <w:t> </w:t>
      </w:r>
      <w:r>
        <w:rPr>
          <w:rFonts w:ascii="Times New Roman" w:hAnsi="Times New Roman" w:cs="Times New Roman" w:eastAsia="Times New Roman" w:hint="default"/>
        </w:rPr>
        <w:t>2.4</w:t>
      </w:r>
      <w:r>
        <w:rPr>
          <w:rFonts w:ascii="Times New Roman" w:hAnsi="Times New Roman" w:cs="Times New Roman" w:eastAsia="Times New Roman" w:hint="default"/>
          <w:spacing w:val="20"/>
        </w:rPr>
        <w:t> </w:t>
      </w:r>
      <w:r>
        <w:rPr/>
        <w:t>亿元担保；</w:t>
      </w:r>
      <w:r>
        <w:rPr>
          <w:rFonts w:ascii="Times New Roman" w:hAnsi="Times New Roman" w:cs="Times New Roman" w:eastAsia="Times New Roman" w:hint="default"/>
        </w:rPr>
        <w:t>3)</w:t>
      </w:r>
      <w:r>
        <w:rPr/>
        <w:t>本公司法定代表人于伟</w:t>
      </w:r>
      <w:r>
        <w:rPr>
          <w:spacing w:val="-87"/>
        </w:rPr>
        <w:t> </w:t>
      </w:r>
      <w:r>
        <w:rPr>
          <w:spacing w:val="-87"/>
        </w:rPr>
      </w:r>
      <w:r>
        <w:rPr/>
        <w:t>以其全部财产承担连带责任担保；</w:t>
      </w:r>
      <w:r>
        <w:rPr>
          <w:rFonts w:ascii="Times New Roman" w:hAnsi="Times New Roman" w:cs="Times New Roman" w:eastAsia="Times New Roman" w:hint="default"/>
        </w:rPr>
        <w:t>4)</w:t>
      </w:r>
      <w:r>
        <w:rPr/>
        <w:t>本公司将持有深圳市快读科技有限公司</w:t>
      </w:r>
      <w:r>
        <w:rPr>
          <w:rFonts w:ascii="Times New Roman" w:hAnsi="Times New Roman" w:cs="Times New Roman" w:eastAsia="Times New Roman" w:hint="default"/>
        </w:rPr>
        <w:t>100.00%</w:t>
      </w:r>
      <w:r>
        <w:rPr/>
        <w:t>股权作价</w:t>
      </w:r>
      <w:r>
        <w:rPr>
          <w:rFonts w:ascii="Times New Roman" w:hAnsi="Times New Roman" w:cs="Times New Roman" w:eastAsia="Times New Roman" w:hint="default"/>
        </w:rPr>
        <w:t>500.00</w:t>
      </w:r>
      <w:r>
        <w:rPr/>
        <w:t>万元质押给江苏银行股</w:t>
      </w:r>
      <w:r>
        <w:rPr>
          <w:spacing w:val="-34"/>
        </w:rPr>
        <w:t> </w:t>
      </w:r>
      <w:r>
        <w:rPr>
          <w:spacing w:val="-34"/>
        </w:rPr>
      </w:r>
      <w:r>
        <w:rPr/>
        <w:t>份有限公司北京中关村支行。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BodyText"/>
        <w:spacing w:line="240" w:lineRule="auto"/>
        <w:ind w:right="0"/>
        <w:jc w:val="both"/>
      </w:pPr>
      <w:r>
        <w:rPr/>
        <w:t>其他说明，包括利率区间：</w:t>
      </w:r>
    </w:p>
    <w:p>
      <w:pPr>
        <w:pStyle w:val="Heading4"/>
        <w:spacing w:line="240" w:lineRule="auto" w:before="94"/>
        <w:ind w:right="0"/>
        <w:jc w:val="both"/>
      </w:pPr>
      <w:r>
        <w:rPr/>
        <w:t>关联方为公司长期借款提供担保情况详见附注十二</w:t>
      </w:r>
      <w:r>
        <w:rPr>
          <w:rFonts w:ascii="Times New Roman" w:hAnsi="Times New Roman" w:cs="Times New Roman" w:eastAsia="Times New Roman" w:hint="default"/>
        </w:rPr>
        <w:t>.5(4)</w:t>
      </w:r>
      <w:r>
        <w:rPr/>
        <w:t>。</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86" w:footer="1294" w:top="1100" w:bottom="1480" w:left="980" w:right="0"/>
        </w:sectPr>
      </w:pPr>
    </w:p>
    <w:p>
      <w:pPr>
        <w:pStyle w:val="BodyText"/>
        <w:spacing w:line="360"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700" w:left="980" w:right="0"/>
          <w:cols w:num="2" w:equalWidth="0">
            <w:col w:w="4653" w:space="4176"/>
            <w:col w:w="2101"/>
          </w:cols>
        </w:sectPr>
      </w:pPr>
    </w:p>
    <w:p>
      <w:pPr>
        <w:spacing w:line="240" w:lineRule="auto" w:before="5"/>
        <w:rPr>
          <w:rFonts w:ascii="宋体" w:hAnsi="宋体" w:cs="宋体" w:eastAsia="宋体" w:hint="default"/>
          <w:sz w:val="25"/>
          <w:szCs w:val="25"/>
        </w:rPr>
      </w:pPr>
    </w:p>
    <w:tbl>
      <w:tblPr>
        <w:tblW w:w="0" w:type="auto"/>
        <w:jc w:val="left"/>
        <w:tblInd w:w="20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49"/>
        <w:ind w:left="212" w:right="7514"/>
        <w:jc w:val="left"/>
      </w:pPr>
      <w:r>
        <w:rPr/>
        <w:t>其他金融工具划分为金融负债的依据说明 其他说明</w:t>
      </w:r>
    </w:p>
    <w:p>
      <w:pPr>
        <w:spacing w:line="240" w:lineRule="auto" w:before="6"/>
        <w:rPr>
          <w:rFonts w:ascii="宋体" w:hAnsi="宋体" w:cs="宋体" w:eastAsia="宋体" w:hint="default"/>
          <w:sz w:val="20"/>
          <w:szCs w:val="20"/>
        </w:rPr>
      </w:pPr>
    </w:p>
    <w:p>
      <w:pPr>
        <w:pStyle w:val="Heading3"/>
        <w:spacing w:line="240" w:lineRule="auto"/>
        <w:ind w:left="212" w:right="0"/>
        <w:jc w:val="left"/>
        <w:rPr>
          <w:b w:val="0"/>
          <w:bCs w:val="0"/>
        </w:rPr>
      </w:pPr>
      <w:r>
        <w:rPr>
          <w:rFonts w:ascii="Times New Roman" w:hAnsi="Times New Roman" w:cs="Times New Roman" w:eastAsia="Times New Roman" w:hint="default"/>
        </w:rPr>
        <w:t>39</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318,542,232.01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482,522,150.95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318,542,232.01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482,522,150.95</w:t>
            </w:r>
          </w:p>
        </w:tc>
      </w:tr>
    </w:tbl>
    <w:p>
      <w:pPr>
        <w:spacing w:line="240" w:lineRule="auto" w:before="3"/>
        <w:rPr>
          <w:rFonts w:ascii="宋体" w:hAnsi="宋体" w:cs="宋体" w:eastAsia="宋体" w:hint="default"/>
          <w:sz w:val="19"/>
          <w:szCs w:val="19"/>
        </w:rPr>
      </w:pPr>
    </w:p>
    <w:p>
      <w:pPr>
        <w:pStyle w:val="Heading3"/>
        <w:spacing w:line="240" w:lineRule="auto" w:before="36"/>
        <w:ind w:left="212"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268,542,232.02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369,522,150.95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113,000,000.00</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融资租赁借款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49,999,999.99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318,542,232.01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482,522,150.95</w:t>
            </w:r>
          </w:p>
        </w:tc>
      </w:tr>
    </w:tbl>
    <w:p>
      <w:pPr>
        <w:pStyle w:val="BodyText"/>
        <w:spacing w:line="240" w:lineRule="auto" w:before="49"/>
        <w:ind w:left="212" w:right="0"/>
        <w:jc w:val="left"/>
      </w:pPr>
      <w:r>
        <w:rPr/>
        <w:t>其他说明：</w:t>
      </w:r>
    </w:p>
    <w:p>
      <w:pPr>
        <w:pStyle w:val="Heading4"/>
        <w:spacing w:line="240" w:lineRule="auto" w:before="96"/>
        <w:ind w:left="633" w:right="0"/>
        <w:jc w:val="left"/>
      </w:pPr>
      <w:r>
        <w:rPr>
          <w:rFonts w:ascii="Times New Roman" w:hAnsi="Times New Roman" w:cs="Times New Roman" w:eastAsia="Times New Roman" w:hint="default"/>
        </w:rPr>
        <w:t>1</w:t>
      </w:r>
      <w:r>
        <w:rPr/>
        <w:t>．长期应付款</w:t>
      </w:r>
    </w:p>
    <w:p>
      <w:pPr>
        <w:spacing w:line="240" w:lineRule="auto" w:before="8"/>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88"/>
        <w:gridCol w:w="3188"/>
        <w:gridCol w:w="3193"/>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期末数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424,796,000.00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545,850,000.00</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减：未确认融资费用</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20,756,682.68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30,925,515.96</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减：一年内到期的非流动负债</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135,497,085.30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145,402,333.09</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268,542,232.02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369,522,150.95</w:t>
            </w:r>
          </w:p>
        </w:tc>
      </w:tr>
    </w:tbl>
    <w:p>
      <w:pPr>
        <w:pStyle w:val="Heading4"/>
        <w:spacing w:line="278" w:lineRule="exact" w:before="0"/>
        <w:ind w:left="63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应付借款</w:t>
      </w:r>
    </w:p>
    <w:p>
      <w:pPr>
        <w:spacing w:line="240" w:lineRule="auto" w:before="8"/>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79"/>
        <w:gridCol w:w="3180"/>
        <w:gridCol w:w="3185"/>
      </w:tblGrid>
      <w:tr>
        <w:trPr>
          <w:trHeight w:val="32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宋体" w:hAnsi="宋体" w:cs="宋体" w:eastAsia="宋体" w:hint="default"/>
                <w:sz w:val="18"/>
                <w:szCs w:val="18"/>
              </w:rPr>
            </w:pPr>
            <w:r>
              <w:rPr>
                <w:rFonts w:ascii="宋体" w:hAnsi="宋体" w:cs="宋体" w:eastAsia="宋体" w:hint="default"/>
                <w:sz w:val="18"/>
                <w:szCs w:val="18"/>
              </w:rPr>
              <w:t>期末数</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应付借款</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73,900,000.00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123,000,000.00</w:t>
            </w: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减：一年内到期的非流动负债</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73,900,000.00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2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113,000,000.00</w:t>
            </w:r>
          </w:p>
        </w:tc>
      </w:tr>
    </w:tbl>
    <w:p>
      <w:pPr>
        <w:pStyle w:val="Heading4"/>
        <w:spacing w:line="278" w:lineRule="exact" w:before="0"/>
        <w:ind w:left="633" w:right="0"/>
        <w:jc w:val="left"/>
      </w:pPr>
      <w:r>
        <w:rPr>
          <w:rFonts w:ascii="Times New Roman" w:hAnsi="Times New Roman" w:cs="Times New Roman" w:eastAsia="Times New Roman" w:hint="default"/>
        </w:rPr>
        <w:t>3</w:t>
      </w:r>
      <w:r>
        <w:rPr/>
        <w:t>．融资租赁借款</w:t>
      </w:r>
    </w:p>
    <w:p>
      <w:pPr>
        <w:spacing w:line="240" w:lineRule="auto" w:before="8"/>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76"/>
        <w:gridCol w:w="3173"/>
        <w:gridCol w:w="3181"/>
      </w:tblGrid>
      <w:tr>
        <w:trPr>
          <w:trHeight w:val="32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期末数</w:t>
            </w:r>
          </w:p>
        </w:tc>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融资租赁借款</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83,333,333.33</w:t>
            </w:r>
          </w:p>
        </w:tc>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减：一年内到期的非流动负债</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33,333,333.34</w:t>
            </w:r>
          </w:p>
        </w:tc>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49,999,999.99</w:t>
            </w:r>
          </w:p>
        </w:tc>
        <w:tc>
          <w:tcPr>
            <w:tcW w:w="3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Heading4"/>
        <w:spacing w:line="256" w:lineRule="auto" w:before="0"/>
        <w:ind w:left="212" w:right="1126" w:firstLine="422"/>
        <w:jc w:val="both"/>
      </w:pPr>
      <w:r>
        <w:rPr>
          <w:spacing w:val="-2"/>
        </w:rPr>
        <w:t>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日与北京市文化科技融资租赁股份有限公司（简称：文科租赁）签订融资租赁合</w:t>
      </w:r>
      <w:r>
        <w:rPr>
          <w:w w:val="100"/>
        </w:rPr>
        <w:t> </w:t>
      </w:r>
      <w:r>
        <w:rPr>
          <w:spacing w:val="-2"/>
        </w:rPr>
        <w:t>同，以本公司持有的</w:t>
      </w:r>
      <w:r>
        <w:rPr>
          <w:rFonts w:ascii="Times New Roman" w:hAnsi="Times New Roman" w:cs="Times New Roman" w:eastAsia="Times New Roman" w:hint="default"/>
          <w:spacing w:val="-2"/>
        </w:rPr>
        <w:t>12</w:t>
      </w:r>
      <w:r>
        <w:rPr>
          <w:spacing w:val="-2"/>
        </w:rPr>
        <w:t>项已费用化的软件产品著作权作为融资租赁标的物，向文科租赁融资借款金额总计</w:t>
      </w:r>
      <w:r>
        <w:rPr>
          <w:spacing w:val="-41"/>
        </w:rPr>
        <w:t> </w:t>
      </w:r>
      <w:r>
        <w:rPr>
          <w:spacing w:val="-41"/>
        </w:rPr>
      </w:r>
      <w:r>
        <w:rPr>
          <w:spacing w:val="-2"/>
        </w:rPr>
        <w:t>人民币</w:t>
      </w:r>
      <w:r>
        <w:rPr>
          <w:rFonts w:ascii="Times New Roman" w:hAnsi="Times New Roman" w:cs="Times New Roman" w:eastAsia="Times New Roman" w:hint="default"/>
          <w:spacing w:val="-2"/>
        </w:rPr>
        <w:t>10,000.00</w:t>
      </w:r>
      <w:r>
        <w:rPr>
          <w:spacing w:val="-2"/>
        </w:rPr>
        <w:t>万元。根据合同约定，借款期限</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日至</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w:t>
      </w:r>
      <w:r>
        <w:rPr>
          <w:spacing w:val="-2"/>
        </w:rPr>
        <w:t>日，本公司分</w:t>
      </w:r>
      <w:r>
        <w:rPr>
          <w:rFonts w:ascii="Times New Roman" w:hAnsi="Times New Roman" w:cs="Times New Roman" w:eastAsia="Times New Roman" w:hint="default"/>
          <w:spacing w:val="-2"/>
        </w:rPr>
        <w:t>12</w:t>
      </w:r>
      <w:r>
        <w:rPr>
          <w:spacing w:val="-2"/>
        </w:rPr>
        <w:t>期支付融资借</w:t>
      </w:r>
    </w:p>
    <w:p>
      <w:pPr>
        <w:spacing w:after="0" w:line="256" w:lineRule="auto"/>
        <w:jc w:val="both"/>
        <w:sectPr>
          <w:pgSz w:w="11910" w:h="16840"/>
          <w:pgMar w:header="786" w:footer="1294" w:top="1100" w:bottom="1480" w:left="920" w:right="0"/>
        </w:sectPr>
      </w:pPr>
    </w:p>
    <w:p>
      <w:pPr>
        <w:spacing w:line="240" w:lineRule="auto" w:before="9"/>
        <w:rPr>
          <w:rFonts w:ascii="宋体" w:hAnsi="宋体" w:cs="宋体" w:eastAsia="宋体" w:hint="default"/>
          <w:sz w:val="21"/>
          <w:szCs w:val="21"/>
        </w:rPr>
      </w:pPr>
    </w:p>
    <w:p>
      <w:pPr>
        <w:pStyle w:val="Heading4"/>
        <w:spacing w:line="240" w:lineRule="auto" w:before="36"/>
        <w:ind w:right="1117"/>
        <w:jc w:val="left"/>
      </w:pPr>
      <w:r>
        <w:rPr/>
        <w:t>款本金及利息，截止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日，融资借款本金余额为</w:t>
      </w:r>
      <w:r>
        <w:rPr>
          <w:rFonts w:ascii="Times New Roman" w:hAnsi="Times New Roman" w:cs="Times New Roman" w:eastAsia="Times New Roman" w:hint="default"/>
        </w:rPr>
        <w:t>83,333,333.33</w:t>
      </w:r>
      <w:r>
        <w:rPr/>
        <w:t>元，其中一年内到期的金额为</w:t>
      </w:r>
    </w:p>
    <w:p>
      <w:pPr>
        <w:pStyle w:val="Heading4"/>
        <w:spacing w:line="240" w:lineRule="auto" w:before="21"/>
        <w:ind w:right="1117"/>
        <w:jc w:val="left"/>
      </w:pPr>
      <w:r>
        <w:rPr>
          <w:rFonts w:ascii="Times New Roman" w:hAnsi="Times New Roman" w:cs="Times New Roman" w:eastAsia="Times New Roman" w:hint="default"/>
        </w:rPr>
        <w:t>33,333,333.34</w:t>
      </w:r>
      <w:r>
        <w:rPr/>
        <w:t>元。</w:t>
      </w:r>
    </w:p>
    <w:p>
      <w:pPr>
        <w:spacing w:line="240" w:lineRule="auto" w:before="7"/>
        <w:rPr>
          <w:rFonts w:ascii="宋体" w:hAnsi="宋体" w:cs="宋体" w:eastAsia="宋体" w:hint="default"/>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17"/>
        <w:jc w:val="left"/>
      </w:pPr>
      <w:r>
        <w:rPr/>
        <w:t>设定受益计划义务现值：</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17"/>
        <w:jc w:val="left"/>
      </w:pPr>
      <w:r>
        <w:rPr/>
        <w:t>计划资产：</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17"/>
        <w:jc w:val="left"/>
      </w:pPr>
      <w:r>
        <w:rPr/>
        <w:t>设定受益计划净负债（净资产）</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49"/>
        <w:ind w:right="355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41</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1117"/>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42</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83"/>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600,000.00</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7"/>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4"/>
        <w:gridCol w:w="1063"/>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49"/>
        <w:ind w:right="1117"/>
        <w:jc w:val="left"/>
      </w:pPr>
      <w:r>
        <w:rPr/>
        <w:t>其他说明：</w:t>
      </w:r>
    </w:p>
    <w:p>
      <w:pPr>
        <w:pStyle w:val="Heading4"/>
        <w:spacing w:line="240" w:lineRule="auto" w:before="97"/>
        <w:ind w:left="573" w:right="1117"/>
        <w:jc w:val="left"/>
      </w:pPr>
      <w:r>
        <w:rPr/>
        <w:t>涉及政府补助的项目</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546"/>
        <w:gridCol w:w="631"/>
        <w:gridCol w:w="1407"/>
        <w:gridCol w:w="1169"/>
        <w:gridCol w:w="1169"/>
        <w:gridCol w:w="1166"/>
        <w:gridCol w:w="1253"/>
        <w:gridCol w:w="1164"/>
      </w:tblGrid>
      <w:tr>
        <w:trPr>
          <w:trHeight w:val="360" w:hRule="exact"/>
        </w:trPr>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3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07" w:type="dxa"/>
            <w:vMerge w:val="restart"/>
            <w:tcBorders>
              <w:top w:val="single" w:sz="4" w:space="0" w:color="000000"/>
              <w:left w:val="single" w:sz="4" w:space="0" w:color="000000"/>
              <w:right w:val="single" w:sz="4" w:space="0" w:color="000000"/>
            </w:tcBorders>
          </w:tcPr>
          <w:p>
            <w:pPr>
              <w:pStyle w:val="TableParagraph"/>
              <w:spacing w:line="316" w:lineRule="auto" w:before="51"/>
              <w:ind w:left="610" w:right="65" w:hanging="541"/>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本期分摊</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64" w:type="dxa"/>
            <w:vMerge w:val="restart"/>
            <w:tcBorders>
              <w:top w:val="single" w:sz="4" w:space="0" w:color="000000"/>
              <w:left w:val="single" w:sz="4" w:space="0" w:color="000000"/>
              <w:right w:val="single" w:sz="4" w:space="0" w:color="000000"/>
            </w:tcBorders>
          </w:tcPr>
          <w:p>
            <w:pPr>
              <w:pStyle w:val="TableParagraph"/>
              <w:spacing w:line="300" w:lineRule="auto" w:before="51"/>
              <w:ind w:left="218" w:right="7" w:hanging="20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360" w:hRule="exact"/>
        </w:trPr>
        <w:tc>
          <w:tcPr>
            <w:tcW w:w="1546" w:type="dxa"/>
            <w:vMerge/>
            <w:tcBorders>
              <w:left w:val="single" w:sz="4" w:space="0" w:color="000000"/>
              <w:bottom w:val="single" w:sz="4" w:space="0" w:color="000000"/>
              <w:right w:val="single" w:sz="4" w:space="0" w:color="000000"/>
            </w:tcBorders>
          </w:tcPr>
          <w:p>
            <w:pPr/>
          </w:p>
        </w:tc>
        <w:tc>
          <w:tcPr>
            <w:tcW w:w="631" w:type="dxa"/>
            <w:vMerge/>
            <w:tcBorders>
              <w:left w:val="single" w:sz="4" w:space="0" w:color="000000"/>
              <w:bottom w:val="single" w:sz="4" w:space="0" w:color="000000"/>
              <w:right w:val="single" w:sz="4" w:space="0" w:color="000000"/>
            </w:tcBorders>
          </w:tcPr>
          <w:p>
            <w:pPr/>
          </w:p>
        </w:tc>
        <w:tc>
          <w:tcPr>
            <w:tcW w:w="1407" w:type="dxa"/>
            <w:vMerge/>
            <w:tcBorders>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0" w:right="0"/>
              <w:jc w:val="left"/>
              <w:rPr>
                <w:rFonts w:ascii="宋体" w:hAnsi="宋体" w:cs="宋体" w:eastAsia="宋体" w:hint="default"/>
                <w:sz w:val="18"/>
                <w:szCs w:val="18"/>
              </w:rPr>
            </w:pPr>
            <w:r>
              <w:rPr>
                <w:rFonts w:ascii="宋体" w:hAnsi="宋体" w:cs="宋体" w:eastAsia="宋体" w:hint="default"/>
                <w:sz w:val="18"/>
                <w:szCs w:val="18"/>
              </w:rPr>
              <w:t>转入项目</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66" w:type="dxa"/>
            <w:vMerge/>
            <w:tcBorders>
              <w:left w:val="single" w:sz="4" w:space="0" w:color="000000"/>
              <w:bottom w:val="single" w:sz="4" w:space="0" w:color="000000"/>
              <w:right w:val="single" w:sz="4" w:space="0" w:color="000000"/>
            </w:tcBorders>
          </w:tcPr>
          <w:p>
            <w:pPr/>
          </w:p>
        </w:tc>
        <w:tc>
          <w:tcPr>
            <w:tcW w:w="1253"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r>
      <w:tr>
        <w:trPr>
          <w:trHeight w:val="965"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9" w:right="4" w:hanging="1"/>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面向汽车零售的互 联网融资租赁平台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财政专项扶持</w:t>
            </w:r>
          </w:p>
        </w:tc>
        <w:tc>
          <w:tcPr>
            <w:tcW w:w="631"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95" w:right="0"/>
              <w:jc w:val="left"/>
              <w:rPr>
                <w:rFonts w:ascii="Times New Roman" w:hAnsi="Times New Roman" w:cs="Times New Roman" w:eastAsia="Times New Roman" w:hint="default"/>
                <w:sz w:val="18"/>
                <w:szCs w:val="18"/>
              </w:rPr>
            </w:pPr>
            <w:r>
              <w:rPr>
                <w:rFonts w:ascii="Times New Roman"/>
                <w:sz w:val="18"/>
              </w:rPr>
              <w:t>600,000.00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15" w:right="0"/>
              <w:jc w:val="left"/>
              <w:rPr>
                <w:rFonts w:ascii="Times New Roman" w:hAnsi="Times New Roman" w:cs="Times New Roman" w:eastAsia="Times New Roman" w:hint="default"/>
                <w:sz w:val="18"/>
                <w:szCs w:val="18"/>
              </w:rPr>
            </w:pPr>
            <w:r>
              <w:rPr>
                <w:rFonts w:ascii="Times New Roman"/>
                <w:sz w:val="18"/>
              </w:rPr>
              <w:t>600,000.00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43</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44</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449,866,257.00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-2,809,600.00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-2,809,600.00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447,056,657.00</w:t>
            </w:r>
          </w:p>
        </w:tc>
      </w:tr>
    </w:tbl>
    <w:p>
      <w:pPr>
        <w:pStyle w:val="BodyText"/>
        <w:spacing w:line="240" w:lineRule="auto" w:before="49"/>
        <w:ind w:right="1117"/>
        <w:jc w:val="left"/>
      </w:pPr>
      <w:r>
        <w:rPr/>
        <w:t>其他说明：</w:t>
      </w:r>
    </w:p>
    <w:p>
      <w:pPr>
        <w:pStyle w:val="Heading4"/>
        <w:spacing w:line="240" w:lineRule="auto" w:before="85"/>
        <w:ind w:right="1117"/>
        <w:jc w:val="left"/>
      </w:pPr>
      <w:r>
        <w:rPr/>
        <w:t>本期股权变动情况详见十一</w:t>
      </w:r>
      <w:r>
        <w:rPr>
          <w:rFonts w:ascii="Times New Roman" w:hAnsi="Times New Roman" w:cs="Times New Roman" w:eastAsia="Times New Roman" w:hint="default"/>
          <w:sz w:val="22"/>
          <w:szCs w:val="22"/>
        </w:rPr>
        <w:t>.</w:t>
      </w:r>
      <w:r>
        <w:rPr>
          <w:sz w:val="22"/>
          <w:szCs w:val="22"/>
        </w:rPr>
        <w:t>三</w:t>
      </w:r>
      <w:r>
        <w:rPr/>
        <w:t>公司基本情况相关内容。</w:t>
      </w:r>
    </w:p>
    <w:p>
      <w:pPr>
        <w:spacing w:line="240" w:lineRule="auto" w:before="3"/>
        <w:rPr>
          <w:rFonts w:ascii="宋体" w:hAnsi="宋体" w:cs="宋体" w:eastAsia="宋体" w:hint="default"/>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2129"/>
        <w:gridCol w:w="2127"/>
        <w:gridCol w:w="2124"/>
        <w:gridCol w:w="2114"/>
      </w:tblGrid>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发行在外的</w:t>
            </w:r>
          </w:p>
        </w:tc>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期末</w:t>
            </w:r>
          </w:p>
        </w:tc>
      </w:tr>
    </w:tbl>
    <w:p>
      <w:pPr>
        <w:spacing w:after="0" w:line="240" w:lineRule="auto"/>
        <w:jc w:val="center"/>
        <w:rPr>
          <w:rFonts w:ascii="宋体" w:hAnsi="宋体" w:cs="宋体" w:eastAsia="宋体"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金融工具</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0"/>
        <w:ind w:right="4634"/>
        <w:jc w:val="left"/>
      </w:pPr>
      <w:r>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pStyle w:val="Heading3"/>
        <w:spacing w:line="240" w:lineRule="auto"/>
        <w:ind w:right="1117"/>
        <w:jc w:val="left"/>
        <w:rPr>
          <w:b w:val="0"/>
          <w:bCs w:val="0"/>
        </w:rPr>
      </w:pPr>
      <w:r>
        <w:rPr>
          <w:rFonts w:ascii="Times New Roman" w:hAnsi="Times New Roman" w:cs="Times New Roman" w:eastAsia="Times New Roman" w:hint="default"/>
        </w:rPr>
        <w:t>46</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335,094,591.57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16,593,066.00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318,501,525.57</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20,206,100.00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1,980,451.73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22,186,551.73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1,980,451.73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4,186,551.73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355,300,691.57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1,980,451.73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16,593,066.00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340,688,077.30</w:t>
            </w:r>
          </w:p>
        </w:tc>
      </w:tr>
    </w:tbl>
    <w:p>
      <w:pPr>
        <w:pStyle w:val="BodyText"/>
        <w:spacing w:line="240" w:lineRule="auto" w:before="49"/>
        <w:ind w:right="0"/>
        <w:jc w:val="both"/>
      </w:pPr>
      <w:r>
        <w:rPr/>
        <w:t>其他说明，包括本期增减变动情况、变动原因说明：</w:t>
      </w:r>
    </w:p>
    <w:p>
      <w:pPr>
        <w:pStyle w:val="BodyText"/>
        <w:spacing w:line="300" w:lineRule="auto" w:before="115"/>
        <w:ind w:right="1120" w:firstLine="420"/>
        <w:jc w:val="left"/>
      </w:pPr>
      <w:r>
        <w:rPr>
          <w:spacing w:val="-1"/>
        </w:rPr>
        <w:t>（</w:t>
      </w:r>
      <w:r>
        <w:rPr>
          <w:rFonts w:ascii="Times New Roman" w:hAnsi="Times New Roman" w:cs="Times New Roman" w:eastAsia="Times New Roman" w:hint="default"/>
          <w:spacing w:val="-1"/>
        </w:rPr>
        <w:t>1</w:t>
      </w:r>
      <w:r>
        <w:rPr>
          <w:spacing w:val="-1"/>
        </w:rPr>
        <w:t>）根据本公司《关于回购注销部分限制性股票及</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2016</w:t>
      </w:r>
      <w:r>
        <w:rPr>
          <w:spacing w:val="-1"/>
        </w:rPr>
        <w:t>年股权激励计划已获授但未达到第二个解锁期条件的</w:t>
      </w:r>
      <w:r>
        <w:rPr/>
        <w:t> 限制性股票的议案》、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日召开的第三届董事会第十四次会议决议、《</w:t>
      </w:r>
      <w:r>
        <w:rPr>
          <w:rFonts w:ascii="Times New Roman" w:hAnsi="Times New Roman" w:cs="Times New Roman" w:eastAsia="Times New Roman" w:hint="default"/>
        </w:rPr>
        <w:t>2015</w:t>
      </w:r>
      <w:r>
        <w:rPr/>
        <w:t>年限制性股票激励计划（草案）》、</w:t>
      </w:r>
    </w:p>
    <w:p>
      <w:pPr>
        <w:pStyle w:val="BodyText"/>
        <w:spacing w:line="300" w:lineRule="auto" w:before="13"/>
        <w:ind w:right="1129"/>
        <w:jc w:val="both"/>
      </w:pPr>
      <w:r>
        <w:rPr>
          <w:spacing w:val="-2"/>
        </w:rPr>
        <w:t>《</w:t>
      </w:r>
      <w:r>
        <w:rPr>
          <w:rFonts w:ascii="Times New Roman" w:hAnsi="Times New Roman" w:cs="Times New Roman" w:eastAsia="Times New Roman" w:hint="default"/>
          <w:spacing w:val="-2"/>
        </w:rPr>
        <w:t>2016</w:t>
      </w:r>
      <w:r>
        <w:rPr>
          <w:spacing w:val="-2"/>
        </w:rPr>
        <w:t>年限制性股票激励计划（草案）》和修改后的章程规定，决定回购注销因离职已不符合激励条件的原</w:t>
      </w:r>
      <w:r>
        <w:rPr>
          <w:rFonts w:ascii="Times New Roman" w:hAnsi="Times New Roman" w:cs="Times New Roman" w:eastAsia="Times New Roman" w:hint="default"/>
          <w:spacing w:val="-2"/>
        </w:rPr>
        <w:t>15</w:t>
      </w:r>
      <w:r>
        <w:rPr>
          <w:spacing w:val="-2"/>
        </w:rPr>
        <w:t>名</w:t>
      </w:r>
      <w:r>
        <w:rPr>
          <w:rFonts w:ascii="Times New Roman" w:hAnsi="Times New Roman" w:cs="Times New Roman" w:eastAsia="Times New Roman" w:hint="default"/>
          <w:spacing w:val="-2"/>
        </w:rPr>
        <w:t>2015</w:t>
      </w:r>
      <w:r>
        <w:rPr>
          <w:spacing w:val="-2"/>
        </w:rPr>
        <w:t>年限制</w:t>
      </w:r>
      <w:r>
        <w:rPr>
          <w:spacing w:val="-59"/>
        </w:rPr>
        <w:t> </w:t>
      </w:r>
      <w:r>
        <w:rPr>
          <w:spacing w:val="-59"/>
        </w:rPr>
      </w:r>
      <w:r>
        <w:rPr/>
        <w:t>性股票股权激励对象及原</w:t>
      </w:r>
      <w:r>
        <w:rPr>
          <w:rFonts w:ascii="Times New Roman" w:hAnsi="Times New Roman" w:cs="Times New Roman" w:eastAsia="Times New Roman" w:hint="default"/>
        </w:rPr>
        <w:t>10</w:t>
      </w:r>
      <w:r>
        <w:rPr/>
        <w:t>名</w:t>
      </w:r>
      <w:r>
        <w:rPr>
          <w:rFonts w:ascii="Times New Roman" w:hAnsi="Times New Roman" w:cs="Times New Roman" w:eastAsia="Times New Roman" w:hint="default"/>
        </w:rPr>
        <w:t>2016</w:t>
      </w:r>
      <w:r>
        <w:rPr/>
        <w:t>年限制性股票股权激励对象已获授的全部限制性股票，共计</w:t>
      </w:r>
      <w:r>
        <w:rPr>
          <w:rFonts w:ascii="Times New Roman" w:hAnsi="Times New Roman" w:cs="Times New Roman" w:eastAsia="Times New Roman" w:hint="default"/>
        </w:rPr>
        <w:t>98.56</w:t>
      </w:r>
      <w:r>
        <w:rPr/>
        <w:t>万股；回购注销因</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年限制性股票第二个解锁期解锁条件及</w:t>
      </w:r>
      <w:r>
        <w:rPr>
          <w:rFonts w:ascii="Times New Roman" w:hAnsi="Times New Roman" w:cs="Times New Roman" w:eastAsia="Times New Roman" w:hint="default"/>
        </w:rPr>
        <w:t>2016</w:t>
      </w:r>
      <w:r>
        <w:rPr/>
        <w:t>年限制性股票第二个解锁期解锁条件未达成的已获授限制性股票，共计</w:t>
      </w:r>
      <w:r>
        <w:rPr>
          <w:rFonts w:ascii="Times New Roman" w:hAnsi="Times New Roman" w:cs="Times New Roman" w:eastAsia="Times New Roman" w:hint="default"/>
        </w:rPr>
        <w:t>163.2</w:t>
      </w:r>
      <w:r>
        <w:rPr/>
        <w:t>万</w:t>
      </w:r>
      <w:r>
        <w:rPr>
          <w:spacing w:val="-42"/>
        </w:rPr>
        <w:t> </w:t>
      </w:r>
      <w:r>
        <w:rPr>
          <w:spacing w:val="-2"/>
        </w:rPr>
        <w:t>股。根据回购注销情况，公司本次回购注销股票数量为</w:t>
      </w:r>
      <w:r>
        <w:rPr>
          <w:rFonts w:ascii="Times New Roman" w:hAnsi="Times New Roman" w:cs="Times New Roman" w:eastAsia="Times New Roman" w:hint="default"/>
          <w:spacing w:val="-2"/>
        </w:rPr>
        <w:t>261.76</w:t>
      </w:r>
      <w:r>
        <w:rPr>
          <w:spacing w:val="-2"/>
        </w:rPr>
        <w:t>万股，申请减少注册资本人民币</w:t>
      </w:r>
      <w:r>
        <w:rPr>
          <w:rFonts w:ascii="Times New Roman" w:hAnsi="Times New Roman" w:cs="Times New Roman" w:eastAsia="Times New Roman" w:hint="default"/>
          <w:spacing w:val="-2"/>
        </w:rPr>
        <w:t>2,617,600.00</w:t>
      </w:r>
      <w:r>
        <w:rPr>
          <w:spacing w:val="-2"/>
        </w:rPr>
        <w:t>元，减少资本公积</w:t>
      </w:r>
      <w:r>
        <w:rPr>
          <w:spacing w:val="-51"/>
        </w:rPr>
        <w:t> </w:t>
      </w:r>
      <w:r>
        <w:rPr>
          <w:spacing w:val="-51"/>
        </w:rPr>
      </w:r>
      <w:r>
        <w:rPr>
          <w:rFonts w:ascii="Times New Roman" w:hAnsi="Times New Roman" w:cs="Times New Roman" w:eastAsia="Times New Roman" w:hint="default"/>
          <w:spacing w:val="-4"/>
        </w:rPr>
        <w:t>15,488,202.00</w:t>
      </w:r>
      <w:r>
        <w:rPr>
          <w:spacing w:val="-4"/>
        </w:rPr>
        <w:t>元，变更后的注册资本为人民币</w:t>
      </w:r>
      <w:r>
        <w:rPr>
          <w:rFonts w:ascii="Times New Roman" w:hAnsi="Times New Roman" w:cs="Times New Roman" w:eastAsia="Times New Roman" w:hint="default"/>
          <w:spacing w:val="-4"/>
        </w:rPr>
        <w:t>447,248,657.00</w:t>
      </w:r>
      <w:r>
        <w:rPr>
          <w:spacing w:val="-4"/>
        </w:rPr>
        <w:t>元，其中回购注销</w:t>
      </w:r>
      <w:r>
        <w:rPr>
          <w:rFonts w:ascii="Times New Roman" w:hAnsi="Times New Roman" w:cs="Times New Roman" w:eastAsia="Times New Roman" w:hint="default"/>
          <w:spacing w:val="-4"/>
        </w:rPr>
        <w:t>2015</w:t>
      </w:r>
      <w:r>
        <w:rPr>
          <w:spacing w:val="-4"/>
        </w:rPr>
        <w:t>年限制性股票股权激励对象的实收资本（股</w:t>
      </w:r>
      <w:r>
        <w:rPr>
          <w:spacing w:val="-75"/>
        </w:rPr>
        <w:t> </w:t>
      </w:r>
      <w:r>
        <w:rPr>
          <w:spacing w:val="-75"/>
        </w:rPr>
      </w:r>
      <w:r>
        <w:rPr>
          <w:spacing w:val="-1"/>
        </w:rPr>
        <w:t>本）人民币</w:t>
      </w:r>
      <w:r>
        <w:rPr>
          <w:rFonts w:ascii="Times New Roman" w:hAnsi="Times New Roman" w:cs="Times New Roman" w:eastAsia="Times New Roman" w:hint="default"/>
          <w:spacing w:val="-1"/>
        </w:rPr>
        <w:t>1,718,400.00</w:t>
      </w:r>
      <w:r>
        <w:rPr>
          <w:spacing w:val="-1"/>
        </w:rPr>
        <w:t>元，回购注销</w:t>
      </w:r>
      <w:r>
        <w:rPr>
          <w:rFonts w:ascii="Times New Roman" w:hAnsi="Times New Roman" w:cs="Times New Roman" w:eastAsia="Times New Roman" w:hint="default"/>
          <w:spacing w:val="-1"/>
        </w:rPr>
        <w:t>2016</w:t>
      </w:r>
      <w:r>
        <w:rPr>
          <w:spacing w:val="-1"/>
        </w:rPr>
        <w:t>年限制性股票股权激励对象的实收资本（股本）人民币</w:t>
      </w:r>
      <w:r>
        <w:rPr>
          <w:rFonts w:ascii="Times New Roman" w:hAnsi="Times New Roman" w:cs="Times New Roman" w:eastAsia="Times New Roman" w:hint="default"/>
          <w:spacing w:val="-1"/>
        </w:rPr>
        <w:t>899,200.00</w:t>
      </w:r>
      <w:r>
        <w:rPr>
          <w:spacing w:val="-1"/>
        </w:rPr>
        <w:t>元。本次减资业</w:t>
      </w:r>
      <w:r>
        <w:rPr>
          <w:spacing w:val="-73"/>
        </w:rPr>
        <w:t> </w:t>
      </w:r>
      <w:r>
        <w:rPr>
          <w:spacing w:val="-73"/>
        </w:rPr>
      </w:r>
      <w:r>
        <w:rPr/>
        <w:t>经中汇会计师事务所（特殊普通合伙）审验，并于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日出具中汇会验</w:t>
      </w:r>
      <w:r>
        <w:rPr>
          <w:rFonts w:ascii="Times New Roman" w:hAnsi="Times New Roman" w:cs="Times New Roman" w:eastAsia="Times New Roman" w:hint="default"/>
        </w:rPr>
        <w:t>[2018]3791</w:t>
      </w:r>
      <w:r>
        <w:rPr/>
        <w:t>号验资报告。</w:t>
      </w:r>
    </w:p>
    <w:p>
      <w:pPr>
        <w:pStyle w:val="BodyText"/>
        <w:spacing w:line="240" w:lineRule="auto" w:before="13"/>
        <w:ind w:left="573" w:right="1117"/>
        <w:jc w:val="left"/>
      </w:pPr>
      <w:r>
        <w:rPr/>
        <w:t>（</w:t>
      </w:r>
      <w:r>
        <w:rPr>
          <w:rFonts w:ascii="Times New Roman" w:hAnsi="Times New Roman" w:cs="Times New Roman" w:eastAsia="Times New Roman" w:hint="default"/>
        </w:rPr>
        <w:t>2</w:t>
      </w:r>
      <w:r>
        <w:rPr/>
        <w:t>）根据本公司《关于回购注销部分限制性股票的议案》、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日召开的第三届董事会第十七次会议决议、</w:t>
      </w:r>
    </w:p>
    <w:p>
      <w:pPr>
        <w:pStyle w:val="BodyText"/>
        <w:spacing w:line="300" w:lineRule="auto" w:before="63"/>
        <w:ind w:right="1128"/>
        <w:jc w:val="both"/>
      </w:pPr>
      <w:r>
        <w:rPr>
          <w:spacing w:val="-2"/>
        </w:rPr>
        <w:t>《</w:t>
      </w:r>
      <w:r>
        <w:rPr>
          <w:rFonts w:ascii="Times New Roman" w:hAnsi="Times New Roman" w:cs="Times New Roman" w:eastAsia="Times New Roman" w:hint="default"/>
          <w:spacing w:val="-2"/>
        </w:rPr>
        <w:t>2015</w:t>
      </w:r>
      <w:r>
        <w:rPr>
          <w:spacing w:val="-2"/>
        </w:rPr>
        <w:t>年限制性股票激励计划（草案）》、《</w:t>
      </w:r>
      <w:r>
        <w:rPr>
          <w:rFonts w:ascii="Times New Roman" w:hAnsi="Times New Roman" w:cs="Times New Roman" w:eastAsia="Times New Roman" w:hint="default"/>
          <w:spacing w:val="-2"/>
        </w:rPr>
        <w:t>2016</w:t>
      </w:r>
      <w:r>
        <w:rPr>
          <w:spacing w:val="-2"/>
        </w:rPr>
        <w:t>年限制性股票激励计划（草案）》和修改后的章程规定，决定回购注销因</w:t>
      </w:r>
      <w:r>
        <w:rPr>
          <w:spacing w:val="-63"/>
        </w:rPr>
        <w:t> </w:t>
      </w:r>
      <w:r>
        <w:rPr>
          <w:spacing w:val="-63"/>
        </w:rPr>
      </w:r>
      <w:r>
        <w:rPr/>
        <w:t>离职已不符合激励条件的原</w:t>
      </w:r>
      <w:r>
        <w:rPr>
          <w:rFonts w:ascii="Times New Roman" w:hAnsi="Times New Roman" w:cs="Times New Roman" w:eastAsia="Times New Roman" w:hint="default"/>
        </w:rPr>
        <w:t>7</w:t>
      </w:r>
      <w:r>
        <w:rPr/>
        <w:t>名</w:t>
      </w:r>
      <w:r>
        <w:rPr>
          <w:rFonts w:ascii="Times New Roman" w:hAnsi="Times New Roman" w:cs="Times New Roman" w:eastAsia="Times New Roman" w:hint="default"/>
        </w:rPr>
        <w:t>2015</w:t>
      </w:r>
      <w:r>
        <w:rPr/>
        <w:t>年限制性股票股权激励对象及原</w:t>
      </w:r>
      <w:r>
        <w:rPr>
          <w:rFonts w:ascii="Times New Roman" w:hAnsi="Times New Roman" w:cs="Times New Roman" w:eastAsia="Times New Roman" w:hint="default"/>
        </w:rPr>
        <w:t>1</w:t>
      </w:r>
      <w:r>
        <w:rPr/>
        <w:t>名</w:t>
      </w:r>
      <w:r>
        <w:rPr>
          <w:rFonts w:ascii="Times New Roman" w:hAnsi="Times New Roman" w:cs="Times New Roman" w:eastAsia="Times New Roman" w:hint="default"/>
        </w:rPr>
        <w:t>2016</w:t>
      </w:r>
      <w:r>
        <w:rPr/>
        <w:t>年限制性股票股权激励对象已获授的全部限制</w:t>
      </w:r>
      <w:r>
        <w:rPr>
          <w:spacing w:val="-6"/>
        </w:rPr>
        <w:t> </w:t>
      </w:r>
      <w:r>
        <w:rPr>
          <w:spacing w:val="-6"/>
        </w:rPr>
      </w:r>
      <w:r>
        <w:rPr>
          <w:spacing w:val="-2"/>
        </w:rPr>
        <w:t>性股票，共计</w:t>
      </w:r>
      <w:r>
        <w:rPr>
          <w:rFonts w:ascii="Times New Roman" w:hAnsi="Times New Roman" w:cs="Times New Roman" w:eastAsia="Times New Roman" w:hint="default"/>
          <w:spacing w:val="-2"/>
        </w:rPr>
        <w:t>19.20</w:t>
      </w:r>
      <w:r>
        <w:rPr>
          <w:spacing w:val="-2"/>
        </w:rPr>
        <w:t>万股。根据回购注销情况，公司本次回购注销股票数量为</w:t>
      </w:r>
      <w:r>
        <w:rPr>
          <w:rFonts w:ascii="Times New Roman" w:hAnsi="Times New Roman" w:cs="Times New Roman" w:eastAsia="Times New Roman" w:hint="default"/>
          <w:spacing w:val="-2"/>
        </w:rPr>
        <w:t>19.20</w:t>
      </w:r>
      <w:r>
        <w:rPr>
          <w:spacing w:val="-2"/>
        </w:rPr>
        <w:t>万股，申请减少注册资本人民币</w:t>
      </w:r>
      <w:r>
        <w:rPr>
          <w:rFonts w:ascii="Times New Roman" w:hAnsi="Times New Roman" w:cs="Times New Roman" w:eastAsia="Times New Roman" w:hint="default"/>
          <w:spacing w:val="-2"/>
        </w:rPr>
        <w:t>192,000.00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1"/>
        </w:rPr>
        <w:t>元，减少资本公积</w:t>
      </w:r>
      <w:r>
        <w:rPr>
          <w:rFonts w:ascii="Times New Roman" w:hAnsi="Times New Roman" w:cs="Times New Roman" w:eastAsia="Times New Roman" w:hint="default"/>
          <w:spacing w:val="-1"/>
        </w:rPr>
        <w:t>1,104</w:t>
      </w:r>
      <w:r>
        <w:rPr>
          <w:spacing w:val="-1"/>
        </w:rPr>
        <w:t>，</w:t>
      </w:r>
      <w:r>
        <w:rPr>
          <w:rFonts w:ascii="Times New Roman" w:hAnsi="Times New Roman" w:cs="Times New Roman" w:eastAsia="Times New Roman" w:hint="default"/>
          <w:spacing w:val="-1"/>
        </w:rPr>
        <w:t>864.00</w:t>
      </w:r>
      <w:r>
        <w:rPr>
          <w:spacing w:val="-1"/>
        </w:rPr>
        <w:t>元，变更后的注册资本为人民币</w:t>
      </w:r>
      <w:r>
        <w:rPr>
          <w:rFonts w:ascii="Times New Roman" w:hAnsi="Times New Roman" w:cs="Times New Roman" w:eastAsia="Times New Roman" w:hint="default"/>
          <w:spacing w:val="-1"/>
        </w:rPr>
        <w:t>447</w:t>
      </w:r>
      <w:r>
        <w:rPr>
          <w:spacing w:val="-1"/>
        </w:rPr>
        <w:t>，</w:t>
      </w:r>
      <w:r>
        <w:rPr>
          <w:rFonts w:ascii="Times New Roman" w:hAnsi="Times New Roman" w:cs="Times New Roman" w:eastAsia="Times New Roman" w:hint="default"/>
          <w:spacing w:val="-1"/>
        </w:rPr>
        <w:t>056</w:t>
      </w:r>
      <w:r>
        <w:rPr>
          <w:spacing w:val="-1"/>
        </w:rPr>
        <w:t>，</w:t>
      </w:r>
      <w:r>
        <w:rPr>
          <w:rFonts w:ascii="Times New Roman" w:hAnsi="Times New Roman" w:cs="Times New Roman" w:eastAsia="Times New Roman" w:hint="default"/>
          <w:spacing w:val="-1"/>
        </w:rPr>
        <w:t>657.00</w:t>
      </w:r>
      <w:r>
        <w:rPr>
          <w:spacing w:val="-1"/>
        </w:rPr>
        <w:t>元。其中回购注销</w:t>
      </w:r>
      <w:r>
        <w:rPr>
          <w:rFonts w:ascii="Times New Roman" w:hAnsi="Times New Roman" w:cs="Times New Roman" w:eastAsia="Times New Roman" w:hint="default"/>
          <w:spacing w:val="-1"/>
        </w:rPr>
        <w:t>2015</w:t>
      </w:r>
      <w:r>
        <w:rPr>
          <w:spacing w:val="-1"/>
        </w:rPr>
        <w:t>年限制性股票股权</w:t>
      </w:r>
      <w:r>
        <w:rPr>
          <w:spacing w:val="-74"/>
        </w:rPr>
        <w:t> </w:t>
      </w:r>
      <w:r>
        <w:rPr>
          <w:spacing w:val="-74"/>
        </w:rPr>
      </w:r>
      <w:r>
        <w:rPr/>
        <w:t>激励对象的实收资本（股本）人民币</w:t>
      </w:r>
      <w:r>
        <w:rPr>
          <w:rFonts w:ascii="Times New Roman" w:hAnsi="Times New Roman" w:cs="Times New Roman" w:eastAsia="Times New Roman" w:hint="default"/>
        </w:rPr>
        <w:t>153</w:t>
      </w:r>
      <w:r>
        <w:rPr/>
        <w:t>，</w:t>
      </w:r>
      <w:r>
        <w:rPr>
          <w:rFonts w:ascii="Times New Roman" w:hAnsi="Times New Roman" w:cs="Times New Roman" w:eastAsia="Times New Roman" w:hint="default"/>
        </w:rPr>
        <w:t>600.00</w:t>
      </w:r>
      <w:r>
        <w:rPr/>
        <w:t>元，回购注销</w:t>
      </w:r>
      <w:r>
        <w:rPr>
          <w:rFonts w:ascii="Times New Roman" w:hAnsi="Times New Roman" w:cs="Times New Roman" w:eastAsia="Times New Roman" w:hint="default"/>
        </w:rPr>
        <w:t>2016</w:t>
      </w:r>
      <w:r>
        <w:rPr/>
        <w:t>年限制性股票股权激励对象的实收资本（股本）人民币</w:t>
      </w:r>
      <w:r>
        <w:rPr>
          <w:spacing w:val="-45"/>
        </w:rPr>
        <w:t> </w:t>
      </w:r>
      <w:r>
        <w:rPr>
          <w:spacing w:val="-45"/>
        </w:rPr>
      </w:r>
      <w:r>
        <w:rPr>
          <w:rFonts w:ascii="Times New Roman" w:hAnsi="Times New Roman" w:cs="Times New Roman" w:eastAsia="Times New Roman" w:hint="default"/>
        </w:rPr>
        <w:t>38</w:t>
      </w:r>
      <w:r>
        <w:rPr/>
        <w:t>，</w:t>
      </w:r>
      <w:r>
        <w:rPr>
          <w:rFonts w:ascii="Times New Roman" w:hAnsi="Times New Roman" w:cs="Times New Roman" w:eastAsia="Times New Roman" w:hint="default"/>
        </w:rPr>
        <w:t>400.00</w:t>
      </w:r>
      <w:r>
        <w:rPr/>
        <w:t>元。本次减资业经中汇会计师事务所（特殊普通合伙）审验，并于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日出具中汇会验</w:t>
      </w:r>
      <w:r>
        <w:rPr>
          <w:rFonts w:ascii="Times New Roman" w:hAnsi="Times New Roman" w:cs="Times New Roman" w:eastAsia="Times New Roman" w:hint="default"/>
        </w:rPr>
        <w:t>[2018]4452</w:t>
      </w:r>
      <w:r>
        <w:rPr/>
        <w:t>号验</w:t>
      </w:r>
      <w:r>
        <w:rPr>
          <w:spacing w:val="-74"/>
        </w:rPr>
        <w:t> </w:t>
      </w:r>
      <w:r>
        <w:rPr/>
        <w:t>资报告。</w:t>
      </w:r>
    </w:p>
    <w:p>
      <w:pPr>
        <w:pStyle w:val="BodyText"/>
        <w:spacing w:line="300" w:lineRule="auto" w:before="31"/>
        <w:ind w:right="1117" w:firstLine="360"/>
        <w:jc w:val="left"/>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w:t>
      </w:r>
      <w:r>
        <w:rPr>
          <w:spacing w:val="-1"/>
        </w:rPr>
        <w:t>资本公积</w:t>
      </w:r>
      <w:r>
        <w:rPr>
          <w:rFonts w:ascii="Times New Roman" w:hAnsi="Times New Roman" w:cs="Times New Roman" w:eastAsia="Times New Roman" w:hint="default"/>
          <w:spacing w:val="-1"/>
        </w:rPr>
        <w:t>-</w:t>
      </w:r>
      <w:r>
        <w:rPr>
          <w:spacing w:val="-1"/>
        </w:rPr>
        <w:t>其他资本公积</w:t>
      </w:r>
      <w:r>
        <w:rPr>
          <w:rFonts w:ascii="Times New Roman" w:hAnsi="Times New Roman" w:cs="Times New Roman" w:eastAsia="Times New Roman" w:hint="default"/>
          <w:spacing w:val="-1"/>
        </w:rPr>
        <w:t>”</w:t>
      </w:r>
      <w:r>
        <w:rPr>
          <w:spacing w:val="-1"/>
        </w:rPr>
        <w:t>股份支付增减变动系限制性股票激励计划第三个解锁期达到解锁条件，将取得职工提供</w:t>
      </w:r>
      <w:r>
        <w:rPr/>
        <w:t> 的服务计入成本费用和资本公积（其他资本公积）所致。本章节报告十三</w:t>
      </w:r>
      <w:r>
        <w:rPr>
          <w:rFonts w:ascii="Times New Roman" w:hAnsi="Times New Roman" w:cs="Times New Roman" w:eastAsia="Times New Roman" w:hint="default"/>
        </w:rPr>
        <w:t>“</w:t>
      </w:r>
      <w:r>
        <w:rPr/>
        <w:t>股份支付</w:t>
      </w:r>
      <w:r>
        <w:rPr>
          <w:rFonts w:ascii="Times New Roman" w:hAnsi="Times New Roman" w:cs="Times New Roman" w:eastAsia="Times New Roman" w:hint="default"/>
        </w:rPr>
        <w:t>”</w:t>
      </w:r>
      <w:r>
        <w:rPr/>
        <w:t>之说明。</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47</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限制性股票激励计划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32,906,255.20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19,353,279.20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13,552,976.00</w:t>
            </w:r>
          </w:p>
        </w:tc>
      </w:tr>
    </w:tbl>
    <w:p>
      <w:pPr>
        <w:spacing w:after="0" w:line="240" w:lineRule="auto"/>
        <w:jc w:val="lef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32,906,255.20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19,353,279.20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13,552,976.00</w:t>
            </w:r>
          </w:p>
        </w:tc>
      </w:tr>
    </w:tbl>
    <w:p>
      <w:pPr>
        <w:pStyle w:val="BodyText"/>
        <w:spacing w:line="240" w:lineRule="auto" w:before="49"/>
        <w:ind w:right="1117"/>
        <w:jc w:val="left"/>
      </w:pPr>
      <w:r>
        <w:rPr/>
        <w:t>其他说明，包括本期增减变动情况、变动原因说明：</w:t>
      </w:r>
    </w:p>
    <w:p>
      <w:pPr>
        <w:pStyle w:val="Heading4"/>
        <w:spacing w:line="273" w:lineRule="auto" w:before="94"/>
        <w:ind w:right="1117" w:firstLine="317"/>
        <w:jc w:val="left"/>
      </w:pPr>
      <w:r>
        <w:rPr/>
        <w:t>公司发行限制性股票，在取得该款项时，就回购义务确认负债（作收购库存股处理），按照发行限制</w:t>
      </w:r>
      <w:r>
        <w:rPr>
          <w:w w:val="100"/>
        </w:rPr>
        <w:t> </w:t>
      </w:r>
      <w:r>
        <w:rPr>
          <w:spacing w:val="-2"/>
        </w:rPr>
        <w:t>性股票的数量以及相应的回购价格计算确定的金额，本期库存股减少系由于未达到解锁条件回购限制性股</w:t>
      </w:r>
      <w:r>
        <w:rPr>
          <w:spacing w:val="-43"/>
        </w:rPr>
        <w:t> </w:t>
      </w:r>
      <w:r>
        <w:rPr>
          <w:spacing w:val="-43"/>
        </w:rPr>
      </w:r>
      <w:r>
        <w:rPr/>
        <w:t>票所致。</w:t>
      </w:r>
    </w:p>
    <w:p>
      <w:pPr>
        <w:spacing w:line="240" w:lineRule="auto" w:before="7"/>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8"/>
        <w:gridCol w:w="936"/>
        <w:gridCol w:w="1152"/>
        <w:gridCol w:w="934"/>
        <w:gridCol w:w="937"/>
        <w:gridCol w:w="936"/>
        <w:gridCol w:w="797"/>
      </w:tblGrid>
      <w:tr>
        <w:trPr>
          <w:trHeight w:val="399"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-918,719.41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1,085,182.3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1,085,182.3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166,462.9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-918,719.41</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1,085,182.3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1,085,182.3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166,462.9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-918,719.41</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1,085,182.3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1,085,182.3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166,462.9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394"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17"/>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50</w:t>
      </w:r>
      <w:r>
        <w:rPr/>
        <w:t>、盈余公积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22,936,757.78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385,812.73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23,322,570.51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22,936,757.78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385,812.73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23,322,570.51</w:t>
            </w:r>
          </w:p>
        </w:tc>
      </w:tr>
    </w:tbl>
    <w:p>
      <w:pPr>
        <w:pStyle w:val="BodyText"/>
        <w:spacing w:line="240" w:lineRule="auto" w:before="49"/>
        <w:ind w:right="1117"/>
        <w:jc w:val="left"/>
      </w:pPr>
      <w:r>
        <w:rPr/>
        <w:t>盈余公积说明，包括本期增减变动情况、变动原因说明：</w:t>
      </w:r>
    </w:p>
    <w:p>
      <w:pPr>
        <w:pStyle w:val="Heading4"/>
        <w:spacing w:line="240" w:lineRule="auto" w:before="94"/>
        <w:ind w:left="470" w:right="1117"/>
        <w:jc w:val="left"/>
      </w:pPr>
      <w:r>
        <w:rPr/>
        <w:t>本期盈余公积增加系按照母公司本期净利润弥补以前年度亏损后的</w:t>
      </w:r>
      <w:r>
        <w:rPr>
          <w:rFonts w:ascii="Times New Roman" w:hAnsi="Times New Roman" w:cs="Times New Roman" w:eastAsia="Times New Roman" w:hint="default"/>
        </w:rPr>
        <w:t>10%</w:t>
      </w:r>
      <w:r>
        <w:rPr/>
        <w:t>计提法定盈余公积。</w:t>
      </w:r>
    </w:p>
    <w:p>
      <w:pPr>
        <w:spacing w:line="240" w:lineRule="auto" w:before="7"/>
        <w:rPr>
          <w:rFonts w:ascii="宋体" w:hAnsi="宋体" w:cs="宋体" w:eastAsia="宋体" w:hint="default"/>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0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282,013,452.37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250,565,636.57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282,013,452.37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250,565,636.57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104,558,304.05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35,020,479.85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385,812.73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-49,386.80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3,603,051.65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30,387.60</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386,223,628.44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282,013,452.37</w:t>
            </w:r>
          </w:p>
        </w:tc>
      </w:tr>
    </w:tbl>
    <w:p>
      <w:pPr>
        <w:pStyle w:val="BodyText"/>
        <w:spacing w:line="240" w:lineRule="auto" w:before="49"/>
        <w:ind w:right="1117"/>
        <w:jc w:val="left"/>
      </w:pPr>
      <w:r>
        <w:rPr/>
        <w:t>调整期初未分配利润明细：</w:t>
      </w:r>
    </w:p>
    <w:p>
      <w:pPr>
        <w:pStyle w:val="BodyText"/>
        <w:spacing w:line="240" w:lineRule="auto" w:before="115"/>
        <w:ind w:right="1117"/>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17"/>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17"/>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17"/>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17"/>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rFonts w:ascii="Times New Roman" w:hAnsi="Times New Roman" w:cs="Times New Roman" w:eastAsia="Times New Roman" w:hint="default"/>
        </w:rPr>
        <w:t>52</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1,591,919,566.49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1,227,668,959.09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1,319,908,536.31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1,014,883,680.08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1,591,919,566.49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1,227,668,959.09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1,319,908,536.31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1,014,883,680.08</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53</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3,865,851.94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1,475,077.00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1,664,075.04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648,076.56</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980,288.72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980,288.72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915,695.58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546,329.18</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1,021,549.36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414,292.33</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63,745.24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426,633.29</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11,002.08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11,002.08</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河道维护管理费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16,960.86</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8,523,407.96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4,518,660.02</w:t>
            </w:r>
          </w:p>
        </w:tc>
      </w:tr>
    </w:tbl>
    <w:p>
      <w:pPr>
        <w:pStyle w:val="BodyText"/>
        <w:spacing w:line="240" w:lineRule="auto" w:before="49"/>
        <w:ind w:right="1117"/>
        <w:jc w:val="left"/>
      </w:pPr>
      <w:r>
        <w:rPr/>
        <w:t>其他说明：</w:t>
      </w:r>
    </w:p>
    <w:p>
      <w:pPr>
        <w:spacing w:after="0" w:line="240" w:lineRule="auto"/>
        <w:jc w:val="left"/>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54</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71,640,094.71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75,898,720.85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6,358,029.08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8,696,722.00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8,196,614.02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9,407,276.80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2,290,594.91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2,934,931.64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场租费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2,469,962.40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2,598,126.10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569,086.07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1,331,856.25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4,121,160.12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5,510,034.24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95,645,541.31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106,377,667.88</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55</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50,780,869.10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46,547,678.07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25,102,030.75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19,996,913.82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场租费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7,339,261.69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5,704,627.30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7,622,567.15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9,589,487.91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2,918,798.06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1,734,299.10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2,916,224.41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2,529,851.98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1,980,451.73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-1,773,000.00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5,147,270.64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5,075,718.43</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103,807,473.53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89,405,576.61</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56</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40,308,815.82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40,714,835.42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场租费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572,127.51</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73,029.20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116,464.22</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195,532.09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213,837.45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40,577,377.11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41,617,264.60</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22,967,594.91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12,802,162.09</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2,253,696.63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1,900,413.54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6,687.75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134,796.02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未确认融资费用摊销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10,168,833.28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14,283,593.14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1,329,287.73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137,228.06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6,482.14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32,209,531.54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25,194,255.87</w:t>
            </w:r>
          </w:p>
        </w:tc>
      </w:tr>
    </w:tbl>
    <w:p>
      <w:pPr>
        <w:pStyle w:val="BodyText"/>
        <w:spacing w:line="240" w:lineRule="auto" w:before="49"/>
        <w:ind w:right="1117"/>
        <w:jc w:val="left"/>
      </w:pPr>
      <w:r>
        <w:rPr/>
        <w:t>其他说明：</w:t>
      </w:r>
    </w:p>
    <w:p>
      <w:pPr>
        <w:pStyle w:val="Heading4"/>
        <w:spacing w:line="240" w:lineRule="auto" w:before="94"/>
        <w:ind w:right="1117"/>
        <w:jc w:val="left"/>
      </w:pPr>
      <w:r>
        <w:rPr/>
        <w:t>本期计入财务费用的政府补助情况详见本章节报告七第</w:t>
      </w:r>
      <w:r>
        <w:rPr>
          <w:rFonts w:ascii="Times New Roman" w:hAnsi="Times New Roman" w:cs="Times New Roman" w:eastAsia="Times New Roman" w:hint="default"/>
        </w:rPr>
        <w:t>72</w:t>
      </w:r>
      <w:r>
        <w:rPr/>
        <w:t>项</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w:t>
      </w:r>
      <w:r>
        <w:rPr/>
        <w:t>之说明。</w:t>
      </w:r>
    </w:p>
    <w:p>
      <w:pPr>
        <w:spacing w:line="240" w:lineRule="auto" w:before="7"/>
        <w:rPr>
          <w:rFonts w:ascii="宋体" w:hAnsi="宋体" w:cs="宋体" w:eastAsia="宋体" w:hint="default"/>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58</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12,983,095.90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9,374,275.00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10,495,065.00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23,478,160.90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9,374,275.00</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59</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645,205.35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275,116.73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上市中介费补贴款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1,545,205.35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275,116.73</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60</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-36,272.87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-743,553.51</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-36,272.87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-743,553.51</w:t>
            </w:r>
          </w:p>
        </w:tc>
      </w:tr>
    </w:tbl>
    <w:p>
      <w:pPr>
        <w:pStyle w:val="BodyText"/>
        <w:spacing w:line="240" w:lineRule="auto" w:before="49"/>
        <w:ind w:right="1117"/>
        <w:jc w:val="left"/>
      </w:pPr>
      <w:r>
        <w:rPr/>
        <w:t>其他说明：</w:t>
      </w:r>
    </w:p>
    <w:p>
      <w:pPr>
        <w:pStyle w:val="Heading4"/>
        <w:spacing w:line="240" w:lineRule="auto" w:before="94"/>
        <w:ind w:right="1117"/>
        <w:jc w:val="left"/>
      </w:pPr>
      <w:r>
        <w:rPr>
          <w:rFonts w:ascii="Times New Roman" w:hAnsi="Times New Roman" w:cs="Times New Roman" w:eastAsia="Times New Roman" w:hint="default"/>
        </w:rPr>
        <w:t>1</w:t>
      </w:r>
      <w:r>
        <w:rPr/>
        <w:t>．按权益法核算的长期股权投资收益重要项目</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136"/>
        <w:gridCol w:w="1947"/>
        <w:gridCol w:w="1985"/>
        <w:gridCol w:w="2472"/>
      </w:tblGrid>
      <w:tr>
        <w:trPr>
          <w:trHeight w:val="348"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本期数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上年数</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本期比上年增减变动的原因</w:t>
            </w:r>
          </w:p>
        </w:tc>
      </w:tr>
      <w:tr>
        <w:trPr>
          <w:trHeight w:val="346"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中信科技发展有限公司</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700,602.22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-687,365.36</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系当期开始盈利所致</w:t>
            </w:r>
          </w:p>
        </w:tc>
      </w:tr>
      <w:tr>
        <w:trPr>
          <w:trHeight w:val="660"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12"/>
                <w:sz w:val="18"/>
                <w:szCs w:val="18"/>
              </w:rPr>
              <w:t>北京高伟达保科技有限责</w:t>
            </w:r>
            <w:r>
              <w:rPr>
                <w:rFonts w:ascii="宋体" w:hAnsi="宋体" w:cs="宋体" w:eastAsia="宋体" w:hint="default"/>
                <w:sz w:val="18"/>
                <w:szCs w:val="18"/>
              </w:rPr>
              <w:t> 任公司</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-736,875.09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-56,188.15</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系当期亏损所致</w:t>
            </w:r>
          </w:p>
        </w:tc>
      </w:tr>
      <w:tr>
        <w:trPr>
          <w:trHeight w:val="348"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-36,272.87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-743,553.51</w:t>
            </w:r>
          </w:p>
        </w:tc>
        <w:tc>
          <w:tcPr>
            <w:tcW w:w="24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Heading4"/>
        <w:spacing w:line="278" w:lineRule="exact" w:before="0"/>
        <w:ind w:right="1117"/>
        <w:jc w:val="left"/>
      </w:pPr>
      <w:r>
        <w:rPr>
          <w:rFonts w:ascii="Times New Roman" w:hAnsi="Times New Roman" w:cs="Times New Roman" w:eastAsia="Times New Roman" w:hint="default"/>
        </w:rPr>
        <w:t>2</w:t>
      </w:r>
      <w:r>
        <w:rPr/>
        <w:t>．本公司不存在投资收益汇回的重大限制。</w:t>
      </w:r>
    </w:p>
    <w:p>
      <w:pPr>
        <w:spacing w:line="240" w:lineRule="auto" w:before="7"/>
        <w:rPr>
          <w:rFonts w:ascii="宋体" w:hAnsi="宋体" w:cs="宋体" w:eastAsia="宋体" w:hint="default"/>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61</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-1,862,537.11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-1,679,345.52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-1,862,537.11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-1,679,345.52</w:t>
            </w:r>
          </w:p>
        </w:tc>
      </w:tr>
    </w:tbl>
    <w:p>
      <w:pPr>
        <w:pStyle w:val="BodyText"/>
        <w:spacing w:line="240" w:lineRule="auto" w:before="49"/>
        <w:ind w:right="1117"/>
        <w:jc w:val="left"/>
      </w:pPr>
      <w:r>
        <w:rPr/>
        <w:t>其他说明：</w:t>
      </w:r>
    </w:p>
    <w:p>
      <w:pPr>
        <w:pStyle w:val="Heading4"/>
        <w:spacing w:line="256" w:lineRule="auto" w:before="94"/>
        <w:ind w:right="1117" w:firstLine="211"/>
        <w:jc w:val="left"/>
      </w:pPr>
      <w:r>
        <w:rPr>
          <w:spacing w:val="-2"/>
        </w:rPr>
        <w:t>以公允价值计量且其变动计入当期损益的金融负债变动收益</w:t>
      </w:r>
      <w:r>
        <w:rPr>
          <w:rFonts w:ascii="Times New Roman" w:hAnsi="Times New Roman" w:cs="Times New Roman" w:eastAsia="Times New Roman" w:hint="default"/>
          <w:spacing w:val="-2"/>
        </w:rPr>
        <w:t>1,862,537.11</w:t>
      </w:r>
      <w:r>
        <w:rPr>
          <w:spacing w:val="-2"/>
        </w:rPr>
        <w:t>系本公司确认对子公司上海睿</w:t>
      </w:r>
      <w:r>
        <w:rPr>
          <w:w w:val="100"/>
        </w:rPr>
        <w:t> </w:t>
      </w:r>
      <w:r>
        <w:rPr/>
        <w:t>民、海南坚果的超额业绩奖励款。</w:t>
      </w:r>
    </w:p>
    <w:p>
      <w:pPr>
        <w:spacing w:line="240" w:lineRule="auto" w:before="8"/>
        <w:rPr>
          <w:rFonts w:ascii="宋体" w:hAnsi="宋体" w:cs="宋体" w:eastAsia="宋体" w:hint="default"/>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处置未划分为持有待售的非流动资产时 确认的收益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54,098,974.18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124,221.70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54,098,974.18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124,221.70</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716"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02" w:right="99"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9" w:lineRule="auto"/>
        <w:jc w:val="left"/>
        <w:rPr>
          <w:rFonts w:ascii="宋体" w:hAnsi="宋体" w:cs="宋体" w:eastAsia="宋体"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1,354,563.70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2,677,885.94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1,354,563.70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19,495.03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1,354,563.75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2,697,380.97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1,354,563.75</w:t>
            </w:r>
          </w:p>
        </w:tc>
      </w:tr>
    </w:tbl>
    <w:p>
      <w:pPr>
        <w:pStyle w:val="BodyText"/>
        <w:spacing w:line="240" w:lineRule="auto" w:before="49"/>
        <w:ind w:right="1117"/>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6"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130"/>
              <w:jc w:val="left"/>
              <w:rPr>
                <w:rFonts w:ascii="宋体" w:hAnsi="宋体" w:cs="宋体" w:eastAsia="宋体" w:hint="default"/>
                <w:sz w:val="18"/>
                <w:szCs w:val="18"/>
              </w:rPr>
            </w:pPr>
            <w:r>
              <w:rPr>
                <w:rFonts w:ascii="宋体" w:hAnsi="宋体" w:cs="宋体" w:eastAsia="宋体" w:hint="default"/>
                <w:sz w:val="18"/>
                <w:szCs w:val="18"/>
              </w:rPr>
              <w:t>静投办补助 款</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上海市静安 区投资办公 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税收扶持款</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徐汇区财政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8"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27"/>
              <w:jc w:val="both"/>
              <w:rPr>
                <w:rFonts w:ascii="宋体" w:hAnsi="宋体" w:cs="宋体" w:eastAsia="宋体" w:hint="default"/>
                <w:sz w:val="18"/>
                <w:szCs w:val="18"/>
              </w:rPr>
            </w:pPr>
            <w:r>
              <w:rPr>
                <w:rFonts w:ascii="宋体" w:hAnsi="宋体" w:cs="宋体" w:eastAsia="宋体" w:hint="default"/>
                <w:sz w:val="18"/>
                <w:szCs w:val="18"/>
              </w:rPr>
              <w:t>上海市徐汇 区就业促进 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75,671.00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5"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2" w:right="130"/>
              <w:jc w:val="left"/>
              <w:rPr>
                <w:rFonts w:ascii="宋体" w:hAnsi="宋体" w:cs="宋体" w:eastAsia="宋体" w:hint="default"/>
                <w:sz w:val="18"/>
                <w:szCs w:val="18"/>
              </w:rPr>
            </w:pPr>
            <w:r>
              <w:rPr>
                <w:rFonts w:ascii="宋体" w:hAnsi="宋体" w:cs="宋体" w:eastAsia="宋体" w:hint="default"/>
                <w:sz w:val="18"/>
                <w:szCs w:val="18"/>
              </w:rPr>
              <w:t>残保金超比 例奖金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3" w:right="127"/>
              <w:jc w:val="both"/>
              <w:rPr>
                <w:rFonts w:ascii="宋体" w:hAnsi="宋体" w:cs="宋体" w:eastAsia="宋体" w:hint="default"/>
                <w:sz w:val="18"/>
                <w:szCs w:val="18"/>
              </w:rPr>
            </w:pPr>
            <w:r>
              <w:rPr>
                <w:rFonts w:ascii="宋体" w:hAnsi="宋体" w:cs="宋体" w:eastAsia="宋体" w:hint="default"/>
                <w:sz w:val="18"/>
                <w:szCs w:val="18"/>
              </w:rPr>
              <w:t>上海市残疾 人就业服务 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3,892.70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22" w:right="130"/>
              <w:jc w:val="both"/>
              <w:rPr>
                <w:rFonts w:ascii="宋体" w:hAnsi="宋体" w:cs="宋体" w:eastAsia="宋体" w:hint="default"/>
                <w:sz w:val="18"/>
                <w:szCs w:val="18"/>
              </w:rPr>
            </w:pPr>
            <w:r>
              <w:rPr>
                <w:rFonts w:ascii="宋体" w:hAnsi="宋体" w:cs="宋体" w:eastAsia="宋体" w:hint="default"/>
                <w:sz w:val="18"/>
                <w:szCs w:val="18"/>
              </w:rPr>
              <w:t>高新技术企 业认定奖励 拨款</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南京市玄武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675"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而获得的补 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30"/>
              <w:jc w:val="left"/>
              <w:rPr>
                <w:rFonts w:ascii="宋体" w:hAnsi="宋体" w:cs="宋体" w:eastAsia="宋体" w:hint="default"/>
                <w:sz w:val="18"/>
                <w:szCs w:val="18"/>
              </w:rPr>
            </w:pPr>
            <w:r>
              <w:rPr>
                <w:rFonts w:ascii="宋体" w:hAnsi="宋体" w:cs="宋体" w:eastAsia="宋体" w:hint="default"/>
                <w:sz w:val="18"/>
                <w:szCs w:val="18"/>
              </w:rPr>
              <w:t>财政扶持资 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both"/>
              <w:rPr>
                <w:rFonts w:ascii="宋体" w:hAnsi="宋体" w:cs="宋体" w:eastAsia="宋体" w:hint="default"/>
                <w:sz w:val="18"/>
                <w:szCs w:val="18"/>
              </w:rPr>
            </w:pPr>
            <w:r>
              <w:rPr>
                <w:rFonts w:ascii="宋体" w:hAnsi="宋体" w:cs="宋体" w:eastAsia="宋体" w:hint="default"/>
                <w:sz w:val="18"/>
                <w:szCs w:val="18"/>
              </w:rPr>
              <w:t>海南生态软 件园集团有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185,000.00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2" w:right="130"/>
              <w:jc w:val="left"/>
              <w:rPr>
                <w:rFonts w:ascii="宋体" w:hAnsi="宋体" w:cs="宋体" w:eastAsia="宋体" w:hint="default"/>
                <w:sz w:val="18"/>
                <w:szCs w:val="18"/>
              </w:rPr>
            </w:pPr>
            <w:r>
              <w:rPr>
                <w:rFonts w:ascii="宋体" w:hAnsi="宋体" w:cs="宋体" w:eastAsia="宋体" w:hint="default"/>
                <w:sz w:val="18"/>
                <w:szCs w:val="18"/>
              </w:rPr>
              <w:t>财政扶持资 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喀什经济开 发区财政局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77,885.94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49"/>
        <w:ind w:right="1117"/>
        <w:jc w:val="left"/>
      </w:pPr>
      <w:r>
        <w:rPr/>
        <w:t>其他说明：</w:t>
      </w:r>
    </w:p>
    <w:p>
      <w:pPr>
        <w:pStyle w:val="Heading4"/>
        <w:spacing w:line="240" w:lineRule="auto" w:before="94"/>
        <w:ind w:left="364" w:right="1117"/>
        <w:jc w:val="left"/>
      </w:pPr>
      <w:r>
        <w:rPr/>
        <w:t>本期计入营业外收入的政府补助情况详见本章节报告七第</w:t>
      </w:r>
      <w:r>
        <w:rPr>
          <w:rFonts w:ascii="Times New Roman" w:hAnsi="Times New Roman" w:cs="Times New Roman" w:eastAsia="Times New Roman" w:hint="default"/>
        </w:rPr>
        <w:t>72</w:t>
      </w:r>
      <w:r>
        <w:rPr/>
        <w:t>项</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w:t>
      </w:r>
      <w:r>
        <w:rPr/>
        <w:t>之说明。</w:t>
      </w:r>
    </w:p>
    <w:p>
      <w:pPr>
        <w:spacing w:line="240" w:lineRule="auto" w:before="7"/>
        <w:rPr>
          <w:rFonts w:ascii="宋体" w:hAnsi="宋体" w:cs="宋体" w:eastAsia="宋体" w:hint="default"/>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161"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赔偿金、违约金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260,200.00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资产报废、毁损损失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99,386.14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90,202.36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99,386.14</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税收滞纳金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3,118.26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16,981.14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579,386.14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371,501.76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579,386.14</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10,245,872.75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-519,852.81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-6,239,080.17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-4,724,302.14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4,006,792.58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-5,244,154.95</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114,529,662.21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17,179,449.34</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-13,532,985.50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960,889.61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-34,187.07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873,975.08</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-621,679.19</w:t>
            </w:r>
          </w:p>
        </w:tc>
      </w:tr>
      <w:tr>
        <w:trPr>
          <w:trHeight w:val="715"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924,605.38</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-45,324.34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-1,697,950.73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4,006,792.58</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spacing w:line="544" w:lineRule="auto" w:before="120"/>
        <w:ind w:left="152" w:right="88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1117"/>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账户解冻</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20,922,137.16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1,392,737.00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收回投标、履约保证金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9,565,187.93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14,181,717.77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收回备用金借款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988,621.25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4,838,532.45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3,256,763.70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2,677,885.94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收回银行保函保证金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8,418,319.36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2,639,688.81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2,253,696.63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1,900,413.54</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收到的押金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663,460.57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693,615.09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1,377,897.84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561,867.23</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48,838,821.44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27,493,720.83</w:t>
            </w:r>
          </w:p>
        </w:tc>
      </w:tr>
    </w:tbl>
    <w:p>
      <w:pPr>
        <w:pStyle w:val="BodyText"/>
        <w:spacing w:line="240" w:lineRule="auto" w:before="49"/>
        <w:ind w:right="1117"/>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49,328,425.17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52,873,282.43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账户冻结</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20,922,137.16</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支付投标、履约保证金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10,502,203.00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18,500,074.10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支付备用金借款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6,597,691.54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6,945,919.81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支付银行保函保证金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25,322,063.66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3,511,931.19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602,652.00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369,689.96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1,699,879.83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1,684,723.06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94,052,915.20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104,807,757.71</w:t>
            </w:r>
          </w:p>
        </w:tc>
      </w:tr>
    </w:tbl>
    <w:p>
      <w:pPr>
        <w:pStyle w:val="BodyText"/>
        <w:spacing w:line="240" w:lineRule="auto" w:before="49"/>
        <w:ind w:right="1117"/>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民生银行暂存款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69,000,000.00</w:t>
            </w:r>
          </w:p>
        </w:tc>
      </w:tr>
    </w:tbl>
    <w:p>
      <w:pPr>
        <w:pStyle w:val="BodyText"/>
        <w:spacing w:line="240" w:lineRule="auto" w:before="49"/>
        <w:ind w:right="1117"/>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17"/>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黄河借款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8"/>
        <w:rPr>
          <w:rFonts w:ascii="宋体" w:hAnsi="宋体" w:cs="宋体" w:eastAsia="宋体" w:hint="default"/>
          <w:sz w:val="22"/>
          <w:szCs w:val="22"/>
        </w:rPr>
      </w:pPr>
      <w:r>
        <w:rPr/>
        <w:pict>
          <v:group style="position:absolute;margin-left:223.369995pt;margin-top:655.959961pt;width:151.25pt;height:40.8pt;mso-position-horizontal-relative:page;mso-position-vertical-relative:page;z-index:-1028392" coordorigin="4467,13119" coordsize="3025,816">
            <v:group style="position:absolute;left:4478;top:13130;width:2;height:392" coordorigin="4478,13130" coordsize="2,392">
              <v:shape style="position:absolute;left:4478;top:13130;width:2;height:392" coordorigin="4478,13130" coordsize="0,392" path="m4478,13130l4478,13521e" filled="false" stroked="true" strokeweight="1.08pt" strokecolor="#ffffff">
                <v:path arrowok="t"/>
              </v:shape>
            </v:group>
            <v:group style="position:absolute;left:4489;top:13130;width:3003;height:392" coordorigin="4489,13130" coordsize="3003,392">
              <v:shape style="position:absolute;left:4489;top:13130;width:3003;height:392" coordorigin="4489,13130" coordsize="3003,392" path="m4489,13521l7492,13521,7492,13130,4489,13130,4489,13521xe" filled="true" fillcolor="#ffffff" stroked="false">
                <v:path arrowok="t"/>
                <v:fill type="solid"/>
              </v:shape>
            </v:group>
            <v:group style="position:absolute;left:4478;top:13531;width:2;height:394" coordorigin="4478,13531" coordsize="2,394">
              <v:shape style="position:absolute;left:4478;top:13531;width:2;height:394" coordorigin="4478,13531" coordsize="0,394" path="m4478,13531l4478,13924e" filled="false" stroked="true" strokeweight="1.08pt" strokecolor="#ffffff">
                <v:path arrowok="t"/>
              </v:shape>
            </v:group>
            <v:group style="position:absolute;left:4489;top:13531;width:3003;height:394" coordorigin="4489,13531" coordsize="3003,394">
              <v:shape style="position:absolute;left:4489;top:13531;width:3003;height:394" coordorigin="4489,13531" coordsize="3003,394" path="m4489,13924l7492,13924,7492,13531,4489,13531,4489,13924xe" filled="true" fillcolor="#ffffff" stroked="false">
                <v:path arrowok="t"/>
                <v:fill type="solid"/>
              </v:shape>
            </v:group>
            <w10:wrap type="none"/>
          </v:group>
        </w:pict>
      </w:r>
    </w:p>
    <w:p>
      <w:pPr>
        <w:pStyle w:val="BodyText"/>
        <w:spacing w:line="240" w:lineRule="auto" w:before="44"/>
        <w:ind w:right="1117"/>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24,402,666.00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21,757,502.00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偿还借原股东款项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2,516,811.10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1,559,350.99</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融资租赁服务费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69,802,666.00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25,833,664.09</w:t>
            </w:r>
          </w:p>
        </w:tc>
      </w:tr>
    </w:tbl>
    <w:p>
      <w:pPr>
        <w:pStyle w:val="BodyText"/>
        <w:spacing w:line="240" w:lineRule="auto" w:before="49"/>
        <w:ind w:right="1117"/>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110,522,869.63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34,083,629.81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23,478,160.90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9,374,275.00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6,300,100.44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8,056,667.09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19,989,088.49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15,146,157.03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2,282,721.52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1,477,870.90</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-54,098,974.18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-124,221.70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99,386.14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74,202.36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1,862,537.11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1,679,345.52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33,861,940.44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26,950,959.21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36,272.87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743,553.51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tabs>
                <w:tab w:pos="2022" w:val="left" w:leader="none"/>
              </w:tabs>
              <w:spacing w:line="240" w:lineRule="auto" w:before="49"/>
              <w:ind w:left="-119"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-5,647,585.17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-4,192,057.14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tabs>
                <w:tab w:pos="2156" w:val="left" w:leader="none"/>
              </w:tabs>
              <w:spacing w:line="240" w:lineRule="auto" w:before="49"/>
              <w:ind w:left="-119"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-591,495.00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-532,245.00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-21,769,942.38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-53,050,831.48</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50,233,966.43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-135,907,946.58</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69,479,947.85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17,545,692.27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1,980,451.73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-1,773,000.00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238,019,446.82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-80,447,949.20</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357,579,637.71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211,884,541.26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211,884,541.26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251,410,298.50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57,000,000.00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200,695,096.45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-26,525,757.24</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121,731,514.72</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其中：深圳市快读科技有限公司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926" w:right="0"/>
              <w:jc w:val="left"/>
              <w:rPr>
                <w:rFonts w:ascii="宋体" w:hAnsi="宋体" w:cs="宋体" w:eastAsia="宋体" w:hint="default"/>
                <w:sz w:val="18"/>
                <w:szCs w:val="18"/>
              </w:rPr>
            </w:pPr>
            <w:r>
              <w:rPr>
                <w:rFonts w:ascii="宋体" w:hAnsi="宋体" w:cs="宋体" w:eastAsia="宋体" w:hint="default"/>
                <w:sz w:val="18"/>
                <w:szCs w:val="18"/>
              </w:rPr>
              <w:t>喀什尚河信息技术有限公司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36,018,000.00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海南坚果创娱信息技术有限公司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45,713,514.72</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121,731,514.72</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7"/>
        <w:jc w:val="left"/>
      </w:pPr>
      <w:r>
        <w:rPr/>
        <w:t>其他说明：</w:t>
      </w:r>
    </w:p>
    <w:p>
      <w:pPr>
        <w:spacing w:after="0" w:line="240" w:lineRule="auto"/>
        <w:jc w:val="left"/>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357,579,637.71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211,884,541.26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74,651.75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257,841.26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357,504,985.96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211,626,700.00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其中：三个月内到期的理财投资</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482,579,637.71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281,884,541.26</w:t>
            </w:r>
          </w:p>
        </w:tc>
      </w:tr>
    </w:tbl>
    <w:p>
      <w:pPr>
        <w:pStyle w:val="BodyText"/>
        <w:spacing w:line="240" w:lineRule="auto" w:before="49"/>
        <w:ind w:right="1117"/>
        <w:jc w:val="left"/>
      </w:pPr>
      <w:r>
        <w:rPr/>
        <w:t>其他说明：</w:t>
      </w:r>
    </w:p>
    <w:p>
      <w:pPr>
        <w:pStyle w:val="Heading4"/>
        <w:spacing w:line="256" w:lineRule="auto" w:before="94"/>
        <w:ind w:right="1126" w:firstLine="420"/>
        <w:jc w:val="both"/>
      </w:pPr>
      <w:r>
        <w:rPr>
          <w:rFonts w:ascii="Times New Roman" w:hAnsi="Times New Roman" w:cs="Times New Roman" w:eastAsia="Times New Roman" w:hint="default"/>
          <w:spacing w:val="-3"/>
        </w:rPr>
        <w:t>2018</w:t>
      </w:r>
      <w:r>
        <w:rPr>
          <w:spacing w:val="-3"/>
        </w:rPr>
        <w:t>年度现金流量表中现金期末数为</w:t>
      </w:r>
      <w:r>
        <w:rPr>
          <w:rFonts w:ascii="Times New Roman" w:hAnsi="Times New Roman" w:cs="Times New Roman" w:eastAsia="Times New Roman" w:hint="default"/>
          <w:spacing w:val="-3"/>
        </w:rPr>
        <w:t>357,579,637.71</w:t>
      </w:r>
      <w:r>
        <w:rPr>
          <w:spacing w:val="-3"/>
        </w:rPr>
        <w:t>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日资产负债表中货币资金期末数</w:t>
      </w:r>
      <w:r>
        <w:rPr>
          <w:w w:val="100"/>
        </w:rPr>
        <w:t> </w:t>
      </w:r>
      <w:r>
        <w:rPr>
          <w:spacing w:val="-2"/>
        </w:rPr>
        <w:t>为</w:t>
      </w:r>
      <w:r>
        <w:rPr>
          <w:rFonts w:ascii="Times New Roman" w:hAnsi="Times New Roman" w:cs="Times New Roman" w:eastAsia="Times New Roman" w:hint="default"/>
          <w:spacing w:val="-2"/>
        </w:rPr>
        <w:t>389,459,678.51</w:t>
      </w:r>
      <w:r>
        <w:rPr>
          <w:spacing w:val="-2"/>
        </w:rPr>
        <w:t>元，差额</w:t>
      </w:r>
      <w:r>
        <w:rPr>
          <w:rFonts w:ascii="Times New Roman" w:hAnsi="Times New Roman" w:cs="Times New Roman" w:eastAsia="Times New Roman" w:hint="default"/>
          <w:spacing w:val="-2"/>
        </w:rPr>
        <w:t>31,880,040.80</w:t>
      </w:r>
      <w:r>
        <w:rPr>
          <w:spacing w:val="-2"/>
        </w:rPr>
        <w:t>元，系现金流量表现金期末数扣除了不符合现金及现金等价物标准</w:t>
      </w:r>
      <w:r>
        <w:rPr>
          <w:spacing w:val="-13"/>
        </w:rPr>
        <w:t> </w:t>
      </w:r>
      <w:r>
        <w:rPr>
          <w:spacing w:val="-13"/>
        </w:rPr>
      </w:r>
      <w:r>
        <w:rPr/>
        <w:t>的保函保证金</w:t>
      </w:r>
      <w:r>
        <w:rPr>
          <w:rFonts w:ascii="Times New Roman" w:hAnsi="Times New Roman" w:cs="Times New Roman" w:eastAsia="Times New Roman" w:hint="default"/>
        </w:rPr>
        <w:t>31,880,040.80</w:t>
      </w:r>
      <w:r>
        <w:rPr/>
        <w:t>元。</w:t>
      </w:r>
    </w:p>
    <w:p>
      <w:pPr>
        <w:pStyle w:val="Heading4"/>
        <w:spacing w:line="256" w:lineRule="auto"/>
        <w:ind w:right="1126" w:firstLine="422"/>
        <w:jc w:val="both"/>
      </w:pPr>
      <w:r>
        <w:rPr>
          <w:rFonts w:ascii="Times New Roman" w:hAnsi="Times New Roman" w:cs="Times New Roman" w:eastAsia="Times New Roman" w:hint="default"/>
          <w:spacing w:val="-3"/>
        </w:rPr>
        <w:t>2017</w:t>
      </w:r>
      <w:r>
        <w:rPr>
          <w:spacing w:val="-3"/>
        </w:rPr>
        <w:t>年度现金流量表中现金期末数为</w:t>
      </w:r>
      <w:r>
        <w:rPr>
          <w:rFonts w:ascii="Times New Roman" w:hAnsi="Times New Roman" w:cs="Times New Roman" w:eastAsia="Times New Roman" w:hint="default"/>
          <w:spacing w:val="-3"/>
        </w:rPr>
        <w:t>211,884,541.26</w:t>
      </w:r>
      <w:r>
        <w:rPr>
          <w:spacing w:val="-3"/>
        </w:rPr>
        <w:t>元，</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日资产负债表中货币资金期末数</w:t>
      </w:r>
      <w:r>
        <w:rPr>
          <w:w w:val="100"/>
        </w:rPr>
        <w:t> </w:t>
      </w:r>
      <w:r>
        <w:rPr>
          <w:spacing w:val="-2"/>
        </w:rPr>
        <w:t>为</w:t>
      </w:r>
      <w:r>
        <w:rPr>
          <w:rFonts w:ascii="Times New Roman" w:hAnsi="Times New Roman" w:cs="Times New Roman" w:eastAsia="Times New Roman" w:hint="default"/>
          <w:spacing w:val="-2"/>
        </w:rPr>
        <w:t>247,783,178.92</w:t>
      </w:r>
      <w:r>
        <w:rPr>
          <w:spacing w:val="-2"/>
        </w:rPr>
        <w:t>元，差额</w:t>
      </w:r>
      <w:r>
        <w:rPr>
          <w:rFonts w:ascii="Times New Roman" w:hAnsi="Times New Roman" w:cs="Times New Roman" w:eastAsia="Times New Roman" w:hint="default"/>
          <w:spacing w:val="-2"/>
        </w:rPr>
        <w:t>35,898,637.66</w:t>
      </w:r>
      <w:r>
        <w:rPr>
          <w:spacing w:val="-2"/>
        </w:rPr>
        <w:t>元，系现金流量表现金期末数扣除了不符合现金及现金等价物标准</w:t>
      </w:r>
      <w:r>
        <w:rPr>
          <w:spacing w:val="-13"/>
        </w:rPr>
        <w:t> </w:t>
      </w:r>
      <w:r>
        <w:rPr>
          <w:spacing w:val="-13"/>
        </w:rPr>
      </w:r>
      <w:r>
        <w:rPr/>
        <w:t>的保函保证金</w:t>
      </w:r>
      <w:r>
        <w:rPr>
          <w:rFonts w:ascii="Times New Roman" w:hAnsi="Times New Roman" w:cs="Times New Roman" w:eastAsia="Times New Roman" w:hint="default"/>
        </w:rPr>
        <w:t>14,976,500.50</w:t>
      </w:r>
      <w:r>
        <w:rPr/>
        <w:t>元</w:t>
      </w:r>
      <w:r>
        <w:rPr>
          <w:rFonts w:ascii="Times New Roman" w:hAnsi="Times New Roman" w:cs="Times New Roman" w:eastAsia="Times New Roman" w:hint="default"/>
        </w:rPr>
        <w:t>,</w:t>
      </w:r>
      <w:r>
        <w:rPr/>
        <w:t>账户冻结</w:t>
      </w:r>
      <w:r>
        <w:rPr>
          <w:rFonts w:ascii="Times New Roman" w:hAnsi="Times New Roman" w:cs="Times New Roman" w:eastAsia="Times New Roman" w:hint="default"/>
        </w:rPr>
        <w:t>20,922,137.16</w:t>
      </w:r>
      <w:r>
        <w:rPr/>
        <w:t>元，冻结款项已于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日解除冻结。</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spacing w:line="544" w:lineRule="auto" w:before="0"/>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81"/>
        <w:gridCol w:w="3161"/>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81" w:type="dxa"/>
            <w:tcBorders>
              <w:top w:val="single" w:sz="4" w:space="0" w:color="000000"/>
              <w:left w:val="single" w:sz="10" w:space="0" w:color="D2D2D2"/>
              <w:bottom w:val="single" w:sz="4" w:space="0" w:color="000000"/>
              <w:right w:val="single" w:sz="13" w:space="0" w:color="CCE8C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31,880,040.80</w:t>
            </w:r>
          </w:p>
        </w:tc>
        <w:tc>
          <w:tcPr>
            <w:tcW w:w="31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81"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31,880,040.80</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2"/>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308" w:right="0"/>
              <w:jc w:val="left"/>
              <w:rPr>
                <w:rFonts w:ascii="Times New Roman" w:hAnsi="Times New Roman" w:cs="Times New Roman" w:eastAsia="Times New Roman" w:hint="default"/>
                <w:sz w:val="18"/>
                <w:szCs w:val="18"/>
              </w:rPr>
            </w:pPr>
            <w:r>
              <w:rPr>
                <w:rFonts w:ascii="Times New Roman"/>
                <w:sz w:val="18"/>
              </w:rPr>
              <w:t>3,885,173.14</w:t>
            </w:r>
          </w:p>
        </w:tc>
        <w:tc>
          <w:tcPr>
            <w:tcW w:w="23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left="1322" w:right="0"/>
              <w:jc w:val="left"/>
              <w:rPr>
                <w:rFonts w:ascii="Times New Roman" w:hAnsi="Times New Roman" w:cs="Times New Roman" w:eastAsia="Times New Roman" w:hint="default"/>
                <w:sz w:val="18"/>
                <w:szCs w:val="18"/>
              </w:rPr>
            </w:pPr>
            <w:r>
              <w:rPr>
                <w:rFonts w:ascii="Times New Roman"/>
                <w:sz w:val="18"/>
              </w:rPr>
              <w:t>26,664,720.29</w:t>
            </w:r>
          </w:p>
        </w:tc>
      </w:tr>
    </w:tbl>
    <w:p>
      <w:pPr>
        <w:spacing w:after="0" w:line="240" w:lineRule="auto"/>
        <w:jc w:val="lef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2484"/>
        <w:gridCol w:w="2305"/>
        <w:gridCol w:w="2380"/>
        <w:gridCol w:w="2402"/>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05" w:type="dxa"/>
            <w:tcBorders>
              <w:top w:val="single" w:sz="4" w:space="0" w:color="000000"/>
              <w:left w:val="single" w:sz="10" w:space="0" w:color="CCE8CF"/>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95" w:right="0"/>
              <w:jc w:val="left"/>
              <w:rPr>
                <w:rFonts w:ascii="Times New Roman" w:hAnsi="Times New Roman" w:cs="Times New Roman" w:eastAsia="Times New Roman" w:hint="default"/>
                <w:sz w:val="18"/>
                <w:szCs w:val="18"/>
              </w:rPr>
            </w:pPr>
            <w:r>
              <w:rPr>
                <w:rFonts w:ascii="Times New Roman"/>
                <w:sz w:val="18"/>
              </w:rPr>
              <w:t>--</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117"/>
              <w:jc w:val="right"/>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379,864.33</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2,607,084.87</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11,500,000.00</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78,926,800.00</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11,500,000.00</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78,926,800.00</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249,276.67</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1,710,835.63</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249,276.67</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1,710,835.63</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11,372.86</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78,054.21</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11,372.86</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78,054.21</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57,248.56</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392,908.32</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57,248.56</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392,908.32</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4,600.00</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31,570.72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4,600.00</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6.8632</w:t>
            </w: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31,570.72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95" w:right="0"/>
              <w:jc w:val="left"/>
              <w:rPr>
                <w:rFonts w:ascii="Times New Roman" w:hAnsi="Times New Roman" w:cs="Times New Roman" w:eastAsia="Times New Roman" w:hint="default"/>
                <w:sz w:val="18"/>
                <w:szCs w:val="18"/>
              </w:rPr>
            </w:pPr>
            <w:r>
              <w:rPr>
                <w:rFonts w:ascii="Times New Roman"/>
                <w:sz w:val="18"/>
              </w:rPr>
              <w:t>--</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117"/>
              <w:jc w:val="right"/>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05" w:type="dxa"/>
            <w:tcBorders>
              <w:top w:val="single" w:sz="4" w:space="0" w:color="000000"/>
              <w:left w:val="single" w:sz="10" w:space="0" w:color="CCE8CF"/>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59" w:lineRule="auto" w:before="118"/>
        <w:ind w:right="1117"/>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240" w:lineRule="auto" w:before="83"/>
        <w:ind w:right="1117"/>
        <w:jc w:val="left"/>
      </w:pPr>
      <w:r>
        <w:rPr/>
        <w:t>本公司有如下境外经营实体：</w:t>
      </w:r>
    </w:p>
    <w:p>
      <w:pPr>
        <w:pStyle w:val="Heading4"/>
        <w:numPr>
          <w:ilvl w:val="0"/>
          <w:numId w:val="1"/>
        </w:numPr>
        <w:tabs>
          <w:tab w:pos="451" w:val="left" w:leader="none"/>
        </w:tabs>
        <w:spacing w:line="240" w:lineRule="auto" w:before="37" w:after="0"/>
        <w:ind w:left="152" w:right="1117" w:firstLine="0"/>
        <w:jc w:val="left"/>
      </w:pPr>
      <w:r>
        <w:rPr>
          <w:rFonts w:ascii="Times New Roman" w:hAnsi="Times New Roman" w:cs="Times New Roman" w:eastAsia="Times New Roman" w:hint="default"/>
        </w:rPr>
        <w:t>Nuts Information Technology</w:t>
      </w:r>
      <w:r>
        <w:rPr>
          <w:rFonts w:ascii="Times New Roman" w:hAnsi="Times New Roman" w:cs="Times New Roman" w:eastAsia="Times New Roman" w:hint="default"/>
          <w:spacing w:val="-15"/>
        </w:rPr>
        <w:t> </w:t>
      </w:r>
      <w:r>
        <w:rPr>
          <w:rFonts w:ascii="Times New Roman" w:hAnsi="Times New Roman" w:cs="Times New Roman" w:eastAsia="Times New Roman" w:hint="default"/>
        </w:rPr>
        <w:t>CO.,Limited</w:t>
      </w:r>
      <w:r>
        <w:rPr/>
        <w:t>公司，主要经营地为香港，记账本位币为美元；</w:t>
      </w:r>
    </w:p>
    <w:p>
      <w:pPr>
        <w:pStyle w:val="Heading4"/>
        <w:numPr>
          <w:ilvl w:val="0"/>
          <w:numId w:val="1"/>
        </w:numPr>
        <w:tabs>
          <w:tab w:pos="451" w:val="left" w:leader="none"/>
        </w:tabs>
        <w:spacing w:line="264" w:lineRule="auto" w:before="21" w:after="0"/>
        <w:ind w:left="152" w:right="1129" w:firstLine="0"/>
        <w:jc w:val="left"/>
      </w:pPr>
      <w:r>
        <w:rPr>
          <w:rFonts w:ascii="Times New Roman" w:hAnsi="Times New Roman" w:cs="Times New Roman" w:eastAsia="Times New Roman" w:hint="default"/>
        </w:rPr>
        <w:t>Nuts Information Technology</w:t>
      </w:r>
      <w:r>
        <w:rPr>
          <w:rFonts w:ascii="Times New Roman" w:hAnsi="Times New Roman" w:cs="Times New Roman" w:eastAsia="Times New Roman" w:hint="default"/>
          <w:spacing w:val="-5"/>
        </w:rPr>
        <w:t> </w:t>
      </w:r>
      <w:r>
        <w:rPr>
          <w:rFonts w:ascii="Times New Roman" w:hAnsi="Times New Roman" w:cs="Times New Roman" w:eastAsia="Times New Roman" w:hint="default"/>
        </w:rPr>
        <w:t>Limited</w:t>
      </w:r>
      <w:r>
        <w:rPr/>
        <w:t>公司，主要经营地为塞舌尔共和国，记账本位币为美元。</w:t>
      </w:r>
      <w:r>
        <w:rPr>
          <w:w w:val="100"/>
        </w:rPr>
        <w:t> </w:t>
      </w:r>
      <w:r>
        <w:rPr>
          <w:spacing w:val="-2"/>
        </w:rPr>
        <w:t>本公司之境外二级子公司根据其经营所处的主要经济环境中的货币确定美元为其记账本位币，本期上述境</w:t>
      </w:r>
      <w:r>
        <w:rPr>
          <w:spacing w:val="-43"/>
        </w:rPr>
        <w:t> </w:t>
      </w:r>
      <w:r>
        <w:rPr>
          <w:spacing w:val="-43"/>
        </w:rPr>
      </w:r>
      <w:r>
        <w:rPr/>
        <w:t>外经营实体的记账本位币没有发生变化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3"/>
        <w:spacing w:line="240" w:lineRule="auto"/>
        <w:ind w:right="1117"/>
        <w:jc w:val="left"/>
        <w:rPr>
          <w:b w:val="0"/>
          <w:bCs w:val="0"/>
        </w:rPr>
      </w:pPr>
      <w:r>
        <w:rPr>
          <w:rFonts w:ascii="Times New Roman" w:hAnsi="Times New Roman" w:cs="Times New Roman" w:eastAsia="Times New Roman" w:hint="default"/>
        </w:rPr>
        <w:t>72</w:t>
      </w:r>
      <w:r>
        <w:rPr/>
        <w:t>、套期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7"/>
        <w:jc w:val="left"/>
      </w:pPr>
      <w:r>
        <w:rPr/>
        <w:t>按照套期类别披露套期项目及相关套期工具、被套期风险的定性和定量信息：</w:t>
      </w:r>
    </w:p>
    <w:p>
      <w:pPr>
        <w:spacing w:after="0" w:line="240" w:lineRule="auto"/>
        <w:jc w:val="left"/>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上市中介费补贴款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静投办补助款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税收扶持款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高新技术企业认定奖励拨款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财政贴息款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402,200.00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-402,200.00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645,205.35</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645,205.35</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2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面向汽车零售的互联网融资 租赁平台</w:t>
            </w:r>
            <w:r>
              <w:rPr>
                <w:rFonts w:ascii="Times New Roman" w:hAnsi="Times New Roman" w:cs="Times New Roman" w:eastAsia="Times New Roman" w:hint="default"/>
                <w:sz w:val="18"/>
                <w:szCs w:val="18"/>
              </w:rPr>
              <w:t>"</w:t>
            </w:r>
            <w:r>
              <w:rPr>
                <w:rFonts w:ascii="宋体" w:hAnsi="宋体" w:cs="宋体" w:eastAsia="宋体" w:hint="default"/>
                <w:sz w:val="18"/>
                <w:szCs w:val="18"/>
              </w:rPr>
              <w:t>财政专项扶持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79,563.70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79,563.70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3,301,969.05</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Heading4"/>
        <w:spacing w:line="256" w:lineRule="auto" w:before="18"/>
        <w:ind w:right="1126" w:firstLine="420"/>
        <w:jc w:val="both"/>
      </w:pPr>
      <w:r>
        <w:rPr>
          <w:rFonts w:ascii="Times New Roman" w:hAnsi="Times New Roman" w:cs="Times New Roman" w:eastAsia="Times New Roman" w:hint="default"/>
          <w:spacing w:val="-2"/>
        </w:rPr>
        <w:t>(1)2018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日，公司收到北京市海淀区人民政府办公室上市中介费补贴拨款</w:t>
      </w:r>
      <w:r>
        <w:rPr>
          <w:rFonts w:ascii="Times New Roman" w:hAnsi="Times New Roman" w:cs="Times New Roman" w:eastAsia="Times New Roman" w:hint="default"/>
          <w:spacing w:val="-2"/>
        </w:rPr>
        <w:t>90.00</w:t>
      </w:r>
      <w:r>
        <w:rPr>
          <w:spacing w:val="-2"/>
        </w:rPr>
        <w:t>万元，系与收益</w:t>
      </w:r>
      <w:r>
        <w:rPr>
          <w:w w:val="100"/>
        </w:rPr>
        <w:t> </w:t>
      </w:r>
      <w:r>
        <w:rPr/>
        <w:t>相关的政府补助，且与公司日常经营活动相关，已全额计入</w:t>
      </w:r>
      <w:r>
        <w:rPr>
          <w:rFonts w:ascii="Times New Roman" w:hAnsi="Times New Roman" w:cs="Times New Roman" w:eastAsia="Times New Roman" w:hint="default"/>
        </w:rPr>
        <w:t>2018</w:t>
      </w:r>
      <w:r>
        <w:rPr/>
        <w:t>年其他收益。</w:t>
      </w:r>
    </w:p>
    <w:p>
      <w:pPr>
        <w:pStyle w:val="Heading4"/>
        <w:spacing w:line="256" w:lineRule="auto"/>
        <w:ind w:right="1166" w:firstLine="420"/>
        <w:jc w:val="both"/>
      </w:pPr>
      <w:r>
        <w:rPr>
          <w:rFonts w:ascii="Times New Roman" w:hAnsi="Times New Roman" w:cs="Times New Roman" w:eastAsia="Times New Roman" w:hint="default"/>
          <w:spacing w:val="-2"/>
        </w:rPr>
        <w:t>(2)</w:t>
      </w:r>
      <w:r>
        <w:rPr>
          <w:spacing w:val="-2"/>
        </w:rPr>
        <w:t>根据上海市静安区投资服务办公室下发的</w:t>
      </w:r>
      <w:r>
        <w:rPr>
          <w:rFonts w:ascii="Times New Roman" w:hAnsi="Times New Roman" w:cs="Times New Roman" w:eastAsia="Times New Roman" w:hint="default"/>
          <w:spacing w:val="-2"/>
        </w:rPr>
        <w:t>“</w:t>
      </w:r>
      <w:r>
        <w:rPr>
          <w:spacing w:val="-2"/>
        </w:rPr>
        <w:t>静投办拨字</w:t>
      </w:r>
      <w:r>
        <w:rPr>
          <w:rFonts w:ascii="Times New Roman" w:hAnsi="Times New Roman" w:cs="Times New Roman" w:eastAsia="Times New Roman" w:hint="default"/>
          <w:spacing w:val="-2"/>
        </w:rPr>
        <w:t>[2014]08</w:t>
      </w:r>
      <w:r>
        <w:rPr>
          <w:spacing w:val="-2"/>
        </w:rPr>
        <w:t>号</w:t>
      </w:r>
      <w:r>
        <w:rPr>
          <w:rFonts w:ascii="Times New Roman" w:hAnsi="Times New Roman" w:cs="Times New Roman" w:eastAsia="Times New Roman" w:hint="default"/>
          <w:spacing w:val="-2"/>
        </w:rPr>
        <w:t>”</w:t>
      </w:r>
      <w:r>
        <w:rPr>
          <w:spacing w:val="-2"/>
        </w:rPr>
        <w:t>文，公司于</w:t>
      </w:r>
      <w:r>
        <w:rPr>
          <w:rFonts w:ascii="Times New Roman" w:hAnsi="Times New Roman" w:cs="Times New Roman" w:eastAsia="Times New Roman" w:hint="default"/>
          <w:spacing w:val="-2"/>
        </w:rPr>
        <w:t>2018</w:t>
      </w:r>
      <w:r>
        <w:rPr>
          <w:spacing w:val="-2"/>
        </w:rPr>
        <w:t>年收到财政补贴</w:t>
      </w:r>
      <w:r>
        <w:rPr>
          <w:w w:val="100"/>
        </w:rPr>
        <w:t> </w:t>
      </w:r>
      <w:r>
        <w:rPr>
          <w:rFonts w:ascii="Times New Roman" w:hAnsi="Times New Roman" w:cs="Times New Roman" w:eastAsia="Times New Roman" w:hint="default"/>
        </w:rPr>
        <w:t>21.00</w:t>
      </w:r>
      <w:r>
        <w:rPr/>
        <w:t>万元，系与收益相关的政府补助，且与公司日常经营活动无关，已全额计入</w:t>
      </w:r>
      <w:r>
        <w:rPr>
          <w:rFonts w:ascii="Times New Roman" w:hAnsi="Times New Roman" w:cs="Times New Roman" w:eastAsia="Times New Roman" w:hint="default"/>
        </w:rPr>
        <w:t>2018</w:t>
      </w:r>
      <w:r>
        <w:rPr/>
        <w:t>年度营业外收入。</w:t>
      </w:r>
    </w:p>
    <w:p>
      <w:pPr>
        <w:pStyle w:val="Heading4"/>
        <w:spacing w:line="256" w:lineRule="auto"/>
        <w:ind w:right="1126" w:firstLine="420"/>
        <w:jc w:val="both"/>
      </w:pPr>
      <w:r>
        <w:rPr>
          <w:rFonts w:ascii="Times New Roman" w:hAnsi="Times New Roman" w:cs="Times New Roman" w:eastAsia="Times New Roman" w:hint="default"/>
          <w:spacing w:val="-3"/>
        </w:rPr>
        <w:t>(3)</w:t>
      </w:r>
      <w:r>
        <w:rPr>
          <w:spacing w:val="-3"/>
        </w:rPr>
        <w:t>因符合地方政府招商引资等地方性扶持政策，上海市徐汇区政府给予税收扶持，公司</w:t>
      </w:r>
      <w:r>
        <w:rPr>
          <w:rFonts w:ascii="Times New Roman" w:hAnsi="Times New Roman" w:cs="Times New Roman" w:eastAsia="Times New Roman" w:hint="default"/>
          <w:spacing w:val="-3"/>
        </w:rPr>
        <w:t>2018</w:t>
      </w:r>
      <w:r>
        <w:rPr>
          <w:spacing w:val="-3"/>
        </w:rPr>
        <w:t>年度收到</w:t>
      </w:r>
      <w:r>
        <w:rPr>
          <w:w w:val="100"/>
        </w:rPr>
        <w:t> </w:t>
      </w:r>
      <w:r>
        <w:rPr>
          <w:spacing w:val="-3"/>
        </w:rPr>
        <w:t>税收扶持资金</w:t>
      </w:r>
      <w:r>
        <w:rPr>
          <w:rFonts w:ascii="Times New Roman" w:hAnsi="Times New Roman" w:cs="Times New Roman" w:eastAsia="Times New Roman" w:hint="default"/>
          <w:spacing w:val="-3"/>
        </w:rPr>
        <w:t>38.00</w:t>
      </w:r>
      <w:r>
        <w:rPr>
          <w:spacing w:val="-3"/>
        </w:rPr>
        <w:t>万元，系与收益相关的政府补助，且与公司日常经营活动无关，已全额计入</w:t>
      </w:r>
      <w:r>
        <w:rPr>
          <w:rFonts w:ascii="Times New Roman" w:hAnsi="Times New Roman" w:cs="Times New Roman" w:eastAsia="Times New Roman" w:hint="default"/>
          <w:spacing w:val="-3"/>
        </w:rPr>
        <w:t>2018</w:t>
      </w:r>
      <w:r>
        <w:rPr>
          <w:spacing w:val="-3"/>
        </w:rPr>
        <w:t>年营业</w:t>
      </w:r>
      <w:r>
        <w:rPr>
          <w:spacing w:val="-39"/>
        </w:rPr>
        <w:t> </w:t>
      </w:r>
      <w:r>
        <w:rPr>
          <w:spacing w:val="-39"/>
        </w:rPr>
      </w:r>
      <w:r>
        <w:rPr/>
        <w:t>外收入。</w:t>
      </w:r>
    </w:p>
    <w:p>
      <w:pPr>
        <w:pStyle w:val="Heading4"/>
        <w:spacing w:line="256" w:lineRule="auto" w:before="22"/>
        <w:ind w:right="1023" w:firstLine="420"/>
        <w:jc w:val="both"/>
      </w:pPr>
      <w:r>
        <w:rPr>
          <w:rFonts w:ascii="Times New Roman" w:hAnsi="Times New Roman" w:cs="Times New Roman" w:eastAsia="Times New Roman" w:hint="default"/>
        </w:rPr>
        <w:t>(4)</w:t>
      </w:r>
      <w:r>
        <w:rPr/>
        <w:t>根据南京市科学技术委员会、南京市财政局下发的宁科</w:t>
      </w:r>
      <w:r>
        <w:rPr>
          <w:rFonts w:ascii="Times New Roman" w:hAnsi="Times New Roman" w:cs="Times New Roman" w:eastAsia="Times New Roman" w:hint="default"/>
        </w:rPr>
        <w:t>[2018]138</w:t>
      </w:r>
      <w:r>
        <w:rPr/>
        <w:t>号</w:t>
      </w:r>
      <w:r>
        <w:rPr>
          <w:rFonts w:ascii="Times New Roman" w:hAnsi="Times New Roman" w:cs="Times New Roman" w:eastAsia="Times New Roman" w:hint="default"/>
        </w:rPr>
        <w:t>/</w:t>
      </w:r>
      <w:r>
        <w:rPr/>
        <w:t>宁财教</w:t>
      </w:r>
      <w:r>
        <w:rPr>
          <w:rFonts w:ascii="Times New Roman" w:hAnsi="Times New Roman" w:cs="Times New Roman" w:eastAsia="Times New Roman" w:hint="default"/>
        </w:rPr>
        <w:t>[2018]297</w:t>
      </w:r>
      <w:r>
        <w:rPr/>
        <w:t>号《关于下达</w:t>
      </w:r>
      <w:r>
        <w:rPr>
          <w:w w:val="100"/>
        </w:rPr>
        <w:t> </w:t>
      </w:r>
      <w:r>
        <w:rPr>
          <w:spacing w:val="-2"/>
        </w:rPr>
        <w:t>南京市</w:t>
      </w:r>
      <w:r>
        <w:rPr>
          <w:rFonts w:ascii="Times New Roman" w:hAnsi="Times New Roman" w:cs="Times New Roman" w:eastAsia="Times New Roman" w:hint="default"/>
          <w:spacing w:val="-2"/>
        </w:rPr>
        <w:t>2018</w:t>
      </w:r>
      <w:r>
        <w:rPr>
          <w:spacing w:val="-2"/>
        </w:rPr>
        <w:t>年度科技发展计划及科技经费指标的通知（第二批）》，公司于</w:t>
      </w:r>
      <w:r>
        <w:rPr>
          <w:rFonts w:ascii="Times New Roman" w:hAnsi="Times New Roman" w:cs="Times New Roman" w:eastAsia="Times New Roman" w:hint="default"/>
          <w:spacing w:val="-2"/>
        </w:rPr>
        <w:t>2018</w:t>
      </w:r>
      <w:r>
        <w:rPr>
          <w:spacing w:val="-2"/>
        </w:rPr>
        <w:t>年度收到高新技术企业认</w:t>
      </w:r>
      <w:r>
        <w:rPr>
          <w:spacing w:val="-39"/>
        </w:rPr>
        <w:t> </w:t>
      </w:r>
      <w:r>
        <w:rPr>
          <w:spacing w:val="-39"/>
        </w:rPr>
      </w:r>
      <w:r>
        <w:rPr>
          <w:spacing w:val="-1"/>
        </w:rPr>
        <w:t>定奖励款</w:t>
      </w:r>
      <w:r>
        <w:rPr>
          <w:rFonts w:ascii="Times New Roman" w:hAnsi="Times New Roman" w:cs="Times New Roman" w:eastAsia="Times New Roman" w:hint="default"/>
          <w:spacing w:val="-1"/>
        </w:rPr>
        <w:t>50.00</w:t>
      </w:r>
      <w:r>
        <w:rPr>
          <w:spacing w:val="-1"/>
        </w:rPr>
        <w:t>万元，系与收益相关的政府补助，且与日常经营活动无关，已全额计入</w:t>
      </w:r>
      <w:r>
        <w:rPr>
          <w:rFonts w:ascii="Times New Roman" w:hAnsi="Times New Roman" w:cs="Times New Roman" w:eastAsia="Times New Roman" w:hint="default"/>
          <w:spacing w:val="-1"/>
        </w:rPr>
        <w:t>2018</w:t>
      </w:r>
      <w:r>
        <w:rPr>
          <w:spacing w:val="-1"/>
        </w:rPr>
        <w:t>年营业外收入。</w:t>
      </w:r>
      <w:r>
        <w:rPr/>
      </w:r>
    </w:p>
    <w:p>
      <w:pPr>
        <w:pStyle w:val="Heading4"/>
        <w:spacing w:line="256" w:lineRule="auto"/>
        <w:ind w:right="1126" w:firstLine="420"/>
        <w:jc w:val="both"/>
      </w:pPr>
      <w:r>
        <w:rPr>
          <w:rFonts w:ascii="Times New Roman" w:hAnsi="Times New Roman" w:cs="Times New Roman" w:eastAsia="Times New Roman" w:hint="default"/>
          <w:spacing w:val="-1"/>
        </w:rPr>
        <w:t>(5)</w:t>
      </w:r>
      <w:r>
        <w:rPr>
          <w:spacing w:val="-1"/>
        </w:rPr>
        <w:t>根据海南省政府</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52</w:t>
      </w:r>
      <w:r>
        <w:rPr>
          <w:spacing w:val="-1"/>
        </w:rPr>
        <w:t>）号文《海南省鼓励和支持战略性新兴产业和高新技术产业发展的若干</w:t>
      </w:r>
      <w:r>
        <w:rPr>
          <w:w w:val="100"/>
        </w:rPr>
        <w:t> </w:t>
      </w:r>
      <w:r>
        <w:rPr>
          <w:spacing w:val="-2"/>
        </w:rPr>
        <w:t>政策》第二十一条及第三十四条之规定，经海南生态软件园区管理机构认定，公司</w:t>
      </w:r>
      <w:r>
        <w:rPr>
          <w:rFonts w:ascii="Times New Roman" w:hAnsi="Times New Roman" w:cs="Times New Roman" w:eastAsia="Times New Roman" w:hint="default"/>
          <w:spacing w:val="-2"/>
        </w:rPr>
        <w:t>2018</w:t>
      </w:r>
      <w:r>
        <w:rPr>
          <w:spacing w:val="-2"/>
        </w:rPr>
        <w:t>年收到政府扶持资</w:t>
      </w:r>
      <w:r>
        <w:rPr>
          <w:spacing w:val="-41"/>
        </w:rPr>
        <w:t> </w:t>
      </w:r>
      <w:r>
        <w:rPr>
          <w:spacing w:val="-41"/>
        </w:rPr>
      </w:r>
      <w:r>
        <w:rPr/>
        <w:t>金</w:t>
      </w:r>
      <w:r>
        <w:rPr>
          <w:rFonts w:ascii="Times New Roman" w:hAnsi="Times New Roman" w:cs="Times New Roman" w:eastAsia="Times New Roman" w:hint="default"/>
        </w:rPr>
        <w:t>18.50</w:t>
      </w:r>
      <w:r>
        <w:rPr/>
        <w:t>万元，系与收益相关的政府补助，且与公司日常经营无关，已全额计入</w:t>
      </w:r>
      <w:r>
        <w:rPr>
          <w:rFonts w:ascii="Times New Roman" w:hAnsi="Times New Roman" w:cs="Times New Roman" w:eastAsia="Times New Roman" w:hint="default"/>
        </w:rPr>
        <w:t>2018</w:t>
      </w:r>
      <w:r>
        <w:rPr/>
        <w:t>年营业外收入。</w:t>
      </w:r>
    </w:p>
    <w:p>
      <w:pPr>
        <w:pStyle w:val="Heading4"/>
        <w:spacing w:line="256" w:lineRule="auto"/>
        <w:ind w:right="1129" w:firstLine="420"/>
        <w:jc w:val="both"/>
      </w:pPr>
      <w:r>
        <w:rPr>
          <w:rFonts w:ascii="Times New Roman" w:hAnsi="Times New Roman" w:cs="Times New Roman" w:eastAsia="Times New Roman" w:hint="default"/>
        </w:rPr>
        <w:t>(6)</w:t>
      </w:r>
      <w:r>
        <w:rPr/>
        <w:t>因符合《徐汇区贴息贴费专项资金管理办法》的认定，本公司收到财政贴息款</w:t>
      </w:r>
      <w:r>
        <w:rPr>
          <w:rFonts w:ascii="Times New Roman" w:hAnsi="Times New Roman" w:cs="Times New Roman" w:eastAsia="Times New Roman" w:hint="default"/>
        </w:rPr>
        <w:t>10.45</w:t>
      </w:r>
      <w:r>
        <w:rPr/>
        <w:t>万元，系与收</w:t>
      </w:r>
      <w:r>
        <w:rPr>
          <w:w w:val="100"/>
        </w:rPr>
        <w:t> </w:t>
      </w:r>
      <w:r>
        <w:rPr/>
        <w:t>益相关的政府补助，且与公司日常经营活动无关，已全额冲减</w:t>
      </w:r>
      <w:r>
        <w:rPr>
          <w:rFonts w:ascii="Times New Roman" w:hAnsi="Times New Roman" w:cs="Times New Roman" w:eastAsia="Times New Roman" w:hint="default"/>
        </w:rPr>
        <w:t>2018</w:t>
      </w:r>
      <w:r>
        <w:rPr/>
        <w:t>年财务费用。</w:t>
      </w:r>
    </w:p>
    <w:p>
      <w:pPr>
        <w:pStyle w:val="Heading4"/>
        <w:spacing w:line="256" w:lineRule="auto"/>
        <w:ind w:right="1128" w:firstLine="420"/>
        <w:jc w:val="both"/>
      </w:pPr>
      <w:r>
        <w:rPr>
          <w:rFonts w:ascii="Times New Roman" w:hAnsi="Times New Roman" w:cs="Times New Roman" w:eastAsia="Times New Roman" w:hint="default"/>
          <w:spacing w:val="-2"/>
        </w:rPr>
        <w:t>(7)2018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日，公司收到北京市海淀区人民政府办公室财政贴息款</w:t>
      </w:r>
      <w:r>
        <w:rPr>
          <w:rFonts w:ascii="Times New Roman" w:hAnsi="Times New Roman" w:cs="Times New Roman" w:eastAsia="Times New Roman" w:hint="default"/>
          <w:spacing w:val="-2"/>
        </w:rPr>
        <w:t>29.77</w:t>
      </w:r>
      <w:r>
        <w:rPr>
          <w:spacing w:val="-2"/>
        </w:rPr>
        <w:t>万元，系与收益相关的政</w:t>
      </w:r>
      <w:r>
        <w:rPr>
          <w:w w:val="100"/>
        </w:rPr>
        <w:t> </w:t>
      </w:r>
      <w:r>
        <w:rPr/>
        <w:t>府补助，且与公司日常经营活动无关，已全额冲减</w:t>
      </w:r>
      <w:r>
        <w:rPr>
          <w:rFonts w:ascii="Times New Roman" w:hAnsi="Times New Roman" w:cs="Times New Roman" w:eastAsia="Times New Roman" w:hint="default"/>
        </w:rPr>
        <w:t>2018</w:t>
      </w:r>
      <w:r>
        <w:rPr/>
        <w:t>年财务费用。</w:t>
      </w:r>
    </w:p>
    <w:p>
      <w:pPr>
        <w:pStyle w:val="Heading4"/>
        <w:spacing w:line="240" w:lineRule="auto"/>
        <w:ind w:left="573" w:right="991"/>
        <w:jc w:val="left"/>
      </w:pPr>
      <w:r>
        <w:rPr>
          <w:rFonts w:ascii="Times New Roman" w:hAnsi="Times New Roman" w:cs="Times New Roman" w:eastAsia="Times New Roman" w:hint="default"/>
        </w:rPr>
        <w:t>(8)</w:t>
      </w:r>
      <w:r>
        <w:rPr/>
        <w:t>根据《国家税务总局关于软件产品增值税政策的通知》（财税</w:t>
      </w:r>
      <w:r>
        <w:rPr>
          <w:spacing w:val="5"/>
        </w:rPr>
        <w:t> </w:t>
      </w:r>
      <w:r>
        <w:rPr>
          <w:rFonts w:ascii="Times New Roman" w:hAnsi="Times New Roman" w:cs="Times New Roman" w:eastAsia="Times New Roman" w:hint="default"/>
        </w:rPr>
        <w:t>[2011]100</w:t>
      </w:r>
      <w:r>
        <w:rPr/>
        <w:t>号），公司</w:t>
      </w:r>
      <w:r>
        <w:rPr>
          <w:rFonts w:ascii="Times New Roman" w:hAnsi="Times New Roman" w:cs="Times New Roman" w:eastAsia="Times New Roman" w:hint="default"/>
        </w:rPr>
        <w:t>2018</w:t>
      </w:r>
      <w:r>
        <w:rPr/>
        <w:t>年度收到</w:t>
      </w:r>
    </w:p>
    <w:p>
      <w:pPr>
        <w:spacing w:after="0" w:line="240" w:lineRule="auto"/>
        <w:jc w:val="left"/>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4"/>
        <w:spacing w:line="240" w:lineRule="auto" w:before="36"/>
        <w:ind w:right="1117"/>
        <w:jc w:val="left"/>
      </w:pPr>
      <w:r>
        <w:rPr/>
        <w:t>软件增值税即征即退</w:t>
      </w:r>
      <w:r>
        <w:rPr>
          <w:rFonts w:ascii="Times New Roman" w:hAnsi="Times New Roman" w:cs="Times New Roman" w:eastAsia="Times New Roman" w:hint="default"/>
        </w:rPr>
        <w:t>645,205.35</w:t>
      </w:r>
      <w:r>
        <w:rPr/>
        <w:t>元，系与收益相关的政府补助，且与公司日常经营活动相关，已全额计入</w:t>
      </w:r>
    </w:p>
    <w:p>
      <w:pPr>
        <w:pStyle w:val="Heading4"/>
        <w:spacing w:line="256" w:lineRule="auto" w:before="21"/>
        <w:ind w:left="575" w:right="1117" w:hanging="423"/>
        <w:jc w:val="left"/>
      </w:pPr>
      <w:r>
        <w:rPr>
          <w:rFonts w:ascii="Times New Roman" w:hAnsi="Times New Roman" w:cs="Times New Roman" w:eastAsia="Times New Roman" w:hint="default"/>
        </w:rPr>
        <w:t>2018</w:t>
      </w:r>
      <w:r>
        <w:rPr/>
        <w:t>年其他收益。</w:t>
      </w:r>
      <w:r>
        <w:rPr>
          <w:w w:val="100"/>
        </w:rPr>
        <w:t> </w:t>
      </w:r>
      <w:r>
        <w:rPr>
          <w:rFonts w:ascii="Times New Roman" w:hAnsi="Times New Roman" w:cs="Times New Roman" w:eastAsia="Times New Roman" w:hint="default"/>
          <w:spacing w:val="-2"/>
        </w:rPr>
        <w:t>(9)</w:t>
      </w:r>
      <w:r>
        <w:rPr>
          <w:spacing w:val="-2"/>
        </w:rPr>
        <w:t>因符合《徐汇区现代服务业专项资金管理办法》的认定，本公司</w:t>
      </w:r>
      <w:r>
        <w:rPr>
          <w:rFonts w:ascii="Times New Roman" w:hAnsi="Times New Roman" w:cs="Times New Roman" w:eastAsia="Times New Roman" w:hint="default"/>
          <w:spacing w:val="-2"/>
        </w:rPr>
        <w:t>“</w:t>
      </w:r>
      <w:r>
        <w:rPr>
          <w:spacing w:val="-2"/>
        </w:rPr>
        <w:t>面向汽车零售的互联网融资租赁</w:t>
      </w:r>
    </w:p>
    <w:p>
      <w:pPr>
        <w:pStyle w:val="Heading4"/>
        <w:spacing w:line="256" w:lineRule="auto"/>
        <w:ind w:right="1117"/>
        <w:jc w:val="left"/>
      </w:pPr>
      <w:r>
        <w:rPr>
          <w:spacing w:val="-2"/>
        </w:rPr>
        <w:t>平台</w:t>
      </w:r>
      <w:r>
        <w:rPr>
          <w:rFonts w:ascii="Times New Roman" w:hAnsi="Times New Roman" w:cs="Times New Roman" w:eastAsia="Times New Roman" w:hint="default"/>
          <w:spacing w:val="-2"/>
        </w:rPr>
        <w:t>”</w:t>
      </w:r>
      <w:r>
        <w:rPr>
          <w:spacing w:val="-2"/>
        </w:rPr>
        <w:t>项目通过前期考核和评审，成为徐汇区专项资金受扶项目，收到专项扶持资金</w:t>
      </w:r>
      <w:r>
        <w:rPr>
          <w:rFonts w:ascii="Times New Roman" w:hAnsi="Times New Roman" w:cs="Times New Roman" w:eastAsia="Times New Roman" w:hint="default"/>
          <w:spacing w:val="-2"/>
        </w:rPr>
        <w:t>60.00</w:t>
      </w:r>
      <w:r>
        <w:rPr>
          <w:spacing w:val="-2"/>
        </w:rPr>
        <w:t>万元，根据上海</w:t>
      </w:r>
      <w:r>
        <w:rPr>
          <w:spacing w:val="-18"/>
        </w:rPr>
        <w:t> </w:t>
      </w:r>
      <w:r>
        <w:rPr>
          <w:spacing w:val="-18"/>
        </w:rPr>
      </w:r>
      <w:r>
        <w:rPr>
          <w:spacing w:val="-5"/>
        </w:rPr>
        <w:t>睿民与徐汇区商务委员会签订的《徐汇区现代服务业专项资金扶持项目协议》规定，该扶持资金总共</w:t>
      </w:r>
      <w:r>
        <w:rPr>
          <w:rFonts w:ascii="Times New Roman" w:hAnsi="Times New Roman" w:cs="Times New Roman" w:eastAsia="Times New Roman" w:hint="default"/>
          <w:spacing w:val="-5"/>
        </w:rPr>
        <w:t>100.00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万（暂定），于项目立项时拨付</w:t>
      </w:r>
      <w:r>
        <w:rPr>
          <w:rFonts w:ascii="Times New Roman" w:hAnsi="Times New Roman" w:cs="Times New Roman" w:eastAsia="Times New Roman" w:hint="default"/>
        </w:rPr>
        <w:t>60.00</w:t>
      </w:r>
      <w:r>
        <w:rPr/>
        <w:t>万，终期验收时根据项目验收成果决定拨付剩余</w:t>
      </w:r>
      <w:r>
        <w:rPr>
          <w:rFonts w:ascii="Times New Roman" w:hAnsi="Times New Roman" w:cs="Times New Roman" w:eastAsia="Times New Roman" w:hint="default"/>
        </w:rPr>
        <w:t>40.00</w:t>
      </w:r>
      <w:r>
        <w:rPr/>
        <w:t>万、不拨付或</w:t>
      </w:r>
      <w:r>
        <w:rPr>
          <w:w w:val="100"/>
        </w:rPr>
        <w:t> </w:t>
      </w:r>
      <w:r>
        <w:rPr>
          <w:spacing w:val="-3"/>
        </w:rPr>
        <w:t>收回已拨付</w:t>
      </w:r>
      <w:r>
        <w:rPr>
          <w:rFonts w:ascii="Times New Roman" w:hAnsi="Times New Roman" w:cs="Times New Roman" w:eastAsia="Times New Roman" w:hint="default"/>
          <w:spacing w:val="-3"/>
        </w:rPr>
        <w:t>60.00</w:t>
      </w:r>
      <w:r>
        <w:rPr>
          <w:spacing w:val="-3"/>
        </w:rPr>
        <w:t>万，且该笔款项被规定用于固定资产投资、设备采购等，系与资产相关的政府补助，且与</w:t>
      </w:r>
      <w:r>
        <w:rPr>
          <w:spacing w:val="-41"/>
        </w:rPr>
        <w:t> </w:t>
      </w:r>
      <w:r>
        <w:rPr>
          <w:spacing w:val="-41"/>
        </w:rPr>
      </w:r>
      <w:r>
        <w:rPr/>
        <w:t>公司日常经营活动相关，已全额计入递延收益。</w:t>
      </w:r>
    </w:p>
    <w:p>
      <w:pPr>
        <w:spacing w:line="240" w:lineRule="auto" w:before="8"/>
        <w:rPr>
          <w:rFonts w:ascii="宋体" w:hAnsi="宋体" w:cs="宋体" w:eastAsia="宋体" w:hint="default"/>
          <w:sz w:val="24"/>
          <w:szCs w:val="24"/>
        </w:rPr>
      </w:pPr>
    </w:p>
    <w:p>
      <w:pPr>
        <w:spacing w:line="487" w:lineRule="auto" w:before="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1117"/>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e0ffff">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e0ffff">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6"/>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6074"/>
        <w:jc w:val="left"/>
      </w:pPr>
      <w:r>
        <w:rPr/>
        <w:t>合并成本公允价值的确定方法、或有对价及其变动的说明： 大额商誉形成的主要原因：</w:t>
      </w:r>
    </w:p>
    <w:p>
      <w:pPr>
        <w:pStyle w:val="BodyText"/>
        <w:spacing w:line="240" w:lineRule="auto" w:before="2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1117"/>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2"/>
        <w:gridCol w:w="3179"/>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0" w:space="0" w:color="D2D2D2"/>
              <w:bottom w:val="single" w:sz="4" w:space="0" w:color="000000"/>
              <w:right w:val="single" w:sz="4" w:space="0" w:color="000000"/>
            </w:tcBorders>
            <w:shd w:val="clear" w:color="auto" w:fill="E0FFFF"/>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7531"/>
        <w:jc w:val="both"/>
      </w:pPr>
      <w:r>
        <w:rPr/>
        <w:t>可辨认资产、负债公允价值的确定方法： 企业合并中承担的被购买方的或有负债： 其他说明：</w:t>
      </w:r>
    </w:p>
    <w:p>
      <w:pPr>
        <w:spacing w:after="0" w:line="357" w:lineRule="auto"/>
        <w:jc w:val="both"/>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t>是否存在通过多次交易分步实现企业合并且在报告期内取得控制权的交易</w:t>
      </w:r>
    </w:p>
    <w:p>
      <w:pPr>
        <w:pStyle w:val="BodyText"/>
        <w:spacing w:line="240" w:lineRule="auto" w:before="115"/>
        <w:ind w:right="11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8001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8001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95;height:401" type="#_x0000_t202" filled="false" stroked="false">
                <v:textbox inset="0,0,0,0">
                  <w:txbxContent>
                    <w:p>
                      <w:pPr>
                        <w:spacing w:before="53"/>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8594"/>
        <w:jc w:val="left"/>
      </w:pPr>
      <w:r>
        <w:rPr/>
        <w:t>或有对价及其变动的说明： 其他说明：</w:t>
      </w:r>
    </w:p>
    <w:p>
      <w:pPr>
        <w:spacing w:line="240" w:lineRule="auto" w:before="2"/>
        <w:rPr>
          <w:rFonts w:ascii="宋体" w:hAnsi="宋体" w:cs="宋体" w:eastAsia="宋体" w:hint="default"/>
          <w:sz w:val="20"/>
          <w:szCs w:val="20"/>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5;width:2;height:392" coordorigin="23,15" coordsize="2,392">
              <v:shape style="position:absolute;left:23;top:15;width:2;height:392" coordorigin="23,15" coordsize="0,392" path="m23,15l23,406e" filled="false" stroked="true" strokeweight="1.08pt" strokecolor="#d2d2d2">
                <v:path arrowok="t"/>
              </v:shape>
            </v:group>
            <v:group style="position:absolute;left:3181;top:15;width:2;height:392" coordorigin="3181,15" coordsize="2,392">
              <v:shape style="position:absolute;left:3181;top:15;width:2;height:392" coordorigin="3181,15" coordsize="0,392" path="m3181,15l3181,406e" filled="false" stroked="true" strokeweight="1.2pt" strokecolor="#d2d2d2">
                <v:path arrowok="t"/>
              </v:shape>
            </v:group>
            <v:group style="position:absolute;left:34;top:15;width:3136;height:392" coordorigin="34,15" coordsize="3136,392">
              <v:shape style="position:absolute;left:34;top:15;width:3136;height:392" coordorigin="34,15" coordsize="3136,392" path="m34,406l3169,406,3169,15,34,15,34,406xe" filled="true" fillcolor="#d2d2d2" stroked="false">
                <v:path arrowok="t"/>
                <v:fill type="solid"/>
              </v:shape>
            </v:group>
            <v:group style="position:absolute;left:3213;top:15;width:2;height:392" coordorigin="3213,15" coordsize="2,392">
              <v:shape style="position:absolute;left:3213;top:15;width:2;height:392" coordorigin="3213,15" coordsize="0,392" path="m3213,15l3213,406e" filled="false" stroked="true" strokeweight="1.08pt" strokecolor="#e0ffff">
                <v:path arrowok="t"/>
              </v:shape>
            </v:group>
            <v:group style="position:absolute;left:9561;top:15;width:2;height:392" coordorigin="9561,15" coordsize="2,392">
              <v:shape style="position:absolute;left:9561;top:15;width:2;height:392" coordorigin="9561,15" coordsize="0,392" path="m9561,15l9561,406e" filled="false" stroked="true" strokeweight="1.2pt" strokecolor="#e0ffff">
                <v:path arrowok="t"/>
              </v:shape>
            </v:group>
            <v:group style="position:absolute;left:3224;top:15;width:6325;height:392" coordorigin="3224,15" coordsize="6325,392">
              <v:shape style="position:absolute;left:3224;top:15;width:6325;height:392" coordorigin="3224,15" coordsize="6325,392" path="m3224,406l9549,406,9549,15,3224,15,3224,406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799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7998pt" strokecolor="#000000">
                <v:path arrowok="t"/>
              </v:shape>
            </v:group>
            <v:group style="position:absolute;left:23;top:416;width:2;height:394" coordorigin="23,416" coordsize="2,394">
              <v:shape style="position:absolute;left:23;top:416;width:2;height:394" coordorigin="23,416" coordsize="0,394" path="m23,416l23,809e" filled="false" stroked="true" strokeweight="1.08pt" strokecolor="#d2d2d2">
                <v:path arrowok="t"/>
              </v:shape>
            </v:group>
            <v:group style="position:absolute;left:3181;top:416;width:2;height:394" coordorigin="3181,416" coordsize="2,394">
              <v:shape style="position:absolute;left:3181;top:416;width:2;height:394" coordorigin="3181,416" coordsize="0,394" path="m3181,416l3181,809e" filled="false" stroked="true" strokeweight="1.2pt" strokecolor="#d2d2d2">
                <v:path arrowok="t"/>
              </v:shape>
            </v:group>
            <v:group style="position:absolute;left:34;top:416;width:3136;height:394" coordorigin="34,416" coordsize="3136,394">
              <v:shape style="position:absolute;left:34;top:416;width:3136;height:394" coordorigin="34,416" coordsize="3136,394" path="m34,809l3169,809,3169,416,34,416,34,809xe" filled="true" fillcolor="#d2d2d2" stroked="false">
                <v:path arrowok="t"/>
                <v:fill type="solid"/>
              </v:shape>
            </v:group>
            <v:group style="position:absolute;left:3213;top:416;width:2;height:394" coordorigin="3213,416" coordsize="2,394">
              <v:shape style="position:absolute;left:3213;top:416;width:2;height:394" coordorigin="3213,416" coordsize="0,394" path="m3213,416l3213,809e" filled="false" stroked="true" strokeweight="1.08pt" strokecolor="#d2d2d2">
                <v:path arrowok="t"/>
              </v:shape>
            </v:group>
            <v:group style="position:absolute;left:6371;top:416;width:2;height:394" coordorigin="6371,416" coordsize="2,394">
              <v:shape style="position:absolute;left:6371;top:416;width:2;height:394" coordorigin="6371,416" coordsize="0,394" path="m6371,416l6371,809e" filled="false" stroked="true" strokeweight="1.2pt" strokecolor="#d2d2d2">
                <v:path arrowok="t"/>
              </v:shape>
            </v:group>
            <v:group style="position:absolute;left:3224;top:416;width:3135;height:394" coordorigin="3224,416" coordsize="3135,394">
              <v:shape style="position:absolute;left:3224;top:416;width:3135;height:394" coordorigin="3224,416" coordsize="3135,394" path="m3224,809l6359,809,6359,416,3224,416,3224,809xe" filled="true" fillcolor="#d2d2d2" stroked="false">
                <v:path arrowok="t"/>
                <v:fill type="solid"/>
              </v:shape>
            </v:group>
            <v:group style="position:absolute;left:6403;top:416;width:2;height:394" coordorigin="6403,416" coordsize="2,394">
              <v:shape style="position:absolute;left:6403;top:416;width:2;height:394" coordorigin="6403,416" coordsize="0,394" path="m6403,416l6403,809e" filled="false" stroked="true" strokeweight="1.08pt" strokecolor="#d2d2d2">
                <v:path arrowok="t"/>
              </v:shape>
            </v:group>
            <v:group style="position:absolute;left:9561;top:416;width:2;height:394" coordorigin="9561,416" coordsize="2,394">
              <v:shape style="position:absolute;left:9561;top:416;width:2;height:394" coordorigin="9561,416" coordsize="0,394" path="m9561,416l9561,809e" filled="false" stroked="true" strokeweight="1.2pt" strokecolor="#d2d2d2">
                <v:path arrowok="t"/>
              </v:shape>
            </v:group>
            <v:group style="position:absolute;left:6414;top:416;width:3135;height:394" coordorigin="6414,416" coordsize="3135,394">
              <v:shape style="position:absolute;left:6414;top:416;width:3135;height:394" coordorigin="6414,416" coordsize="3135,394" path="m6414,809l9549,809,9549,416,6414,416,6414,809xe" filled="true" fillcolor="#d2d2d2" stroked="false">
                <v:path arrowok="t"/>
                <v:fill type="solid"/>
              </v:shape>
            </v:group>
            <v:group style="position:absolute;left:10;top:411;width:3181;height:2" coordorigin="10,411" coordsize="3181,2">
              <v:shape style="position:absolute;left:10;top:411;width:3181;height:2" coordorigin="10,411" coordsize="3181,0" path="m10,411l3191,411e" filled="false" stroked="true" strokeweight=".47998pt" strokecolor="#000000">
                <v:path arrowok="t"/>
              </v:shape>
            </v:group>
            <v:group style="position:absolute;left:3200;top:411;width:3181;height:2" coordorigin="3200,411" coordsize="3181,2">
              <v:shape style="position:absolute;left:3200;top:411;width:3181;height:2" coordorigin="3200,411" coordsize="3181,0" path="m3200,411l6381,411e" filled="false" stroked="true" strokeweight=".47998pt" strokecolor="#000000">
                <v:path arrowok="t"/>
              </v:shape>
            </v:group>
            <v:group style="position:absolute;left:6390;top:411;width:3183;height:2" coordorigin="6390,411" coordsize="3183,2">
              <v:shape style="position:absolute;left:6390;top:411;width:3183;height:2" coordorigin="6390,411" coordsize="3183,0" path="m6390,411l9573,411e" filled="false" stroked="true" strokeweight=".47998pt" strokecolor="#000000">
                <v:path arrowok="t"/>
              </v:shape>
            </v:group>
            <v:group style="position:absolute;left:5;top:5;width:2;height:815" coordorigin="5,5" coordsize="2,815">
              <v:shape style="position:absolute;left:5;top:5;width:2;height:815" coordorigin="5,5" coordsize="0,815" path="m5,5l5,819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7998pt" strokecolor="#000000">
                <v:path arrowok="t"/>
              </v:shape>
            </v:group>
            <v:group style="position:absolute;left:3195;top:5;width:2;height:815" coordorigin="3195,5" coordsize="2,815">
              <v:shape style="position:absolute;left:3195;top:5;width:2;height:815" coordorigin="3195,5" coordsize="0,815" path="m3195,5l3195,819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7998pt" strokecolor="#000000">
                <v:path arrowok="t"/>
              </v:shape>
            </v:group>
            <v:group style="position:absolute;left:6385;top:406;width:2;height:413" coordorigin="6385,406" coordsize="2,413">
              <v:shape style="position:absolute;left:6385;top:406;width:2;height:413" coordorigin="6385,406" coordsize="0,413" path="m6385,406l6385,819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7998pt" strokecolor="#000000">
                <v:path arrowok="t"/>
              </v:shape>
            </v:group>
            <v:group style="position:absolute;left:9578;top:5;width:2;height:815" coordorigin="9578,5" coordsize="2,815">
              <v:shape style="position:absolute;left:9578;top:5;width:2;height:815" coordorigin="9578,5" coordsize="0,815" path="m9578,5l9578,819e" filled="false" stroked="true" strokeweight=".47998pt" strokecolor="#000000">
                <v:path arrowok="t"/>
              </v:shape>
              <v:shape style="position:absolute;left:3185;top:411;width:3202;height:404"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7;top:411;width:3180;height:404"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5"/>
        <w:ind w:right="7514"/>
        <w:jc w:val="left"/>
      </w:pPr>
      <w:r>
        <w:rPr/>
        <w:t>企业合并中承担的被合并方的或有负债： 其他说明：</w:t>
      </w:r>
    </w:p>
    <w:p>
      <w:pPr>
        <w:spacing w:line="240" w:lineRule="auto" w:before="6"/>
        <w:rPr>
          <w:rFonts w:ascii="宋体" w:hAnsi="宋体" w:cs="宋体" w:eastAsia="宋体" w:hint="default"/>
          <w:sz w:val="20"/>
          <w:szCs w:val="20"/>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7"/>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after="0" w:line="316" w:lineRule="auto"/>
        <w:jc w:val="left"/>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0"/>
        <w:jc w:val="both"/>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是否存在单次处置对子公司投资即丧失控制权的情形</w:t>
      </w:r>
    </w:p>
    <w:p>
      <w:pPr>
        <w:pStyle w:val="BodyText"/>
        <w:spacing w:line="340" w:lineRule="auto" w:before="115"/>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说明其他原因导致的合并范围变动（如，新设子公司、清算子公司等）及其相关情况：</w:t>
      </w:r>
    </w:p>
    <w:p>
      <w:pPr>
        <w:pStyle w:val="BodyText"/>
        <w:spacing w:line="300" w:lineRule="auto" w:before="118"/>
        <w:ind w:left="573" w:right="1123"/>
        <w:jc w:val="left"/>
      </w:pPr>
      <w:r>
        <w:rPr>
          <w:rFonts w:ascii="Times New Roman" w:hAnsi="Times New Roman" w:cs="Times New Roman" w:eastAsia="Times New Roman" w:hint="default"/>
        </w:rPr>
        <w:t>1</w:t>
      </w:r>
      <w:r>
        <w:rPr/>
        <w:t>．以直接设立或投资等方式增加的子公司</w:t>
      </w:r>
      <w:r>
        <w:rPr>
          <w:rFonts w:ascii="Times New Roman" w:hAnsi="Times New Roman" w:cs="Times New Roman" w:eastAsia="Times New Roman" w:hint="default"/>
        </w:rPr>
        <w:t>(</w:t>
      </w:r>
      <w:r>
        <w:rPr/>
        <w:t>指通过新设、派生分立等非合并收购方式增加的子公司</w:t>
      </w:r>
      <w:r>
        <w:rPr>
          <w:rFonts w:ascii="Times New Roman" w:hAnsi="Times New Roman" w:cs="Times New Roman" w:eastAsia="Times New Roman" w:hint="default"/>
        </w:rPr>
        <w:t>) (1)</w:t>
      </w:r>
      <w:r>
        <w:rPr/>
        <w:t>本公司与北京睿拓弘盛科技发展有限公司共同出资设立北京伟达金科科技有限公司（以下简称伟达金科公司），该</w:t>
      </w:r>
    </w:p>
    <w:p>
      <w:pPr>
        <w:pStyle w:val="BodyText"/>
        <w:spacing w:line="300" w:lineRule="auto" w:before="13"/>
        <w:ind w:right="1131"/>
        <w:jc w:val="both"/>
      </w:pPr>
      <w:r>
        <w:rPr>
          <w:spacing w:val="-1"/>
        </w:rPr>
        <w:t>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30</w:t>
      </w:r>
      <w:r>
        <w:rPr>
          <w:spacing w:val="-1"/>
        </w:rPr>
        <w:t>日完成工商设立登记，注册资本为人民币</w:t>
      </w:r>
      <w:r>
        <w:rPr>
          <w:rFonts w:ascii="Times New Roman" w:hAnsi="Times New Roman" w:cs="Times New Roman" w:eastAsia="Times New Roman" w:hint="default"/>
          <w:spacing w:val="-1"/>
        </w:rPr>
        <w:t>1,000.00</w:t>
      </w:r>
      <w:r>
        <w:rPr>
          <w:spacing w:val="-1"/>
        </w:rPr>
        <w:t>万元，其中本公司认缴出资人民币</w:t>
      </w:r>
      <w:r>
        <w:rPr>
          <w:rFonts w:ascii="Times New Roman" w:hAnsi="Times New Roman" w:cs="Times New Roman" w:eastAsia="Times New Roman" w:hint="default"/>
          <w:spacing w:val="-1"/>
        </w:rPr>
        <w:t>600.00</w:t>
      </w:r>
      <w:r>
        <w:rPr>
          <w:spacing w:val="-1"/>
        </w:rPr>
        <w:t>万元，占其注</w:t>
      </w:r>
      <w:r>
        <w:rPr>
          <w:spacing w:val="-75"/>
        </w:rPr>
        <w:t> </w:t>
      </w:r>
      <w:r>
        <w:rPr>
          <w:spacing w:val="-75"/>
        </w:rPr>
      </w:r>
      <w:r>
        <w:rPr/>
        <w:t>册资本的</w:t>
      </w:r>
      <w:r>
        <w:rPr>
          <w:rFonts w:ascii="Times New Roman" w:hAnsi="Times New Roman" w:cs="Times New Roman" w:eastAsia="Times New Roman" w:hint="default"/>
        </w:rPr>
        <w:t>60.00%</w:t>
      </w:r>
      <w:r>
        <w:rPr/>
        <w:t>，拥有对其的实质控制权，故自该公司成立之日起，将其纳入合并财务报表范围。截止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18"/>
        </w:rPr>
        <w:t> </w:t>
      </w:r>
      <w:r>
        <w:rPr/>
        <w:t>本公司尚未实际出资</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伟达金科公司尚未开始运营。</w:t>
      </w:r>
    </w:p>
    <w:p>
      <w:pPr>
        <w:pStyle w:val="BodyText"/>
        <w:spacing w:line="300" w:lineRule="auto" w:before="13"/>
        <w:ind w:right="1127" w:firstLine="420"/>
        <w:jc w:val="both"/>
      </w:pPr>
      <w:r>
        <w:rPr>
          <w:rFonts w:ascii="Times New Roman" w:hAnsi="Times New Roman" w:cs="Times New Roman" w:eastAsia="Times New Roman" w:hint="default"/>
        </w:rPr>
        <w:t>(2)</w:t>
      </w:r>
      <w:r>
        <w:rPr/>
        <w:t>本公司出资设立北京蚂达软件信息技术有限责任公司</w:t>
      </w:r>
      <w:r>
        <w:rPr>
          <w:rFonts w:ascii="Times New Roman" w:hAnsi="Times New Roman" w:cs="Times New Roman" w:eastAsia="Times New Roman" w:hint="default"/>
        </w:rPr>
        <w:t>(</w:t>
      </w:r>
      <w:r>
        <w:rPr/>
        <w:t>以下简称蚂达软件公司</w:t>
      </w:r>
      <w:r>
        <w:rPr>
          <w:rFonts w:ascii="Times New Roman" w:hAnsi="Times New Roman" w:cs="Times New Roman" w:eastAsia="Times New Roman" w:hint="default"/>
        </w:rPr>
        <w:t>)</w:t>
      </w:r>
      <w:r>
        <w:rPr/>
        <w:t>，该公司于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日完成工商设</w:t>
      </w:r>
      <w:r>
        <w:rPr>
          <w:w w:val="99"/>
        </w:rPr>
        <w:t> </w:t>
      </w:r>
      <w:r>
        <w:rPr>
          <w:spacing w:val="-1"/>
        </w:rPr>
        <w:t>立登记，注册资本为人民币</w:t>
      </w:r>
      <w:r>
        <w:rPr>
          <w:rFonts w:ascii="Times New Roman" w:hAnsi="Times New Roman" w:cs="Times New Roman" w:eastAsia="Times New Roman" w:hint="default"/>
          <w:spacing w:val="-1"/>
        </w:rPr>
        <w:t>1,000.00</w:t>
      </w:r>
      <w:r>
        <w:rPr>
          <w:spacing w:val="-1"/>
        </w:rPr>
        <w:t>万元，其中本公司认缴出资人民币</w:t>
      </w:r>
      <w:r>
        <w:rPr>
          <w:rFonts w:ascii="Times New Roman" w:hAnsi="Times New Roman" w:cs="Times New Roman" w:eastAsia="Times New Roman" w:hint="default"/>
          <w:spacing w:val="-1"/>
        </w:rPr>
        <w:t>1,000.00</w:t>
      </w:r>
      <w:r>
        <w:rPr>
          <w:spacing w:val="-1"/>
        </w:rPr>
        <w:t>万元，占其注册资本的</w:t>
      </w:r>
      <w:r>
        <w:rPr>
          <w:rFonts w:ascii="Times New Roman" w:hAnsi="Times New Roman" w:cs="Times New Roman" w:eastAsia="Times New Roman" w:hint="default"/>
          <w:spacing w:val="-1"/>
        </w:rPr>
        <w:t>100.00%</w:t>
      </w:r>
      <w:r>
        <w:rPr>
          <w:spacing w:val="-1"/>
        </w:rPr>
        <w:t>，拥有对其的</w:t>
      </w:r>
      <w:r>
        <w:rPr>
          <w:spacing w:val="-42"/>
        </w:rPr>
        <w:t> </w:t>
      </w:r>
      <w:r>
        <w:rPr>
          <w:spacing w:val="-42"/>
        </w:rPr>
      </w:r>
      <w:r>
        <w:rPr/>
        <w:t>实质控制权，故自该公司成立之日起，将其纳入合并财务报表范围。截止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日，本公司尚未实际出资</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蚂达软件</w:t>
      </w:r>
      <w:r>
        <w:rPr>
          <w:w w:val="99"/>
        </w:rPr>
        <w:t> </w:t>
      </w:r>
      <w:r>
        <w:rPr/>
        <w:t>公司尚未开始运营。</w:t>
      </w:r>
    </w:p>
    <w:p>
      <w:pPr>
        <w:pStyle w:val="BodyText"/>
        <w:spacing w:line="300" w:lineRule="auto" w:before="31"/>
        <w:ind w:right="1040" w:firstLine="511"/>
        <w:jc w:val="left"/>
      </w:pPr>
      <w:r>
        <w:rPr>
          <w:rFonts w:ascii="Times New Roman" w:hAnsi="Times New Roman" w:cs="Times New Roman" w:eastAsia="Times New Roman" w:hint="default"/>
          <w:spacing w:val="2"/>
        </w:rPr>
        <w:t>(3)</w:t>
      </w:r>
      <w:r>
        <w:rPr>
          <w:spacing w:val="2"/>
        </w:rPr>
        <w:t>本公司之子公司上海翕振信息技术有限公司</w:t>
      </w:r>
      <w:r>
        <w:rPr>
          <w:rFonts w:ascii="Times New Roman" w:hAnsi="Times New Roman" w:cs="Times New Roman" w:eastAsia="Times New Roman" w:hint="default"/>
          <w:spacing w:val="2"/>
        </w:rPr>
        <w:t>(</w:t>
      </w:r>
      <w:r>
        <w:rPr>
          <w:spacing w:val="2"/>
        </w:rPr>
        <w:t>以下简称上海翕振</w:t>
      </w:r>
      <w:r>
        <w:rPr>
          <w:rFonts w:ascii="Times New Roman" w:hAnsi="Times New Roman" w:cs="Times New Roman" w:eastAsia="Times New Roman" w:hint="default"/>
          <w:spacing w:val="2"/>
        </w:rPr>
        <w:t>)</w:t>
      </w:r>
      <w:r>
        <w:rPr>
          <w:spacing w:val="2"/>
        </w:rPr>
        <w:t>出资设立全资子公司苏州伟达融创信息技术有限</w:t>
      </w:r>
      <w:r>
        <w:rPr>
          <w:w w:val="99"/>
        </w:rPr>
        <w:t> </w:t>
      </w:r>
      <w:r>
        <w:rPr/>
        <w:t>公司</w:t>
      </w:r>
      <w:r>
        <w:rPr>
          <w:rFonts w:ascii="Times New Roman" w:hAnsi="Times New Roman" w:cs="Times New Roman" w:eastAsia="Times New Roman" w:hint="default"/>
        </w:rPr>
        <w:t>(</w:t>
      </w:r>
      <w:r>
        <w:rPr/>
        <w:t>以下简称苏州伟达公司</w:t>
      </w:r>
      <w:r>
        <w:rPr>
          <w:rFonts w:ascii="Times New Roman" w:hAnsi="Times New Roman" w:cs="Times New Roman" w:eastAsia="Times New Roman" w:hint="default"/>
        </w:rPr>
        <w:t>)</w:t>
      </w:r>
      <w:r>
        <w:rPr/>
        <w:t>，该公司于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日完成工商设立登记，注册资本为人民币</w:t>
      </w:r>
      <w:r>
        <w:rPr>
          <w:rFonts w:ascii="Times New Roman" w:hAnsi="Times New Roman" w:cs="Times New Roman" w:eastAsia="Times New Roman" w:hint="default"/>
        </w:rPr>
        <w:t>2,000.00</w:t>
      </w:r>
      <w:r>
        <w:rPr/>
        <w:t>万元，全部由上海翕</w:t>
      </w:r>
      <w:r>
        <w:rPr>
          <w:spacing w:val="-35"/>
        </w:rPr>
        <w:t> </w:t>
      </w:r>
      <w:r>
        <w:rPr>
          <w:spacing w:val="-35"/>
        </w:rPr>
      </w:r>
      <w:r>
        <w:rPr/>
        <w:t>振认缴出资，本公司拥有对其的实质控制权，故自该公司成立之日起，将其纳入合并财务报表范围。截止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84"/>
        </w:rPr>
        <w:t> </w:t>
      </w:r>
      <w:r>
        <w:rPr/>
        <w:t>上海翕振实缴出资人民币</w:t>
      </w:r>
      <w:r>
        <w:rPr>
          <w:rFonts w:ascii="Times New Roman" w:hAnsi="Times New Roman" w:cs="Times New Roman" w:eastAsia="Times New Roman" w:hint="default"/>
        </w:rPr>
        <w:t>136.00</w:t>
      </w:r>
      <w:r>
        <w:rPr/>
        <w:t>万元，苏州伟达公司净资产为</w:t>
      </w:r>
      <w:r>
        <w:rPr>
          <w:rFonts w:ascii="Times New Roman" w:hAnsi="Times New Roman" w:cs="Times New Roman" w:eastAsia="Times New Roman" w:hint="default"/>
        </w:rPr>
        <w:t>892,389.47</w:t>
      </w:r>
      <w:r>
        <w:rPr/>
        <w:t>元，成立日至期末净利润为</w:t>
      </w:r>
      <w:r>
        <w:rPr>
          <w:rFonts w:ascii="Times New Roman" w:hAnsi="Times New Roman" w:cs="Times New Roman" w:eastAsia="Times New Roman" w:hint="default"/>
        </w:rPr>
        <w:t>-467,610.53</w:t>
      </w:r>
      <w:r>
        <w:rPr/>
        <w:t>元。</w:t>
      </w:r>
    </w:p>
    <w:p>
      <w:pPr>
        <w:pStyle w:val="BodyText"/>
        <w:spacing w:line="300" w:lineRule="auto" w:before="13"/>
        <w:ind w:right="1128" w:firstLine="420"/>
        <w:jc w:val="right"/>
      </w:pPr>
      <w:r>
        <w:rPr>
          <w:rFonts w:ascii="Times New Roman" w:hAnsi="Times New Roman" w:cs="Times New Roman" w:eastAsia="Times New Roman" w:hint="default"/>
        </w:rPr>
        <w:t>(4)</w:t>
      </w:r>
      <w:r>
        <w:rPr/>
        <w:t>本公司之子公司海南坚果创娱信息技术有限公司（以下简称海南坚果）出资设立其全资子公司上海魔力果信息技术</w:t>
      </w:r>
      <w:r>
        <w:rPr>
          <w:w w:val="99"/>
        </w:rPr>
        <w:t> </w:t>
      </w:r>
      <w:r>
        <w:rPr>
          <w:spacing w:val="-1"/>
        </w:rPr>
        <w:t>有限公司（以下简称上海魔力果公司），该公司于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23</w:t>
      </w:r>
      <w:r>
        <w:rPr>
          <w:spacing w:val="-1"/>
        </w:rPr>
        <w:t>日完成工商设立登记，注册资本为人民币</w:t>
      </w:r>
      <w:r>
        <w:rPr>
          <w:rFonts w:ascii="Times New Roman" w:hAnsi="Times New Roman" w:cs="Times New Roman" w:eastAsia="Times New Roman" w:hint="default"/>
          <w:spacing w:val="-1"/>
        </w:rPr>
        <w:t>108.00</w:t>
      </w:r>
      <w:r>
        <w:rPr>
          <w:spacing w:val="-1"/>
        </w:rPr>
        <w:t>万元，全部</w:t>
      </w:r>
      <w:r>
        <w:rPr>
          <w:w w:val="99"/>
        </w:rPr>
        <w:t> </w:t>
      </w:r>
      <w:r>
        <w:rPr/>
        <w:t>由海南坚果认缴出资，本公司拥有对其实质控制权，故自该公司成立之日起，将其纳入合并财务报表范围。截止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spacing w:val="-2"/>
        </w:rPr>
        <w:t>月</w:t>
      </w:r>
      <w:r>
        <w:rPr>
          <w:rFonts w:ascii="Times New Roman" w:hAnsi="Times New Roman" w:cs="Times New Roman" w:eastAsia="Times New Roman" w:hint="default"/>
          <w:spacing w:val="-2"/>
        </w:rPr>
        <w:t>31</w:t>
      </w:r>
      <w:r>
        <w:rPr>
          <w:spacing w:val="-2"/>
        </w:rPr>
        <w:t>日，海南坚果实缴出资人民币</w:t>
      </w:r>
      <w:r>
        <w:rPr>
          <w:rFonts w:ascii="Times New Roman" w:hAnsi="Times New Roman" w:cs="Times New Roman" w:eastAsia="Times New Roman" w:hint="default"/>
          <w:spacing w:val="-2"/>
        </w:rPr>
        <w:t>5.00</w:t>
      </w:r>
      <w:r>
        <w:rPr>
          <w:spacing w:val="-2"/>
        </w:rPr>
        <w:t>万元，上海魔力果公司净资产为</w:t>
      </w:r>
      <w:r>
        <w:rPr>
          <w:rFonts w:ascii="Times New Roman" w:hAnsi="Times New Roman" w:cs="Times New Roman" w:eastAsia="Times New Roman" w:hint="default"/>
          <w:spacing w:val="-2"/>
        </w:rPr>
        <w:t>33,616.89</w:t>
      </w:r>
      <w:r>
        <w:rPr>
          <w:spacing w:val="-2"/>
        </w:rPr>
        <w:t>元，成立日至期末的净利润为</w:t>
      </w:r>
      <w:r>
        <w:rPr>
          <w:rFonts w:ascii="Times New Roman" w:hAnsi="Times New Roman" w:cs="Times New Roman" w:eastAsia="Times New Roman" w:hint="default"/>
          <w:spacing w:val="-2"/>
        </w:rPr>
        <w:t>-16,383.11</w:t>
      </w:r>
      <w:r>
        <w:rPr>
          <w:spacing w:val="-2"/>
        </w:rPr>
        <w:t>元。</w:t>
      </w:r>
      <w:r>
        <w:rPr>
          <w:spacing w:val="-88"/>
        </w:rPr>
        <w:t> </w:t>
      </w:r>
      <w:r>
        <w:rPr>
          <w:rFonts w:ascii="Times New Roman" w:hAnsi="Times New Roman" w:cs="Times New Roman" w:eastAsia="Times New Roman" w:hint="default"/>
        </w:rPr>
        <w:t>(5)</w:t>
      </w:r>
      <w:r>
        <w:rPr/>
        <w:t>本公司与成都伟达融创企业管理中心（有限合伙）、成都伟达融鑫企业管理中心（有限合伙）共同出资设立成都高</w:t>
      </w:r>
      <w:r>
        <w:rPr>
          <w:w w:val="99"/>
        </w:rPr>
        <w:t> </w:t>
      </w:r>
      <w:r>
        <w:rPr/>
        <w:t>伟达信息技术有限公司（以下简称成都高伟达），该公司于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日完成工商设立登记，注册资本为人民币</w:t>
      </w:r>
      <w:r>
        <w:rPr>
          <w:rFonts w:ascii="Times New Roman" w:hAnsi="Times New Roman" w:cs="Times New Roman" w:eastAsia="Times New Roman" w:hint="default"/>
        </w:rPr>
        <w:t>2,000.00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4"/>
        </w:rPr>
        <w:t>万元，其中本公司认缴出资人民币</w:t>
      </w:r>
      <w:r>
        <w:rPr>
          <w:rFonts w:ascii="Times New Roman" w:hAnsi="Times New Roman" w:cs="Times New Roman" w:eastAsia="Times New Roman" w:hint="default"/>
          <w:spacing w:val="-4"/>
        </w:rPr>
        <w:t>1,200.00</w:t>
      </w:r>
      <w:r>
        <w:rPr>
          <w:spacing w:val="-4"/>
        </w:rPr>
        <w:t>万元，占其注册资本的</w:t>
      </w:r>
      <w:r>
        <w:rPr>
          <w:rFonts w:ascii="Times New Roman" w:hAnsi="Times New Roman" w:cs="Times New Roman" w:eastAsia="Times New Roman" w:hint="default"/>
          <w:spacing w:val="-4"/>
        </w:rPr>
        <w:t>60.00%</w:t>
      </w:r>
      <w:r>
        <w:rPr>
          <w:spacing w:val="-4"/>
        </w:rPr>
        <w:t>，拥有对其的实质控制权，故自该公司成立之日起，</w:t>
      </w:r>
      <w:r>
        <w:rPr>
          <w:spacing w:val="-52"/>
        </w:rPr>
        <w:t> </w:t>
      </w:r>
      <w:r>
        <w:rPr>
          <w:spacing w:val="-52"/>
        </w:rPr>
      </w:r>
      <w:r>
        <w:rPr>
          <w:spacing w:val="-1"/>
        </w:rPr>
        <w:t>将其纳入合并财务报表范围。截止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日，本公司尚未实际出资，成都高伟达的净资产为</w:t>
      </w:r>
      <w:r>
        <w:rPr>
          <w:rFonts w:ascii="Times New Roman" w:hAnsi="Times New Roman" w:cs="Times New Roman" w:eastAsia="Times New Roman" w:hint="default"/>
          <w:spacing w:val="-1"/>
        </w:rPr>
        <w:t>-453,051.69</w:t>
      </w:r>
      <w:r>
        <w:rPr>
          <w:spacing w:val="-1"/>
        </w:rPr>
        <w:t>元，成立日至</w:t>
      </w:r>
    </w:p>
    <w:p>
      <w:pPr>
        <w:pStyle w:val="BodyText"/>
        <w:spacing w:line="240" w:lineRule="auto" w:before="13"/>
        <w:ind w:right="0"/>
        <w:jc w:val="both"/>
      </w:pPr>
      <w:r>
        <w:rPr/>
        <w:t>期末的净利润为</w:t>
      </w:r>
      <w:r>
        <w:rPr>
          <w:rFonts w:ascii="Times New Roman" w:hAnsi="Times New Roman" w:cs="Times New Roman" w:eastAsia="Times New Roman" w:hint="default"/>
        </w:rPr>
        <w:t>-928,403.76</w:t>
      </w:r>
      <w:r>
        <w:rPr/>
        <w:t>元。</w:t>
      </w:r>
    </w:p>
    <w:p>
      <w:pPr>
        <w:pStyle w:val="BodyText"/>
        <w:spacing w:line="300" w:lineRule="auto" w:before="63"/>
        <w:ind w:right="1131" w:firstLine="362"/>
        <w:jc w:val="both"/>
      </w:pPr>
      <w:r>
        <w:rPr>
          <w:rFonts w:ascii="Times New Roman" w:hAnsi="Times New Roman" w:cs="Times New Roman" w:eastAsia="Times New Roman" w:hint="default"/>
        </w:rPr>
        <w:t>(6)</w:t>
      </w:r>
      <w:r>
        <w:rPr/>
        <w:t>本公司之子公司深圳市快读科技有限公司（以下简称深圳快读）出资设立喀什腾娱信息科技有限公司（以下简称喀</w:t>
      </w:r>
      <w:r>
        <w:rPr>
          <w:w w:val="99"/>
        </w:rPr>
        <w:t> </w:t>
      </w:r>
      <w:r>
        <w:rPr/>
        <w:t>什腾娱公司），该公司于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日完成工商设立登记，注册资本为人民币</w:t>
      </w:r>
      <w:r>
        <w:rPr>
          <w:rFonts w:ascii="Times New Roman" w:hAnsi="Times New Roman" w:cs="Times New Roman" w:eastAsia="Times New Roman" w:hint="default"/>
        </w:rPr>
        <w:t>100.00</w:t>
      </w:r>
      <w:r>
        <w:rPr/>
        <w:t>万元，全部由深圳快读认缴出资，拥</w:t>
      </w:r>
      <w:r>
        <w:rPr>
          <w:w w:val="99"/>
        </w:rPr>
        <w:t> </w:t>
      </w:r>
      <w:r>
        <w:rPr>
          <w:spacing w:val="-2"/>
        </w:rPr>
        <w:t>有对其的控制权，故自该公司成立之日起，将其纳入合并财务报表范围。截至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日，深圳快读尚未实际出资，喀</w:t>
      </w:r>
      <w:r>
        <w:rPr>
          <w:spacing w:val="-60"/>
        </w:rPr>
        <w:t> </w:t>
      </w:r>
      <w:r>
        <w:rPr>
          <w:spacing w:val="-60"/>
        </w:rPr>
      </w:r>
      <w:r>
        <w:rPr/>
        <w:t>什腾娱公司尚未开始运营。</w:t>
      </w:r>
    </w:p>
    <w:p>
      <w:pPr>
        <w:spacing w:after="0" w:line="300" w:lineRule="auto"/>
        <w:jc w:val="both"/>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spacing w:line="487" w:lineRule="auto" w:before="36"/>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1117"/>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6"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21"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4"/>
              <w:ind w:left="22" w:right="75"/>
              <w:jc w:val="left"/>
              <w:rPr>
                <w:rFonts w:ascii="宋体" w:hAnsi="宋体" w:cs="宋体" w:eastAsia="宋体" w:hint="default"/>
                <w:sz w:val="18"/>
                <w:szCs w:val="18"/>
              </w:rPr>
            </w:pPr>
            <w:r>
              <w:rPr>
                <w:rFonts w:ascii="宋体" w:hAnsi="宋体" w:cs="宋体" w:eastAsia="宋体" w:hint="default"/>
                <w:sz w:val="18"/>
                <w:szCs w:val="18"/>
              </w:rPr>
              <w:t>江苏高伟达信息 技术有限公司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4"/>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4"/>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both"/>
              <w:rPr>
                <w:rFonts w:ascii="宋体" w:hAnsi="宋体" w:cs="宋体" w:eastAsia="宋体" w:hint="default"/>
                <w:sz w:val="18"/>
                <w:szCs w:val="18"/>
              </w:rPr>
            </w:pPr>
            <w:r>
              <w:rPr>
                <w:rFonts w:ascii="宋体" w:hAnsi="宋体" w:cs="宋体" w:eastAsia="宋体" w:hint="default"/>
                <w:sz w:val="18"/>
                <w:szCs w:val="18"/>
              </w:rPr>
              <w:t>上海高伟达计算 机系统工程有限 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上海睿民互联网 科技有限公司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深圳瑞云互联科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海南坚果创娱信 息技术有限公司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海南省</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海南老城高新技 术区</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0" w:lineRule="auto" w:before="91"/>
              <w:ind w:left="22" w:right="91"/>
              <w:jc w:val="left"/>
              <w:rPr>
                <w:rFonts w:ascii="Times New Roman" w:hAnsi="Times New Roman" w:cs="Times New Roman" w:eastAsia="Times New Roman" w:hint="default"/>
                <w:sz w:val="18"/>
                <w:szCs w:val="18"/>
              </w:rPr>
            </w:pPr>
            <w:r>
              <w:rPr>
                <w:rFonts w:ascii="Times New Roman"/>
                <w:sz w:val="18"/>
              </w:rPr>
              <w:t>Nuts</w:t>
            </w:r>
            <w:r>
              <w:rPr>
                <w:rFonts w:ascii="Times New Roman"/>
                <w:spacing w:val="-4"/>
                <w:sz w:val="18"/>
              </w:rPr>
              <w:t> </w:t>
            </w:r>
            <w:r>
              <w:rPr>
                <w:rFonts w:ascii="Times New Roman"/>
                <w:sz w:val="18"/>
              </w:rPr>
              <w:t>Information</w:t>
            </w:r>
            <w:r>
              <w:rPr>
                <w:rFonts w:ascii="Times New Roman"/>
                <w:sz w:val="18"/>
              </w:rPr>
              <w:t> Technology CO.,Limited</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1"/>
              <w:ind w:left="22" w:right="91"/>
              <w:jc w:val="left"/>
              <w:rPr>
                <w:rFonts w:ascii="Times New Roman" w:hAnsi="Times New Roman" w:cs="Times New Roman" w:eastAsia="Times New Roman" w:hint="default"/>
                <w:sz w:val="18"/>
                <w:szCs w:val="18"/>
              </w:rPr>
            </w:pPr>
            <w:r>
              <w:rPr>
                <w:rFonts w:ascii="Times New Roman"/>
                <w:sz w:val="18"/>
              </w:rPr>
              <w:t>Nuts</w:t>
            </w:r>
            <w:r>
              <w:rPr>
                <w:rFonts w:ascii="Times New Roman"/>
                <w:spacing w:val="-4"/>
                <w:sz w:val="18"/>
              </w:rPr>
              <w:t> </w:t>
            </w:r>
            <w:r>
              <w:rPr>
                <w:rFonts w:ascii="Times New Roman"/>
                <w:sz w:val="18"/>
              </w:rPr>
              <w:t>Information</w:t>
            </w:r>
            <w:r>
              <w:rPr>
                <w:rFonts w:ascii="Times New Roman"/>
                <w:sz w:val="18"/>
              </w:rPr>
              <w:t> Technology Limited</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塞舌尔</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塞舌尔</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both"/>
              <w:rPr>
                <w:rFonts w:ascii="宋体" w:hAnsi="宋体" w:cs="宋体" w:eastAsia="宋体" w:hint="default"/>
                <w:sz w:val="18"/>
                <w:szCs w:val="18"/>
              </w:rPr>
            </w:pPr>
            <w:r>
              <w:rPr>
                <w:rFonts w:ascii="宋体" w:hAnsi="宋体" w:cs="宋体" w:eastAsia="宋体" w:hint="default"/>
                <w:sz w:val="18"/>
                <w:szCs w:val="18"/>
              </w:rPr>
              <w:t>霍尔果斯魔力果 信息技术有限公 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喀什尚河信息科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新疆喀什</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喀什经济开发区</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北京高伟达钽云 科技有限公司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深圳市快读科技 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喀什完美时空信 息科技有限公司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新疆喀什</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喀什经济开发区</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江苏盈达信息技 术有限公司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北京伟达智通科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深圳市磐世科技 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上海翕振信息技 术有限公司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0"/>
              <w:ind w:left="22" w:right="75"/>
              <w:jc w:val="both"/>
              <w:rPr>
                <w:rFonts w:ascii="宋体" w:hAnsi="宋体" w:cs="宋体" w:eastAsia="宋体" w:hint="default"/>
                <w:sz w:val="18"/>
                <w:szCs w:val="18"/>
              </w:rPr>
            </w:pPr>
            <w:r>
              <w:rPr>
                <w:rFonts w:ascii="宋体" w:hAnsi="宋体" w:cs="宋体" w:eastAsia="宋体" w:hint="default"/>
                <w:sz w:val="18"/>
                <w:szCs w:val="18"/>
              </w:rPr>
              <w:t>北京蚂达软件信 息技术有限责任 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科技推广和应用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北京伟达金科科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科技推广和应用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成都高伟达信息 技术有限公司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苏州伟达融创信 息技术有限公司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68.71%</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喀什腾娱信息科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新疆喀什</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喀什经济开发区</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上海魔力果信息 技术有限公司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49"/>
        <w:ind w:right="2834"/>
        <w:jc w:val="left"/>
      </w:pPr>
      <w:r>
        <w:rPr/>
        <w:t>在子公司的持股比例不同于表决权比例的说明： 本期不存在母公司在子公司的持股比例不同于表决权比例的情况。 持有半数或以下表决权但仍控制被投资单位、以及持有半数以上表决权但不控制被投资单位的依据： 本期不存在母公司拥有半数或半数以下表决权而纳入合并财务报表范围的子公司情况。 对于纳入合并范围的重要的结构化主体，控制的依据： 本期不存在纳入合并范围的重要的结构化主体。</w:t>
      </w:r>
    </w:p>
    <w:p>
      <w:pPr>
        <w:pStyle w:val="BodyText"/>
        <w:spacing w:line="357" w:lineRule="auto" w:before="29"/>
        <w:ind w:right="7694"/>
        <w:jc w:val="left"/>
      </w:pPr>
      <w:r>
        <w:rPr/>
        <w:t>确定公司是代理人还是委托人的依据： 其他说明：</w:t>
      </w:r>
    </w:p>
    <w:p>
      <w:pPr>
        <w:pStyle w:val="BodyText"/>
        <w:spacing w:line="300" w:lineRule="auto" w:before="29"/>
        <w:ind w:right="1117" w:firstLine="420"/>
        <w:jc w:val="left"/>
      </w:pPr>
      <w:r>
        <w:rPr>
          <w:spacing w:val="-3"/>
        </w:rPr>
        <w:t>截止</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日，北京伟达智通科技有限公司、深圳市磐世科技有限公司、北京蚂达软件信息技术有限责任公司、</w:t>
      </w:r>
      <w:r>
        <w:rPr/>
        <w:t> 北京伟达金科科技有限公司及喀什腾娱信息科技有限公司尚未开始运营。</w:t>
      </w:r>
    </w:p>
    <w:p>
      <w:pPr>
        <w:pStyle w:val="BodyText"/>
        <w:spacing w:line="300" w:lineRule="auto" w:before="31"/>
        <w:ind w:left="573" w:right="3283"/>
        <w:jc w:val="left"/>
      </w:pPr>
      <w:r>
        <w:rPr>
          <w:rFonts w:ascii="Times New Roman" w:hAnsi="Times New Roman" w:cs="Times New Roman" w:eastAsia="Times New Roman" w:hint="default"/>
        </w:rPr>
        <w:t>(1)</w:t>
      </w:r>
      <w:r>
        <w:rPr/>
        <w:t>本期不存在母公司在子公司的持股比例不同于表决权比例的情况。</w:t>
      </w:r>
      <w:r>
        <w:rPr>
          <w:w w:val="99"/>
        </w:rPr>
        <w:t> </w:t>
      </w:r>
      <w:r>
        <w:rPr>
          <w:rFonts w:ascii="Times New Roman" w:hAnsi="Times New Roman" w:cs="Times New Roman" w:eastAsia="Times New Roman" w:hint="default"/>
        </w:rPr>
        <w:t>(2)</w:t>
      </w:r>
      <w:r>
        <w:rPr/>
        <w:t>本期不存在母公司拥有半数或半数以下表决权而纳入合并财务报表范围的子公司情况。</w:t>
      </w:r>
      <w:r>
        <w:rPr>
          <w:w w:val="99"/>
        </w:rPr>
        <w:t> </w:t>
      </w:r>
      <w:r>
        <w:rPr>
          <w:rFonts w:ascii="Times New Roman" w:hAnsi="Times New Roman" w:cs="Times New Roman" w:eastAsia="Times New Roman" w:hint="default"/>
        </w:rPr>
        <w:t>(3)</w:t>
      </w:r>
      <w:r>
        <w:rPr/>
        <w:t>本期不存在纳入合并范围的重要的结构化主体。</w:t>
      </w:r>
      <w:r>
        <w:rPr>
          <w:w w:val="99"/>
        </w:rPr>
        <w:t> </w:t>
      </w:r>
      <w:r>
        <w:rPr>
          <w:rFonts w:ascii="Times New Roman" w:hAnsi="Times New Roman" w:cs="Times New Roman" w:eastAsia="Times New Roman" w:hint="default"/>
        </w:rPr>
        <w:t>(4)</w:t>
      </w:r>
      <w:r>
        <w:rPr/>
        <w:t>本期不存在母公司拥有半数以上表决权但未能对其形成控制的股权投资情况。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1117"/>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5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江苏盈达信息技术有限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5,238,191.54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12,955,345.61</w:t>
            </w:r>
          </w:p>
        </w:tc>
      </w:tr>
    </w:tbl>
    <w:p>
      <w:pPr>
        <w:spacing w:line="331" w:lineRule="auto" w:before="49"/>
        <w:ind w:left="152" w:right="427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w:t>
      </w:r>
      <w:r>
        <w:rPr>
          <w:rFonts w:ascii="宋体" w:hAnsi="宋体" w:cs="宋体" w:eastAsia="宋体" w:hint="default"/>
          <w:spacing w:val="-2"/>
          <w:sz w:val="21"/>
          <w:szCs w:val="21"/>
        </w:rPr>
        <w:t>本期不存在子公司少数股东的持股比例不同于表决权比例的情况。</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18"/>
          <w:szCs w:val="18"/>
        </w:rPr>
        <w:t>其他说明：</w:t>
      </w:r>
    </w:p>
    <w:p>
      <w:pPr>
        <w:spacing w:line="240" w:lineRule="auto" w:before="10"/>
        <w:rPr>
          <w:rFonts w:ascii="宋体" w:hAnsi="宋体" w:cs="宋体" w:eastAsia="宋体" w:hint="default"/>
          <w:sz w:val="21"/>
          <w:szCs w:val="21"/>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江苏盈 达信息 技术有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54,814,9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547,756.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55,362,7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7,957,84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7,957,84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18,928,5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491,665.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19,420,2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3,966,48</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7.69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3,966,48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7.69</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江苏盈达信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102,184,924.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18,535,709.6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18,535,709.6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-10,542,983.1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190,367.43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-1,606,251.88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-1,606,251.88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-5,818,546.07</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1117"/>
        <w:jc w:val="left"/>
      </w:pPr>
      <w:r>
        <w:rPr/>
        <w:t>其他说明</w:t>
      </w:r>
    </w:p>
    <w:p>
      <w:pPr>
        <w:spacing w:after="0" w:line="240" w:lineRule="auto"/>
        <w:jc w:val="left"/>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19"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8" w:hRule="exact"/>
        </w:trPr>
        <w:tc>
          <w:tcPr>
            <w:tcW w:w="137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4" w:right="75"/>
              <w:jc w:val="left"/>
              <w:rPr>
                <w:rFonts w:ascii="宋体" w:hAnsi="宋体" w:cs="宋体" w:eastAsia="宋体" w:hint="default"/>
                <w:sz w:val="18"/>
                <w:szCs w:val="18"/>
              </w:rPr>
            </w:pPr>
            <w:r>
              <w:rPr>
                <w:rFonts w:ascii="宋体" w:hAnsi="宋体" w:cs="宋体" w:eastAsia="宋体" w:hint="default"/>
                <w:sz w:val="18"/>
                <w:szCs w:val="18"/>
              </w:rPr>
              <w:t>中信科技发展有 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北京高伟达保科 技有限责任公司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117"/>
        <w:jc w:val="left"/>
      </w:pPr>
      <w:r>
        <w:rPr/>
        <w:t>在合营企业或联营企业的持股比例不同于表决权比例的说明：</w:t>
      </w:r>
    </w:p>
    <w:p>
      <w:pPr>
        <w:pStyle w:val="Heading4"/>
        <w:spacing w:line="240" w:lineRule="auto" w:before="94"/>
        <w:ind w:right="1117"/>
        <w:jc w:val="left"/>
      </w:pPr>
      <w:r>
        <w:rPr/>
        <w:t>期不存在公司在合营企业或联营企业的持股比例不同于表决权比例的情况</w:t>
      </w:r>
    </w:p>
    <w:p>
      <w:pPr>
        <w:pStyle w:val="BodyText"/>
        <w:spacing w:line="240" w:lineRule="auto" w:before="98"/>
        <w:ind w:right="1117"/>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pStyle w:val="Heading4"/>
        <w:spacing w:line="240" w:lineRule="auto" w:before="80"/>
        <w:ind w:right="1117"/>
        <w:jc w:val="left"/>
      </w:pPr>
      <w:r>
        <w:rPr/>
        <w:t>本期不存在持有</w:t>
      </w:r>
      <w:r>
        <w:rPr>
          <w:rFonts w:ascii="Times New Roman" w:hAnsi="Times New Roman" w:cs="Times New Roman" w:eastAsia="Times New Roman" w:hint="default"/>
        </w:rPr>
        <w:t>20%</w:t>
      </w:r>
      <w:r>
        <w:rPr/>
        <w:t>以下表决权但具有重大影响，或者持有</w:t>
      </w:r>
      <w:r>
        <w:rPr>
          <w:rFonts w:ascii="Times New Roman" w:hAnsi="Times New Roman" w:cs="Times New Roman" w:eastAsia="Times New Roman" w:hint="default"/>
        </w:rPr>
        <w:t>20%</w:t>
      </w:r>
      <w:r>
        <w:rPr/>
        <w:t>或以上表决权但不具有重大影响的情况。</w:t>
      </w:r>
    </w:p>
    <w:p>
      <w:pPr>
        <w:spacing w:line="240" w:lineRule="auto" w:before="7"/>
        <w:rPr>
          <w:rFonts w:ascii="宋体" w:hAnsi="宋体" w:cs="宋体" w:eastAsia="宋体" w:hint="default"/>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80"/>
      </w:tblGrid>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8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19,470,173.62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13,881,446.49</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-36,272.87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-743,553.51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-36,272.87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-743,553.51</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5534"/>
        <w:jc w:val="left"/>
      </w:pPr>
      <w:r>
        <w:rPr/>
        <w:t>在共同经营中的持股比例或享有的份额不同于表决权比例的说明： 共同经营为单独主体的，分类为共同经营的依据：</w:t>
      </w:r>
    </w:p>
    <w:p>
      <w:pPr>
        <w:pStyle w:val="BodyText"/>
        <w:spacing w:line="240" w:lineRule="auto" w:before="29"/>
        <w:ind w:right="0"/>
        <w:jc w:val="both"/>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31" w:firstLine="420"/>
        <w:jc w:val="both"/>
      </w:pPr>
      <w:r>
        <w:rPr>
          <w:spacing w:val="-3"/>
        </w:rPr>
        <w:t>本公司在经营过程中面临着各种金融风险：信用风险、市场风险和流动性风险。本公司的主要金融工具包括股权投资、</w:t>
      </w:r>
      <w:r>
        <w:rPr/>
        <w:t> </w:t>
      </w:r>
      <w:r>
        <w:rPr>
          <w:spacing w:val="-2"/>
        </w:rPr>
        <w:t>借款、应收账款、应付账款等，各项金融工具的详细情况说明见本章节第七项</w:t>
      </w:r>
      <w:r>
        <w:rPr>
          <w:rFonts w:ascii="Times New Roman" w:hAnsi="Times New Roman" w:cs="Times New Roman" w:eastAsia="Times New Roman" w:hint="default"/>
          <w:spacing w:val="-2"/>
        </w:rPr>
        <w:t>“</w:t>
      </w:r>
      <w:r>
        <w:rPr>
          <w:spacing w:val="-2"/>
        </w:rPr>
        <w:t>合并财务报表项目注释</w:t>
      </w:r>
      <w:r>
        <w:rPr>
          <w:rFonts w:ascii="Times New Roman" w:hAnsi="Times New Roman" w:cs="Times New Roman" w:eastAsia="Times New Roman" w:hint="default"/>
          <w:spacing w:val="-2"/>
        </w:rPr>
        <w:t>”</w:t>
      </w:r>
      <w:r>
        <w:rPr>
          <w:spacing w:val="-2"/>
        </w:rPr>
        <w:t>相关项目。与这些金</w:t>
      </w:r>
      <w:r>
        <w:rPr>
          <w:spacing w:val="-44"/>
        </w:rPr>
        <w:t> </w:t>
      </w:r>
      <w:r>
        <w:rPr>
          <w:spacing w:val="-44"/>
        </w:rPr>
      </w:r>
      <w:r>
        <w:rPr>
          <w:spacing w:val="-2"/>
        </w:rPr>
        <w:t>融工具有关的风险，以及本公司为降低这些风险所采取的风险管理政策如下所述。本公司管理层对这些风险敞口进行管理和</w:t>
      </w:r>
      <w:r>
        <w:rPr>
          <w:spacing w:val="-64"/>
        </w:rPr>
        <w:t> </w:t>
      </w:r>
      <w:r>
        <w:rPr>
          <w:spacing w:val="-64"/>
        </w:rPr>
      </w:r>
      <w:r>
        <w:rPr/>
        <w:t>监控以确保将上述风险控制在限定的范围之内。</w:t>
      </w:r>
    </w:p>
    <w:p>
      <w:pPr>
        <w:spacing w:line="300" w:lineRule="auto" w:before="22"/>
        <w:ind w:left="573" w:right="1117" w:firstLine="7"/>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一</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风险管理目标和政策</w:t>
      </w:r>
      <w:r>
        <w:rPr>
          <w:rFonts w:ascii="宋体" w:hAnsi="宋体" w:cs="宋体" w:eastAsia="宋体" w:hint="default"/>
          <w:b/>
          <w:bCs/>
          <w:w w:val="99"/>
          <w:sz w:val="18"/>
          <w:szCs w:val="18"/>
        </w:rPr>
        <w:t> </w:t>
      </w:r>
      <w:r>
        <w:rPr>
          <w:rFonts w:ascii="宋体" w:hAnsi="宋体" w:cs="宋体" w:eastAsia="宋体" w:hint="default"/>
          <w:sz w:val="18"/>
          <w:szCs w:val="18"/>
        </w:rPr>
        <w:t>本公司从事风险管理的目标是在风险和收益之间取得适当的平衡，将风险对本公司经营业绩的负面影响降低到最低水</w:t>
      </w:r>
    </w:p>
    <w:p>
      <w:pPr>
        <w:pStyle w:val="BodyText"/>
        <w:spacing w:line="319" w:lineRule="auto" w:before="31"/>
        <w:ind w:right="1128"/>
        <w:jc w:val="both"/>
      </w:pPr>
      <w:r>
        <w:rPr>
          <w:spacing w:val="-2"/>
        </w:rPr>
        <w:t>平，使股东及其他权益投资者的利益最大化。基于该风险管理目标，本公司风险管理的基本策略是确定和分析本公司所面临</w:t>
      </w:r>
      <w:r>
        <w:rPr>
          <w:spacing w:val="-63"/>
        </w:rPr>
        <w:t> </w:t>
      </w:r>
      <w:r>
        <w:rPr>
          <w:spacing w:val="-63"/>
        </w:rPr>
      </w:r>
      <w:r>
        <w:rPr>
          <w:spacing w:val="-2"/>
        </w:rPr>
        <w:t>的各种风险，建立适当的风险承受底线并进行风险管理，本公司定期审阅这些风险管理政策及有关内部控制系统，以适应市</w:t>
      </w:r>
      <w:r>
        <w:rPr>
          <w:spacing w:val="-61"/>
        </w:rPr>
        <w:t> </w:t>
      </w:r>
      <w:r>
        <w:rPr>
          <w:spacing w:val="-61"/>
        </w:rPr>
      </w:r>
      <w:r>
        <w:rPr/>
        <w:t>场情况或本公司经营活动的改变，同时及时有效地对各种风险进行监督，将风险控制在限定的范围之内。</w:t>
      </w:r>
    </w:p>
    <w:p>
      <w:pPr>
        <w:spacing w:after="0" w:line="319" w:lineRule="auto"/>
        <w:jc w:val="both"/>
        <w:sectPr>
          <w:pgSz w:w="11910" w:h="16840"/>
          <w:pgMar w:header="786" w:footer="1294" w:top="1100" w:bottom="148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300" w:lineRule="auto" w:before="44"/>
        <w:ind w:left="573" w:right="1117" w:firstLine="7"/>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3"/>
        </w:rPr>
        <w:t> </w:t>
      </w:r>
      <w:r>
        <w:rPr>
          <w:rFonts w:ascii="宋体" w:hAnsi="宋体" w:cs="宋体" w:eastAsia="宋体" w:hint="default"/>
          <w:b/>
          <w:bCs/>
        </w:rPr>
        <w:t>市场风险</w:t>
      </w:r>
      <w:r>
        <w:rPr>
          <w:rFonts w:ascii="宋体" w:hAnsi="宋体" w:cs="宋体" w:eastAsia="宋体" w:hint="default"/>
          <w:b/>
          <w:bCs/>
          <w:w w:val="99"/>
        </w:rPr>
        <w:t> </w:t>
      </w:r>
      <w:r>
        <w:rPr/>
        <w:t>金融工具的市场风险，是指金融工具的公允价值或未来现金流量因市场价格变动而发生波动的风险，包括外汇风险、</w:t>
      </w:r>
    </w:p>
    <w:p>
      <w:pPr>
        <w:pStyle w:val="BodyText"/>
        <w:spacing w:line="240" w:lineRule="auto" w:before="31"/>
        <w:ind w:right="0"/>
        <w:jc w:val="both"/>
      </w:pPr>
      <w:r>
        <w:rPr/>
        <w:t>利率风险和其他价格风险。</w:t>
      </w:r>
    </w:p>
    <w:p>
      <w:pPr>
        <w:pStyle w:val="BodyText"/>
        <w:spacing w:line="300" w:lineRule="auto" w:before="76"/>
        <w:ind w:left="573" w:right="1117"/>
        <w:jc w:val="left"/>
      </w:pPr>
      <w:r>
        <w:rPr>
          <w:rFonts w:ascii="Times New Roman" w:hAnsi="Times New Roman" w:cs="Times New Roman" w:eastAsia="Times New Roman" w:hint="default"/>
        </w:rPr>
        <w:t>1</w:t>
      </w:r>
      <w:r>
        <w:rPr/>
        <w:t>．汇率风险 汇率风险是指金融工具的公允价值或未来现金流量因外汇汇率变动而发生波动的风险。本公司的主要经营位于中国境</w:t>
      </w:r>
    </w:p>
    <w:p>
      <w:pPr>
        <w:pStyle w:val="BodyText"/>
        <w:spacing w:line="312" w:lineRule="auto" w:before="31"/>
        <w:ind w:right="1131"/>
        <w:jc w:val="both"/>
      </w:pPr>
      <w:r>
        <w:rPr>
          <w:spacing w:val="-2"/>
        </w:rPr>
        <w:t>内、塞舌尔、香港，国内业务以人民币结算，境外经营公司以美元、欧元、港币结算。但本公司已确认的外币资产和负债及</w:t>
      </w:r>
      <w:r>
        <w:rPr>
          <w:spacing w:val="-73"/>
        </w:rPr>
        <w:t> </w:t>
      </w:r>
      <w:r>
        <w:rPr>
          <w:spacing w:val="-73"/>
        </w:rPr>
      </w:r>
      <w:r>
        <w:rPr>
          <w:spacing w:val="-1"/>
        </w:rPr>
        <w:t>未来的外币交易</w:t>
      </w:r>
      <w:r>
        <w:rPr>
          <w:rFonts w:ascii="Times New Roman" w:hAnsi="Times New Roman" w:cs="Times New Roman" w:eastAsia="Times New Roman" w:hint="default"/>
          <w:spacing w:val="-1"/>
        </w:rPr>
        <w:t>(</w:t>
      </w:r>
      <w:r>
        <w:rPr>
          <w:spacing w:val="-1"/>
        </w:rPr>
        <w:t>外币资产和负债及外币交易的计价货币主要为美元、欧元、港币</w:t>
      </w:r>
      <w:r>
        <w:rPr>
          <w:rFonts w:ascii="Times New Roman" w:hAnsi="Times New Roman" w:cs="Times New Roman" w:eastAsia="Times New Roman" w:hint="default"/>
          <w:spacing w:val="-1"/>
        </w:rPr>
        <w:t>)</w:t>
      </w:r>
      <w:r>
        <w:rPr>
          <w:spacing w:val="-1"/>
        </w:rPr>
        <w:t>依然存在外汇风险。相关外币资产及外币</w:t>
      </w:r>
      <w:r>
        <w:rPr>
          <w:spacing w:val="-58"/>
        </w:rPr>
        <w:t> </w:t>
      </w:r>
      <w:r>
        <w:rPr>
          <w:spacing w:val="-58"/>
        </w:rPr>
      </w:r>
      <w:r>
        <w:rPr>
          <w:spacing w:val="-2"/>
        </w:rPr>
        <w:t>负债包括：以外币计价的货币资金、应收账款、应付账款、应交税费、其他应付款。外币金融资产和外币金融负债折算成人</w:t>
      </w:r>
      <w:r>
        <w:rPr>
          <w:spacing w:val="-68"/>
        </w:rPr>
        <w:t> </w:t>
      </w:r>
      <w:r>
        <w:rPr>
          <w:spacing w:val="-68"/>
        </w:rPr>
      </w:r>
      <w:r>
        <w:rPr/>
        <w:t>民币的金额见本章节第七项第</w:t>
      </w:r>
      <w:r>
        <w:rPr>
          <w:rFonts w:ascii="Times New Roman" w:hAnsi="Times New Roman" w:cs="Times New Roman" w:eastAsia="Times New Roman" w:hint="default"/>
        </w:rPr>
        <w:t>71</w:t>
      </w:r>
      <w:r>
        <w:rPr/>
        <w:t>项</w:t>
      </w:r>
      <w:r>
        <w:rPr>
          <w:rFonts w:ascii="Times New Roman" w:hAnsi="Times New Roman" w:cs="Times New Roman" w:eastAsia="Times New Roman" w:hint="default"/>
        </w:rPr>
        <w:t>“</w:t>
      </w:r>
      <w:r>
        <w:rPr/>
        <w:t>外币货币性项目</w:t>
      </w:r>
      <w:r>
        <w:rPr>
          <w:rFonts w:ascii="Times New Roman" w:hAnsi="Times New Roman" w:cs="Times New Roman" w:eastAsia="Times New Roman" w:hint="default"/>
        </w:rPr>
        <w:t>”</w:t>
      </w:r>
      <w:r>
        <w:rPr/>
        <w:t>。</w:t>
      </w:r>
    </w:p>
    <w:p>
      <w:pPr>
        <w:pStyle w:val="BodyText"/>
        <w:spacing w:line="319" w:lineRule="auto" w:before="3"/>
        <w:ind w:right="1117" w:firstLine="420"/>
        <w:jc w:val="left"/>
      </w:pPr>
      <w:r>
        <w:rPr/>
        <w:t>本公司密切关注汇率变动对本公司汇率风险的影响。本公司目前并未采取任何措施规避汇率风险。但管理层负责监控 汇率风险，并将于需要时考虑对冲重大汇率风险。</w:t>
      </w:r>
    </w:p>
    <w:p>
      <w:pPr>
        <w:pStyle w:val="BodyText"/>
        <w:spacing w:line="300" w:lineRule="auto" w:before="17"/>
        <w:ind w:left="573" w:right="1117"/>
        <w:jc w:val="left"/>
      </w:pPr>
      <w:r>
        <w:rPr>
          <w:rFonts w:ascii="Times New Roman" w:hAnsi="Times New Roman" w:cs="Times New Roman" w:eastAsia="Times New Roman" w:hint="default"/>
        </w:rPr>
        <w:t>2</w:t>
      </w:r>
      <w:r>
        <w:rPr/>
        <w:t>．利率风险 利率风险，是指金融工具的公允价值或未来现金流量因市场利率变动而发生波动的风险。本公司面临的市场利率变动</w:t>
      </w:r>
    </w:p>
    <w:p>
      <w:pPr>
        <w:pStyle w:val="BodyText"/>
        <w:spacing w:line="316" w:lineRule="auto" w:before="31"/>
        <w:ind w:right="1034"/>
        <w:jc w:val="left"/>
      </w:pPr>
      <w:r>
        <w:rPr/>
        <w:t>的风险主要与本公司以浮动利率计息的借款有关。本公司的利率风险主要产生于短期银行借款及长期银行借款等带息债务。</w:t>
      </w:r>
      <w:r>
        <w:rPr>
          <w:spacing w:val="-83"/>
        </w:rPr>
        <w:t> </w:t>
      </w:r>
      <w:r>
        <w:rPr>
          <w:spacing w:val="-83"/>
        </w:rPr>
      </w:r>
      <w:r>
        <w:rPr>
          <w:spacing w:val="-2"/>
        </w:rPr>
        <w:t>浮动利率的金融负债使本公司面临现金流量利率风险，固定利率的金融负债使本公司面临公允价值利率风险。本公司根据当</w:t>
      </w:r>
      <w:r>
        <w:rPr>
          <w:spacing w:val="-64"/>
        </w:rPr>
        <w:t> </w:t>
      </w:r>
      <w:r>
        <w:rPr>
          <w:spacing w:val="-64"/>
        </w:rPr>
      </w:r>
      <w:r>
        <w:rPr/>
        <w:t>时的市场环境来决定固定利率及浮动利率合同的相对比例，并通过定期审阅与监察维持适当的固定和浮动利率工具组合。</w:t>
      </w:r>
    </w:p>
    <w:p>
      <w:pPr>
        <w:pStyle w:val="BodyText"/>
        <w:spacing w:line="300" w:lineRule="auto" w:before="19"/>
        <w:ind w:left="573" w:right="5293"/>
        <w:jc w:val="left"/>
      </w:pPr>
      <w:r>
        <w:rPr>
          <w:rFonts w:ascii="Times New Roman" w:hAnsi="Times New Roman" w:cs="Times New Roman" w:eastAsia="Times New Roman" w:hint="default"/>
        </w:rPr>
        <w:t>3</w:t>
      </w:r>
      <w:r>
        <w:rPr/>
        <w:t>．其他价格风险 本公司未持有其他上市公司的权益投资，不存在其他价格风险。</w:t>
      </w:r>
    </w:p>
    <w:p>
      <w:pPr>
        <w:spacing w:line="240" w:lineRule="auto" w:before="3"/>
        <w:rPr>
          <w:rFonts w:ascii="宋体" w:hAnsi="宋体" w:cs="宋体" w:eastAsia="宋体" w:hint="default"/>
          <w:sz w:val="26"/>
          <w:szCs w:val="26"/>
        </w:rPr>
      </w:pPr>
    </w:p>
    <w:p>
      <w:pPr>
        <w:pStyle w:val="BodyText"/>
        <w:spacing w:line="309" w:lineRule="auto"/>
        <w:ind w:left="573" w:right="3493" w:firstLine="2"/>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3"/>
        </w:rPr>
        <w:t> </w:t>
      </w:r>
      <w:r>
        <w:rPr>
          <w:rFonts w:ascii="宋体" w:hAnsi="宋体" w:cs="宋体" w:eastAsia="宋体" w:hint="default"/>
          <w:b/>
          <w:bCs/>
        </w:rPr>
        <w:t>信用风险</w:t>
      </w:r>
      <w:r>
        <w:rPr>
          <w:rFonts w:ascii="宋体" w:hAnsi="宋体" w:cs="宋体" w:eastAsia="宋体" w:hint="default"/>
          <w:b/>
          <w:bCs/>
          <w:w w:val="99"/>
        </w:rPr>
        <w:t> </w:t>
      </w:r>
      <w:r>
        <w:rPr/>
        <w:t>信用风险，是指交易对手方未能履行合同义务而导致本公司产生财务损失的风险。 本公司对信用风险按组合分类进行管理。信用风险主要产生于银行存款和应收款项等。</w:t>
      </w:r>
    </w:p>
    <w:p>
      <w:pPr>
        <w:pStyle w:val="BodyText"/>
        <w:spacing w:line="316" w:lineRule="auto" w:before="24"/>
        <w:ind w:left="573" w:right="1117"/>
        <w:jc w:val="left"/>
      </w:pPr>
      <w:r>
        <w:rPr/>
        <w:t>本公司银行存款主要存放于国有银行和其它大中型上市银行，本公司预期银行存款不存在重大的信用风险。 对于应收款项，本公司设定相关政策以控制信用风险敞口。本公司基于对债务人的财务状况、外部评级、从第三方获</w:t>
      </w:r>
    </w:p>
    <w:p>
      <w:pPr>
        <w:pStyle w:val="BodyText"/>
        <w:spacing w:line="316" w:lineRule="auto" w:before="19"/>
        <w:ind w:right="1133"/>
        <w:jc w:val="both"/>
      </w:pPr>
      <w:r>
        <w:rPr>
          <w:spacing w:val="-2"/>
        </w:rPr>
        <w:t>取担保的可能性、信用记录及其它因素诸如目前市场状况等评估债务人的信用资质并设置相应欠款额度与信用期限。本公司</w:t>
      </w:r>
      <w:r>
        <w:rPr>
          <w:spacing w:val="-64"/>
        </w:rPr>
        <w:t> </w:t>
      </w:r>
      <w:r>
        <w:rPr>
          <w:spacing w:val="-64"/>
        </w:rPr>
      </w:r>
      <w:r>
        <w:rPr>
          <w:spacing w:val="-5"/>
        </w:rPr>
        <w:t>会定期对债务人信用记录进行监控，对于信用记录不良的债务人，本公司会采用书面催款、缩短信用期或取消信用期等方式，</w:t>
      </w:r>
      <w:r>
        <w:rPr>
          <w:spacing w:val="-79"/>
        </w:rPr>
        <w:t> </w:t>
      </w:r>
      <w:r>
        <w:rPr>
          <w:spacing w:val="-79"/>
        </w:rPr>
      </w:r>
      <w:r>
        <w:rPr/>
        <w:t>以确保本公司的整体信用风险在可控的范围内。</w:t>
      </w:r>
    </w:p>
    <w:p>
      <w:pPr>
        <w:pStyle w:val="BodyText"/>
        <w:spacing w:line="300" w:lineRule="auto" w:before="19"/>
        <w:ind w:right="1034" w:firstLine="420"/>
        <w:jc w:val="left"/>
      </w:pPr>
      <w:r>
        <w:rPr/>
        <w:t>本公司所承受的最大信用风险敞口为资产负债表中每项金融资产的账面金额，详细见本部分</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流动风险的相关列示。 本公司没有提供任何其他可能令本公司承受信用风险的担保。</w:t>
      </w:r>
    </w:p>
    <w:p>
      <w:pPr>
        <w:spacing w:line="240" w:lineRule="auto" w:before="3"/>
        <w:rPr>
          <w:rFonts w:ascii="宋体" w:hAnsi="宋体" w:cs="宋体" w:eastAsia="宋体" w:hint="default"/>
          <w:sz w:val="26"/>
          <w:szCs w:val="26"/>
        </w:rPr>
      </w:pPr>
    </w:p>
    <w:p>
      <w:pPr>
        <w:pStyle w:val="BodyText"/>
        <w:spacing w:line="300" w:lineRule="auto"/>
        <w:ind w:left="573" w:right="1117" w:firstLine="2"/>
        <w:jc w:val="left"/>
      </w:pPr>
      <w:r>
        <w:rPr>
          <w:rFonts w:ascii="Times New Roman" w:hAnsi="Times New Roman" w:cs="Times New Roman" w:eastAsia="Times New Roman" w:hint="default"/>
          <w:b/>
          <w:bCs/>
        </w:rPr>
        <w:t>(</w:t>
      </w:r>
      <w:r>
        <w:rPr>
          <w:rFonts w:ascii="宋体" w:hAnsi="宋体" w:cs="宋体" w:eastAsia="宋体" w:hint="default"/>
          <w:b/>
          <w:bCs/>
        </w:rPr>
        <w:t>四</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3"/>
        </w:rPr>
        <w:t> </w:t>
      </w:r>
      <w:r>
        <w:rPr>
          <w:rFonts w:ascii="宋体" w:hAnsi="宋体" w:cs="宋体" w:eastAsia="宋体" w:hint="default"/>
          <w:b/>
          <w:bCs/>
        </w:rPr>
        <w:t>流动风险</w:t>
      </w:r>
      <w:r>
        <w:rPr>
          <w:rFonts w:ascii="宋体" w:hAnsi="宋体" w:cs="宋体" w:eastAsia="宋体" w:hint="default"/>
          <w:b/>
          <w:bCs/>
          <w:w w:val="99"/>
        </w:rPr>
        <w:t> </w:t>
      </w:r>
      <w:r>
        <w:rPr/>
        <w:t>流动风险，是指企业在履行以交付现金或其他金融资产的方式结算的义务时发生资金短缺的风险。流动性风险由本公</w:t>
      </w:r>
    </w:p>
    <w:p>
      <w:pPr>
        <w:pStyle w:val="BodyText"/>
        <w:spacing w:line="300" w:lineRule="auto" w:before="31"/>
        <w:ind w:right="1129"/>
        <w:jc w:val="both"/>
      </w:pPr>
      <w:r>
        <w:rPr>
          <w:spacing w:val="-2"/>
        </w:rPr>
        <w:t>司的财务部门集中控制。财务部门通过监控现金余额、可随时变现的有价证券以及对未来</w:t>
      </w:r>
      <w:r>
        <w:rPr>
          <w:rFonts w:ascii="Times New Roman" w:hAnsi="Times New Roman" w:cs="Times New Roman" w:eastAsia="Times New Roman" w:hint="default"/>
          <w:spacing w:val="-2"/>
        </w:rPr>
        <w:t>12</w:t>
      </w:r>
      <w:r>
        <w:rPr>
          <w:spacing w:val="-2"/>
        </w:rPr>
        <w:t>个月现金流量的滚动预测，确保</w:t>
      </w:r>
      <w:r>
        <w:rPr>
          <w:spacing w:val="-61"/>
        </w:rPr>
        <w:t> </w:t>
      </w:r>
      <w:r>
        <w:rPr>
          <w:spacing w:val="-61"/>
        </w:rPr>
      </w:r>
      <w:r>
        <w:rPr/>
        <w:t>公司在所有合理预测的情况下拥有充足的资金偿还债务，满足本公司经营需要，并降低现金流量波动的影响。</w:t>
      </w:r>
    </w:p>
    <w:p>
      <w:pPr>
        <w:spacing w:line="240" w:lineRule="auto" w:before="3"/>
        <w:rPr>
          <w:rFonts w:ascii="宋体" w:hAnsi="宋体" w:cs="宋体" w:eastAsia="宋体" w:hint="default"/>
          <w:sz w:val="26"/>
          <w:szCs w:val="26"/>
        </w:rPr>
      </w:pPr>
    </w:p>
    <w:p>
      <w:pPr>
        <w:pStyle w:val="BodyText"/>
        <w:spacing w:line="300" w:lineRule="auto"/>
        <w:ind w:left="515" w:right="1117" w:firstLine="60"/>
        <w:jc w:val="left"/>
      </w:pPr>
      <w:r>
        <w:rPr>
          <w:rFonts w:ascii="Times New Roman" w:hAnsi="Times New Roman" w:cs="Times New Roman" w:eastAsia="Times New Roman" w:hint="default"/>
          <w:b/>
          <w:bCs/>
        </w:rPr>
        <w:t>(</w:t>
      </w:r>
      <w:r>
        <w:rPr>
          <w:rFonts w:ascii="宋体" w:hAnsi="宋体" w:cs="宋体" w:eastAsia="宋体" w:hint="default"/>
          <w:b/>
          <w:bCs/>
        </w:rPr>
        <w:t>五</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3"/>
        </w:rPr>
        <w:t> </w:t>
      </w:r>
      <w:r>
        <w:rPr>
          <w:rFonts w:ascii="宋体" w:hAnsi="宋体" w:cs="宋体" w:eastAsia="宋体" w:hint="default"/>
          <w:b/>
          <w:bCs/>
        </w:rPr>
        <w:t>资本管理</w:t>
      </w:r>
      <w:r>
        <w:rPr>
          <w:rFonts w:ascii="宋体" w:hAnsi="宋体" w:cs="宋体" w:eastAsia="宋体" w:hint="default"/>
          <w:b/>
          <w:bCs/>
          <w:w w:val="99"/>
        </w:rPr>
        <w:t> </w:t>
      </w:r>
      <w:r>
        <w:rPr>
          <w:spacing w:val="-2"/>
        </w:rPr>
        <w:t>本公司资本管理政策的目标是为了保障本公司能够持续经营，从而为股东提供回报，并使其他利益相关者获益，同时维</w:t>
      </w:r>
    </w:p>
    <w:p>
      <w:pPr>
        <w:pStyle w:val="BodyText"/>
        <w:spacing w:line="309" w:lineRule="auto" w:before="31"/>
        <w:ind w:right="1130"/>
        <w:jc w:val="both"/>
      </w:pPr>
      <w:r>
        <w:rPr>
          <w:spacing w:val="-5"/>
        </w:rPr>
        <w:t>持最佳的资本结构以降低资本成本。为了维持或调整资本结构，本公司可能会调整支付给股东的股利金额、向股东返还资本、</w:t>
      </w:r>
      <w:r>
        <w:rPr>
          <w:spacing w:val="-76"/>
        </w:rPr>
        <w:t> </w:t>
      </w:r>
      <w:r>
        <w:rPr>
          <w:spacing w:val="-76"/>
        </w:rPr>
      </w:r>
      <w:r>
        <w:rPr>
          <w:spacing w:val="-1"/>
        </w:rPr>
        <w:t>发行新股或出售资产以减低债务。本公司以资产负债率</w:t>
      </w:r>
      <w:r>
        <w:rPr>
          <w:rFonts w:ascii="Times New Roman" w:hAnsi="Times New Roman" w:cs="Times New Roman" w:eastAsia="Times New Roman" w:hint="default"/>
          <w:spacing w:val="-1"/>
        </w:rPr>
        <w:t>(</w:t>
      </w:r>
      <w:r>
        <w:rPr>
          <w:spacing w:val="-1"/>
        </w:rPr>
        <w:t>即总负债除以总资产</w:t>
      </w:r>
      <w:r>
        <w:rPr>
          <w:rFonts w:ascii="Times New Roman" w:hAnsi="Times New Roman" w:cs="Times New Roman" w:eastAsia="Times New Roman" w:hint="default"/>
          <w:spacing w:val="-1"/>
        </w:rPr>
        <w:t>)</w:t>
      </w:r>
      <w:r>
        <w:rPr>
          <w:spacing w:val="-1"/>
        </w:rPr>
        <w:t>为基础对资本结构进行监控。于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5"/>
        </w:rPr>
        <w:t> </w:t>
      </w:r>
      <w:r>
        <w:rPr/>
        <w:t>日，本公司的资产负债率为</w:t>
      </w:r>
      <w:r>
        <w:rPr>
          <w:rFonts w:ascii="Times New Roman" w:hAnsi="Times New Roman" w:cs="Times New Roman" w:eastAsia="Times New Roman" w:hint="default"/>
        </w:rPr>
        <w:t>49.11%(2017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51.12%)</w:t>
      </w:r>
      <w:r>
        <w:rPr/>
        <w:t>。</w:t>
      </w:r>
    </w:p>
    <w:p>
      <w:pPr>
        <w:spacing w:after="0" w:line="309" w:lineRule="auto"/>
        <w:jc w:val="both"/>
        <w:sectPr>
          <w:pgSz w:w="11910" w:h="16840"/>
          <w:pgMar w:header="786" w:footer="1294" w:top="1100" w:bottom="1480" w:left="980" w:right="0"/>
        </w:sectPr>
      </w:pPr>
    </w:p>
    <w:p>
      <w:pPr>
        <w:spacing w:line="240" w:lineRule="auto" w:before="7"/>
        <w:rPr>
          <w:rFonts w:ascii="宋体" w:hAnsi="宋体" w:cs="宋体" w:eastAsia="宋体" w:hint="default"/>
          <w:sz w:val="20"/>
          <w:szCs w:val="20"/>
        </w:rPr>
      </w:pPr>
    </w:p>
    <w:p>
      <w:pPr>
        <w:pStyle w:val="Heading2"/>
        <w:spacing w:line="240" w:lineRule="auto" w:before="26"/>
        <w:ind w:right="1117"/>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401"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22"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84" w:type="dxa"/>
            <w:vMerge w:val="restart"/>
            <w:tcBorders>
              <w:top w:val="nil" w:sz="6" w:space="0" w:color="auto"/>
              <w:left w:val="single" w:sz="4" w:space="0" w:color="000000"/>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1028"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pacing w:val="-4"/>
                <w:sz w:val="18"/>
                <w:szCs w:val="18"/>
              </w:rPr>
              <w:t>（六）指定为以公允价值</w:t>
            </w:r>
            <w:r>
              <w:rPr>
                <w:rFonts w:ascii="宋体" w:hAnsi="宋体" w:cs="宋体" w:eastAsia="宋体" w:hint="default"/>
                <w:sz w:val="18"/>
                <w:szCs w:val="18"/>
              </w:rPr>
              <w:t> 计量且变动计入当期损 益的金融负债</w:t>
            </w:r>
          </w:p>
        </w:tc>
        <w:tc>
          <w:tcPr>
            <w:tcW w:w="1835"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2,864,367.91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8" w:right="0"/>
              <w:jc w:val="left"/>
              <w:rPr>
                <w:rFonts w:ascii="Times New Roman" w:hAnsi="Times New Roman" w:cs="Times New Roman" w:eastAsia="Times New Roman" w:hint="default"/>
                <w:sz w:val="18"/>
                <w:szCs w:val="18"/>
              </w:rPr>
            </w:pPr>
            <w:r>
              <w:rPr>
                <w:rFonts w:ascii="Times New Roman"/>
                <w:sz w:val="18"/>
              </w:rPr>
              <w:t>2,864,367.91</w:t>
            </w:r>
          </w:p>
        </w:tc>
      </w:tr>
      <w:tr>
        <w:trPr>
          <w:trHeight w:val="161" w:hRule="exact"/>
        </w:trPr>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84" w:type="dxa"/>
            <w:vMerge/>
            <w:tcBorders>
              <w:left w:val="single" w:sz="4" w:space="0" w:color="000000"/>
              <w:right w:val="single" w:sz="4" w:space="0" w:color="000000"/>
            </w:tcBorders>
            <w:shd w:val="clear" w:color="auto" w:fill="D2D2D2"/>
          </w:tcPr>
          <w:p>
            <w:pPr/>
          </w:p>
        </w:tc>
        <w:tc>
          <w:tcPr>
            <w:tcW w:w="1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590" w:lineRule="atLeast" w:before="24"/>
        <w:ind w:left="470" w:right="1117" w:hanging="31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本公司以摊余成本计量的金融资产和金融负债主要包括：货币资金、应收票据、应收账款、其他应收</w:t>
      </w:r>
    </w:p>
    <w:p>
      <w:pPr>
        <w:pStyle w:val="Heading4"/>
        <w:spacing w:line="273" w:lineRule="auto" w:before="37"/>
        <w:ind w:right="1117"/>
        <w:jc w:val="left"/>
      </w:pPr>
      <w:r>
        <w:rPr>
          <w:spacing w:val="-2"/>
        </w:rPr>
        <w:t>款、短期借款、应付账款、其他应付款、长期应付款等。本公司不以公允价值计量的金融资产和金融负债</w:t>
      </w:r>
      <w:r>
        <w:rPr>
          <w:spacing w:val="-43"/>
        </w:rPr>
        <w:t> </w:t>
      </w:r>
      <w:r>
        <w:rPr>
          <w:spacing w:val="-43"/>
        </w:rPr>
      </w:r>
      <w:r>
        <w:rPr/>
        <w:t>的账面价值与公允价值相差很小。</w:t>
      </w:r>
    </w:p>
    <w:p>
      <w:pPr>
        <w:spacing w:line="240" w:lineRule="auto" w:before="7"/>
        <w:rPr>
          <w:rFonts w:ascii="宋体" w:hAnsi="宋体" w:cs="宋体" w:eastAsia="宋体" w:hint="default"/>
          <w:sz w:val="23"/>
          <w:szCs w:val="23"/>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3" w:hRule="exact"/>
        </w:trPr>
        <w:tc>
          <w:tcPr>
            <w:tcW w:w="1595" w:type="dxa"/>
            <w:tcBorders>
              <w:top w:val="single" w:sz="4" w:space="0" w:color="000000"/>
              <w:left w:val="single" w:sz="4" w:space="0" w:color="000000"/>
              <w:bottom w:val="single" w:sz="12" w:space="0" w:color="CCE8C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19"/>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0"/>
              <w:ind w:right="99"/>
              <w:jc w:val="center"/>
              <w:rPr>
                <w:rFonts w:ascii="宋体" w:hAnsi="宋体" w:cs="宋体" w:eastAsia="宋体" w:hint="default"/>
                <w:sz w:val="18"/>
                <w:szCs w:val="18"/>
              </w:rPr>
            </w:pPr>
            <w:r>
              <w:rPr>
                <w:rFonts w:ascii="宋体" w:hAnsi="宋体" w:cs="宋体" w:eastAsia="宋体" w:hint="default"/>
                <w:sz w:val="18"/>
                <w:szCs w:val="18"/>
              </w:rPr>
              <w:t>鹰潭市鹰高投资咨</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478"/>
              <w:jc w:val="right"/>
              <w:rPr>
                <w:rFonts w:ascii="宋体" w:hAnsi="宋体" w:cs="宋体" w:eastAsia="宋体" w:hint="default"/>
                <w:sz w:val="18"/>
                <w:szCs w:val="18"/>
              </w:rPr>
            </w:pPr>
            <w:r>
              <w:rPr>
                <w:rFonts w:ascii="宋体" w:hAnsi="宋体" w:cs="宋体" w:eastAsia="宋体" w:hint="default"/>
                <w:sz w:val="18"/>
                <w:szCs w:val="18"/>
              </w:rPr>
              <w:t>江西省鹰潭市</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30.28%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30.28%</w:t>
            </w:r>
          </w:p>
        </w:tc>
      </w:tr>
    </w:tbl>
    <w:p>
      <w:pPr>
        <w:spacing w:after="0" w:line="240" w:lineRule="auto"/>
        <w:jc w:val="lef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36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询有限公司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t>本企业的母公司情况的说明</w:t>
      </w:r>
    </w:p>
    <w:p>
      <w:pPr>
        <w:pStyle w:val="Heading4"/>
        <w:spacing w:line="256" w:lineRule="auto" w:before="94"/>
        <w:ind w:right="1117" w:firstLine="317"/>
        <w:jc w:val="left"/>
      </w:pPr>
      <w:r>
        <w:rPr>
          <w:spacing w:val="-2"/>
        </w:rPr>
        <w:t>本公司的最终控制方为自然人于伟，于伟通过鹰潭市鹰高投资咨询有限公司持有本公司</w:t>
      </w:r>
      <w:r>
        <w:rPr>
          <w:rFonts w:ascii="Times New Roman" w:hAnsi="Times New Roman" w:cs="Times New Roman" w:eastAsia="Times New Roman" w:hint="default"/>
          <w:spacing w:val="-2"/>
        </w:rPr>
        <w:t>30.21%</w:t>
      </w:r>
      <w:r>
        <w:rPr>
          <w:spacing w:val="-2"/>
        </w:rPr>
        <w:t>股份，</w:t>
      </w:r>
      <w:r>
        <w:rPr>
          <w:w w:val="100"/>
        </w:rPr>
        <w:t> </w:t>
      </w:r>
      <w:r>
        <w:rPr/>
        <w:t>通过鹰潭市锐鹰投资咨询有限公司持有本公司</w:t>
      </w:r>
      <w:r>
        <w:rPr>
          <w:rFonts w:ascii="Times New Roman" w:hAnsi="Times New Roman" w:cs="Times New Roman" w:eastAsia="Times New Roman" w:hint="default"/>
        </w:rPr>
        <w:t>0.11%</w:t>
      </w:r>
      <w:r>
        <w:rPr/>
        <w:t>股份，合计持有本公司</w:t>
      </w:r>
      <w:r>
        <w:rPr>
          <w:rFonts w:ascii="Times New Roman" w:hAnsi="Times New Roman" w:cs="Times New Roman" w:eastAsia="Times New Roman" w:hint="default"/>
        </w:rPr>
        <w:t>30.32%</w:t>
      </w:r>
      <w:r>
        <w:rPr/>
        <w:t>的股份。</w:t>
      </w:r>
    </w:p>
    <w:p>
      <w:pPr>
        <w:pStyle w:val="BodyText"/>
        <w:spacing w:line="360" w:lineRule="auto" w:before="66"/>
        <w:ind w:right="7873"/>
        <w:jc w:val="left"/>
      </w:pPr>
      <w:r>
        <w:rPr/>
        <w:t>本企业最终控制方是于伟。 其他说明：</w:t>
      </w:r>
    </w:p>
    <w:p>
      <w:pPr>
        <w:spacing w:line="240" w:lineRule="auto" w:before="2"/>
        <w:rPr>
          <w:rFonts w:ascii="宋体" w:hAnsi="宋体" w:cs="宋体" w:eastAsia="宋体" w:hint="default"/>
          <w:sz w:val="20"/>
          <w:szCs w:val="20"/>
        </w:rPr>
      </w:pPr>
    </w:p>
    <w:p>
      <w:pPr>
        <w:spacing w:line="547" w:lineRule="auto" w:before="0"/>
        <w:ind w:left="152" w:right="54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7"/>
          <w:w w:val="100"/>
          <w:sz w:val="18"/>
          <w:szCs w:val="18"/>
        </w:rPr>
        <w:t>本企业子公司的情况详见附注九、</w:t>
      </w:r>
      <w:r>
        <w:rPr>
          <w:rFonts w:ascii="Times New Roman" w:hAnsi="Times New Roman" w:cs="Times New Roman" w:eastAsia="Times New Roman" w:hint="default"/>
          <w:spacing w:val="-7"/>
          <w:w w:val="100"/>
          <w:sz w:val="18"/>
          <w:szCs w:val="18"/>
        </w:rPr>
        <w:t>1</w:t>
      </w:r>
      <w:r>
        <w:rPr>
          <w:rFonts w:ascii="宋体" w:hAnsi="宋体" w:cs="宋体" w:eastAsia="宋体" w:hint="default"/>
          <w:spacing w:val="-7"/>
          <w:w w:val="100"/>
          <w:sz w:val="18"/>
          <w:szCs w:val="18"/>
        </w:rPr>
        <w:t>、</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在子公司中的权益</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w:t>
      </w:r>
      <w:r>
        <w:rPr>
          <w:rFonts w:ascii="宋体" w:hAnsi="宋体" w:cs="宋体" w:eastAsia="宋体" w:hint="default"/>
          <w:spacing w:val="-89"/>
          <w:w w:val="100"/>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46"/>
        <w:ind w:right="2294"/>
        <w:jc w:val="left"/>
      </w:pPr>
      <w:r>
        <w:rPr>
          <w:spacing w:val="-5"/>
          <w:w w:val="100"/>
        </w:rPr>
        <w:t>本企业重要的合营或联营企业详见附注九、</w:t>
      </w:r>
      <w:r>
        <w:rPr>
          <w:rFonts w:ascii="Times New Roman" w:hAnsi="Times New Roman" w:cs="Times New Roman" w:eastAsia="Times New Roman" w:hint="default"/>
          <w:spacing w:val="-5"/>
          <w:w w:val="100"/>
        </w:rPr>
        <w:t>3</w:t>
      </w:r>
      <w:r>
        <w:rPr>
          <w:spacing w:val="-5"/>
          <w:w w:val="100"/>
        </w:rPr>
        <w:t>、</w:t>
      </w:r>
      <w:r>
        <w:rPr>
          <w:rFonts w:ascii="Times New Roman" w:hAnsi="Times New Roman" w:cs="Times New Roman" w:eastAsia="Times New Roman" w:hint="default"/>
          <w:spacing w:val="-5"/>
          <w:w w:val="100"/>
        </w:rPr>
        <w:t>“</w:t>
      </w:r>
      <w:r>
        <w:rPr>
          <w:spacing w:val="-5"/>
          <w:w w:val="100"/>
        </w:rPr>
        <w:t>在合营安排或联营企业中的权益</w:t>
      </w:r>
      <w:r>
        <w:rPr>
          <w:rFonts w:ascii="Times New Roman" w:hAnsi="Times New Roman" w:cs="Times New Roman" w:eastAsia="Times New Roman" w:hint="default"/>
          <w:spacing w:val="-5"/>
          <w:w w:val="100"/>
        </w:rPr>
        <w:t>”</w:t>
      </w:r>
      <w:r>
        <w:rPr>
          <w:spacing w:val="-5"/>
          <w:w w:val="100"/>
        </w:rPr>
        <w:t>。。</w:t>
      </w:r>
      <w:r>
        <w:rPr>
          <w:spacing w:val="-80"/>
          <w:w w:val="100"/>
        </w:rPr>
        <w:t> </w:t>
      </w:r>
      <w:r>
        <w:rPr/>
        <w:t>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中信科技发展有限公司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北京高伟达保科技有限责任公司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宁波镇海翔易融联投资管理合伙企业（有限合伙）</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子公司上海睿民之原股东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北京睿韬科技有限责任公司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子公司上海睿民之原股东</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寿宁县恒力智信股权投资合伙企业（有限合伙）</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3" w:right="72"/>
              <w:jc w:val="left"/>
              <w:rPr>
                <w:rFonts w:ascii="宋体" w:hAnsi="宋体" w:cs="宋体" w:eastAsia="宋体" w:hint="default"/>
                <w:sz w:val="18"/>
                <w:szCs w:val="18"/>
              </w:rPr>
            </w:pPr>
            <w:r>
              <w:rPr>
                <w:rFonts w:ascii="宋体" w:hAnsi="宋体" w:cs="宋体" w:eastAsia="宋体" w:hint="default"/>
                <w:sz w:val="18"/>
                <w:szCs w:val="18"/>
              </w:rPr>
              <w:t>子公司快读科技之原股东、受子公司快读科技之董事长控制 的企业</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海南欢乐坚果信息咨询中心（有限合伙）</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子公司海南坚果之原股东、受子公司海南坚果董事长控制的 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南平市尚合投资管理中心（有限合伙）</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3" w:right="72"/>
              <w:jc w:val="left"/>
              <w:rPr>
                <w:rFonts w:ascii="宋体" w:hAnsi="宋体" w:cs="宋体" w:eastAsia="宋体" w:hint="default"/>
                <w:sz w:val="18"/>
                <w:szCs w:val="18"/>
              </w:rPr>
            </w:pPr>
            <w:r>
              <w:rPr>
                <w:rFonts w:ascii="宋体" w:hAnsi="宋体" w:cs="宋体" w:eastAsia="宋体" w:hint="default"/>
                <w:sz w:val="18"/>
                <w:szCs w:val="18"/>
              </w:rPr>
              <w:t>子公司喀什尚河之原股东、受子公司喀什尚河董事长控制的 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刘晓曦</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子公司海南坚果之董事长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黄河</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子公司喀什尚河、快读科技之董事长</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7"/>
        <w:jc w:val="left"/>
      </w:pPr>
      <w:r>
        <w:rPr/>
        <w:t>采购商品</w:t>
      </w:r>
      <w:r>
        <w:rPr>
          <w:rFonts w:ascii="Times New Roman" w:hAnsi="Times New Roman" w:cs="Times New Roman" w:eastAsia="Times New Roman" w:hint="default"/>
        </w:rPr>
        <w:t>/</w:t>
      </w:r>
      <w:r>
        <w:rPr/>
        <w:t>接受劳务情况表</w:t>
      </w:r>
    </w:p>
    <w:p>
      <w:pPr>
        <w:spacing w:after="0" w:line="240" w:lineRule="auto"/>
        <w:jc w:val="left"/>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17"/>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59"/>
        <w:gridCol w:w="2259"/>
        <w:gridCol w:w="2655"/>
      </w:tblGrid>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中信科技发展有限公司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29,935,933.38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6,670,517.54</w:t>
            </w:r>
          </w:p>
        </w:tc>
      </w:tr>
      <w:tr>
        <w:trPr>
          <w:trHeight w:val="715"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北京高伟达保科技有限责任公 司</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212,264.15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30,148,197.53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6,670,517.54</w:t>
            </w:r>
          </w:p>
        </w:tc>
      </w:tr>
    </w:tbl>
    <w:p>
      <w:pPr>
        <w:pStyle w:val="BodyText"/>
        <w:spacing w:line="240" w:lineRule="auto" w:before="49"/>
        <w:ind w:right="1117"/>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7"/>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86" w:footer="1294" w:top="1100" w:bottom="1480" w:left="980" w:right="0"/>
        </w:sectPr>
      </w:pPr>
    </w:p>
    <w:p>
      <w:pPr>
        <w:pStyle w:val="BodyText"/>
        <w:spacing w:line="338"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700" w:left="980" w:right="0"/>
          <w:cols w:num="2" w:equalWidth="0">
            <w:col w:w="2544" w:space="628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117"/>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7"/>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1117"/>
        <w:jc w:val="left"/>
      </w:pPr>
      <w:r>
        <w:rPr/>
        <w:t>本公司作为承租方：</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1117"/>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7"/>
        <w:jc w:val="left"/>
      </w:pPr>
      <w:r>
        <w:rPr/>
        <w:t>本公司作为担保方</w:t>
      </w:r>
    </w:p>
    <w:p>
      <w:pPr>
        <w:pStyle w:val="BodyText"/>
        <w:spacing w:line="240" w:lineRule="auto" w:before="117"/>
        <w:ind w:left="0" w:right="1131"/>
        <w:jc w:val="right"/>
      </w:pPr>
      <w:r>
        <w:rPr/>
        <w:t>单位：</w:t>
      </w:r>
      <w:r>
        <w:rPr>
          <w:spacing w:val="1"/>
        </w:rPr>
        <w:t> </w:t>
      </w:r>
      <w:r>
        <w:rPr/>
        <w:t>元</w:t>
      </w:r>
    </w:p>
    <w:p>
      <w:pPr>
        <w:spacing w:after="0" w:line="240" w:lineRule="auto"/>
        <w:jc w:val="right"/>
        <w:sectPr>
          <w:type w:val="continuous"/>
          <w:pgSz w:w="11910" w:h="16840"/>
          <w:pgMar w:top="1100" w:bottom="7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0"/>
        <w:ind w:right="1117"/>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自然人于伟、鹰潭市鹰 高投资咨询有限公司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31,333,400.00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自然人于伟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17"/>
        <w:jc w:val="left"/>
      </w:pPr>
      <w:r>
        <w:rPr/>
        <w:t>关联担保情况说明</w:t>
      </w:r>
    </w:p>
    <w:p>
      <w:pPr>
        <w:pStyle w:val="Heading4"/>
        <w:spacing w:line="256" w:lineRule="auto" w:before="96"/>
        <w:ind w:right="0" w:firstLine="420"/>
        <w:jc w:val="left"/>
      </w:pPr>
      <w:r>
        <w:rPr>
          <w:spacing w:val="-3"/>
        </w:rPr>
        <w:t>本公司于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23</w:t>
      </w:r>
      <w:r>
        <w:rPr>
          <w:spacing w:val="-3"/>
        </w:rPr>
        <w:t>日向江苏银行股份有限公司北京中关村支行借入人民币</w:t>
      </w:r>
      <w:r>
        <w:rPr>
          <w:rFonts w:ascii="Times New Roman" w:hAnsi="Times New Roman" w:cs="Times New Roman" w:eastAsia="Times New Roman" w:hint="default"/>
          <w:spacing w:val="-3"/>
        </w:rPr>
        <w:t>47,000,000.00</w:t>
      </w:r>
      <w:r>
        <w:rPr>
          <w:spacing w:val="-3"/>
        </w:rPr>
        <w:t>元，该笔借</w:t>
      </w:r>
      <w:r>
        <w:rPr>
          <w:w w:val="100"/>
        </w:rPr>
        <w:t> </w:t>
      </w:r>
      <w:r>
        <w:rPr/>
        <w:t>款系公司收购深圳市快读科技有限公司的并购款，其中：</w:t>
      </w:r>
      <w:r>
        <w:rPr>
          <w:rFonts w:ascii="Times New Roman" w:hAnsi="Times New Roman" w:cs="Times New Roman" w:eastAsia="Times New Roman" w:hint="default"/>
        </w:rPr>
        <w:t>1)</w:t>
      </w:r>
      <w:r>
        <w:rPr/>
        <w:t>本公司的母公司鹰潭市鹰高投资咨询有限公司</w:t>
      </w:r>
      <w:r>
        <w:rPr>
          <w:spacing w:val="-99"/>
        </w:rPr>
        <w:t> </w:t>
      </w:r>
      <w:r>
        <w:rPr>
          <w:spacing w:val="-99"/>
        </w:rPr>
      </w:r>
      <w:r>
        <w:rPr>
          <w:spacing w:val="-1"/>
        </w:rPr>
        <w:t>将本公司</w:t>
      </w:r>
      <w:r>
        <w:rPr>
          <w:rFonts w:ascii="Times New Roman" w:hAnsi="Times New Roman" w:cs="Times New Roman" w:eastAsia="Times New Roman" w:hint="default"/>
          <w:spacing w:val="-1"/>
        </w:rPr>
        <w:t>1,600.00</w:t>
      </w:r>
      <w:r>
        <w:rPr>
          <w:spacing w:val="-1"/>
        </w:rPr>
        <w:t>万股股票质押给江苏银行股份有限公司北京中关村支行并为本公司提供</w:t>
      </w:r>
      <w:r>
        <w:rPr>
          <w:rFonts w:ascii="Times New Roman" w:hAnsi="Times New Roman" w:cs="Times New Roman" w:eastAsia="Times New Roman" w:hint="default"/>
          <w:spacing w:val="-1"/>
        </w:rPr>
        <w:t>2.4</w:t>
      </w:r>
      <w:r>
        <w:rPr>
          <w:spacing w:val="-1"/>
        </w:rPr>
        <w:t>亿元连带担保；</w:t>
      </w:r>
      <w:r>
        <w:rPr>
          <w:spacing w:val="-23"/>
        </w:rPr>
        <w:t> </w:t>
      </w:r>
      <w:r>
        <w:rPr>
          <w:spacing w:val="-23"/>
        </w:rPr>
      </w:r>
      <w:r>
        <w:rPr>
          <w:rFonts w:ascii="Times New Roman" w:hAnsi="Times New Roman" w:cs="Times New Roman" w:eastAsia="Times New Roman" w:hint="default"/>
          <w:spacing w:val="-4"/>
        </w:rPr>
        <w:t>2)</w:t>
      </w:r>
      <w:r>
        <w:rPr>
          <w:spacing w:val="-4"/>
        </w:rPr>
        <w:t>本公司实际控制人于伟以其全部财产承担连带责任担保，截至</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日，该借款余额</w:t>
      </w:r>
      <w:r>
        <w:rPr>
          <w:rFonts w:ascii="Times New Roman" w:hAnsi="Times New Roman" w:cs="Times New Roman" w:eastAsia="Times New Roman" w:hint="default"/>
          <w:spacing w:val="-4"/>
        </w:rPr>
        <w:t>31,333,400.00</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元尚未到期还款。</w:t>
      </w:r>
    </w:p>
    <w:p>
      <w:pPr>
        <w:pStyle w:val="Heading4"/>
        <w:spacing w:line="256" w:lineRule="auto" w:before="22"/>
        <w:ind w:right="1117" w:firstLine="420"/>
        <w:jc w:val="left"/>
      </w:pPr>
      <w:r>
        <w:rPr>
          <w:spacing w:val="-3"/>
        </w:rPr>
        <w:t>本公司于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27</w:t>
      </w:r>
      <w:r>
        <w:rPr>
          <w:spacing w:val="-3"/>
        </w:rPr>
        <w:t>日向兴业银行股份有限公司北京世纪坛支行借入人民币</w:t>
      </w:r>
      <w:r>
        <w:rPr>
          <w:rFonts w:ascii="Times New Roman" w:hAnsi="Times New Roman" w:cs="Times New Roman" w:eastAsia="Times New Roman" w:hint="default"/>
          <w:spacing w:val="-3"/>
        </w:rPr>
        <w:t>50,000,000.00</w:t>
      </w:r>
      <w:r>
        <w:rPr>
          <w:spacing w:val="-3"/>
        </w:rPr>
        <w:t>元，由实际</w:t>
      </w:r>
      <w:r>
        <w:rPr>
          <w:w w:val="100"/>
        </w:rPr>
        <w:t> </w:t>
      </w:r>
      <w:r>
        <w:rPr/>
        <w:t>控制人于伟提供个人连带责任担保。截至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日，该借款尚未到期还款。</w:t>
      </w:r>
    </w:p>
    <w:p>
      <w:pPr>
        <w:spacing w:line="240" w:lineRule="auto" w:before="4"/>
        <w:rPr>
          <w:rFonts w:ascii="宋体" w:hAnsi="宋体" w:cs="宋体" w:eastAsia="宋体" w:hint="default"/>
          <w:sz w:val="23"/>
          <w:szCs w:val="23"/>
        </w:rPr>
      </w:pPr>
    </w:p>
    <w:p>
      <w:pPr>
        <w:pStyle w:val="Heading3"/>
        <w:spacing w:line="240" w:lineRule="auto"/>
        <w:ind w:right="1117"/>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9"/>
        <w:gridCol w:w="1910"/>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9" w:type="dxa"/>
            <w:tcBorders>
              <w:top w:val="single" w:sz="4" w:space="0" w:color="000000"/>
              <w:left w:val="single" w:sz="4" w:space="0" w:color="000000"/>
              <w:bottom w:val="single" w:sz="4" w:space="0" w:color="000000"/>
              <w:right w:val="single" w:sz="14" w:space="0" w:color="CCE8C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0"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关键管理人员人数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在本公司领取报酬人数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报酬总额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6,238,700.00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5,632,300.00</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83"/>
        <w:gridCol w:w="1604"/>
        <w:gridCol w:w="1596"/>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2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北京高伟达保科技 有限责任公司</w:t>
            </w:r>
          </w:p>
        </w:tc>
        <w:tc>
          <w:tcPr>
            <w:tcW w:w="16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31,163,760.00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3,116,376.00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31,163,760.00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934,912.80</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中信科技发展有限 公司</w:t>
            </w:r>
          </w:p>
        </w:tc>
        <w:tc>
          <w:tcPr>
            <w:tcW w:w="16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8,864,347.02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265,930.41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83"/>
        <w:gridCol w:w="2404"/>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应付利息</w:t>
            </w: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4" w:type="dxa"/>
            <w:tcBorders>
              <w:top w:val="single" w:sz="4" w:space="0" w:color="000000"/>
              <w:left w:val="single" w:sz="10" w:space="0" w:color="CCE8CF"/>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3" w:right="186"/>
              <w:jc w:val="left"/>
              <w:rPr>
                <w:rFonts w:ascii="宋体" w:hAnsi="宋体" w:cs="宋体" w:eastAsia="宋体" w:hint="default"/>
                <w:sz w:val="18"/>
                <w:szCs w:val="18"/>
              </w:rPr>
            </w:pPr>
            <w:r>
              <w:rPr>
                <w:rFonts w:ascii="宋体" w:hAnsi="宋体" w:cs="宋体" w:eastAsia="宋体" w:hint="default"/>
                <w:sz w:val="18"/>
                <w:szCs w:val="18"/>
              </w:rPr>
              <w:t>鹰潭市鹰高投资咨询有限公 司</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6,621,182.64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3,378,229.18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其他应付款</w:t>
            </w: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4" w:type="dxa"/>
            <w:tcBorders>
              <w:top w:val="single" w:sz="4" w:space="0" w:color="000000"/>
              <w:left w:val="single" w:sz="10" w:space="0" w:color="CCE8CF"/>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刘晓曦</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78,054.21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22,243.66</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北京睿韬科技有限责任公司</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36,735,890.43</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一年内到期的非流动负债</w:t>
            </w: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4" w:type="dxa"/>
            <w:tcBorders>
              <w:top w:val="single" w:sz="4" w:space="0" w:color="000000"/>
              <w:left w:val="single" w:sz="10" w:space="0" w:color="CCE8CF"/>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86"/>
              <w:jc w:val="left"/>
              <w:rPr>
                <w:rFonts w:ascii="宋体" w:hAnsi="宋体" w:cs="宋体" w:eastAsia="宋体" w:hint="default"/>
                <w:sz w:val="18"/>
                <w:szCs w:val="18"/>
              </w:rPr>
            </w:pPr>
            <w:r>
              <w:rPr>
                <w:rFonts w:ascii="宋体" w:hAnsi="宋体" w:cs="宋体" w:eastAsia="宋体" w:hint="default"/>
                <w:sz w:val="18"/>
                <w:szCs w:val="18"/>
              </w:rPr>
              <w:t>鹰潭市鹰高投资咨询有限公 司</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73,900,000.00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86"/>
              <w:jc w:val="left"/>
              <w:rPr>
                <w:rFonts w:ascii="宋体" w:hAnsi="宋体" w:cs="宋体" w:eastAsia="宋体" w:hint="default"/>
                <w:sz w:val="18"/>
                <w:szCs w:val="18"/>
              </w:rPr>
            </w:pPr>
            <w:r>
              <w:rPr>
                <w:rFonts w:ascii="宋体" w:hAnsi="宋体" w:cs="宋体" w:eastAsia="宋体" w:hint="default"/>
                <w:sz w:val="18"/>
                <w:szCs w:val="18"/>
              </w:rPr>
              <w:t>寿宁县恒力智信股权投资合 伙企业（有限合伙）</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54,653,897.52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64,338,564.20</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海南欢乐坚果信息咨询中心</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44,172,129.66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44,242,012.72</w:t>
            </w: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3" w:right="9"/>
              <w:jc w:val="left"/>
              <w:rPr>
                <w:rFonts w:ascii="宋体" w:hAnsi="宋体" w:cs="宋体" w:eastAsia="宋体" w:hint="default"/>
                <w:sz w:val="18"/>
                <w:szCs w:val="18"/>
              </w:rPr>
            </w:pPr>
            <w:r>
              <w:rPr>
                <w:rFonts w:ascii="宋体" w:hAnsi="宋体" w:cs="宋体" w:eastAsia="宋体" w:hint="default"/>
                <w:sz w:val="18"/>
                <w:szCs w:val="18"/>
              </w:rPr>
              <w:t>南平市尚合投资管理中心（有 限合伙）</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35,672,815.42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35,724,982.66</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黄河</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552,059.57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649,884.49</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刘晓曦</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446,183.13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446,889.02</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长期应付款</w:t>
            </w: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4" w:type="dxa"/>
            <w:tcBorders>
              <w:top w:val="single" w:sz="4" w:space="0" w:color="000000"/>
              <w:left w:val="single" w:sz="10" w:space="0" w:color="CCE8CF"/>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86"/>
              <w:jc w:val="left"/>
              <w:rPr>
                <w:rFonts w:ascii="宋体" w:hAnsi="宋体" w:cs="宋体" w:eastAsia="宋体" w:hint="default"/>
                <w:sz w:val="18"/>
                <w:szCs w:val="18"/>
              </w:rPr>
            </w:pPr>
            <w:r>
              <w:rPr>
                <w:rFonts w:ascii="宋体" w:hAnsi="宋体" w:cs="宋体" w:eastAsia="宋体" w:hint="default"/>
                <w:sz w:val="18"/>
                <w:szCs w:val="18"/>
              </w:rPr>
              <w:t>寿宁县恒力智信股权投资合 伙企业（有限合伙）</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215,889,054.42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240,173,305.04</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390"/>
        <w:gridCol w:w="2383"/>
        <w:gridCol w:w="2404"/>
        <w:gridCol w:w="2393"/>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海南欢乐坚果信息咨询中心</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49,967,755.28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91,362,735.38</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3" w:right="9"/>
              <w:jc w:val="left"/>
              <w:rPr>
                <w:rFonts w:ascii="宋体" w:hAnsi="宋体" w:cs="宋体" w:eastAsia="宋体" w:hint="default"/>
                <w:sz w:val="18"/>
                <w:szCs w:val="18"/>
              </w:rPr>
            </w:pPr>
            <w:r>
              <w:rPr>
                <w:rFonts w:ascii="宋体" w:hAnsi="宋体" w:cs="宋体" w:eastAsia="宋体" w:hint="default"/>
                <w:sz w:val="18"/>
                <w:szCs w:val="18"/>
              </w:rPr>
              <w:t>南平市尚合投资管理中心（有 限合伙）</w:t>
            </w:r>
          </w:p>
        </w:tc>
        <w:tc>
          <w:tcPr>
            <w:tcW w:w="2404" w:type="dxa"/>
            <w:tcBorders>
              <w:top w:val="single" w:sz="4" w:space="0" w:color="000000"/>
              <w:left w:val="single" w:sz="10" w:space="0" w:color="CCE8CF"/>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34,637,261.64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黄河</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2,180,697.52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2,425,992.98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刘晓曦</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504,724.80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922,855.91</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86"/>
              <w:jc w:val="left"/>
              <w:rPr>
                <w:rFonts w:ascii="宋体" w:hAnsi="宋体" w:cs="宋体" w:eastAsia="宋体" w:hint="default"/>
                <w:sz w:val="18"/>
                <w:szCs w:val="18"/>
              </w:rPr>
            </w:pPr>
            <w:r>
              <w:rPr>
                <w:rFonts w:ascii="宋体" w:hAnsi="宋体" w:cs="宋体" w:eastAsia="宋体" w:hint="default"/>
                <w:sz w:val="18"/>
                <w:szCs w:val="18"/>
              </w:rPr>
              <w:t>鹰潭市鹰高投资咨询有限公 司</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113,000,000.00</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2,809,600.00</w:t>
            </w:r>
          </w:p>
        </w:tc>
      </w:tr>
      <w:tr>
        <w:trPr>
          <w:trHeight w:val="401" w:hRule="exact"/>
        </w:trPr>
        <w:tc>
          <w:tcPr>
            <w:tcW w:w="5455"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455"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17"/>
        <w:jc w:val="left"/>
      </w:pPr>
      <w:r>
        <w:rPr/>
        <w:t>其他说明</w:t>
      </w:r>
    </w:p>
    <w:p>
      <w:pPr>
        <w:pStyle w:val="Heading3"/>
        <w:spacing w:line="240" w:lineRule="auto" w:before="94"/>
        <w:ind w:left="575" w:right="1117"/>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股份支付基本情况</w:t>
      </w:r>
      <w:r>
        <w:rPr>
          <w:b w:val="0"/>
          <w:bCs w:val="0"/>
        </w:rPr>
      </w:r>
    </w:p>
    <w:p>
      <w:pPr>
        <w:pStyle w:val="Heading4"/>
        <w:spacing w:line="256" w:lineRule="auto" w:before="21"/>
        <w:ind w:left="573" w:right="1117"/>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日授予批次</w:t>
      </w:r>
      <w:r>
        <w:rPr>
          <w:w w:val="100"/>
        </w:rPr>
        <w:t> </w:t>
      </w:r>
      <w:r>
        <w:rPr/>
        <w:t>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月向符合资格的</w:t>
      </w:r>
      <w:r>
        <w:rPr>
          <w:rFonts w:ascii="Times New Roman" w:hAnsi="Times New Roman" w:cs="Times New Roman" w:eastAsia="Times New Roman" w:hint="default"/>
        </w:rPr>
        <w:t>100</w:t>
      </w:r>
      <w:r>
        <w:rPr/>
        <w:t>名员工</w:t>
      </w:r>
      <w:r>
        <w:rPr>
          <w:rFonts w:ascii="Times New Roman" w:hAnsi="Times New Roman" w:cs="Times New Roman" w:eastAsia="Times New Roman" w:hint="default"/>
        </w:rPr>
        <w:t>(“</w:t>
      </w:r>
      <w:r>
        <w:rPr/>
        <w:t>激励对象</w:t>
      </w:r>
      <w:r>
        <w:rPr>
          <w:rFonts w:ascii="Times New Roman" w:hAnsi="Times New Roman" w:cs="Times New Roman" w:eastAsia="Times New Roman" w:hint="default"/>
        </w:rPr>
        <w:t>”)</w:t>
      </w:r>
      <w:r>
        <w:rPr/>
        <w:t>授予限制性股票</w:t>
      </w:r>
      <w:r>
        <w:rPr>
          <w:rFonts w:ascii="Times New Roman" w:hAnsi="Times New Roman" w:cs="Times New Roman" w:eastAsia="Times New Roman" w:hint="default"/>
        </w:rPr>
        <w:t>160</w:t>
      </w:r>
      <w:r>
        <w:rPr/>
        <w:t>万股，授予价格</w:t>
      </w:r>
      <w:r>
        <w:rPr>
          <w:rFonts w:ascii="Times New Roman" w:hAnsi="Times New Roman" w:cs="Times New Roman" w:eastAsia="Times New Roman" w:hint="default"/>
        </w:rPr>
        <w:t>20.89</w:t>
      </w:r>
      <w:r>
        <w:rPr/>
        <w:t>元</w:t>
      </w:r>
      <w:r>
        <w:rPr>
          <w:rFonts w:ascii="Times New Roman" w:hAnsi="Times New Roman" w:cs="Times New Roman" w:eastAsia="Times New Roman" w:hint="default"/>
        </w:rPr>
        <w:t>/</w:t>
      </w:r>
      <w:r>
        <w:rPr/>
        <w:t>股，</w:t>
      </w:r>
    </w:p>
    <w:p>
      <w:pPr>
        <w:pStyle w:val="Heading4"/>
        <w:spacing w:line="240" w:lineRule="auto"/>
        <w:ind w:right="1117"/>
        <w:jc w:val="left"/>
      </w:pPr>
      <w:r>
        <w:rPr/>
        <w:t>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 </w:t>
      </w:r>
      <w:r>
        <w:rPr>
          <w:rFonts w:ascii="Times New Roman" w:hAnsi="Times New Roman" w:cs="Times New Roman" w:eastAsia="Times New Roman" w:hint="default"/>
          <w:spacing w:val="1"/>
        </w:rPr>
        <w:t> </w:t>
      </w:r>
      <w:r>
        <w:rPr>
          <w:spacing w:val="-3"/>
        </w:rPr>
        <w:t>日。</w:t>
      </w:r>
      <w:r>
        <w:rPr/>
      </w:r>
    </w:p>
    <w:p>
      <w:pPr>
        <w:pStyle w:val="Heading4"/>
        <w:spacing w:line="256" w:lineRule="auto" w:before="21"/>
        <w:ind w:right="1132" w:firstLine="420"/>
        <w:jc w:val="both"/>
      </w:pPr>
      <w:r>
        <w:rPr/>
        <w:t>激励对象获授限制性股票之日起</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个月内为锁定期。在锁定期内，激励对象根据本计划获授的限制</w:t>
      </w:r>
      <w:r>
        <w:rPr>
          <w:w w:val="100"/>
        </w:rPr>
        <w:t> </w:t>
      </w:r>
      <w:r>
        <w:rPr/>
        <w:t>性股票予以锁定，不得转让；限制性股票锁定期后</w:t>
      </w:r>
      <w:r>
        <w:rPr>
          <w:rFonts w:ascii="Times New Roman" w:hAnsi="Times New Roman" w:cs="Times New Roman" w:eastAsia="Times New Roman" w:hint="default"/>
        </w:rPr>
        <w:t>36</w:t>
      </w:r>
      <w:r>
        <w:rPr>
          <w:rFonts w:ascii="Times New Roman" w:hAnsi="Times New Roman" w:cs="Times New Roman" w:eastAsia="Times New Roman" w:hint="default"/>
          <w:spacing w:val="20"/>
        </w:rPr>
        <w:t> </w:t>
      </w:r>
      <w:r>
        <w:rPr/>
        <w:t>个月为解锁期，在解锁期内，若达到本股权激励计</w:t>
      </w:r>
      <w:r>
        <w:rPr>
          <w:spacing w:val="-98"/>
        </w:rPr>
        <w:t> </w:t>
      </w:r>
      <w:r>
        <w:rPr>
          <w:spacing w:val="-98"/>
        </w:rPr>
      </w:r>
      <w:r>
        <w:rPr/>
        <w:t>划规定的解锁条件，激励对象可分三次申请解锁：</w:t>
      </w:r>
    </w:p>
    <w:p>
      <w:pPr>
        <w:pStyle w:val="Heading4"/>
        <w:spacing w:line="256" w:lineRule="auto" w:before="22"/>
        <w:ind w:left="573" w:right="1117"/>
        <w:jc w:val="left"/>
      </w:pPr>
      <w:r>
        <w:rPr>
          <w:rFonts w:ascii="Times New Roman" w:hAnsi="Times New Roman" w:cs="Times New Roman" w:eastAsia="Times New Roman" w:hint="default"/>
        </w:rPr>
        <w:t>(1)</w:t>
      </w:r>
      <w:r>
        <w:rPr/>
        <w:t>第一次解锁期为自授予日起</w:t>
      </w:r>
      <w:r>
        <w:rPr>
          <w:rFonts w:ascii="Times New Roman" w:hAnsi="Times New Roman" w:cs="Times New Roman" w:eastAsia="Times New Roman" w:hint="default"/>
        </w:rPr>
        <w:t>12</w:t>
      </w:r>
      <w:r>
        <w:rPr/>
        <w:t>个月后申请解锁，可解锁数量占限制股票总数的</w:t>
      </w:r>
      <w:r>
        <w:rPr>
          <w:rFonts w:ascii="Times New Roman" w:hAnsi="Times New Roman" w:cs="Times New Roman" w:eastAsia="Times New Roman" w:hint="default"/>
        </w:rPr>
        <w:t>30.00%</w:t>
      </w:r>
      <w:r>
        <w:rPr/>
        <w:t>；</w:t>
      </w:r>
      <w:r>
        <w:rPr>
          <w:w w:val="100"/>
        </w:rPr>
        <w:t> </w:t>
      </w:r>
      <w:r>
        <w:rPr>
          <w:rFonts w:ascii="Times New Roman" w:hAnsi="Times New Roman" w:cs="Times New Roman" w:eastAsia="Times New Roman" w:hint="default"/>
        </w:rPr>
        <w:t>(2)</w:t>
      </w:r>
      <w:r>
        <w:rPr/>
        <w:t>第二次解锁期为自授予日起</w:t>
      </w:r>
      <w:r>
        <w:rPr>
          <w:rFonts w:ascii="Times New Roman" w:hAnsi="Times New Roman" w:cs="Times New Roman" w:eastAsia="Times New Roman" w:hint="default"/>
        </w:rPr>
        <w:t>24</w:t>
      </w:r>
      <w:r>
        <w:rPr/>
        <w:t>个月后申请解锁，可解锁数量占限制股票总数的</w:t>
      </w:r>
      <w:r>
        <w:rPr>
          <w:rFonts w:ascii="Times New Roman" w:hAnsi="Times New Roman" w:cs="Times New Roman" w:eastAsia="Times New Roman" w:hint="default"/>
        </w:rPr>
        <w:t>30.00%</w:t>
      </w:r>
      <w:r>
        <w:rPr/>
        <w:t>；</w:t>
      </w:r>
      <w:r>
        <w:rPr>
          <w:w w:val="100"/>
        </w:rPr>
        <w:t> </w:t>
      </w:r>
      <w:r>
        <w:rPr>
          <w:rFonts w:ascii="Times New Roman" w:hAnsi="Times New Roman" w:cs="Times New Roman" w:eastAsia="Times New Roman" w:hint="default"/>
        </w:rPr>
        <w:t>(3)</w:t>
      </w:r>
      <w:r>
        <w:rPr/>
        <w:t>第三次解锁期为自授予日起</w:t>
      </w:r>
      <w:r>
        <w:rPr>
          <w:rFonts w:ascii="Times New Roman" w:hAnsi="Times New Roman" w:cs="Times New Roman" w:eastAsia="Times New Roman" w:hint="default"/>
        </w:rPr>
        <w:t>36</w:t>
      </w:r>
      <w:r>
        <w:rPr/>
        <w:t>个月后申请解锁，可解锁数量占限制股票总数的</w:t>
      </w:r>
      <w:r>
        <w:rPr>
          <w:rFonts w:ascii="Times New Roman" w:hAnsi="Times New Roman" w:cs="Times New Roman" w:eastAsia="Times New Roman" w:hint="default"/>
        </w:rPr>
        <w:t>40.00%</w:t>
      </w:r>
      <w:r>
        <w:rPr/>
        <w:t>。</w:t>
      </w:r>
      <w:r>
        <w:rPr>
          <w:w w:val="100"/>
        </w:rPr>
        <w:t> </w:t>
      </w:r>
      <w:r>
        <w:rPr>
          <w:spacing w:val="-2"/>
        </w:rPr>
        <w:t>在解锁期内，激励对象可在董事会确认当期达到解锁条件后，在董事会确定的解锁窗口期内对相应比</w:t>
      </w:r>
    </w:p>
    <w:p>
      <w:pPr>
        <w:pStyle w:val="Heading4"/>
        <w:spacing w:line="273" w:lineRule="auto" w:before="22"/>
        <w:ind w:right="1117"/>
        <w:jc w:val="left"/>
      </w:pPr>
      <w:r>
        <w:rPr>
          <w:spacing w:val="-2"/>
        </w:rPr>
        <w:t>例的限制性股票申请解锁，当期未申请解锁的部分不再解锁并由公司回购注销；若解锁期内任何一期未达</w:t>
      </w:r>
      <w:r>
        <w:rPr>
          <w:spacing w:val="-44"/>
        </w:rPr>
        <w:t> </w:t>
      </w:r>
      <w:r>
        <w:rPr>
          <w:spacing w:val="-44"/>
        </w:rPr>
      </w:r>
      <w:r>
        <w:rPr/>
        <w:t>到解锁条件，则当期可申请解锁的限制性股票不得解锁并由公司回购后注销。</w:t>
      </w:r>
    </w:p>
    <w:p>
      <w:pPr>
        <w:pStyle w:val="Heading4"/>
        <w:spacing w:line="240" w:lineRule="auto" w:before="7"/>
        <w:ind w:left="573" w:right="1117"/>
        <w:jc w:val="left"/>
      </w:pPr>
      <w:r>
        <w:rPr/>
        <w:t>本次限制性股票解锁安排及公司业绩考核条件如下：</w:t>
      </w:r>
    </w:p>
    <w:p>
      <w:pPr>
        <w:spacing w:line="240" w:lineRule="auto" w:before="11"/>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390"/>
        <w:gridCol w:w="1983"/>
        <w:gridCol w:w="4112"/>
        <w:gridCol w:w="1057"/>
      </w:tblGrid>
      <w:tr>
        <w:trPr>
          <w:trHeight w:val="34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锁定期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解锁安排</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公司业绩考核条件</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2" w:right="0"/>
              <w:jc w:val="left"/>
              <w:rPr>
                <w:rFonts w:ascii="宋体" w:hAnsi="宋体" w:cs="宋体" w:eastAsia="宋体" w:hint="default"/>
                <w:sz w:val="18"/>
                <w:szCs w:val="18"/>
              </w:rPr>
            </w:pPr>
            <w:r>
              <w:rPr>
                <w:rFonts w:ascii="宋体" w:hAnsi="宋体" w:cs="宋体" w:eastAsia="宋体" w:hint="default"/>
                <w:sz w:val="18"/>
                <w:szCs w:val="18"/>
              </w:rPr>
              <w:t>解锁比例</w:t>
            </w:r>
          </w:p>
        </w:tc>
      </w:tr>
    </w:tbl>
    <w:p>
      <w:pPr>
        <w:spacing w:after="0" w:line="240" w:lineRule="auto"/>
        <w:jc w:val="left"/>
        <w:rPr>
          <w:rFonts w:ascii="宋体" w:hAnsi="宋体" w:cs="宋体" w:eastAsia="宋体" w:hint="default"/>
          <w:sz w:val="18"/>
          <w:szCs w:val="18"/>
        </w:rPr>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390"/>
        <w:gridCol w:w="1983"/>
        <w:gridCol w:w="4112"/>
        <w:gridCol w:w="1057"/>
      </w:tblGrid>
      <w:tr>
        <w:trPr>
          <w:trHeight w:val="965"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第一次解锁期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4" w:right="163"/>
              <w:jc w:val="left"/>
              <w:rPr>
                <w:rFonts w:ascii="宋体" w:hAnsi="宋体" w:cs="宋体" w:eastAsia="宋体" w:hint="default"/>
                <w:sz w:val="18"/>
                <w:szCs w:val="18"/>
              </w:rPr>
            </w:pPr>
            <w:r>
              <w:rPr>
                <w:rFonts w:ascii="宋体" w:hAnsi="宋体" w:cs="宋体" w:eastAsia="宋体" w:hint="default"/>
                <w:sz w:val="18"/>
                <w:szCs w:val="18"/>
              </w:rPr>
              <w:t>第一批于授予日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后至</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个月内解锁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 </w:t>
            </w:r>
            <w:r>
              <w:rPr>
                <w:rFonts w:ascii="宋体" w:hAnsi="宋体" w:cs="宋体" w:eastAsia="宋体" w:hint="default"/>
                <w:spacing w:val="-2"/>
                <w:sz w:val="18"/>
                <w:szCs w:val="18"/>
              </w:rPr>
              <w:t>利润为基础，</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年度扣除非经常损益和股份支付影</w:t>
            </w:r>
            <w:r>
              <w:rPr>
                <w:rFonts w:ascii="宋体" w:hAnsi="宋体" w:cs="宋体" w:eastAsia="宋体" w:hint="default"/>
                <w:sz w:val="18"/>
                <w:szCs w:val="18"/>
              </w:rPr>
              <w:t> 响后的净利润增长率不低于</w:t>
            </w:r>
            <w:r>
              <w:rPr>
                <w:rFonts w:ascii="Times New Roman" w:hAnsi="Times New Roman" w:cs="Times New Roman" w:eastAsia="Times New Roman" w:hint="default"/>
                <w:sz w:val="18"/>
                <w:szCs w:val="18"/>
              </w:rPr>
              <w:t>12.00%</w:t>
            </w:r>
            <w:r>
              <w:rPr>
                <w:rFonts w:ascii="宋体" w:hAnsi="宋体" w:cs="宋体" w:eastAsia="宋体"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30.00%</w:t>
            </w:r>
          </w:p>
        </w:tc>
      </w:tr>
      <w:tr>
        <w:trPr>
          <w:trHeight w:val="967"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第二次解锁期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63"/>
              <w:jc w:val="left"/>
              <w:rPr>
                <w:rFonts w:ascii="宋体" w:hAnsi="宋体" w:cs="宋体" w:eastAsia="宋体" w:hint="default"/>
                <w:sz w:val="18"/>
                <w:szCs w:val="18"/>
              </w:rPr>
            </w:pPr>
            <w:r>
              <w:rPr>
                <w:rFonts w:ascii="宋体" w:hAnsi="宋体" w:cs="宋体" w:eastAsia="宋体" w:hint="default"/>
                <w:sz w:val="18"/>
                <w:szCs w:val="18"/>
              </w:rPr>
              <w:t>第二批于授予日</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 后至</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个月内解锁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 </w:t>
            </w:r>
            <w:r>
              <w:rPr>
                <w:rFonts w:ascii="宋体" w:hAnsi="宋体" w:cs="宋体" w:eastAsia="宋体" w:hint="default"/>
                <w:spacing w:val="-2"/>
                <w:sz w:val="18"/>
                <w:szCs w:val="18"/>
              </w:rPr>
              <w:t>利润为基础，</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年度扣除非经常损益和股份支付影</w:t>
            </w:r>
            <w:r>
              <w:rPr>
                <w:rFonts w:ascii="宋体" w:hAnsi="宋体" w:cs="宋体" w:eastAsia="宋体" w:hint="default"/>
                <w:sz w:val="18"/>
                <w:szCs w:val="18"/>
              </w:rPr>
              <w:t> 响后的净利润增长率不低于</w:t>
            </w:r>
            <w:r>
              <w:rPr>
                <w:rFonts w:ascii="Times New Roman" w:hAnsi="Times New Roman" w:cs="Times New Roman" w:eastAsia="Times New Roman" w:hint="default"/>
                <w:sz w:val="18"/>
                <w:szCs w:val="18"/>
              </w:rPr>
              <w:t>25.00%</w:t>
            </w:r>
            <w:r>
              <w:rPr>
                <w:rFonts w:ascii="宋体" w:hAnsi="宋体" w:cs="宋体" w:eastAsia="宋体"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30.00%</w:t>
            </w:r>
          </w:p>
        </w:tc>
      </w:tr>
      <w:tr>
        <w:trPr>
          <w:trHeight w:val="967"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第三次解锁期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 w:right="163"/>
              <w:jc w:val="left"/>
              <w:rPr>
                <w:rFonts w:ascii="宋体" w:hAnsi="宋体" w:cs="宋体" w:eastAsia="宋体" w:hint="default"/>
                <w:sz w:val="18"/>
                <w:szCs w:val="18"/>
              </w:rPr>
            </w:pPr>
            <w:r>
              <w:rPr>
                <w:rFonts w:ascii="宋体" w:hAnsi="宋体" w:cs="宋体" w:eastAsia="宋体" w:hint="default"/>
                <w:sz w:val="18"/>
                <w:szCs w:val="18"/>
              </w:rPr>
              <w:t>第三批于授予日</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 后至</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个月内解锁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 </w:t>
            </w:r>
            <w:r>
              <w:rPr>
                <w:rFonts w:ascii="宋体" w:hAnsi="宋体" w:cs="宋体" w:eastAsia="宋体" w:hint="default"/>
                <w:spacing w:val="-2"/>
                <w:sz w:val="18"/>
                <w:szCs w:val="18"/>
              </w:rPr>
              <w:t>利润为基础，</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年度扣除非经常损益和股份支付影</w:t>
            </w:r>
            <w:r>
              <w:rPr>
                <w:rFonts w:ascii="宋体" w:hAnsi="宋体" w:cs="宋体" w:eastAsia="宋体" w:hint="default"/>
                <w:sz w:val="18"/>
                <w:szCs w:val="18"/>
              </w:rPr>
              <w:t> 响后的净利润增长率不低于</w:t>
            </w:r>
            <w:r>
              <w:rPr>
                <w:rFonts w:ascii="Times New Roman" w:hAnsi="Times New Roman" w:cs="Times New Roman" w:eastAsia="Times New Roman" w:hint="default"/>
                <w:sz w:val="18"/>
                <w:szCs w:val="18"/>
              </w:rPr>
              <w:t>45.00%</w:t>
            </w:r>
            <w:r>
              <w:rPr>
                <w:rFonts w:ascii="宋体" w:hAnsi="宋体" w:cs="宋体" w:eastAsia="宋体"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40.00%</w:t>
            </w:r>
          </w:p>
        </w:tc>
      </w:tr>
    </w:tbl>
    <w:p>
      <w:pPr>
        <w:pStyle w:val="Heading4"/>
        <w:spacing w:line="259" w:lineRule="auto" w:before="0"/>
        <w:ind w:right="1128" w:firstLine="420"/>
        <w:jc w:val="both"/>
      </w:pPr>
      <w:r>
        <w:rPr>
          <w:spacing w:val="-3"/>
        </w:rPr>
        <w:t>本次股权激励计划授予登记的股票共计</w:t>
      </w:r>
      <w:r>
        <w:rPr>
          <w:rFonts w:ascii="Times New Roman" w:hAnsi="Times New Roman" w:cs="Times New Roman" w:eastAsia="Times New Roman" w:hint="default"/>
          <w:spacing w:val="-3"/>
        </w:rPr>
        <w:t>160.00</w:t>
      </w:r>
      <w:r>
        <w:rPr>
          <w:spacing w:val="-3"/>
        </w:rPr>
        <w:t>万股，于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28</w:t>
      </w:r>
      <w:r>
        <w:rPr>
          <w:spacing w:val="-3"/>
        </w:rPr>
        <w:t>日在中国证券登记结算有限责任公</w:t>
      </w:r>
      <w:r>
        <w:rPr>
          <w:w w:val="100"/>
        </w:rPr>
        <w:t> </w:t>
      </w:r>
      <w:r>
        <w:rPr/>
        <w:t>司深圳分公司办理完成股份登记。</w:t>
      </w:r>
    </w:p>
    <w:p>
      <w:pPr>
        <w:pStyle w:val="Heading4"/>
        <w:spacing w:line="256" w:lineRule="auto" w:before="20"/>
        <w:ind w:left="573" w:right="99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日授予批次</w:t>
      </w:r>
      <w:r>
        <w:rPr>
          <w:w w:val="100"/>
        </w:rPr>
        <w:t> </w:t>
      </w:r>
      <w:r>
        <w:rPr>
          <w:spacing w:val="-1"/>
        </w:rPr>
        <w:t>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月向符合资格的</w:t>
      </w:r>
      <w:r>
        <w:rPr>
          <w:rFonts w:ascii="Times New Roman" w:hAnsi="Times New Roman" w:cs="Times New Roman" w:eastAsia="Times New Roman" w:hint="default"/>
          <w:spacing w:val="-1"/>
        </w:rPr>
        <w:t>48</w:t>
      </w:r>
      <w:r>
        <w:rPr>
          <w:spacing w:val="-1"/>
        </w:rPr>
        <w:t>名员工</w:t>
      </w:r>
      <w:r>
        <w:rPr>
          <w:rFonts w:ascii="Times New Roman" w:hAnsi="Times New Roman" w:cs="Times New Roman" w:eastAsia="Times New Roman" w:hint="default"/>
          <w:spacing w:val="-1"/>
        </w:rPr>
        <w:t>(“</w:t>
      </w:r>
      <w:r>
        <w:rPr>
          <w:spacing w:val="-1"/>
        </w:rPr>
        <w:t>激励对象</w:t>
      </w:r>
      <w:r>
        <w:rPr>
          <w:rFonts w:ascii="Times New Roman" w:hAnsi="Times New Roman" w:cs="Times New Roman" w:eastAsia="Times New Roman" w:hint="default"/>
          <w:spacing w:val="-1"/>
        </w:rPr>
        <w:t>”)</w:t>
      </w:r>
      <w:r>
        <w:rPr>
          <w:spacing w:val="-1"/>
        </w:rPr>
        <w:t>授予限制性股票</w:t>
      </w:r>
      <w:r>
        <w:rPr>
          <w:rFonts w:ascii="Times New Roman" w:hAnsi="Times New Roman" w:cs="Times New Roman" w:eastAsia="Times New Roman" w:hint="default"/>
          <w:spacing w:val="-1"/>
        </w:rPr>
        <w:t>278.40</w:t>
      </w:r>
      <w:r>
        <w:rPr>
          <w:spacing w:val="-1"/>
        </w:rPr>
        <w:t>万股，授予价格</w:t>
      </w:r>
      <w:r>
        <w:rPr>
          <w:rFonts w:ascii="Times New Roman" w:hAnsi="Times New Roman" w:cs="Times New Roman" w:eastAsia="Times New Roman" w:hint="default"/>
          <w:spacing w:val="-1"/>
        </w:rPr>
        <w:t>7.66</w:t>
      </w:r>
      <w:r>
        <w:rPr>
          <w:spacing w:val="-1"/>
        </w:rPr>
        <w:t>元</w:t>
      </w:r>
      <w:r>
        <w:rPr>
          <w:rFonts w:ascii="Times New Roman" w:hAnsi="Times New Roman" w:cs="Times New Roman" w:eastAsia="Times New Roman" w:hint="default"/>
          <w:spacing w:val="-1"/>
        </w:rPr>
        <w:t>/</w:t>
      </w:r>
      <w:r>
        <w:rPr>
          <w:spacing w:val="-1"/>
        </w:rPr>
        <w:t>股，</w:t>
      </w:r>
    </w:p>
    <w:p>
      <w:pPr>
        <w:pStyle w:val="Heading4"/>
        <w:spacing w:line="240" w:lineRule="auto"/>
        <w:ind w:right="1117"/>
        <w:jc w:val="left"/>
      </w:pPr>
      <w:r>
        <w:rPr/>
        <w:t>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w:t>
      </w:r>
    </w:p>
    <w:p>
      <w:pPr>
        <w:pStyle w:val="Heading4"/>
        <w:spacing w:line="256" w:lineRule="auto" w:before="21"/>
        <w:ind w:right="1132" w:firstLine="420"/>
        <w:jc w:val="both"/>
      </w:pPr>
      <w:r>
        <w:rPr/>
        <w:t>激励对象获授限制性股票之日起</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个月内为锁定期。在锁定期内，激励对象根据本计划获授的限制</w:t>
      </w:r>
      <w:r>
        <w:rPr>
          <w:w w:val="100"/>
        </w:rPr>
        <w:t> </w:t>
      </w:r>
      <w:r>
        <w:rPr/>
        <w:t>性股票予以锁定，不得转让；限制性股票锁定期后</w:t>
      </w:r>
      <w:r>
        <w:rPr>
          <w:rFonts w:ascii="Times New Roman" w:hAnsi="Times New Roman" w:cs="Times New Roman" w:eastAsia="Times New Roman" w:hint="default"/>
        </w:rPr>
        <w:t>36</w:t>
      </w:r>
      <w:r>
        <w:rPr>
          <w:rFonts w:ascii="Times New Roman" w:hAnsi="Times New Roman" w:cs="Times New Roman" w:eastAsia="Times New Roman" w:hint="default"/>
          <w:spacing w:val="20"/>
        </w:rPr>
        <w:t> </w:t>
      </w:r>
      <w:r>
        <w:rPr/>
        <w:t>个月为解锁期，在解锁期内，若达到本股权激励计</w:t>
      </w:r>
      <w:r>
        <w:rPr>
          <w:spacing w:val="-98"/>
        </w:rPr>
        <w:t> </w:t>
      </w:r>
      <w:r>
        <w:rPr>
          <w:spacing w:val="-98"/>
        </w:rPr>
      </w:r>
      <w:r>
        <w:rPr/>
        <w:t>划规定的解锁条件，激励对象可分三次申请解锁：</w:t>
      </w:r>
    </w:p>
    <w:p>
      <w:pPr>
        <w:pStyle w:val="Heading4"/>
        <w:spacing w:line="256" w:lineRule="auto" w:before="22"/>
        <w:ind w:left="573" w:right="2103"/>
        <w:jc w:val="both"/>
      </w:pPr>
      <w:r>
        <w:rPr>
          <w:rFonts w:ascii="Times New Roman" w:hAnsi="Times New Roman" w:cs="Times New Roman" w:eastAsia="Times New Roman" w:hint="default"/>
          <w:spacing w:val="-2"/>
        </w:rPr>
        <w:t>(1)</w:t>
      </w:r>
      <w:r>
        <w:rPr>
          <w:spacing w:val="-2"/>
        </w:rPr>
        <w:t>第一次解锁期为自授予日起</w:t>
      </w:r>
      <w:r>
        <w:rPr>
          <w:rFonts w:ascii="Times New Roman" w:hAnsi="Times New Roman" w:cs="Times New Roman" w:eastAsia="Times New Roman" w:hint="default"/>
          <w:spacing w:val="-2"/>
        </w:rPr>
        <w:t>12</w:t>
      </w:r>
      <w:r>
        <w:rPr>
          <w:spacing w:val="-2"/>
        </w:rPr>
        <w:t>个月后申请解锁，可解锁数量占限制股票总数的</w:t>
      </w:r>
      <w:r>
        <w:rPr>
          <w:rFonts w:ascii="Times New Roman" w:hAnsi="Times New Roman" w:cs="Times New Roman" w:eastAsia="Times New Roman" w:hint="default"/>
          <w:spacing w:val="-2"/>
        </w:rPr>
        <w:t>30.00%</w:t>
      </w:r>
      <w:r>
        <w:rPr>
          <w:spacing w:val="-2"/>
        </w:rPr>
        <w:t>；</w:t>
      </w:r>
      <w:r>
        <w:rPr>
          <w:spacing w:val="-22"/>
        </w:rPr>
        <w:t> </w:t>
      </w:r>
      <w:r>
        <w:rPr>
          <w:rFonts w:ascii="Times New Roman" w:hAnsi="Times New Roman" w:cs="Times New Roman" w:eastAsia="Times New Roman" w:hint="default"/>
          <w:spacing w:val="-2"/>
        </w:rPr>
        <w:t>(2)</w:t>
      </w:r>
      <w:r>
        <w:rPr>
          <w:spacing w:val="-2"/>
        </w:rPr>
        <w:t>第二次解锁期为自授予日起</w:t>
      </w:r>
      <w:r>
        <w:rPr>
          <w:rFonts w:ascii="Times New Roman" w:hAnsi="Times New Roman" w:cs="Times New Roman" w:eastAsia="Times New Roman" w:hint="default"/>
          <w:spacing w:val="-2"/>
        </w:rPr>
        <w:t>24</w:t>
      </w:r>
      <w:r>
        <w:rPr>
          <w:spacing w:val="-2"/>
        </w:rPr>
        <w:t>个月后申请解锁，可解锁数量占限制股票总数的</w:t>
      </w:r>
      <w:r>
        <w:rPr>
          <w:rFonts w:ascii="Times New Roman" w:hAnsi="Times New Roman" w:cs="Times New Roman" w:eastAsia="Times New Roman" w:hint="default"/>
          <w:spacing w:val="-2"/>
        </w:rPr>
        <w:t>30.00%</w:t>
      </w:r>
      <w:r>
        <w:rPr>
          <w:spacing w:val="-2"/>
        </w:rPr>
        <w:t>；</w:t>
      </w:r>
      <w:r>
        <w:rPr>
          <w:spacing w:val="-22"/>
        </w:rPr>
        <w:t> </w:t>
      </w:r>
      <w:r>
        <w:rPr>
          <w:rFonts w:ascii="Times New Roman" w:hAnsi="Times New Roman" w:cs="Times New Roman" w:eastAsia="Times New Roman" w:hint="default"/>
          <w:spacing w:val="-2"/>
        </w:rPr>
        <w:t>(3)</w:t>
      </w:r>
      <w:r>
        <w:rPr>
          <w:spacing w:val="-2"/>
        </w:rPr>
        <w:t>第三次解锁期为自授予日起</w:t>
      </w:r>
      <w:r>
        <w:rPr>
          <w:rFonts w:ascii="Times New Roman" w:hAnsi="Times New Roman" w:cs="Times New Roman" w:eastAsia="Times New Roman" w:hint="default"/>
          <w:spacing w:val="-2"/>
        </w:rPr>
        <w:t>36</w:t>
      </w:r>
      <w:r>
        <w:rPr>
          <w:spacing w:val="-2"/>
        </w:rPr>
        <w:t>个月后申请解锁，可解锁数量占限制股票总数的</w:t>
      </w:r>
      <w:r>
        <w:rPr>
          <w:rFonts w:ascii="Times New Roman" w:hAnsi="Times New Roman" w:cs="Times New Roman" w:eastAsia="Times New Roman" w:hint="default"/>
          <w:spacing w:val="-2"/>
        </w:rPr>
        <w:t>40.00%</w:t>
      </w:r>
      <w:r>
        <w:rPr>
          <w:spacing w:val="-2"/>
        </w:rPr>
        <w:t>。</w:t>
      </w:r>
      <w:r>
        <w:rPr>
          <w:spacing w:val="-23"/>
        </w:rPr>
        <w:t> </w:t>
      </w:r>
      <w:r>
        <w:rPr/>
        <w:t>本次限制性股票解锁安排及公司业绩考核条件如下：</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390"/>
        <w:gridCol w:w="1983"/>
        <w:gridCol w:w="4112"/>
        <w:gridCol w:w="1057"/>
      </w:tblGrid>
      <w:tr>
        <w:trPr>
          <w:trHeight w:val="341"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锁定期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解锁安排</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公司业绩考核条件</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解锁比例</w:t>
            </w:r>
          </w:p>
        </w:tc>
      </w:tr>
      <w:tr>
        <w:trPr>
          <w:trHeight w:val="967"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第一次解锁期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 w:right="163"/>
              <w:jc w:val="left"/>
              <w:rPr>
                <w:rFonts w:ascii="宋体" w:hAnsi="宋体" w:cs="宋体" w:eastAsia="宋体" w:hint="default"/>
                <w:sz w:val="18"/>
                <w:szCs w:val="18"/>
              </w:rPr>
            </w:pPr>
            <w:r>
              <w:rPr>
                <w:rFonts w:ascii="宋体" w:hAnsi="宋体" w:cs="宋体" w:eastAsia="宋体" w:hint="default"/>
                <w:sz w:val="18"/>
                <w:szCs w:val="18"/>
              </w:rPr>
              <w:t>第一批于授予日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后至</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个月内解锁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 </w:t>
            </w:r>
            <w:r>
              <w:rPr>
                <w:rFonts w:ascii="宋体" w:hAnsi="宋体" w:cs="宋体" w:eastAsia="宋体" w:hint="default"/>
                <w:spacing w:val="-2"/>
                <w:sz w:val="18"/>
                <w:szCs w:val="18"/>
              </w:rPr>
              <w:t>利润为基础，</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年度扣除非经常损益和股份支付影</w:t>
            </w:r>
            <w:r>
              <w:rPr>
                <w:rFonts w:ascii="宋体" w:hAnsi="宋体" w:cs="宋体" w:eastAsia="宋体" w:hint="default"/>
                <w:sz w:val="18"/>
                <w:szCs w:val="18"/>
              </w:rPr>
              <w:t> 响后的净利润增长率不低于</w:t>
            </w:r>
            <w:r>
              <w:rPr>
                <w:rFonts w:ascii="Times New Roman" w:hAnsi="Times New Roman" w:cs="Times New Roman" w:eastAsia="Times New Roman" w:hint="default"/>
                <w:sz w:val="18"/>
                <w:szCs w:val="18"/>
              </w:rPr>
              <w:t>12.00%</w:t>
            </w:r>
            <w:r>
              <w:rPr>
                <w:rFonts w:ascii="宋体" w:hAnsi="宋体" w:cs="宋体" w:eastAsia="宋体"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30.00%</w:t>
            </w:r>
          </w:p>
        </w:tc>
      </w:tr>
      <w:tr>
        <w:trPr>
          <w:trHeight w:val="965"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第二次解锁期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 w:right="163"/>
              <w:jc w:val="left"/>
              <w:rPr>
                <w:rFonts w:ascii="宋体" w:hAnsi="宋体" w:cs="宋体" w:eastAsia="宋体" w:hint="default"/>
                <w:sz w:val="18"/>
                <w:szCs w:val="18"/>
              </w:rPr>
            </w:pPr>
            <w:r>
              <w:rPr>
                <w:rFonts w:ascii="宋体" w:hAnsi="宋体" w:cs="宋体" w:eastAsia="宋体" w:hint="default"/>
                <w:sz w:val="18"/>
                <w:szCs w:val="18"/>
              </w:rPr>
              <w:t>第二批于授予日</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 后至</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个月内解锁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 </w:t>
            </w:r>
            <w:r>
              <w:rPr>
                <w:rFonts w:ascii="宋体" w:hAnsi="宋体" w:cs="宋体" w:eastAsia="宋体" w:hint="default"/>
                <w:spacing w:val="-2"/>
                <w:sz w:val="18"/>
                <w:szCs w:val="18"/>
              </w:rPr>
              <w:t>利润为基础，</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年度扣除非经常损益和股份支付影</w:t>
            </w:r>
            <w:r>
              <w:rPr>
                <w:rFonts w:ascii="宋体" w:hAnsi="宋体" w:cs="宋体" w:eastAsia="宋体" w:hint="default"/>
                <w:sz w:val="18"/>
                <w:szCs w:val="18"/>
              </w:rPr>
              <w:t> 响后的净利润增长率不低于</w:t>
            </w:r>
            <w:r>
              <w:rPr>
                <w:rFonts w:ascii="Times New Roman" w:hAnsi="Times New Roman" w:cs="Times New Roman" w:eastAsia="Times New Roman" w:hint="default"/>
                <w:sz w:val="18"/>
                <w:szCs w:val="18"/>
              </w:rPr>
              <w:t>25.00%</w:t>
            </w:r>
            <w:r>
              <w:rPr>
                <w:rFonts w:ascii="宋体" w:hAnsi="宋体" w:cs="宋体" w:eastAsia="宋体"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30.00%</w:t>
            </w:r>
          </w:p>
        </w:tc>
      </w:tr>
      <w:tr>
        <w:trPr>
          <w:trHeight w:val="968"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第三次解锁期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 w:right="163"/>
              <w:jc w:val="left"/>
              <w:rPr>
                <w:rFonts w:ascii="宋体" w:hAnsi="宋体" w:cs="宋体" w:eastAsia="宋体" w:hint="default"/>
                <w:sz w:val="18"/>
                <w:szCs w:val="18"/>
              </w:rPr>
            </w:pPr>
            <w:r>
              <w:rPr>
                <w:rFonts w:ascii="宋体" w:hAnsi="宋体" w:cs="宋体" w:eastAsia="宋体" w:hint="default"/>
                <w:sz w:val="18"/>
                <w:szCs w:val="18"/>
              </w:rPr>
              <w:t>第三批于授予日</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 后至</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个月内解锁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 </w:t>
            </w:r>
            <w:r>
              <w:rPr>
                <w:rFonts w:ascii="宋体" w:hAnsi="宋体" w:cs="宋体" w:eastAsia="宋体" w:hint="default"/>
                <w:spacing w:val="-2"/>
                <w:sz w:val="18"/>
                <w:szCs w:val="18"/>
              </w:rPr>
              <w:t>利润为基础，</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年度扣除非经常损益和股份支付影</w:t>
            </w:r>
            <w:r>
              <w:rPr>
                <w:rFonts w:ascii="宋体" w:hAnsi="宋体" w:cs="宋体" w:eastAsia="宋体" w:hint="default"/>
                <w:sz w:val="18"/>
                <w:szCs w:val="18"/>
              </w:rPr>
              <w:t> 响后的净利润增长率不低于</w:t>
            </w:r>
            <w:r>
              <w:rPr>
                <w:rFonts w:ascii="Times New Roman" w:hAnsi="Times New Roman" w:cs="Times New Roman" w:eastAsia="Times New Roman" w:hint="default"/>
                <w:sz w:val="18"/>
                <w:szCs w:val="18"/>
              </w:rPr>
              <w:t>45.00%</w:t>
            </w:r>
            <w:r>
              <w:rPr>
                <w:rFonts w:ascii="宋体" w:hAnsi="宋体" w:cs="宋体" w:eastAsia="宋体"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40.00%</w:t>
            </w:r>
          </w:p>
        </w:tc>
      </w:tr>
    </w:tbl>
    <w:p>
      <w:pPr>
        <w:pStyle w:val="Heading4"/>
        <w:spacing w:line="256" w:lineRule="auto" w:before="0"/>
        <w:ind w:right="1126" w:firstLine="420"/>
        <w:jc w:val="both"/>
      </w:pPr>
      <w:r>
        <w:rPr>
          <w:spacing w:val="-1"/>
        </w:rPr>
        <w:t>本次股权激励计划授予登记的股票共计</w:t>
      </w:r>
      <w:r>
        <w:rPr>
          <w:rFonts w:ascii="Times New Roman" w:hAnsi="Times New Roman" w:cs="Times New Roman" w:eastAsia="Times New Roman" w:hint="default"/>
          <w:spacing w:val="-1"/>
        </w:rPr>
        <w:t>278.40</w:t>
      </w:r>
      <w:r>
        <w:rPr>
          <w:spacing w:val="-1"/>
        </w:rPr>
        <w:t>万股，于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25</w:t>
      </w:r>
      <w:r>
        <w:rPr>
          <w:spacing w:val="-1"/>
        </w:rPr>
        <w:t>日在中国证券登记结算有限责任</w:t>
      </w:r>
      <w:r>
        <w:rPr>
          <w:w w:val="100"/>
        </w:rPr>
        <w:t> </w:t>
      </w:r>
      <w:r>
        <w:rPr/>
        <w:t>公司深圳分公司办理完成了股份登记。</w:t>
      </w:r>
    </w:p>
    <w:p>
      <w:pPr>
        <w:pStyle w:val="Heading4"/>
        <w:spacing w:line="256" w:lineRule="auto" w:before="22"/>
        <w:ind w:right="1126" w:firstLine="420"/>
        <w:jc w:val="both"/>
      </w:pPr>
      <w:r>
        <w:rPr>
          <w:rFonts w:ascii="Times New Roman" w:hAnsi="Times New Roman" w:cs="Times New Roman" w:eastAsia="Times New Roman" w:hint="default"/>
          <w:spacing w:val="-2"/>
        </w:rPr>
        <w:t>3</w:t>
      </w: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日召开的第二届董事会第三十四次会议上审议通过了《关于回购注销部分限</w:t>
      </w:r>
      <w:r>
        <w:rPr>
          <w:w w:val="100"/>
        </w:rPr>
        <w:t> </w:t>
      </w:r>
      <w:r>
        <w:rPr/>
        <w:t>制性股票及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年股权激励计划已获授但未达到第一个解锁期解锁条件的限制性股票的议案》</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spacing w:val="2"/>
        </w:rPr>
        <w:t>因公司</w:t>
      </w:r>
      <w:r>
        <w:rPr>
          <w:rFonts w:ascii="Times New Roman" w:hAnsi="Times New Roman" w:cs="Times New Roman" w:eastAsia="Times New Roman" w:hint="default"/>
          <w:spacing w:val="2"/>
        </w:rPr>
        <w:t>2016</w:t>
      </w:r>
      <w:r>
        <w:rPr>
          <w:spacing w:val="2"/>
        </w:rPr>
        <w:t>年的业绩未达到股权激励股票解锁的条件以及原限制性股票激励对象因离职已不符合激励条</w:t>
      </w:r>
      <w:r>
        <w:rPr>
          <w:spacing w:val="-32"/>
        </w:rPr>
        <w:t> </w:t>
      </w:r>
      <w:r>
        <w:rPr>
          <w:spacing w:val="-32"/>
        </w:rPr>
      </w:r>
      <w:r>
        <w:rPr/>
        <w:t>件，公司董事会决定回购并注销以前年度曾授予的股份共计</w:t>
      </w:r>
      <w:r>
        <w:rPr>
          <w:rFonts w:ascii="Times New Roman" w:hAnsi="Times New Roman" w:cs="Times New Roman" w:eastAsia="Times New Roman" w:hint="default"/>
        </w:rPr>
        <w:t>259.52</w:t>
      </w:r>
      <w:r>
        <w:rPr/>
        <w:t>万股数。其中限制性股票共计</w:t>
      </w:r>
      <w:r>
        <w:rPr>
          <w:rFonts w:ascii="Times New Roman" w:hAnsi="Times New Roman" w:cs="Times New Roman" w:eastAsia="Times New Roman" w:hint="default"/>
        </w:rPr>
        <w:t>259.52</w:t>
      </w:r>
      <w:r>
        <w:rPr/>
        <w:t>万</w:t>
      </w:r>
      <w:r>
        <w:rPr>
          <w:spacing w:val="-23"/>
        </w:rPr>
        <w:t> </w:t>
      </w:r>
      <w:r>
        <w:rPr/>
        <w:t>股，全部于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日注销。</w:t>
      </w:r>
    </w:p>
    <w:p>
      <w:pPr>
        <w:pStyle w:val="Heading4"/>
        <w:spacing w:line="256" w:lineRule="auto"/>
        <w:ind w:right="1126" w:firstLine="420"/>
        <w:jc w:val="both"/>
      </w:pPr>
      <w:r>
        <w:rPr>
          <w:rFonts w:ascii="Times New Roman" w:hAnsi="Times New Roman" w:cs="Times New Roman" w:eastAsia="Times New Roman" w:hint="default"/>
          <w:spacing w:val="-2"/>
        </w:rPr>
        <w:t>4</w:t>
      </w: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日召开的第三届董事会第四次临时会议上审议通过了《关于回购注销部分限</w:t>
      </w:r>
      <w:r>
        <w:rPr>
          <w:w w:val="100"/>
        </w:rPr>
        <w:t> </w:t>
      </w:r>
      <w:r>
        <w:rPr>
          <w:spacing w:val="-3"/>
        </w:rPr>
        <w:t>制性股票的议案》</w:t>
      </w:r>
      <w:r>
        <w:rPr>
          <w:rFonts w:ascii="Times New Roman" w:hAnsi="Times New Roman" w:cs="Times New Roman" w:eastAsia="Times New Roman" w:hint="default"/>
          <w:spacing w:val="-3"/>
        </w:rPr>
        <w:t>,</w:t>
      </w:r>
      <w:r>
        <w:rPr>
          <w:spacing w:val="-3"/>
        </w:rPr>
        <w:t>原限制性股票激励对象因离职已不符合激励条件，公司董事会决定回购并注销以前年度</w:t>
      </w:r>
      <w:r>
        <w:rPr>
          <w:spacing w:val="-45"/>
        </w:rPr>
        <w:t> </w:t>
      </w:r>
      <w:r>
        <w:rPr>
          <w:spacing w:val="-45"/>
        </w:rPr>
      </w:r>
      <w:r>
        <w:rPr/>
        <w:t>曾授予的股份共计</w:t>
      </w:r>
      <w:r>
        <w:rPr>
          <w:rFonts w:ascii="Times New Roman" w:hAnsi="Times New Roman" w:cs="Times New Roman" w:eastAsia="Times New Roman" w:hint="default"/>
        </w:rPr>
        <w:t>51.52</w:t>
      </w:r>
      <w:r>
        <w:rPr/>
        <w:t>万股数。其中限制性股票共计</w:t>
      </w:r>
      <w:r>
        <w:rPr>
          <w:rFonts w:ascii="Times New Roman" w:hAnsi="Times New Roman" w:cs="Times New Roman" w:eastAsia="Times New Roman" w:hint="default"/>
        </w:rPr>
        <w:t>51.52</w:t>
      </w:r>
      <w:r>
        <w:rPr/>
        <w:t>万股，全部于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日注销。</w:t>
      </w:r>
    </w:p>
    <w:p>
      <w:pPr>
        <w:pStyle w:val="Heading4"/>
        <w:spacing w:line="256" w:lineRule="auto"/>
        <w:ind w:right="1126" w:firstLine="420"/>
        <w:jc w:val="both"/>
      </w:pPr>
      <w:r>
        <w:rPr>
          <w:rFonts w:ascii="Times New Roman" w:hAnsi="Times New Roman" w:cs="Times New Roman" w:eastAsia="Times New Roman" w:hint="default"/>
          <w:spacing w:val="-3"/>
        </w:rPr>
        <w:t>5.</w:t>
      </w:r>
      <w:r>
        <w:rPr>
          <w:spacing w:val="-3"/>
        </w:rPr>
        <w:t>本公司于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日召开的第三届董事会第十四次会议上审议通过了《关于回购注销部分限制性</w:t>
      </w:r>
      <w:r>
        <w:rPr>
          <w:w w:val="100"/>
        </w:rPr>
        <w:t> </w:t>
      </w:r>
      <w:r>
        <w:rPr>
          <w:spacing w:val="-2"/>
        </w:rPr>
        <w:t>股票及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2016</w:t>
      </w:r>
      <w:r>
        <w:rPr>
          <w:spacing w:val="-2"/>
        </w:rPr>
        <w:t>年股权激励计划已获授但未达到第二个解锁期解锁条件的限制性股票的议案》、因公</w:t>
      </w:r>
    </w:p>
    <w:p>
      <w:pPr>
        <w:spacing w:after="0" w:line="256" w:lineRule="auto"/>
        <w:jc w:val="both"/>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4"/>
        <w:spacing w:line="256" w:lineRule="auto" w:before="36"/>
        <w:ind w:right="1126"/>
        <w:jc w:val="both"/>
      </w:pPr>
      <w:r>
        <w:rPr>
          <w:spacing w:val="-2"/>
        </w:rPr>
        <w:t>司</w:t>
      </w:r>
      <w:r>
        <w:rPr>
          <w:rFonts w:ascii="Times New Roman" w:hAnsi="Times New Roman" w:cs="Times New Roman" w:eastAsia="Times New Roman" w:hint="default"/>
          <w:spacing w:val="-2"/>
        </w:rPr>
        <w:t>2017</w:t>
      </w:r>
      <w:r>
        <w:rPr>
          <w:spacing w:val="-2"/>
        </w:rPr>
        <w:t>年的业绩未达到股权激励股票解锁的条件以及原限制性股票激励对象因离职已不符合激励条件，公</w:t>
      </w:r>
      <w:r>
        <w:rPr>
          <w:spacing w:val="-39"/>
        </w:rPr>
        <w:t> </w:t>
      </w:r>
      <w:r>
        <w:rPr>
          <w:spacing w:val="-39"/>
        </w:rPr>
      </w:r>
      <w:r>
        <w:rPr/>
        <w:t>司董事会决定回购并注销以前年度曾授予的股份共计</w:t>
      </w:r>
      <w:r>
        <w:rPr>
          <w:rFonts w:ascii="Times New Roman" w:hAnsi="Times New Roman" w:cs="Times New Roman" w:eastAsia="Times New Roman" w:hint="default"/>
        </w:rPr>
        <w:t>261.76</w:t>
      </w:r>
      <w:r>
        <w:rPr/>
        <w:t>万股。其中限制性股票共计</w:t>
      </w:r>
      <w:r>
        <w:rPr>
          <w:rFonts w:ascii="Times New Roman" w:hAnsi="Times New Roman" w:cs="Times New Roman" w:eastAsia="Times New Roman" w:hint="default"/>
        </w:rPr>
        <w:t>261.76</w:t>
      </w:r>
      <w:r>
        <w:rPr/>
        <w:t>万股，全部</w:t>
      </w:r>
      <w:r>
        <w:rPr>
          <w:spacing w:val="-24"/>
        </w:rPr>
        <w:t> </w:t>
      </w:r>
      <w:r>
        <w:rPr>
          <w:spacing w:val="-24"/>
        </w:rPr>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日注销。</w:t>
      </w:r>
    </w:p>
    <w:p>
      <w:pPr>
        <w:pStyle w:val="Heading4"/>
        <w:spacing w:line="264" w:lineRule="auto"/>
        <w:ind w:right="1126" w:firstLine="422"/>
        <w:jc w:val="both"/>
      </w:pPr>
      <w:r>
        <w:rPr>
          <w:rFonts w:ascii="Times New Roman" w:hAnsi="Times New Roman" w:cs="Times New Roman" w:eastAsia="Times New Roman" w:hint="default"/>
          <w:spacing w:val="-3"/>
        </w:rPr>
        <w:t>6.</w:t>
      </w:r>
      <w:r>
        <w:rPr>
          <w:spacing w:val="-3"/>
        </w:rPr>
        <w:t>本公司于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29</w:t>
      </w:r>
      <w:r>
        <w:rPr>
          <w:spacing w:val="-3"/>
        </w:rPr>
        <w:t>日召开的第三届董事会第十七次会议上审议通过了《关于回购注销部分限制性</w:t>
      </w:r>
      <w:r>
        <w:rPr>
          <w:w w:val="100"/>
        </w:rPr>
        <w:t> </w:t>
      </w:r>
      <w:r>
        <w:rPr>
          <w:spacing w:val="-2"/>
        </w:rPr>
        <w:t>股票的议案》、原限制性股票激励对象因离职已不符合激励条件，公司董事会决定回购并注销以前年度曾</w:t>
      </w:r>
      <w:r>
        <w:rPr>
          <w:spacing w:val="-44"/>
        </w:rPr>
        <w:t> </w:t>
      </w:r>
      <w:r>
        <w:rPr>
          <w:spacing w:val="-44"/>
        </w:rPr>
      </w:r>
      <w:r>
        <w:rPr/>
        <w:t>授予的股份共计</w:t>
      </w:r>
      <w:r>
        <w:rPr>
          <w:rFonts w:ascii="Times New Roman" w:hAnsi="Times New Roman" w:cs="Times New Roman" w:eastAsia="Times New Roman" w:hint="default"/>
        </w:rPr>
        <w:t>19.20</w:t>
      </w:r>
      <w:r>
        <w:rPr/>
        <w:t>万股。其中限制性股票共计</w:t>
      </w:r>
      <w:r>
        <w:rPr>
          <w:rFonts w:ascii="Times New Roman" w:hAnsi="Times New Roman" w:cs="Times New Roman" w:eastAsia="Times New Roman" w:hint="default"/>
        </w:rPr>
        <w:t>19.20</w:t>
      </w:r>
      <w:r>
        <w:rPr/>
        <w:t>万股，全部于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日注销。</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6"/>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斯科尔斯期权定价模型</w:t>
            </w:r>
          </w:p>
        </w:tc>
      </w:tr>
      <w:tr>
        <w:trPr>
          <w:trHeight w:val="1338"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0"/>
              <w:ind w:left="22"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在等待期内每个资产负债表日，根据最新取得的可行权职 工人数变动等后续信息做出最佳估计，修正预计可行权的 权益工具数量。在可行权日，最终预计可行权权益工具的 数量与实际可行权工具的数量一致。</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4,186,551.73</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1,980,451.73</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453" w:right="1117"/>
        <w:jc w:val="left"/>
        <w:rPr>
          <w:b w:val="0"/>
          <w:bCs w:val="0"/>
        </w:rPr>
      </w:pPr>
      <w:r>
        <w:rPr/>
        <w:t>以股份支付服务情况</w:t>
      </w:r>
      <w:r>
        <w:rPr>
          <w:b w:val="0"/>
          <w:bCs w:val="0"/>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6645"/>
        <w:gridCol w:w="2410"/>
      </w:tblGrid>
      <w:tr>
        <w:trPr>
          <w:trHeight w:val="341" w:hRule="exact"/>
        </w:trPr>
        <w:tc>
          <w:tcPr>
            <w:tcW w:w="6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z w:val="18"/>
                <w:szCs w:val="18"/>
              </w:rPr>
              <w:t>额</w:t>
            </w:r>
          </w:p>
        </w:tc>
      </w:tr>
      <w:tr>
        <w:trPr>
          <w:trHeight w:val="343" w:hRule="exact"/>
        </w:trPr>
        <w:tc>
          <w:tcPr>
            <w:tcW w:w="6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52" w:right="0"/>
              <w:jc w:val="left"/>
              <w:rPr>
                <w:rFonts w:ascii="Times New Roman" w:hAnsi="Times New Roman" w:cs="Times New Roman" w:eastAsia="Times New Roman" w:hint="default"/>
                <w:sz w:val="18"/>
                <w:szCs w:val="18"/>
              </w:rPr>
            </w:pPr>
            <w:r>
              <w:rPr>
                <w:rFonts w:ascii="Times New Roman"/>
                <w:sz w:val="18"/>
              </w:rPr>
              <w:t>4,186,551.73</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1117"/>
        <w:jc w:val="left"/>
        <w:rPr>
          <w:b w:val="0"/>
          <w:bCs w:val="0"/>
        </w:rPr>
      </w:pP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7"/>
        <w:jc w:val="left"/>
      </w:pPr>
      <w:r>
        <w:rPr/>
        <w:t>资产负债表日存在的重要承诺</w:t>
      </w:r>
    </w:p>
    <w:p>
      <w:pPr>
        <w:pStyle w:val="BodyText"/>
        <w:spacing w:line="300" w:lineRule="auto" w:before="117"/>
        <w:ind w:left="573" w:right="7183"/>
        <w:jc w:val="left"/>
      </w:pPr>
      <w:r>
        <w:rPr>
          <w:rFonts w:ascii="Times New Roman" w:hAnsi="Times New Roman" w:cs="Times New Roman" w:eastAsia="Times New Roman" w:hint="default"/>
        </w:rPr>
        <w:t>1</w:t>
      </w:r>
      <w:r>
        <w:rPr/>
        <w:t>．已签订的正在或准备履行的并购协议 </w:t>
      </w:r>
      <w:r>
        <w:rPr>
          <w:rFonts w:ascii="Times New Roman" w:hAnsi="Times New Roman" w:cs="Times New Roman" w:eastAsia="Times New Roman" w:hint="default"/>
        </w:rPr>
        <w:t>(l)</w:t>
      </w:r>
      <w:r>
        <w:rPr/>
        <w:t>收购海南坚果创娱信息技术有限公司</w:t>
      </w:r>
    </w:p>
    <w:p>
      <w:pPr>
        <w:pStyle w:val="BodyText"/>
        <w:spacing w:line="240" w:lineRule="auto" w:before="13"/>
        <w:ind w:left="573" w:right="991"/>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日，本公司</w:t>
      </w:r>
      <w:r>
        <w:rPr>
          <w:rFonts w:ascii="Times New Roman" w:hAnsi="Times New Roman" w:cs="Times New Roman" w:eastAsia="Times New Roman" w:hint="default"/>
        </w:rPr>
        <w:t>(“</w:t>
      </w:r>
      <w:r>
        <w:rPr/>
        <w:t>收购方</w:t>
      </w:r>
      <w:r>
        <w:rPr>
          <w:rFonts w:ascii="Times New Roman" w:hAnsi="Times New Roman" w:cs="Times New Roman" w:eastAsia="Times New Roman" w:hint="default"/>
        </w:rPr>
        <w:t>”)</w:t>
      </w:r>
      <w:r>
        <w:rPr/>
        <w:t>与海南欢乐坚果信息咨询中心（有限合伙）及刘晓曦</w:t>
      </w:r>
      <w:r>
        <w:rPr>
          <w:rFonts w:ascii="Times New Roman" w:hAnsi="Times New Roman" w:cs="Times New Roman" w:eastAsia="Times New Roman" w:hint="default"/>
        </w:rPr>
        <w:t>(</w:t>
      </w:r>
      <w:r>
        <w:rPr/>
        <w:t>合称</w:t>
      </w:r>
      <w:r>
        <w:rPr>
          <w:rFonts w:ascii="Times New Roman" w:hAnsi="Times New Roman" w:cs="Times New Roman" w:eastAsia="Times New Roman" w:hint="default"/>
        </w:rPr>
        <w:t>“</w:t>
      </w:r>
      <w:r>
        <w:rPr/>
        <w:t>原股东</w:t>
      </w:r>
      <w:r>
        <w:rPr>
          <w:rFonts w:ascii="Times New Roman" w:hAnsi="Times New Roman" w:cs="Times New Roman" w:eastAsia="Times New Roman" w:hint="default"/>
        </w:rPr>
        <w:t>”)</w:t>
      </w:r>
      <w:r>
        <w:rPr/>
        <w:t>签订《关于海南</w:t>
      </w:r>
    </w:p>
    <w:p>
      <w:pPr>
        <w:spacing w:after="0" w:line="240" w:lineRule="auto"/>
        <w:jc w:val="left"/>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300" w:lineRule="auto" w:before="44"/>
        <w:ind w:left="0" w:right="1128"/>
        <w:jc w:val="right"/>
      </w:pPr>
      <w:r>
        <w:rPr/>
        <w:t>坚果创娱信息技术有限公司的收购协议》，本公司以</w:t>
      </w:r>
      <w:r>
        <w:rPr>
          <w:rFonts w:ascii="Times New Roman" w:hAnsi="Times New Roman" w:cs="Times New Roman" w:eastAsia="Times New Roman" w:hint="default"/>
        </w:rPr>
        <w:t>25,020.00</w:t>
      </w:r>
      <w:r>
        <w:rPr/>
        <w:t>万元受让原股东持有的海南坚果创娱信息技术有限公司</w:t>
      </w:r>
      <w:r>
        <w:rPr>
          <w:rFonts w:ascii="Times New Roman" w:hAnsi="Times New Roman" w:cs="Times New Roman" w:eastAsia="Times New Roman" w:hint="default"/>
        </w:rPr>
        <w:t>(</w:t>
      </w:r>
      <w:r>
        <w:rPr/>
        <w:t>简称</w:t>
      </w:r>
      <w:r>
        <w:rPr>
          <w:spacing w:val="-77"/>
        </w:rPr>
        <w:t> </w:t>
      </w:r>
      <w:r>
        <w:rPr>
          <w:rFonts w:ascii="Times New Roman" w:hAnsi="Times New Roman" w:cs="Times New Roman" w:eastAsia="Times New Roman" w:hint="default"/>
          <w:spacing w:val="-1"/>
        </w:rPr>
        <w:t>“</w:t>
      </w:r>
      <w:r>
        <w:rPr>
          <w:spacing w:val="-1"/>
        </w:rPr>
        <w:t>海南坚果</w:t>
      </w:r>
      <w:r>
        <w:rPr>
          <w:rFonts w:ascii="Times New Roman" w:hAnsi="Times New Roman" w:cs="Times New Roman" w:eastAsia="Times New Roman" w:hint="default"/>
          <w:spacing w:val="-1"/>
        </w:rPr>
        <w:t>”)</w:t>
      </w:r>
      <w:r>
        <w:rPr>
          <w:spacing w:val="-1"/>
        </w:rPr>
        <w:t>的</w:t>
      </w:r>
      <w:r>
        <w:rPr>
          <w:rFonts w:ascii="Times New Roman" w:hAnsi="Times New Roman" w:cs="Times New Roman" w:eastAsia="Times New Roman" w:hint="default"/>
          <w:spacing w:val="-1"/>
        </w:rPr>
        <w:t>100.00%</w:t>
      </w:r>
      <w:r>
        <w:rPr>
          <w:spacing w:val="-1"/>
        </w:rPr>
        <w:t>股权，股权转让价款分五期支付。业绩承诺期为</w:t>
      </w:r>
      <w:r>
        <w:rPr>
          <w:rFonts w:ascii="Times New Roman" w:hAnsi="Times New Roman" w:cs="Times New Roman" w:eastAsia="Times New Roman" w:hint="default"/>
          <w:spacing w:val="-1"/>
        </w:rPr>
        <w:t>2016</w:t>
      </w:r>
      <w:r>
        <w:rPr>
          <w:spacing w:val="-1"/>
        </w:rPr>
        <w:t>年至</w:t>
      </w:r>
      <w:r>
        <w:rPr>
          <w:rFonts w:ascii="Times New Roman" w:hAnsi="Times New Roman" w:cs="Times New Roman" w:eastAsia="Times New Roman" w:hint="default"/>
          <w:spacing w:val="-1"/>
        </w:rPr>
        <w:t>2019</w:t>
      </w:r>
      <w:r>
        <w:rPr>
          <w:spacing w:val="-1"/>
        </w:rPr>
        <w:t>年，目前</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2018</w:t>
      </w:r>
      <w:r>
        <w:rPr>
          <w:spacing w:val="-1"/>
        </w:rPr>
        <w:t>年已实</w:t>
      </w:r>
      <w:r>
        <w:rPr/>
        <w:t> 现协议规定的承诺业绩，</w:t>
      </w:r>
      <w:r>
        <w:rPr>
          <w:rFonts w:ascii="Times New Roman" w:hAnsi="Times New Roman" w:cs="Times New Roman" w:eastAsia="Times New Roman" w:hint="default"/>
        </w:rPr>
        <w:t>2019</w:t>
      </w:r>
      <w:r>
        <w:rPr/>
        <w:t>年按照约定需实现净利润</w:t>
      </w:r>
      <w:r>
        <w:rPr>
          <w:rFonts w:ascii="Times New Roman" w:hAnsi="Times New Roman" w:cs="Times New Roman" w:eastAsia="Times New Roman" w:hint="default"/>
        </w:rPr>
        <w:t>3,042.00</w:t>
      </w:r>
      <w:r>
        <w:rPr/>
        <w:t>万元。此外，合同规定海南坚果在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 </w:t>
      </w:r>
      <w:r>
        <w:rPr>
          <w:spacing w:val="-2"/>
        </w:rPr>
        <w:t>和</w:t>
      </w:r>
      <w:r>
        <w:rPr>
          <w:rFonts w:ascii="Times New Roman" w:hAnsi="Times New Roman" w:cs="Times New Roman" w:eastAsia="Times New Roman" w:hint="default"/>
          <w:spacing w:val="-2"/>
        </w:rPr>
        <w:t>2019</w:t>
      </w:r>
      <w:r>
        <w:rPr>
          <w:spacing w:val="-2"/>
        </w:rPr>
        <w:t>年（合称</w:t>
      </w:r>
      <w:r>
        <w:rPr>
          <w:rFonts w:ascii="Times New Roman" w:hAnsi="Times New Roman" w:cs="Times New Roman" w:eastAsia="Times New Roman" w:hint="default"/>
          <w:spacing w:val="-2"/>
        </w:rPr>
        <w:t>“</w:t>
      </w:r>
      <w:r>
        <w:rPr>
          <w:spacing w:val="-2"/>
        </w:rPr>
        <w:t>业绩承诺期</w:t>
      </w:r>
      <w:r>
        <w:rPr>
          <w:rFonts w:ascii="Times New Roman" w:hAnsi="Times New Roman" w:cs="Times New Roman" w:eastAsia="Times New Roman" w:hint="default"/>
          <w:spacing w:val="-2"/>
        </w:rPr>
        <w:t>”</w:t>
      </w:r>
      <w:r>
        <w:rPr>
          <w:spacing w:val="-2"/>
        </w:rPr>
        <w:t>）总计实现</w:t>
      </w:r>
      <w:r>
        <w:rPr>
          <w:rFonts w:ascii="Times New Roman" w:hAnsi="Times New Roman" w:cs="Times New Roman" w:eastAsia="Times New Roman" w:hint="default"/>
          <w:spacing w:val="-2"/>
        </w:rPr>
        <w:t>1,600.00</w:t>
      </w:r>
      <w:r>
        <w:rPr>
          <w:spacing w:val="-2"/>
        </w:rPr>
        <w:t>万元或以上的超额业绩，该部分超额业绩对应的浮动对价</w:t>
      </w:r>
      <w:r>
        <w:rPr>
          <w:rFonts w:ascii="Times New Roman" w:hAnsi="Times New Roman" w:cs="Times New Roman" w:eastAsia="Times New Roman" w:hint="default"/>
          <w:spacing w:val="-2"/>
        </w:rPr>
        <w:t>=</w:t>
      </w:r>
      <w:r>
        <w:rPr>
          <w:spacing w:val="-2"/>
        </w:rPr>
        <w:t>超额业绩</w:t>
      </w:r>
      <w:r>
        <w:rPr>
          <w:rFonts w:ascii="Times New Roman" w:hAnsi="Times New Roman" w:cs="Times New Roman" w:eastAsia="Times New Roman" w:hint="default"/>
          <w:spacing w:val="-2"/>
        </w:rPr>
        <w:t>*3.17</w:t>
      </w:r>
      <w:r>
        <w:rPr>
          <w:spacing w:val="-2"/>
        </w:rPr>
        <w:t>。</w:t>
      </w:r>
      <w:r>
        <w:rPr/>
        <w:t> </w:t>
      </w: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日，本公司已支付原股东股权转让款</w:t>
      </w:r>
      <w:r>
        <w:rPr>
          <w:rFonts w:ascii="Times New Roman" w:hAnsi="Times New Roman" w:cs="Times New Roman" w:eastAsia="Times New Roman" w:hint="default"/>
          <w:spacing w:val="-1"/>
        </w:rPr>
        <w:t>15,262.20</w:t>
      </w:r>
      <w:r>
        <w:rPr>
          <w:spacing w:val="-1"/>
        </w:rPr>
        <w:t>万元，已实现超额业绩对价款</w:t>
      </w:r>
      <w:r>
        <w:rPr>
          <w:rFonts w:ascii="Times New Roman" w:hAnsi="Times New Roman" w:cs="Times New Roman" w:eastAsia="Times New Roman" w:hint="default"/>
          <w:spacing w:val="-1"/>
        </w:rPr>
        <w:t>1,519.74</w:t>
      </w:r>
      <w:r>
        <w:rPr>
          <w:spacing w:val="-1"/>
        </w:rPr>
        <w:t>万元，尚未支付</w:t>
      </w:r>
    </w:p>
    <w:p>
      <w:pPr>
        <w:pStyle w:val="BodyText"/>
        <w:spacing w:line="240" w:lineRule="auto" w:before="13"/>
        <w:ind w:right="0"/>
        <w:jc w:val="both"/>
      </w:pPr>
      <w:r>
        <w:rPr/>
        <w:t>股权转让款</w:t>
      </w:r>
      <w:r>
        <w:rPr>
          <w:rFonts w:ascii="Times New Roman" w:hAnsi="Times New Roman" w:cs="Times New Roman" w:eastAsia="Times New Roman" w:hint="default"/>
        </w:rPr>
        <w:t>9,757.80</w:t>
      </w:r>
      <w:r>
        <w:rPr/>
        <w:t>万元。</w:t>
      </w:r>
    </w:p>
    <w:p>
      <w:pPr>
        <w:pStyle w:val="BodyText"/>
        <w:spacing w:line="300" w:lineRule="auto" w:before="63"/>
        <w:ind w:left="573" w:right="1117"/>
        <w:jc w:val="left"/>
      </w:pPr>
      <w:r>
        <w:rPr>
          <w:rFonts w:ascii="Times New Roman" w:hAnsi="Times New Roman" w:cs="Times New Roman" w:eastAsia="Times New Roman" w:hint="default"/>
        </w:rPr>
        <w:t>(2)</w:t>
      </w:r>
      <w:r>
        <w:rPr/>
        <w:t>收购喀什尚河信息科技有限公司</w:t>
      </w:r>
      <w:r>
        <w:rPr>
          <w:w w:val="99"/>
        </w:rPr>
        <w:t>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日，本公司与南平市尚合投资管理中心（有限合伙）</w:t>
      </w:r>
      <w:r>
        <w:rPr>
          <w:rFonts w:ascii="Times New Roman" w:hAnsi="Times New Roman" w:cs="Times New Roman" w:eastAsia="Times New Roman" w:hint="default"/>
        </w:rPr>
        <w:t>(</w:t>
      </w:r>
      <w:r>
        <w:rPr/>
        <w:t>简称</w:t>
      </w:r>
      <w:r>
        <w:rPr>
          <w:rFonts w:ascii="Times New Roman" w:hAnsi="Times New Roman" w:cs="Times New Roman" w:eastAsia="Times New Roman" w:hint="default"/>
        </w:rPr>
        <w:t>“</w:t>
      </w:r>
      <w:r>
        <w:rPr/>
        <w:t>南平尚合</w:t>
      </w:r>
      <w:r>
        <w:rPr>
          <w:rFonts w:ascii="Times New Roman" w:hAnsi="Times New Roman" w:cs="Times New Roman" w:eastAsia="Times New Roman" w:hint="default"/>
        </w:rPr>
        <w:t>”)</w:t>
      </w:r>
      <w:r>
        <w:rPr/>
        <w:t>、黄河、李楠及喀什尚河信息</w:t>
      </w:r>
    </w:p>
    <w:p>
      <w:pPr>
        <w:pStyle w:val="BodyText"/>
        <w:spacing w:line="300" w:lineRule="auto" w:before="13"/>
        <w:ind w:right="1339"/>
        <w:jc w:val="both"/>
      </w:pPr>
      <w:r>
        <w:rPr/>
        <w:t>科技有限公司</w:t>
      </w:r>
      <w:r>
        <w:rPr>
          <w:rFonts w:ascii="Times New Roman" w:hAnsi="Times New Roman" w:cs="Times New Roman" w:eastAsia="Times New Roman" w:hint="default"/>
        </w:rPr>
        <w:t>(</w:t>
      </w:r>
      <w:r>
        <w:rPr/>
        <w:t>简称</w:t>
      </w:r>
      <w:r>
        <w:rPr>
          <w:rFonts w:ascii="Times New Roman" w:hAnsi="Times New Roman" w:cs="Times New Roman" w:eastAsia="Times New Roman" w:hint="default"/>
        </w:rPr>
        <w:t>“</w:t>
      </w:r>
      <w:r>
        <w:rPr/>
        <w:t>喀什尚河</w:t>
      </w:r>
      <w:r>
        <w:rPr>
          <w:rFonts w:ascii="Times New Roman" w:hAnsi="Times New Roman" w:cs="Times New Roman" w:eastAsia="Times New Roman" w:hint="default"/>
        </w:rPr>
        <w:t>”)</w:t>
      </w:r>
      <w:r>
        <w:rPr/>
        <w:t>签订《股权收购协议》，本公司以</w:t>
      </w:r>
      <w:r>
        <w:rPr>
          <w:rFonts w:ascii="Times New Roman" w:hAnsi="Times New Roman" w:cs="Times New Roman" w:eastAsia="Times New Roman" w:hint="default"/>
        </w:rPr>
        <w:t>12,006.00</w:t>
      </w:r>
      <w:r>
        <w:rPr/>
        <w:t>万元受让南平尚合持有的喀什尚河</w:t>
      </w:r>
      <w:r>
        <w:rPr>
          <w:rFonts w:ascii="Times New Roman" w:hAnsi="Times New Roman" w:cs="Times New Roman" w:eastAsia="Times New Roman" w:hint="default"/>
        </w:rPr>
        <w:t>100.00%</w:t>
      </w:r>
      <w:r>
        <w:rPr/>
        <w:t>股</w:t>
      </w:r>
      <w:r>
        <w:rPr>
          <w:spacing w:val="-55"/>
        </w:rPr>
        <w:t> </w:t>
      </w:r>
      <w:r>
        <w:rPr/>
        <w:t>权，股权转让价款分四期支付。业绩承诺期为</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年，目前</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年已实现协议规定的承诺业</w:t>
      </w:r>
      <w:r>
        <w:rPr>
          <w:spacing w:val="-36"/>
        </w:rPr>
        <w:t> </w:t>
      </w:r>
      <w:r>
        <w:rPr>
          <w:spacing w:val="-36"/>
        </w:rPr>
      </w:r>
      <w:r>
        <w:rPr/>
        <w:t>绩。</w:t>
      </w:r>
    </w:p>
    <w:p>
      <w:pPr>
        <w:pStyle w:val="BodyText"/>
        <w:spacing w:line="300" w:lineRule="auto" w:before="32"/>
        <w:ind w:left="573" w:right="1117"/>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日，本公司已支付原股东股权转让款</w:t>
      </w:r>
      <w:r>
        <w:rPr>
          <w:rFonts w:ascii="Times New Roman" w:hAnsi="Times New Roman" w:cs="Times New Roman" w:eastAsia="Times New Roman" w:hint="default"/>
        </w:rPr>
        <w:t>8,404.20</w:t>
      </w:r>
      <w:r>
        <w:rPr/>
        <w:t>万元，尚未支付股权转让款</w:t>
      </w:r>
      <w:r>
        <w:rPr>
          <w:rFonts w:ascii="Times New Roman" w:hAnsi="Times New Roman" w:cs="Times New Roman" w:eastAsia="Times New Roman" w:hint="default"/>
        </w:rPr>
        <w:t>3,601.80</w:t>
      </w:r>
      <w:r>
        <w:rPr/>
        <w:t>万元。 </w:t>
      </w:r>
      <w:r>
        <w:rPr>
          <w:rFonts w:ascii="Times New Roman" w:hAnsi="Times New Roman" w:cs="Times New Roman" w:eastAsia="Times New Roman" w:hint="default"/>
        </w:rPr>
        <w:t>(3)</w:t>
      </w:r>
      <w:r>
        <w:rPr/>
        <w:t>收购上海睿民互联网科技有限公司 </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17</w:t>
      </w:r>
      <w:r>
        <w:rPr>
          <w:spacing w:val="-1"/>
        </w:rPr>
        <w:t>日，本公司与北京睿韬科技有限责任公司</w:t>
      </w:r>
      <w:r>
        <w:rPr>
          <w:rFonts w:ascii="Times New Roman" w:hAnsi="Times New Roman" w:cs="Times New Roman" w:eastAsia="Times New Roman" w:hint="default"/>
          <w:spacing w:val="-1"/>
        </w:rPr>
        <w:t>(</w:t>
      </w:r>
      <w:r>
        <w:rPr>
          <w:spacing w:val="-1"/>
        </w:rPr>
        <w:t>简称</w:t>
      </w:r>
      <w:r>
        <w:rPr>
          <w:rFonts w:ascii="Times New Roman" w:hAnsi="Times New Roman" w:cs="Times New Roman" w:eastAsia="Times New Roman" w:hint="default"/>
          <w:spacing w:val="-1"/>
        </w:rPr>
        <w:t>“</w:t>
      </w:r>
      <w:r>
        <w:rPr>
          <w:spacing w:val="-1"/>
        </w:rPr>
        <w:t>北京睿韬</w:t>
      </w:r>
      <w:r>
        <w:rPr>
          <w:rFonts w:ascii="Times New Roman" w:hAnsi="Times New Roman" w:cs="Times New Roman" w:eastAsia="Times New Roman" w:hint="default"/>
          <w:spacing w:val="-1"/>
        </w:rPr>
        <w:t>”)</w:t>
      </w:r>
      <w:r>
        <w:rPr>
          <w:spacing w:val="-1"/>
        </w:rPr>
        <w:t>以及宁波镇海翔易融联投资管理合伙（有限</w:t>
      </w:r>
    </w:p>
    <w:p>
      <w:pPr>
        <w:pStyle w:val="BodyText"/>
        <w:spacing w:line="302" w:lineRule="auto" w:before="13"/>
        <w:ind w:right="1251"/>
        <w:jc w:val="left"/>
      </w:pPr>
      <w:r>
        <w:rPr/>
        <w:t>公司）</w:t>
      </w:r>
      <w:r>
        <w:rPr>
          <w:rFonts w:ascii="Times New Roman" w:hAnsi="Times New Roman" w:cs="Times New Roman" w:eastAsia="Times New Roman" w:hint="default"/>
        </w:rPr>
        <w:t>(</w:t>
      </w:r>
      <w:r>
        <w:rPr/>
        <w:t>简称</w:t>
      </w:r>
      <w:r>
        <w:rPr>
          <w:rFonts w:ascii="Times New Roman" w:hAnsi="Times New Roman" w:cs="Times New Roman" w:eastAsia="Times New Roman" w:hint="default"/>
        </w:rPr>
        <w:t>“</w:t>
      </w:r>
      <w:r>
        <w:rPr/>
        <w:t>宁波翔易</w:t>
      </w:r>
      <w:r>
        <w:rPr>
          <w:rFonts w:ascii="Times New Roman" w:hAnsi="Times New Roman" w:cs="Times New Roman" w:eastAsia="Times New Roman" w:hint="default"/>
        </w:rPr>
        <w:t>”)</w:t>
      </w:r>
      <w:r>
        <w:rPr/>
        <w:t>签订《高伟达软件股份有限公司与上海睿民互联网科技有限公司全体股东之发行股份及支付现金 购买资产协议》及《盈利预测补偿协议》，本公司向北京睿韬发行</w:t>
      </w:r>
      <w:r>
        <w:rPr>
          <w:rFonts w:ascii="Times New Roman" w:hAnsi="Times New Roman" w:cs="Times New Roman" w:eastAsia="Times New Roman" w:hint="default"/>
        </w:rPr>
        <w:t>14,076.00</w:t>
      </w:r>
      <w:r>
        <w:rPr/>
        <w:t>万元等值股票，并支付</w:t>
      </w:r>
      <w:r>
        <w:rPr>
          <w:rFonts w:ascii="Times New Roman" w:hAnsi="Times New Roman" w:cs="Times New Roman" w:eastAsia="Times New Roman" w:hint="default"/>
        </w:rPr>
        <w:t>3,924.00</w:t>
      </w:r>
      <w:r>
        <w:rPr/>
        <w:t>万元现金收购 其持有的上海睿民互联网科技有限公司（简称</w:t>
      </w:r>
      <w:r>
        <w:rPr>
          <w:rFonts w:ascii="Times New Roman" w:hAnsi="Times New Roman" w:cs="Times New Roman" w:eastAsia="Times New Roman" w:hint="default"/>
        </w:rPr>
        <w:t>“</w:t>
      </w:r>
      <w:r>
        <w:rPr/>
        <w:t>上海睿民</w:t>
      </w:r>
      <w:r>
        <w:rPr>
          <w:rFonts w:ascii="Times New Roman" w:hAnsi="Times New Roman" w:cs="Times New Roman" w:eastAsia="Times New Roman" w:hint="default"/>
        </w:rPr>
        <w:t>”</w:t>
      </w:r>
      <w:r>
        <w:rPr/>
        <w:t>）</w:t>
      </w:r>
      <w:r>
        <w:rPr>
          <w:rFonts w:ascii="Times New Roman" w:hAnsi="Times New Roman" w:cs="Times New Roman" w:eastAsia="Times New Roman" w:hint="default"/>
        </w:rPr>
        <w:t>60.00%</w:t>
      </w:r>
      <w:r>
        <w:rPr/>
        <w:t>的股权；向宁波翔易发行</w:t>
      </w:r>
      <w:r>
        <w:rPr>
          <w:rFonts w:ascii="Times New Roman" w:hAnsi="Times New Roman" w:cs="Times New Roman" w:eastAsia="Times New Roman" w:hint="default"/>
        </w:rPr>
        <w:t>9,384.00</w:t>
      </w:r>
      <w:r>
        <w:rPr/>
        <w:t>万元等值股票并支付 </w:t>
      </w:r>
      <w:r>
        <w:rPr>
          <w:rFonts w:ascii="Times New Roman" w:hAnsi="Times New Roman" w:cs="Times New Roman" w:eastAsia="Times New Roman" w:hint="default"/>
        </w:rPr>
        <w:t>2,616.00</w:t>
      </w:r>
      <w:r>
        <w:rPr/>
        <w:t>万元现金收购其持有的上海睿民</w:t>
      </w:r>
      <w:r>
        <w:rPr>
          <w:rFonts w:ascii="Times New Roman" w:hAnsi="Times New Roman" w:cs="Times New Roman" w:eastAsia="Times New Roman" w:hint="default"/>
        </w:rPr>
        <w:t>40.00%</w:t>
      </w:r>
      <w:r>
        <w:rPr/>
        <w:t>的股权。业绩承诺期间届满时，上海睿民于业绩承诺期内累计实际实现归 属于母公司股东的扣除非经常性损益后的净利润数超过累计承诺利润数，且在对赌期间内每一期的业绩承诺都完成的前</w:t>
      </w:r>
      <w:r>
        <w:rPr>
          <w:spacing w:val="-33"/>
        </w:rPr>
        <w:t> </w:t>
      </w:r>
      <w:r>
        <w:rPr>
          <w:spacing w:val="-33"/>
        </w:rPr>
      </w:r>
      <w:r>
        <w:rPr/>
        <w:t>提下，则本公司同意将累计超额实现净利润（即累计实际实现净利润数</w:t>
      </w:r>
      <w:r>
        <w:rPr>
          <w:rFonts w:ascii="Times New Roman" w:hAnsi="Times New Roman" w:cs="Times New Roman" w:eastAsia="Times New Roman" w:hint="default"/>
        </w:rPr>
        <w:t>-</w:t>
      </w:r>
      <w:r>
        <w:rPr/>
        <w:t>累计承诺净利润数）乘以届时本公司持有上海睿</w:t>
      </w:r>
      <w:r>
        <w:rPr>
          <w:spacing w:val="-84"/>
        </w:rPr>
        <w:t> </w:t>
      </w:r>
      <w:r>
        <w:rPr>
          <w:spacing w:val="-84"/>
        </w:rPr>
      </w:r>
      <w:r>
        <w:rPr>
          <w:spacing w:val="-1"/>
        </w:rPr>
        <w:t>民股权的比例再乘以</w:t>
      </w:r>
      <w:r>
        <w:rPr>
          <w:rFonts w:ascii="Times New Roman" w:hAnsi="Times New Roman" w:cs="Times New Roman" w:eastAsia="Times New Roman" w:hint="default"/>
          <w:spacing w:val="-1"/>
        </w:rPr>
        <w:t>50.00%</w:t>
      </w:r>
      <w:r>
        <w:rPr>
          <w:spacing w:val="-1"/>
        </w:rPr>
        <w:t>的比例，由上海睿民按照本次交易前北京睿韬及宁波翔易持有上海睿民的持股比例进行分配。</w:t>
      </w:r>
      <w:r>
        <w:rPr>
          <w:spacing w:val="-72"/>
        </w:rPr>
        <w:t> </w:t>
      </w:r>
      <w:r>
        <w:rPr>
          <w:spacing w:val="-72"/>
        </w:rPr>
      </w:r>
      <w:r>
        <w:rPr/>
        <w:t>超额业绩奖励安排是基于标的资产实际盈利数大于业绩承诺数的超额部分，且奖励总额不超过超额业绩部分的</w:t>
      </w:r>
      <w:r>
        <w:rPr>
          <w:rFonts w:ascii="Times New Roman" w:hAnsi="Times New Roman" w:cs="Times New Roman" w:eastAsia="Times New Roman" w:hint="default"/>
        </w:rPr>
        <w:t>100.00%</w:t>
      </w:r>
      <w:r>
        <w:rPr/>
        <w:t>，</w:t>
      </w:r>
      <w:r>
        <w:rPr>
          <w:spacing w:val="-41"/>
        </w:rPr>
        <w:t> </w:t>
      </w:r>
      <w:r>
        <w:rPr>
          <w:spacing w:val="-3"/>
        </w:rPr>
        <w:t>且不超过交易对价的</w:t>
      </w:r>
      <w:r>
        <w:rPr>
          <w:rFonts w:ascii="Times New Roman" w:hAnsi="Times New Roman" w:cs="Times New Roman" w:eastAsia="Times New Roman" w:hint="default"/>
          <w:spacing w:val="-3"/>
        </w:rPr>
        <w:t>20.00%</w:t>
      </w:r>
      <w:r>
        <w:rPr>
          <w:spacing w:val="-3"/>
        </w:rPr>
        <w:t>。业绩承诺期为</w:t>
      </w:r>
      <w:r>
        <w:rPr>
          <w:rFonts w:ascii="Times New Roman" w:hAnsi="Times New Roman" w:cs="Times New Roman" w:eastAsia="Times New Roman" w:hint="default"/>
          <w:spacing w:val="-3"/>
        </w:rPr>
        <w:t>2016</w:t>
      </w:r>
      <w:r>
        <w:rPr>
          <w:spacing w:val="-3"/>
        </w:rPr>
        <w:t>年至</w:t>
      </w:r>
      <w:r>
        <w:rPr>
          <w:rFonts w:ascii="Times New Roman" w:hAnsi="Times New Roman" w:cs="Times New Roman" w:eastAsia="Times New Roman" w:hint="default"/>
          <w:spacing w:val="-3"/>
        </w:rPr>
        <w:t>2018</w:t>
      </w:r>
      <w:r>
        <w:rPr>
          <w:spacing w:val="-3"/>
        </w:rPr>
        <w:t>年，目前</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2018</w:t>
      </w:r>
      <w:r>
        <w:rPr>
          <w:spacing w:val="-3"/>
        </w:rPr>
        <w:t>年已实现协议规定的承诺业绩。</w:t>
      </w:r>
    </w:p>
    <w:p>
      <w:pPr>
        <w:pStyle w:val="BodyText"/>
        <w:spacing w:line="240" w:lineRule="auto" w:before="11"/>
        <w:ind w:left="573" w:right="1117"/>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日，本公司已结清股权转让款。</w:t>
      </w:r>
    </w:p>
    <w:p>
      <w:pPr>
        <w:pStyle w:val="BodyText"/>
        <w:spacing w:line="300" w:lineRule="auto" w:before="63"/>
        <w:ind w:left="573" w:right="1117"/>
        <w:jc w:val="left"/>
      </w:pPr>
      <w:r>
        <w:rPr>
          <w:rFonts w:ascii="Times New Roman" w:hAnsi="Times New Roman" w:cs="Times New Roman" w:eastAsia="Times New Roman" w:hint="default"/>
        </w:rPr>
        <w:t>(4)</w:t>
      </w:r>
      <w:r>
        <w:rPr/>
        <w:t>收购深圳市快读科技有限公司</w:t>
      </w:r>
      <w:r>
        <w:rPr>
          <w:w w:val="99"/>
        </w:rPr>
        <w:t>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日，本公司与寿宁县恒力智信股权投资合伙企业（有限合伙）（简称</w:t>
      </w:r>
      <w:r>
        <w:rPr>
          <w:rFonts w:ascii="Times New Roman" w:hAnsi="Times New Roman" w:cs="Times New Roman" w:eastAsia="Times New Roman" w:hint="default"/>
          <w:spacing w:val="-2"/>
        </w:rPr>
        <w:t>“</w:t>
      </w:r>
      <w:r>
        <w:rPr>
          <w:spacing w:val="-2"/>
        </w:rPr>
        <w:t>恒力智信</w:t>
      </w:r>
      <w:r>
        <w:rPr>
          <w:rFonts w:ascii="Times New Roman" w:hAnsi="Times New Roman" w:cs="Times New Roman" w:eastAsia="Times New Roman" w:hint="default"/>
          <w:spacing w:val="-2"/>
        </w:rPr>
        <w:t>”</w:t>
      </w:r>
      <w:r>
        <w:rPr>
          <w:spacing w:val="-2"/>
        </w:rPr>
        <w:t>）以及黄河签订《股权</w:t>
      </w:r>
    </w:p>
    <w:p>
      <w:pPr>
        <w:pStyle w:val="BodyText"/>
        <w:spacing w:line="300" w:lineRule="auto" w:before="13"/>
        <w:ind w:right="1339"/>
        <w:jc w:val="both"/>
      </w:pPr>
      <w:r>
        <w:rPr>
          <w:spacing w:val="-2"/>
        </w:rPr>
        <w:t>收购协议》，本公司向恒力智信及黄河支付</w:t>
      </w:r>
      <w:r>
        <w:rPr>
          <w:rFonts w:ascii="Times New Roman" w:hAnsi="Times New Roman" w:cs="Times New Roman" w:eastAsia="Times New Roman" w:hint="default"/>
          <w:spacing w:val="-2"/>
        </w:rPr>
        <w:t>41,400.00</w:t>
      </w:r>
      <w:r>
        <w:rPr>
          <w:spacing w:val="-2"/>
        </w:rPr>
        <w:t>万元现金收购其持有的深圳市快读科技有限公司（简称</w:t>
      </w:r>
      <w:r>
        <w:rPr>
          <w:rFonts w:ascii="Times New Roman" w:hAnsi="Times New Roman" w:cs="Times New Roman" w:eastAsia="Times New Roman" w:hint="default"/>
          <w:spacing w:val="-2"/>
        </w:rPr>
        <w:t>“</w:t>
      </w:r>
      <w:r>
        <w:rPr>
          <w:spacing w:val="-2"/>
        </w:rPr>
        <w:t>快读科技</w:t>
      </w:r>
      <w:r>
        <w:rPr>
          <w:rFonts w:ascii="Times New Roman" w:hAnsi="Times New Roman" w:cs="Times New Roman" w:eastAsia="Times New Roman" w:hint="default"/>
          <w:spacing w:val="-2"/>
        </w:rPr>
        <w:t>”</w:t>
      </w:r>
      <w:r>
        <w:rPr>
          <w:spacing w:val="-2"/>
        </w:rPr>
        <w:t>）</w:t>
      </w:r>
      <w:r>
        <w:rPr>
          <w:spacing w:val="-68"/>
        </w:rPr>
        <w:t> </w:t>
      </w:r>
      <w:r>
        <w:rPr>
          <w:rFonts w:ascii="Times New Roman" w:hAnsi="Times New Roman" w:cs="Times New Roman" w:eastAsia="Times New Roman" w:hint="default"/>
        </w:rPr>
        <w:t>100.00%</w:t>
      </w:r>
      <w:r>
        <w:rPr/>
        <w:t>的股权。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日本公司与恒力智信、黄河签订了《关于深圳市快读科技有限公司的股权收购协议之补充</w:t>
      </w:r>
      <w:r>
        <w:rPr>
          <w:spacing w:val="-49"/>
        </w:rPr>
        <w:t> </w:t>
      </w:r>
      <w:r>
        <w:rPr>
          <w:spacing w:val="-49"/>
        </w:rPr>
      </w:r>
      <w:r>
        <w:rPr/>
        <w:t>协议》（详见本章节第十六</w:t>
      </w:r>
      <w:r>
        <w:rPr>
          <w:rFonts w:ascii="Times New Roman" w:hAnsi="Times New Roman" w:cs="Times New Roman" w:eastAsia="Times New Roman" w:hint="default"/>
        </w:rPr>
        <w:t>“</w:t>
      </w:r>
      <w:r>
        <w:rPr/>
        <w:t>其他重要事项</w:t>
      </w:r>
      <w:r>
        <w:rPr>
          <w:rFonts w:ascii="Times New Roman" w:hAnsi="Times New Roman" w:cs="Times New Roman" w:eastAsia="Times New Roman" w:hint="default"/>
        </w:rPr>
        <w:t>”</w:t>
      </w:r>
      <w:r>
        <w:rPr/>
        <w:t>）。业绩承诺期为</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年，目前</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年已实现协议规定的</w:t>
      </w:r>
      <w:r>
        <w:rPr>
          <w:spacing w:val="-15"/>
        </w:rPr>
        <w:t> </w:t>
      </w:r>
      <w:r>
        <w:rPr>
          <w:spacing w:val="-15"/>
        </w:rPr>
      </w:r>
      <w:r>
        <w:rPr/>
        <w:t>承诺业绩，未来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2020</w:t>
      </w:r>
      <w:r>
        <w:rPr/>
        <w:t>年按照约定需实现净利润</w:t>
      </w:r>
      <w:r>
        <w:rPr>
          <w:rFonts w:ascii="Times New Roman" w:hAnsi="Times New Roman" w:cs="Times New Roman" w:eastAsia="Times New Roman" w:hint="default"/>
        </w:rPr>
        <w:t>5,070.00</w:t>
      </w:r>
      <w:r>
        <w:rPr/>
        <w:t>、</w:t>
      </w:r>
      <w:r>
        <w:rPr>
          <w:rFonts w:ascii="Times New Roman" w:hAnsi="Times New Roman" w:cs="Times New Roman" w:eastAsia="Times New Roman" w:hint="default"/>
        </w:rPr>
        <w:t>5470</w:t>
      </w:r>
      <w:r>
        <w:rPr/>
        <w:t>万元。</w:t>
      </w:r>
    </w:p>
    <w:p>
      <w:pPr>
        <w:pStyle w:val="BodyText"/>
        <w:spacing w:line="300" w:lineRule="auto" w:before="13"/>
        <w:ind w:left="573" w:right="1117"/>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日，本公司已支付原股东股权转让款</w:t>
      </w:r>
      <w:r>
        <w:rPr>
          <w:rFonts w:ascii="Times New Roman" w:hAnsi="Times New Roman" w:cs="Times New Roman" w:eastAsia="Times New Roman" w:hint="default"/>
        </w:rPr>
        <w:t>12,280.00</w:t>
      </w:r>
      <w:r>
        <w:rPr/>
        <w:t>万元，尚未支付股权转让款</w:t>
      </w:r>
      <w:r>
        <w:rPr>
          <w:rFonts w:ascii="Times New Roman" w:hAnsi="Times New Roman" w:cs="Times New Roman" w:eastAsia="Times New Roman" w:hint="default"/>
        </w:rPr>
        <w:t>29,120.00</w:t>
      </w:r>
      <w:r>
        <w:rPr/>
        <w:t>万元。 </w:t>
      </w:r>
      <w:r>
        <w:rPr>
          <w:rFonts w:ascii="Times New Roman" w:hAnsi="Times New Roman" w:cs="Times New Roman" w:eastAsia="Times New Roman" w:hint="default"/>
        </w:rPr>
        <w:t>2</w:t>
      </w:r>
      <w:r>
        <w:rPr/>
        <w:t>．其他重大财务承诺事项 </w:t>
      </w:r>
      <w:r>
        <w:rPr>
          <w:rFonts w:ascii="Times New Roman" w:hAnsi="Times New Roman" w:cs="Times New Roman" w:eastAsia="Times New Roman" w:hint="default"/>
          <w:spacing w:val="-2"/>
        </w:rPr>
        <w:t>(1)</w:t>
      </w:r>
      <w:r>
        <w:rPr>
          <w:spacing w:val="-2"/>
        </w:rPr>
        <w:t>合并范围内公司之间的财产抵押、质押担保情况，详见本章节十四、</w:t>
      </w:r>
      <w:r>
        <w:rPr>
          <w:rFonts w:ascii="Times New Roman" w:hAnsi="Times New Roman" w:cs="Times New Roman" w:eastAsia="Times New Roman" w:hint="default"/>
          <w:spacing w:val="-2"/>
        </w:rPr>
        <w:t>2“</w:t>
      </w:r>
      <w:r>
        <w:rPr>
          <w:spacing w:val="-2"/>
        </w:rPr>
        <w:t>本公司合并范围内公司之间的担保情况</w:t>
      </w:r>
      <w:r>
        <w:rPr>
          <w:rFonts w:ascii="Times New Roman" w:hAnsi="Times New Roman" w:cs="Times New Roman" w:eastAsia="Times New Roman" w:hint="default"/>
          <w:spacing w:val="-2"/>
        </w:rPr>
        <w:t>”</w:t>
      </w:r>
      <w:r>
        <w:rPr>
          <w:spacing w:val="-2"/>
        </w:rPr>
        <w:t>之说</w:t>
      </w:r>
    </w:p>
    <w:p>
      <w:pPr>
        <w:pStyle w:val="BodyText"/>
        <w:spacing w:line="240" w:lineRule="auto" w:before="13"/>
        <w:ind w:right="1117"/>
        <w:jc w:val="left"/>
      </w:pPr>
      <w:r>
        <w:rPr/>
        <w:t>明。</w:t>
      </w:r>
    </w:p>
    <w:p>
      <w:pPr>
        <w:pStyle w:val="BodyText"/>
        <w:spacing w:line="300" w:lineRule="auto" w:before="76"/>
        <w:ind w:left="573" w:right="5099"/>
        <w:jc w:val="both"/>
      </w:pPr>
      <w:r>
        <w:rPr>
          <w:rFonts w:ascii="Times New Roman" w:hAnsi="Times New Roman" w:cs="Times New Roman" w:eastAsia="Times New Roman" w:hint="default"/>
        </w:rPr>
        <w:t>(2)</w:t>
      </w:r>
      <w:r>
        <w:rPr/>
        <w:t>合并范围内各公司无为自身对外借款进行的财产抵押担保情况。</w:t>
      </w:r>
      <w:r>
        <w:rPr>
          <w:w w:val="99"/>
        </w:rPr>
        <w:t> </w:t>
      </w:r>
      <w:r>
        <w:rPr>
          <w:rFonts w:ascii="Times New Roman" w:hAnsi="Times New Roman" w:cs="Times New Roman" w:eastAsia="Times New Roman" w:hint="default"/>
        </w:rPr>
        <w:t>(3)</w:t>
      </w:r>
      <w:r>
        <w:rPr/>
        <w:t>合并范围内各公司无为自身对外借款进行的财产质押担保情况。</w:t>
      </w:r>
      <w:r>
        <w:rPr>
          <w:w w:val="99"/>
        </w:rPr>
        <w:t> </w:t>
      </w:r>
      <w:r>
        <w:rPr>
          <w:rFonts w:ascii="Times New Roman" w:hAnsi="Times New Roman" w:cs="Times New Roman" w:eastAsia="Times New Roman" w:hint="default"/>
        </w:rPr>
        <w:t>3</w:t>
      </w:r>
      <w:r>
        <w:rPr/>
        <w:t>．尚未履行完毕的出资义务</w:t>
      </w:r>
    </w:p>
    <w:tbl>
      <w:tblPr>
        <w:tblW w:w="0" w:type="auto"/>
        <w:jc w:val="left"/>
        <w:tblInd w:w="148" w:type="dxa"/>
        <w:tblLayout w:type="fixed"/>
        <w:tblCellMar>
          <w:top w:w="0" w:type="dxa"/>
          <w:left w:w="0" w:type="dxa"/>
          <w:bottom w:w="0" w:type="dxa"/>
          <w:right w:w="0" w:type="dxa"/>
        </w:tblCellMar>
        <w:tblLook w:val="01E0"/>
      </w:tblPr>
      <w:tblGrid>
        <w:gridCol w:w="4470"/>
        <w:gridCol w:w="1620"/>
        <w:gridCol w:w="1423"/>
        <w:gridCol w:w="1817"/>
      </w:tblGrid>
      <w:tr>
        <w:trPr>
          <w:trHeight w:val="624"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sz w:val="18"/>
                <w:szCs w:val="18"/>
              </w:rPr>
              <w:t>认缴出资额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sz w:val="18"/>
                <w:szCs w:val="18"/>
              </w:rPr>
              <w:t>实缴出资额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尚未履行完的出资额</w:t>
            </w:r>
          </w:p>
        </w:tc>
      </w:tr>
      <w:tr>
        <w:trPr>
          <w:trHeight w:val="343"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北京伟达智通科技有限公司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1,000,000.00</w:t>
            </w:r>
          </w:p>
        </w:tc>
      </w:tr>
      <w:tr>
        <w:trPr>
          <w:trHeight w:val="341"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北京蚂达软件信息技术有限责任公司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10,000,000.00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10,000,000.00</w:t>
            </w:r>
          </w:p>
        </w:tc>
      </w:tr>
      <w:tr>
        <w:trPr>
          <w:trHeight w:val="344"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北京伟达金科科技有限公司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6,000,000.00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6,000,000.00</w:t>
            </w:r>
          </w:p>
        </w:tc>
      </w:tr>
      <w:tr>
        <w:trPr>
          <w:trHeight w:val="343" w:hRule="exact"/>
        </w:trPr>
        <w:tc>
          <w:tcPr>
            <w:tcW w:w="4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成都高伟达信息技术有限公司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12,000,000.00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12,000,000.00</w:t>
            </w:r>
          </w:p>
        </w:tc>
      </w:tr>
    </w:tbl>
    <w:p>
      <w:pPr>
        <w:pStyle w:val="Heading4"/>
        <w:spacing w:line="283" w:lineRule="exact" w:before="0"/>
        <w:ind w:left="573" w:right="1117"/>
        <w:jc w:val="left"/>
      </w:pPr>
      <w:r>
        <w:rPr>
          <w:rFonts w:ascii="Times New Roman" w:hAnsi="Times New Roman" w:cs="Times New Roman" w:eastAsia="Times New Roman" w:hint="default"/>
        </w:rPr>
        <w:t>4</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日，本公司因履约、投标等事项申请开具的尚未到期或解约的银行保函金额</w:t>
      </w:r>
    </w:p>
    <w:p>
      <w:pPr>
        <w:spacing w:after="0" w:line="283" w:lineRule="exact"/>
        <w:jc w:val="left"/>
        <w:sectPr>
          <w:footerReference w:type="default" r:id="rId23"/>
          <w:pgSz w:w="11910" w:h="16840"/>
          <w:pgMar w:footer="1294" w:header="786" w:top="1100" w:bottom="1480" w:left="980" w:right="0"/>
          <w:pgNumType w:start="191"/>
        </w:sectPr>
      </w:pPr>
    </w:p>
    <w:p>
      <w:pPr>
        <w:spacing w:line="240" w:lineRule="auto" w:before="9"/>
        <w:rPr>
          <w:rFonts w:ascii="宋体" w:hAnsi="宋体" w:cs="宋体" w:eastAsia="宋体" w:hint="default"/>
          <w:sz w:val="21"/>
          <w:szCs w:val="21"/>
        </w:rPr>
      </w:pPr>
    </w:p>
    <w:p>
      <w:pPr>
        <w:pStyle w:val="Heading4"/>
        <w:spacing w:line="240" w:lineRule="auto" w:before="36"/>
        <w:ind w:right="1117"/>
        <w:jc w:val="left"/>
      </w:pPr>
      <w:r>
        <w:rPr>
          <w:rFonts w:ascii="Times New Roman" w:hAnsi="Times New Roman" w:cs="Times New Roman" w:eastAsia="Times New Roman" w:hint="default"/>
        </w:rPr>
        <w:t>120,356,743.61</w:t>
      </w:r>
      <w:r>
        <w:rPr/>
        <w:t>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3" w:right="1117"/>
        <w:jc w:val="left"/>
      </w:pPr>
      <w:r>
        <w:rPr>
          <w:rFonts w:ascii="Times New Roman" w:hAnsi="Times New Roman" w:cs="Times New Roman" w:eastAsia="Times New Roman" w:hint="default"/>
        </w:rPr>
        <w:t>1</w:t>
      </w:r>
      <w:r>
        <w:rPr/>
        <w:t>．本期无未决诉讼仲裁形成的或有负债及其财务影响。</w:t>
      </w:r>
    </w:p>
    <w:p>
      <w:pPr>
        <w:pStyle w:val="Heading4"/>
        <w:spacing w:line="256" w:lineRule="auto" w:before="21"/>
        <w:ind w:left="573" w:right="2752"/>
        <w:jc w:val="left"/>
        <w:rPr>
          <w:rFonts w:ascii="Times New Roman" w:hAnsi="Times New Roman" w:cs="Times New Roman" w:eastAsia="Times New Roman" w:hint="default"/>
        </w:rPr>
      </w:pPr>
      <w:r>
        <w:rPr>
          <w:rFonts w:ascii="Times New Roman" w:hAnsi="Times New Roman" w:cs="Times New Roman" w:eastAsia="Times New Roman" w:hint="default"/>
        </w:rPr>
        <w:t>2</w:t>
      </w:r>
      <w:r>
        <w:rPr/>
        <w:t>．为其他单位提供债务担保形成的或有负债及其财务影响</w:t>
      </w:r>
      <w:r>
        <w:rPr>
          <w:w w:val="100"/>
        </w:rPr>
        <w:t> </w:t>
      </w:r>
      <w:r>
        <w:rPr>
          <w:rFonts w:ascii="Times New Roman" w:hAnsi="Times New Roman" w:cs="Times New Roman" w:eastAsia="Times New Roman" w:hint="default"/>
        </w:rPr>
        <w:t>(1)</w:t>
      </w:r>
      <w:r>
        <w:rPr/>
        <w:t>本公司无为合并范围以外关联方提供担保事项。</w:t>
      </w:r>
      <w:r>
        <w:rPr>
          <w:w w:val="100"/>
        </w:rPr>
        <w:t> </w:t>
      </w:r>
      <w:r>
        <w:rPr>
          <w:rFonts w:ascii="Times New Roman" w:hAnsi="Times New Roman" w:cs="Times New Roman" w:eastAsia="Times New Roman" w:hint="default"/>
        </w:rPr>
        <w:t>(2)</w:t>
      </w:r>
      <w:r>
        <w:rPr/>
        <w:t>本公司无为非关联方提供的担保事项。</w:t>
      </w:r>
      <w:r>
        <w:rPr>
          <w:w w:val="100"/>
        </w:rPr>
        <w:t> </w:t>
      </w:r>
      <w:r>
        <w:rPr>
          <w:rFonts w:ascii="Times New Roman" w:hAnsi="Times New Roman" w:cs="Times New Roman" w:eastAsia="Times New Roman" w:hint="default"/>
        </w:rPr>
        <w:t>3</w:t>
      </w:r>
      <w:r>
        <w:rPr/>
        <w:t>．本公司合并范围内公司之间的担保情况</w:t>
      </w:r>
      <w:r>
        <w:rPr>
          <w:w w:val="100"/>
        </w:rPr>
        <w:t> </w:t>
      </w:r>
      <w:r>
        <w:rPr>
          <w:rFonts w:ascii="Times New Roman" w:hAnsi="Times New Roman" w:cs="Times New Roman" w:eastAsia="Times New Roman" w:hint="default"/>
          <w:spacing w:val="-2"/>
        </w:rPr>
        <w:t>(1)</w:t>
      </w:r>
      <w:r>
        <w:rPr>
          <w:spacing w:val="-2"/>
        </w:rPr>
        <w:t>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日，本公司合并范围内公司之间的保证担保情况</w:t>
      </w:r>
      <w:r>
        <w:rPr>
          <w:rFonts w:ascii="Times New Roman" w:hAnsi="Times New Roman" w:cs="Times New Roman" w:eastAsia="Times New Roman" w:hint="default"/>
          <w:spacing w:val="-2"/>
        </w:rPr>
        <w:t>(</w:t>
      </w:r>
      <w:r>
        <w:rPr>
          <w:spacing w:val="-2"/>
        </w:rPr>
        <w:t>单位：万元</w:t>
      </w:r>
      <w:r>
        <w:rPr>
          <w:rFonts w:ascii="Times New Roman" w:hAnsi="Times New Roman" w:cs="Times New Roman" w:eastAsia="Times New Roman" w:hint="default"/>
          <w:spacing w:val="-2"/>
        </w:rPr>
        <w:t>)</w:t>
      </w:r>
    </w:p>
    <w:tbl>
      <w:tblPr>
        <w:tblW w:w="0" w:type="auto"/>
        <w:jc w:val="left"/>
        <w:tblInd w:w="148" w:type="dxa"/>
        <w:tblLayout w:type="fixed"/>
        <w:tblCellMar>
          <w:top w:w="0" w:type="dxa"/>
          <w:left w:w="0" w:type="dxa"/>
          <w:bottom w:w="0" w:type="dxa"/>
          <w:right w:w="0" w:type="dxa"/>
        </w:tblCellMar>
        <w:tblLook w:val="01E0"/>
      </w:tblPr>
      <w:tblGrid>
        <w:gridCol w:w="2007"/>
        <w:gridCol w:w="1786"/>
        <w:gridCol w:w="2324"/>
        <w:gridCol w:w="1130"/>
        <w:gridCol w:w="1227"/>
        <w:gridCol w:w="780"/>
      </w:tblGrid>
      <w:tr>
        <w:trPr>
          <w:trHeight w:val="653" w:hRule="exact"/>
        </w:trPr>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担保单位</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担保借款余额</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借款到期日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55" w:hRule="exact"/>
        </w:trPr>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27" w:right="75" w:hanging="449"/>
              <w:jc w:val="left"/>
              <w:rPr>
                <w:rFonts w:ascii="宋体" w:hAnsi="宋体" w:cs="宋体" w:eastAsia="宋体" w:hint="default"/>
                <w:sz w:val="18"/>
                <w:szCs w:val="18"/>
              </w:rPr>
            </w:pPr>
            <w:r>
              <w:rPr>
                <w:rFonts w:ascii="宋体" w:hAnsi="宋体" w:cs="宋体" w:eastAsia="宋体" w:hint="default"/>
                <w:sz w:val="18"/>
                <w:szCs w:val="18"/>
              </w:rPr>
              <w:t>上海睿民互联网科技 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979" w:right="72" w:hanging="900"/>
              <w:jc w:val="left"/>
              <w:rPr>
                <w:rFonts w:ascii="宋体" w:hAnsi="宋体" w:cs="宋体" w:eastAsia="宋体" w:hint="default"/>
                <w:sz w:val="18"/>
                <w:szCs w:val="18"/>
              </w:rPr>
            </w:pPr>
            <w:r>
              <w:rPr>
                <w:rFonts w:ascii="宋体" w:hAnsi="宋体" w:cs="宋体" w:eastAsia="宋体" w:hint="default"/>
                <w:sz w:val="18"/>
                <w:szCs w:val="18"/>
              </w:rPr>
              <w:t>南京银行股份有限公司上海 分行</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2019/3/27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653" w:hRule="exact"/>
        </w:trPr>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27" w:right="75" w:hanging="449"/>
              <w:jc w:val="left"/>
              <w:rPr>
                <w:rFonts w:ascii="宋体" w:hAnsi="宋体" w:cs="宋体" w:eastAsia="宋体" w:hint="default"/>
                <w:sz w:val="18"/>
                <w:szCs w:val="18"/>
              </w:rPr>
            </w:pPr>
            <w:r>
              <w:rPr>
                <w:rFonts w:ascii="宋体" w:hAnsi="宋体" w:cs="宋体" w:eastAsia="宋体" w:hint="default"/>
                <w:sz w:val="18"/>
                <w:szCs w:val="18"/>
              </w:rPr>
              <w:t>上海睿民互联网科技 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979" w:right="72" w:hanging="900"/>
              <w:jc w:val="left"/>
              <w:rPr>
                <w:rFonts w:ascii="宋体" w:hAnsi="宋体" w:cs="宋体" w:eastAsia="宋体" w:hint="default"/>
                <w:sz w:val="18"/>
                <w:szCs w:val="18"/>
              </w:rPr>
            </w:pPr>
            <w:r>
              <w:rPr>
                <w:rFonts w:ascii="宋体" w:hAnsi="宋体" w:cs="宋体" w:eastAsia="宋体" w:hint="default"/>
                <w:sz w:val="18"/>
                <w:szCs w:val="18"/>
              </w:rPr>
              <w:t>南京银行股份有限公司上海 分行</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2019/4/26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656" w:hRule="exact"/>
        </w:trPr>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27" w:right="75" w:hanging="449"/>
              <w:jc w:val="left"/>
              <w:rPr>
                <w:rFonts w:ascii="宋体" w:hAnsi="宋体" w:cs="宋体" w:eastAsia="宋体" w:hint="default"/>
                <w:sz w:val="18"/>
                <w:szCs w:val="18"/>
              </w:rPr>
            </w:pPr>
            <w:r>
              <w:rPr>
                <w:rFonts w:ascii="宋体" w:hAnsi="宋体" w:cs="宋体" w:eastAsia="宋体" w:hint="default"/>
                <w:sz w:val="18"/>
                <w:szCs w:val="18"/>
              </w:rPr>
              <w:t>上海睿民互联网科技 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979" w:right="72" w:hanging="900"/>
              <w:jc w:val="left"/>
              <w:rPr>
                <w:rFonts w:ascii="宋体" w:hAnsi="宋体" w:cs="宋体" w:eastAsia="宋体" w:hint="default"/>
                <w:sz w:val="18"/>
                <w:szCs w:val="18"/>
              </w:rPr>
            </w:pPr>
            <w:r>
              <w:rPr>
                <w:rFonts w:ascii="宋体" w:hAnsi="宋体" w:cs="宋体" w:eastAsia="宋体" w:hint="default"/>
                <w:sz w:val="18"/>
                <w:szCs w:val="18"/>
              </w:rPr>
              <w:t>南京银行股份有限公司上海 分行</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2019/5/27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653" w:hRule="exact"/>
        </w:trPr>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27" w:right="75" w:hanging="449"/>
              <w:jc w:val="left"/>
              <w:rPr>
                <w:rFonts w:ascii="宋体" w:hAnsi="宋体" w:cs="宋体" w:eastAsia="宋体" w:hint="default"/>
                <w:sz w:val="18"/>
                <w:szCs w:val="18"/>
              </w:rPr>
            </w:pPr>
            <w:r>
              <w:rPr>
                <w:rFonts w:ascii="宋体" w:hAnsi="宋体" w:cs="宋体" w:eastAsia="宋体" w:hint="default"/>
                <w:sz w:val="18"/>
                <w:szCs w:val="18"/>
              </w:rPr>
              <w:t>上海睿民互联网科技 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27" w:right="72" w:hanging="449"/>
              <w:jc w:val="left"/>
              <w:rPr>
                <w:rFonts w:ascii="宋体" w:hAnsi="宋体" w:cs="宋体" w:eastAsia="宋体" w:hint="default"/>
                <w:sz w:val="18"/>
                <w:szCs w:val="18"/>
              </w:rPr>
            </w:pPr>
            <w:r>
              <w:rPr>
                <w:rFonts w:ascii="宋体" w:hAnsi="宋体" w:cs="宋体" w:eastAsia="宋体" w:hint="default"/>
                <w:sz w:val="18"/>
                <w:szCs w:val="18"/>
              </w:rPr>
              <w:t>交通银行股份有限公司上海 徐汇分（支）行</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1,000.00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2019/5/29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r>
      <w:tr>
        <w:trPr>
          <w:trHeight w:val="343" w:hRule="exact"/>
        </w:trPr>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2,500.00</w:t>
            </w:r>
          </w:p>
        </w:tc>
        <w:tc>
          <w:tcPr>
            <w:tcW w:w="122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56" w:lineRule="auto"/>
        <w:ind w:right="1337" w:firstLine="30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本期本公司为上海睿民互联网科技有限公司向南京银行股份有限公司上海市分行借款提供最高</w:t>
      </w:r>
      <w:r>
        <w:rPr>
          <w:w w:val="100"/>
        </w:rPr>
        <w:t> </w:t>
      </w:r>
      <w:r>
        <w:rPr>
          <w:spacing w:val="-5"/>
        </w:rPr>
        <w:t>额担保，担保金额为人民币</w:t>
      </w:r>
      <w:r>
        <w:rPr>
          <w:rFonts w:ascii="Times New Roman" w:hAnsi="Times New Roman" w:cs="Times New Roman" w:eastAsia="Times New Roman" w:hint="default"/>
          <w:spacing w:val="-5"/>
        </w:rPr>
        <w:t>2,000.00</w:t>
      </w:r>
      <w:r>
        <w:rPr>
          <w:spacing w:val="-5"/>
        </w:rPr>
        <w:t>万元，其中</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28</w:t>
      </w:r>
      <w:r>
        <w:rPr>
          <w:spacing w:val="-5"/>
        </w:rPr>
        <w:t>日借入</w:t>
      </w:r>
      <w:r>
        <w:rPr>
          <w:rFonts w:ascii="Times New Roman" w:hAnsi="Times New Roman" w:cs="Times New Roman" w:eastAsia="Times New Roman" w:hint="default"/>
          <w:spacing w:val="-5"/>
        </w:rPr>
        <w:t>500.00</w:t>
      </w:r>
      <w:r>
        <w:rPr>
          <w:spacing w:val="-5"/>
        </w:rPr>
        <w:t>万元，</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27</w:t>
      </w:r>
      <w:r>
        <w:rPr>
          <w:spacing w:val="-5"/>
        </w:rPr>
        <w:t>日借入</w:t>
      </w:r>
      <w:r>
        <w:rPr>
          <w:rFonts w:ascii="Times New Roman" w:hAnsi="Times New Roman" w:cs="Times New Roman" w:eastAsia="Times New Roman" w:hint="default"/>
          <w:spacing w:val="-5"/>
        </w:rPr>
        <w:t>500.00</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日借入</w:t>
      </w:r>
      <w:r>
        <w:rPr>
          <w:rFonts w:ascii="Times New Roman" w:hAnsi="Times New Roman" w:cs="Times New Roman" w:eastAsia="Times New Roman" w:hint="default"/>
        </w:rPr>
        <w:t>500.00</w:t>
      </w:r>
      <w:r>
        <w:rPr/>
        <w:t>万元，截至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日，上述三笔借款尚未到期还款。</w:t>
      </w:r>
    </w:p>
    <w:p>
      <w:pPr>
        <w:pStyle w:val="Heading4"/>
        <w:spacing w:line="256" w:lineRule="auto"/>
        <w:ind w:right="1337" w:firstLine="30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2]</w:t>
      </w:r>
      <w:r>
        <w:rPr/>
        <w:t>本期本公司为上海睿民互联网科技有限公司向交通银行股份有限公司上海市徐汇分（支）行借</w:t>
      </w:r>
      <w:r>
        <w:rPr>
          <w:w w:val="100"/>
        </w:rPr>
        <w:t> </w:t>
      </w:r>
      <w:r>
        <w:rPr>
          <w:spacing w:val="-2"/>
        </w:rPr>
        <w:t>款提供最高额担保，担保金额为人民币</w:t>
      </w:r>
      <w:r>
        <w:rPr>
          <w:rFonts w:ascii="Times New Roman" w:hAnsi="Times New Roman" w:cs="Times New Roman" w:eastAsia="Times New Roman" w:hint="default"/>
          <w:spacing w:val="-2"/>
        </w:rPr>
        <w:t>2,100.00</w:t>
      </w:r>
      <w:r>
        <w:rPr>
          <w:spacing w:val="-2"/>
        </w:rPr>
        <w:t>万元，其中</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日借入</w:t>
      </w:r>
      <w:r>
        <w:rPr>
          <w:rFonts w:ascii="Times New Roman" w:hAnsi="Times New Roman" w:cs="Times New Roman" w:eastAsia="Times New Roman" w:hint="default"/>
          <w:spacing w:val="-2"/>
        </w:rPr>
        <w:t>1,000.00</w:t>
      </w:r>
      <w:r>
        <w:rPr>
          <w:spacing w:val="-2"/>
        </w:rPr>
        <w:t>万元，截至</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日，上述借款尚未到期还款。</w:t>
      </w:r>
    </w:p>
    <w:p>
      <w:pPr>
        <w:pStyle w:val="Heading4"/>
        <w:spacing w:line="240" w:lineRule="auto"/>
        <w:ind w:left="364" w:right="1117"/>
        <w:jc w:val="left"/>
      </w:pPr>
      <w:r>
        <w:rPr/>
        <w:t>（</w:t>
      </w: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日，本公司合并范围内公司之间无财产抵押担保情况。</w:t>
      </w:r>
    </w:p>
    <w:p>
      <w:pPr>
        <w:pStyle w:val="Heading4"/>
        <w:spacing w:line="240" w:lineRule="auto" w:before="22"/>
        <w:ind w:left="364" w:right="1117"/>
        <w:jc w:val="left"/>
      </w:pPr>
      <w:r>
        <w:rPr/>
        <w:t>（</w:t>
      </w:r>
      <w:r>
        <w:rPr>
          <w:rFonts w:ascii="Times New Roman" w:hAnsi="Times New Roman" w:cs="Times New Roman" w:eastAsia="Times New Roman" w:hint="default"/>
        </w:rPr>
        <w:t>3</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日，本公司合并范围内公司之间无财产质押担保情况。</w:t>
      </w:r>
    </w:p>
    <w:p>
      <w:pPr>
        <w:spacing w:line="240" w:lineRule="auto" w:before="7"/>
        <w:rPr>
          <w:rFonts w:ascii="宋体" w:hAnsi="宋体" w:cs="宋体" w:eastAsia="宋体" w:hint="default"/>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7"/>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after="0" w:line="240" w:lineRule="auto"/>
        <w:jc w:val="right"/>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16,084,362.85</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16,084,362.85</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3</w:t>
      </w:r>
      <w:r>
        <w:rPr/>
        <w:t>、销售退回</w:t>
      </w:r>
      <w:r>
        <w:rPr>
          <w:b w:val="0"/>
          <w:bCs w:val="0"/>
        </w:rPr>
      </w:r>
    </w:p>
    <w:p>
      <w:pPr>
        <w:pStyle w:val="Heading3"/>
        <w:spacing w:line="610" w:lineRule="atLeast" w:before="5"/>
        <w:ind w:left="575" w:right="7712" w:hanging="423"/>
        <w:jc w:val="left"/>
        <w:rPr>
          <w:b w:val="0"/>
          <w:bCs w:val="0"/>
        </w:rPr>
      </w:pPr>
      <w:r>
        <w:rPr>
          <w:rFonts w:ascii="Times New Roman" w:hAnsi="Times New Roman" w:cs="Times New Roman" w:eastAsia="Times New Roman" w:hint="default"/>
          <w:spacing w:val="-1"/>
        </w:rPr>
        <w:t>4</w:t>
      </w:r>
      <w:r>
        <w:rPr>
          <w:spacing w:val="-1"/>
        </w:rPr>
        <w:t>、其他资产负债表日后事项说明</w:t>
      </w:r>
      <w:r>
        <w:rPr>
          <w:spacing w:val="-91"/>
        </w:rPr>
        <w:t> </w:t>
      </w:r>
      <w:r>
        <w:rPr>
          <w:spacing w:val="-91"/>
        </w:rPr>
      </w: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重要的非调整事项</w:t>
      </w:r>
      <w:r>
        <w:rPr>
          <w:b w:val="0"/>
          <w:bCs w:val="0"/>
        </w:rPr>
      </w:r>
    </w:p>
    <w:p>
      <w:pPr>
        <w:pStyle w:val="Heading4"/>
        <w:spacing w:line="256" w:lineRule="auto" w:before="21"/>
        <w:ind w:right="1117" w:firstLine="420"/>
        <w:jc w:val="left"/>
      </w:pPr>
      <w:r>
        <w:rPr>
          <w:rFonts w:ascii="Times New Roman" w:hAnsi="Times New Roman" w:cs="Times New Roman" w:eastAsia="Times New Roman" w:hint="default"/>
          <w:spacing w:val="-1"/>
        </w:rPr>
        <w:t>1.</w:t>
      </w:r>
      <w:r>
        <w:rPr>
          <w:spacing w:val="-1"/>
        </w:rPr>
        <w:t>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13</w:t>
      </w:r>
      <w:r>
        <w:rPr>
          <w:spacing w:val="-1"/>
        </w:rPr>
        <w:t>日鹰高投资发行的可交换债券完成换股</w:t>
      </w:r>
      <w:r>
        <w:rPr>
          <w:rFonts w:ascii="Times New Roman" w:hAnsi="Times New Roman" w:cs="Times New Roman" w:eastAsia="Times New Roman" w:hint="default"/>
          <w:spacing w:val="-1"/>
        </w:rPr>
        <w:t>29,021,340</w:t>
      </w:r>
      <w:r>
        <w:rPr>
          <w:spacing w:val="-1"/>
        </w:rPr>
        <w:t>股，占公司总股本</w:t>
      </w:r>
      <w:r>
        <w:rPr>
          <w:w w:val="100"/>
        </w:rPr>
        <w:t> </w:t>
      </w:r>
      <w:r>
        <w:rPr/>
        <w:t>比例为</w:t>
      </w:r>
      <w:r>
        <w:rPr>
          <w:rFonts w:ascii="Times New Roman" w:hAnsi="Times New Roman" w:cs="Times New Roman" w:eastAsia="Times New Roman" w:hint="default"/>
        </w:rPr>
        <w:t>6.49%</w:t>
      </w:r>
      <w:r>
        <w:rPr/>
        <w:t>。</w:t>
      </w:r>
    </w:p>
    <w:tbl>
      <w:tblPr>
        <w:tblW w:w="0" w:type="auto"/>
        <w:jc w:val="left"/>
        <w:tblInd w:w="148" w:type="dxa"/>
        <w:tblLayout w:type="fixed"/>
        <w:tblCellMar>
          <w:top w:w="0" w:type="dxa"/>
          <w:left w:w="0" w:type="dxa"/>
          <w:bottom w:w="0" w:type="dxa"/>
          <w:right w:w="0" w:type="dxa"/>
        </w:tblCellMar>
        <w:tblLook w:val="01E0"/>
      </w:tblPr>
      <w:tblGrid>
        <w:gridCol w:w="1385"/>
        <w:gridCol w:w="1311"/>
        <w:gridCol w:w="1318"/>
        <w:gridCol w:w="1402"/>
        <w:gridCol w:w="1349"/>
        <w:gridCol w:w="1249"/>
        <w:gridCol w:w="1469"/>
      </w:tblGrid>
      <w:tr>
        <w:trPr>
          <w:trHeight w:val="355"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11" w:type="dxa"/>
            <w:vMerge w:val="restart"/>
            <w:tcBorders>
              <w:top w:val="single" w:sz="4" w:space="0" w:color="000000"/>
              <w:left w:val="single" w:sz="4" w:space="0" w:color="000000"/>
              <w:right w:val="single" w:sz="4" w:space="0" w:color="000000"/>
            </w:tcBorders>
          </w:tcPr>
          <w:p>
            <w:pPr>
              <w:pStyle w:val="TableParagraph"/>
              <w:spacing w:line="240" w:lineRule="auto" w:before="17"/>
              <w:ind w:left="554" w:right="0"/>
              <w:jc w:val="left"/>
              <w:rPr>
                <w:rFonts w:ascii="宋体" w:hAnsi="宋体" w:cs="宋体" w:eastAsia="宋体" w:hint="default"/>
                <w:sz w:val="18"/>
                <w:szCs w:val="18"/>
              </w:rPr>
            </w:pPr>
            <w:r>
              <w:rPr>
                <w:rFonts w:ascii="宋体" w:hAnsi="宋体" w:cs="宋体" w:eastAsia="宋体" w:hint="default"/>
                <w:sz w:val="18"/>
                <w:szCs w:val="18"/>
              </w:rPr>
              <w:t>股份性质</w:t>
            </w:r>
          </w:p>
        </w:tc>
        <w:tc>
          <w:tcPr>
            <w:tcW w:w="2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3" w:right="0"/>
              <w:jc w:val="left"/>
              <w:rPr>
                <w:rFonts w:ascii="宋体" w:hAnsi="宋体" w:cs="宋体" w:eastAsia="宋体" w:hint="default"/>
                <w:sz w:val="18"/>
                <w:szCs w:val="18"/>
              </w:rPr>
            </w:pPr>
            <w:r>
              <w:rPr>
                <w:rFonts w:ascii="宋体" w:hAnsi="宋体" w:cs="宋体" w:eastAsia="宋体" w:hint="default"/>
                <w:sz w:val="18"/>
                <w:szCs w:val="18"/>
              </w:rPr>
              <w:t>换股前持有的股份</w:t>
            </w:r>
          </w:p>
        </w:tc>
        <w:tc>
          <w:tcPr>
            <w:tcW w:w="2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61" w:right="0"/>
              <w:jc w:val="left"/>
              <w:rPr>
                <w:rFonts w:ascii="宋体" w:hAnsi="宋体" w:cs="宋体" w:eastAsia="宋体" w:hint="default"/>
                <w:sz w:val="18"/>
                <w:szCs w:val="18"/>
              </w:rPr>
            </w:pPr>
            <w:r>
              <w:rPr>
                <w:rFonts w:ascii="宋体" w:hAnsi="宋体" w:cs="宋体" w:eastAsia="宋体" w:hint="default"/>
                <w:sz w:val="18"/>
                <w:szCs w:val="18"/>
              </w:rPr>
              <w:t>换股后持有的股份</w:t>
            </w:r>
          </w:p>
        </w:tc>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17"/>
              <w:ind w:left="451" w:right="0"/>
              <w:jc w:val="left"/>
              <w:rPr>
                <w:rFonts w:ascii="宋体" w:hAnsi="宋体" w:cs="宋体" w:eastAsia="宋体" w:hint="default"/>
                <w:sz w:val="18"/>
                <w:szCs w:val="18"/>
              </w:rPr>
            </w:pPr>
            <w:r>
              <w:rPr>
                <w:rFonts w:ascii="宋体" w:hAnsi="宋体" w:cs="宋体" w:eastAsia="宋体" w:hint="default"/>
                <w:sz w:val="18"/>
                <w:szCs w:val="18"/>
              </w:rPr>
              <w:t>总股本</w:t>
            </w:r>
          </w:p>
          <w:p>
            <w:pPr>
              <w:pStyle w:val="TableParagraph"/>
              <w:spacing w:line="240" w:lineRule="auto" w:before="76"/>
              <w:ind w:left="451"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358" w:hRule="exact"/>
        </w:trPr>
        <w:tc>
          <w:tcPr>
            <w:tcW w:w="1385" w:type="dxa"/>
            <w:vMerge/>
            <w:tcBorders>
              <w:left w:val="single" w:sz="4" w:space="0" w:color="000000"/>
              <w:bottom w:val="single" w:sz="4" w:space="0" w:color="000000"/>
              <w:right w:val="single" w:sz="4" w:space="0" w:color="000000"/>
            </w:tcBorders>
          </w:tcPr>
          <w:p>
            <w:pPr/>
          </w:p>
        </w:tc>
        <w:tc>
          <w:tcPr>
            <w:tcW w:w="1311" w:type="dxa"/>
            <w:vMerge/>
            <w:tcBorders>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
              <w:jc w:val="right"/>
              <w:rPr>
                <w:rFonts w:ascii="宋体" w:hAnsi="宋体" w:cs="宋体" w:eastAsia="宋体" w:hint="default"/>
                <w:sz w:val="18"/>
                <w:szCs w:val="18"/>
              </w:rPr>
            </w:pPr>
            <w:r>
              <w:rPr>
                <w:rFonts w:ascii="宋体" w:hAnsi="宋体" w:cs="宋体" w:eastAsia="宋体" w:hint="default"/>
                <w:sz w:val="18"/>
                <w:szCs w:val="18"/>
              </w:rPr>
              <w:t>股数（股）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hAnsi="宋体" w:cs="宋体" w:eastAsia="宋体" w:hint="default"/>
                <w:sz w:val="18"/>
                <w:szCs w:val="18"/>
              </w:rPr>
              <w:t>占总股本比</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4"/>
              <w:jc w:val="right"/>
              <w:rPr>
                <w:rFonts w:ascii="宋体" w:hAnsi="宋体" w:cs="宋体" w:eastAsia="宋体" w:hint="default"/>
                <w:sz w:val="18"/>
                <w:szCs w:val="18"/>
              </w:rPr>
            </w:pPr>
            <w:r>
              <w:rPr>
                <w:rFonts w:ascii="宋体" w:hAnsi="宋体" w:cs="宋体" w:eastAsia="宋体" w:hint="default"/>
                <w:sz w:val="18"/>
                <w:szCs w:val="18"/>
              </w:rPr>
              <w:t>股数（股）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hAnsi="宋体" w:cs="宋体" w:eastAsia="宋体" w:hint="default"/>
                <w:sz w:val="18"/>
                <w:szCs w:val="18"/>
              </w:rPr>
              <w:t>占总股本比</w:t>
            </w:r>
          </w:p>
        </w:tc>
        <w:tc>
          <w:tcPr>
            <w:tcW w:w="1469" w:type="dxa"/>
            <w:vMerge/>
            <w:tcBorders>
              <w:left w:val="single" w:sz="4" w:space="0" w:color="000000"/>
              <w:bottom w:val="single" w:sz="4" w:space="0" w:color="000000"/>
              <w:right w:val="single" w:sz="4" w:space="0" w:color="000000"/>
            </w:tcBorders>
          </w:tcPr>
          <w:p>
            <w:pPr/>
          </w:p>
        </w:tc>
      </w:tr>
      <w:tr>
        <w:trPr>
          <w:trHeight w:val="355" w:hRule="exact"/>
        </w:trPr>
        <w:tc>
          <w:tcPr>
            <w:tcW w:w="1385" w:type="dxa"/>
            <w:vMerge w:val="restart"/>
            <w:tcBorders>
              <w:top w:val="single" w:sz="4" w:space="0" w:color="000000"/>
              <w:left w:val="single" w:sz="4" w:space="0" w:color="000000"/>
              <w:right w:val="single" w:sz="4" w:space="0" w:color="000000"/>
            </w:tcBorders>
          </w:tcPr>
          <w:p>
            <w:pPr>
              <w:pStyle w:val="TableParagraph"/>
              <w:spacing w:line="316" w:lineRule="auto" w:before="17"/>
              <w:ind w:left="7" w:right="5"/>
              <w:jc w:val="left"/>
              <w:rPr>
                <w:rFonts w:ascii="宋体" w:hAnsi="宋体" w:cs="宋体" w:eastAsia="宋体" w:hint="default"/>
                <w:sz w:val="18"/>
                <w:szCs w:val="18"/>
              </w:rPr>
            </w:pPr>
            <w:r>
              <w:rPr>
                <w:rFonts w:ascii="宋体" w:hAnsi="宋体" w:cs="宋体" w:eastAsia="宋体" w:hint="default"/>
                <w:spacing w:val="14"/>
                <w:sz w:val="18"/>
                <w:szCs w:val="18"/>
              </w:rPr>
              <w:t>鹰潭鹰高投资咨 </w:t>
            </w:r>
            <w:r>
              <w:rPr>
                <w:rFonts w:ascii="宋体" w:hAnsi="宋体" w:cs="宋体" w:eastAsia="宋体" w:hint="default"/>
                <w:sz w:val="18"/>
                <w:szCs w:val="18"/>
              </w:rPr>
              <w:t>询有限公司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无限售条件股份</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132,861,376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29.72%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103,840,036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23.23%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426,688,000</w:t>
            </w:r>
          </w:p>
        </w:tc>
      </w:tr>
      <w:tr>
        <w:trPr>
          <w:trHeight w:val="356" w:hRule="exact"/>
        </w:trPr>
        <w:tc>
          <w:tcPr>
            <w:tcW w:w="1385" w:type="dxa"/>
            <w:vMerge/>
            <w:tcBorders>
              <w:left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有限售条件股份</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2,514,140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0.56%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2,514,140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0.56%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20,368,657</w:t>
            </w:r>
          </w:p>
        </w:tc>
      </w:tr>
      <w:tr>
        <w:trPr>
          <w:trHeight w:val="358" w:hRule="exact"/>
        </w:trPr>
        <w:tc>
          <w:tcPr>
            <w:tcW w:w="1385" w:type="dxa"/>
            <w:vMerge/>
            <w:tcBorders>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135,375,516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30.28%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106,354,176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23.79%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447,056,657</w:t>
            </w:r>
          </w:p>
        </w:tc>
      </w:tr>
    </w:tbl>
    <w:p>
      <w:pPr>
        <w:pStyle w:val="Heading4"/>
        <w:spacing w:line="256" w:lineRule="auto"/>
        <w:ind w:right="1155" w:firstLine="420"/>
        <w:jc w:val="both"/>
      </w:pPr>
      <w:r>
        <w:rPr>
          <w:rFonts w:ascii="Times New Roman" w:hAnsi="Times New Roman" w:cs="Times New Roman" w:eastAsia="Times New Roman" w:hint="default"/>
          <w:spacing w:val="-2"/>
        </w:rPr>
        <w:t>2.2019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日，公司召开第三届董事会第二十次会议，审议通过了《关于公司向控股股东续借部分</w:t>
      </w:r>
      <w:r>
        <w:rPr>
          <w:w w:val="100"/>
        </w:rPr>
        <w:t> </w:t>
      </w:r>
      <w:r>
        <w:rPr>
          <w:spacing w:val="-2"/>
        </w:rPr>
        <w:t>借款暨关联交易的议案》，同意公司向鹰高投资续借剩余借款</w:t>
      </w:r>
      <w:r>
        <w:rPr>
          <w:rFonts w:ascii="Times New Roman" w:hAnsi="Times New Roman" w:cs="Times New Roman" w:eastAsia="Times New Roman" w:hint="default"/>
          <w:spacing w:val="-2"/>
        </w:rPr>
        <w:t>6,320.00</w:t>
      </w:r>
      <w:r>
        <w:rPr>
          <w:spacing w:val="-2"/>
        </w:rPr>
        <w:t>万元，用于补充公司流动资金。借</w:t>
      </w:r>
      <w:r>
        <w:rPr>
          <w:spacing w:val="-13"/>
        </w:rPr>
        <w:t> </w:t>
      </w:r>
      <w:r>
        <w:rPr>
          <w:spacing w:val="-13"/>
        </w:rPr>
      </w:r>
      <w:r>
        <w:rPr/>
        <w:t>款利率为年利率</w:t>
      </w:r>
      <w:r>
        <w:rPr>
          <w:rFonts w:ascii="Times New Roman" w:hAnsi="Times New Roman" w:cs="Times New Roman" w:eastAsia="Times New Roman" w:hint="default"/>
        </w:rPr>
        <w:t>6%</w:t>
      </w:r>
      <w:r>
        <w:rPr/>
        <w:t>，借款期限为自续借之日起最长不超过</w:t>
      </w:r>
      <w:r>
        <w:rPr>
          <w:rFonts w:ascii="Times New Roman" w:hAnsi="Times New Roman" w:cs="Times New Roman" w:eastAsia="Times New Roman" w:hint="default"/>
        </w:rPr>
        <w:t>12</w:t>
      </w:r>
      <w:r>
        <w:rPr/>
        <w:t>个月，可提前还款。</w:t>
      </w:r>
    </w:p>
    <w:p>
      <w:pPr>
        <w:pStyle w:val="Heading4"/>
        <w:spacing w:line="240" w:lineRule="auto"/>
        <w:ind w:left="573" w:right="1117"/>
        <w:jc w:val="left"/>
      </w:pPr>
      <w:r>
        <w:rPr>
          <w:rFonts w:ascii="Times New Roman" w:hAnsi="Times New Roman" w:cs="Times New Roman" w:eastAsia="Times New Roman" w:hint="default"/>
        </w:rPr>
        <w:t>3.2019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日，鹰高投资对持有本公司股票合计</w:t>
      </w:r>
      <w:r>
        <w:rPr>
          <w:rFonts w:ascii="Times New Roman" w:hAnsi="Times New Roman" w:cs="Times New Roman" w:eastAsia="Times New Roman" w:hint="default"/>
        </w:rPr>
        <w:t>16,510,436</w:t>
      </w:r>
      <w:r>
        <w:rPr>
          <w:rFonts w:ascii="Times New Roman" w:hAnsi="Times New Roman" w:cs="Times New Roman" w:eastAsia="Times New Roman" w:hint="default"/>
          <w:spacing w:val="47"/>
        </w:rPr>
        <w:t> </w:t>
      </w:r>
      <w:r>
        <w:rPr/>
        <w:t>股办理了质押登记解除手续。</w:t>
      </w:r>
    </w:p>
    <w:p>
      <w:pPr>
        <w:pStyle w:val="Heading4"/>
        <w:spacing w:line="256" w:lineRule="auto" w:before="21"/>
        <w:ind w:right="991"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日，鹰高投资将其持有的本公司股票</w:t>
      </w:r>
      <w:r>
        <w:rPr>
          <w:rFonts w:ascii="Times New Roman" w:hAnsi="Times New Roman" w:cs="Times New Roman" w:eastAsia="Times New Roman" w:hint="default"/>
        </w:rPr>
        <w:t>6,330,000</w:t>
      </w:r>
      <w:r>
        <w:rPr/>
        <w:t>股质押给平安证券股份有限公司取得借款，</w:t>
      </w:r>
      <w:r>
        <w:rPr>
          <w:w w:val="100"/>
        </w:rPr>
        <w:t> </w:t>
      </w:r>
      <w:r>
        <w:rPr/>
        <w:t>用于补充流动资金。</w:t>
      </w:r>
    </w:p>
    <w:p>
      <w:pPr>
        <w:pStyle w:val="Heading4"/>
        <w:spacing w:line="256" w:lineRule="auto" w:before="22"/>
        <w:ind w:right="1189" w:firstLine="420"/>
        <w:jc w:val="left"/>
      </w:pPr>
      <w:r>
        <w:rPr/>
        <w:t>截至财务报告批准报出日，鹰高投资持有本公司股份</w:t>
      </w:r>
      <w:r>
        <w:rPr>
          <w:rFonts w:ascii="Times New Roman" w:hAnsi="Times New Roman" w:cs="Times New Roman" w:eastAsia="Times New Roman" w:hint="default"/>
        </w:rPr>
        <w:t>106,354,176</w:t>
      </w:r>
      <w:r>
        <w:rPr>
          <w:rFonts w:ascii="Times New Roman" w:hAnsi="Times New Roman" w:cs="Times New Roman" w:eastAsia="Times New Roman" w:hint="default"/>
          <w:spacing w:val="45"/>
        </w:rPr>
        <w:t> </w:t>
      </w:r>
      <w:r>
        <w:rPr/>
        <w:t>股，占公司总股本的</w:t>
      </w:r>
      <w:r>
        <w:rPr>
          <w:rFonts w:ascii="Times New Roman" w:hAnsi="Times New Roman" w:cs="Times New Roman" w:eastAsia="Times New Roman" w:hint="default"/>
        </w:rPr>
        <w:t>23.79%</w:t>
      </w:r>
      <w:r>
        <w:rPr/>
        <w:t>，其所</w:t>
      </w:r>
      <w:r>
        <w:rPr>
          <w:w w:val="100"/>
        </w:rPr>
        <w:t> </w:t>
      </w:r>
      <w:r>
        <w:rPr/>
        <w:t>持有公司股份累计质押</w:t>
      </w:r>
      <w:r>
        <w:rPr>
          <w:rFonts w:ascii="Times New Roman" w:hAnsi="Times New Roman" w:cs="Times New Roman" w:eastAsia="Times New Roman" w:hint="default"/>
        </w:rPr>
        <w:t>47,650,000</w:t>
      </w:r>
      <w:r>
        <w:rPr/>
        <w:t>股，占公司总股本的</w:t>
      </w:r>
      <w:r>
        <w:rPr>
          <w:rFonts w:ascii="Times New Roman" w:hAnsi="Times New Roman" w:cs="Times New Roman" w:eastAsia="Times New Roman" w:hint="default"/>
        </w:rPr>
        <w:t>10.66%</w:t>
      </w:r>
      <w:r>
        <w:rPr/>
        <w:t>。</w:t>
      </w:r>
    </w:p>
    <w:p>
      <w:pPr>
        <w:spacing w:line="240" w:lineRule="auto" w:before="4"/>
        <w:rPr>
          <w:rFonts w:ascii="宋体" w:hAnsi="宋体" w:cs="宋体" w:eastAsia="宋体" w:hint="default"/>
          <w:sz w:val="24"/>
          <w:szCs w:val="24"/>
        </w:rPr>
      </w:pPr>
    </w:p>
    <w:p>
      <w:pPr>
        <w:pStyle w:val="Heading4"/>
        <w:spacing w:line="256" w:lineRule="auto" w:before="0"/>
        <w:ind w:right="1117" w:firstLine="422"/>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49"/>
        </w:rPr>
        <w:t> </w:t>
      </w:r>
      <w:r>
        <w:rPr>
          <w:rFonts w:ascii="宋体" w:hAnsi="宋体" w:cs="宋体" w:eastAsia="宋体" w:hint="default"/>
          <w:b/>
          <w:bCs/>
        </w:rPr>
        <w:t>资产负债表日后利润分配情况说明</w:t>
      </w:r>
      <w:r>
        <w:rPr>
          <w:rFonts w:ascii="宋体" w:hAnsi="宋体" w:cs="宋体" w:eastAsia="宋体" w:hint="default"/>
          <w:b/>
          <w:bCs/>
          <w:w w:val="100"/>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日公司第三届董事会第二十一次会议审议通过</w:t>
      </w:r>
      <w:r>
        <w:rPr>
          <w:rFonts w:ascii="Times New Roman" w:hAnsi="Times New Roman" w:cs="Times New Roman" w:eastAsia="Times New Roman" w:hint="default"/>
          <w:spacing w:val="-2"/>
        </w:rPr>
        <w:t>2018</w:t>
      </w:r>
      <w:r>
        <w:rPr>
          <w:spacing w:val="-2"/>
        </w:rPr>
        <w:t>年度利润分配预案，以总股本</w:t>
      </w:r>
      <w:r>
        <w:rPr>
          <w:rFonts w:ascii="Times New Roman" w:hAnsi="Times New Roman" w:cs="Times New Roman" w:eastAsia="Times New Roman" w:hint="default"/>
          <w:spacing w:val="-2"/>
        </w:rPr>
        <w:t>446,787,857</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0.36</w:t>
      </w:r>
      <w:r>
        <w:rPr>
          <w:spacing w:val="-2"/>
        </w:rPr>
        <w:t>元</w:t>
      </w:r>
      <w:r>
        <w:rPr>
          <w:rFonts w:ascii="Times New Roman" w:hAnsi="Times New Roman" w:cs="Times New Roman" w:eastAsia="Times New Roman" w:hint="default"/>
          <w:spacing w:val="-2"/>
        </w:rPr>
        <w:t>(</w:t>
      </w:r>
      <w:r>
        <w:rPr>
          <w:spacing w:val="-2"/>
        </w:rPr>
        <w:t>含税</w:t>
      </w:r>
      <w:r>
        <w:rPr>
          <w:rFonts w:ascii="Times New Roman" w:hAnsi="Times New Roman" w:cs="Times New Roman" w:eastAsia="Times New Roman" w:hint="default"/>
          <w:spacing w:val="-2"/>
        </w:rPr>
        <w:t>)</w:t>
      </w:r>
      <w:r>
        <w:rPr>
          <w:spacing w:val="-2"/>
        </w:rPr>
        <w:t>，共计</w:t>
      </w:r>
      <w:r>
        <w:rPr>
          <w:rFonts w:ascii="Times New Roman" w:hAnsi="Times New Roman" w:cs="Times New Roman" w:eastAsia="Times New Roman" w:hint="default"/>
          <w:spacing w:val="-2"/>
        </w:rPr>
        <w:t>16,084,362.85</w:t>
      </w:r>
      <w:r>
        <w:rPr>
          <w:spacing w:val="-2"/>
        </w:rPr>
        <w:t>元</w:t>
      </w:r>
      <w:r>
        <w:rPr>
          <w:rFonts w:ascii="Times New Roman" w:hAnsi="Times New Roman" w:cs="Times New Roman" w:eastAsia="Times New Roman" w:hint="default"/>
          <w:spacing w:val="-2"/>
        </w:rPr>
        <w:t>(</w:t>
      </w:r>
      <w:r>
        <w:rPr>
          <w:spacing w:val="-2"/>
        </w:rPr>
        <w:t>含税</w:t>
      </w:r>
      <w:r>
        <w:rPr>
          <w:rFonts w:ascii="Times New Roman" w:hAnsi="Times New Roman" w:cs="Times New Roman" w:eastAsia="Times New Roman" w:hint="default"/>
          <w:spacing w:val="-2"/>
        </w:rPr>
        <w:t>)</w:t>
      </w:r>
      <w:r>
        <w:rPr>
          <w:spacing w:val="-2"/>
        </w:rPr>
        <w:t>，其余未分配利润结</w:t>
      </w:r>
      <w:r>
        <w:rPr>
          <w:spacing w:val="1"/>
        </w:rPr>
        <w:t> </w:t>
      </w:r>
      <w:r>
        <w:rPr>
          <w:spacing w:val="1"/>
        </w:rPr>
      </w:r>
      <w:r>
        <w:rPr/>
        <w:t>转以后年度分配。以上股利分配预案尚须提交</w:t>
      </w:r>
      <w:r>
        <w:rPr>
          <w:rFonts w:ascii="Times New Roman" w:hAnsi="Times New Roman" w:cs="Times New Roman" w:eastAsia="Times New Roman" w:hint="default"/>
        </w:rPr>
        <w:t>2018</w:t>
      </w:r>
      <w:r>
        <w:rPr/>
        <w:t>年度公司股东大会审议通过后方可实施。</w:t>
      </w:r>
    </w:p>
    <w:p>
      <w:pPr>
        <w:spacing w:line="240" w:lineRule="auto" w:before="5"/>
        <w:rPr>
          <w:rFonts w:ascii="宋体" w:hAnsi="宋体" w:cs="宋体" w:eastAsia="宋体" w:hint="default"/>
          <w:sz w:val="21"/>
          <w:szCs w:val="21"/>
        </w:rPr>
      </w:pPr>
    </w:p>
    <w:p>
      <w:pPr>
        <w:pStyle w:val="Heading2"/>
        <w:spacing w:line="240" w:lineRule="auto"/>
        <w:ind w:right="1117"/>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4"/>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0"/>
        <w:gridCol w:w="2392"/>
        <w:gridCol w:w="2381"/>
      </w:tblGrid>
      <w:tr>
        <w:trPr>
          <w:trHeight w:val="403" w:hRule="exact"/>
        </w:trPr>
        <w:tc>
          <w:tcPr>
            <w:tcW w:w="2404"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80"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2392"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75" w:right="1117"/>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资产置换、转让及出售</w:t>
      </w:r>
      <w:r>
        <w:rPr>
          <w:b w:val="0"/>
          <w:bCs w:val="0"/>
        </w:rPr>
      </w:r>
    </w:p>
    <w:p>
      <w:pPr>
        <w:spacing w:after="0" w:line="240" w:lineRule="auto"/>
        <w:jc w:val="left"/>
        <w:sectPr>
          <w:pgSz w:w="11910" w:h="16840"/>
          <w:pgMar w:header="786" w:footer="1294" w:top="1100" w:bottom="1480" w:left="980" w:right="0"/>
        </w:sectPr>
      </w:pPr>
    </w:p>
    <w:p>
      <w:pPr>
        <w:spacing w:line="240" w:lineRule="auto" w:before="9"/>
        <w:rPr>
          <w:rFonts w:ascii="宋体" w:hAnsi="宋体" w:cs="宋体" w:eastAsia="宋体" w:hint="default"/>
          <w:b/>
          <w:bCs/>
          <w:sz w:val="21"/>
          <w:szCs w:val="21"/>
        </w:rPr>
      </w:pPr>
    </w:p>
    <w:p>
      <w:pPr>
        <w:pStyle w:val="Heading4"/>
        <w:spacing w:line="261" w:lineRule="auto" w:before="36"/>
        <w:ind w:right="1130" w:firstLine="420"/>
        <w:jc w:val="both"/>
      </w:pP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日将位于北京市朝阳区亮马桥路</w:t>
      </w:r>
      <w:r>
        <w:rPr>
          <w:rFonts w:ascii="Times New Roman" w:hAnsi="Times New Roman" w:cs="Times New Roman" w:eastAsia="Times New Roman" w:hint="default"/>
        </w:rPr>
        <w:t>32</w:t>
      </w:r>
      <w:r>
        <w:rPr/>
        <w:t>号高斓大厦（建筑面积</w:t>
      </w:r>
      <w:r>
        <w:rPr>
          <w:rFonts w:ascii="Times New Roman" w:hAnsi="Times New Roman" w:cs="Times New Roman" w:eastAsia="Times New Roman" w:hint="default"/>
        </w:rPr>
        <w:t>3,717.88</w:t>
      </w:r>
      <w:r>
        <w:rPr/>
        <w:t>平方米）的</w:t>
      </w:r>
      <w:r>
        <w:rPr>
          <w:w w:val="100"/>
        </w:rPr>
        <w:t> </w:t>
      </w:r>
      <w:r>
        <w:rPr>
          <w:spacing w:val="-6"/>
          <w:w w:val="100"/>
        </w:rPr>
        <w:t>房产（以下简称</w:t>
      </w:r>
      <w:r>
        <w:rPr>
          <w:rFonts w:ascii="Times New Roman" w:hAnsi="Times New Roman" w:cs="Times New Roman" w:eastAsia="Times New Roman" w:hint="default"/>
          <w:spacing w:val="-6"/>
          <w:w w:val="100"/>
        </w:rPr>
        <w:t>“</w:t>
      </w:r>
      <w:r>
        <w:rPr>
          <w:spacing w:val="-6"/>
          <w:w w:val="100"/>
        </w:rPr>
        <w:t>标的资产</w:t>
      </w:r>
      <w:r>
        <w:rPr>
          <w:rFonts w:ascii="Times New Roman" w:hAnsi="Times New Roman" w:cs="Times New Roman" w:eastAsia="Times New Roman" w:hint="default"/>
          <w:spacing w:val="-6"/>
          <w:w w:val="100"/>
        </w:rPr>
        <w:t>”</w:t>
      </w:r>
      <w:r>
        <w:rPr>
          <w:spacing w:val="-6"/>
          <w:w w:val="100"/>
        </w:rPr>
        <w:t>）以</w:t>
      </w:r>
      <w:r>
        <w:rPr>
          <w:rFonts w:ascii="Times New Roman" w:hAnsi="Times New Roman" w:cs="Times New Roman" w:eastAsia="Times New Roman" w:hint="default"/>
          <w:spacing w:val="-6"/>
          <w:w w:val="100"/>
        </w:rPr>
        <w:t>106,217,675.22</w:t>
      </w:r>
      <w:r>
        <w:rPr>
          <w:spacing w:val="-6"/>
          <w:w w:val="100"/>
        </w:rPr>
        <w:t>的价格出售给北京高斓大厦有限公司，截至</w:t>
      </w:r>
      <w:r>
        <w:rPr>
          <w:rFonts w:ascii="Times New Roman" w:hAnsi="Times New Roman" w:cs="Times New Roman" w:eastAsia="Times New Roman" w:hint="default"/>
          <w:spacing w:val="-6"/>
          <w:w w:val="100"/>
        </w:rPr>
        <w:t>2018</w:t>
      </w:r>
      <w:r>
        <w:rPr>
          <w:spacing w:val="-6"/>
          <w:w w:val="100"/>
        </w:rPr>
        <w:t>年</w:t>
      </w:r>
      <w:r>
        <w:rPr>
          <w:rFonts w:ascii="Times New Roman" w:hAnsi="Times New Roman" w:cs="Times New Roman" w:eastAsia="Times New Roman" w:hint="default"/>
          <w:spacing w:val="-6"/>
          <w:w w:val="100"/>
        </w:rPr>
        <w:t>10</w:t>
      </w:r>
      <w:r>
        <w:rPr>
          <w:spacing w:val="-6"/>
          <w:w w:val="100"/>
        </w:rPr>
        <w:t>月</w:t>
      </w:r>
      <w:r>
        <w:rPr>
          <w:rFonts w:ascii="Times New Roman" w:hAnsi="Times New Roman" w:cs="Times New Roman" w:eastAsia="Times New Roman" w:hint="default"/>
          <w:spacing w:val="-6"/>
          <w:w w:val="100"/>
        </w:rPr>
        <w:t>31</w:t>
      </w:r>
      <w:r>
        <w:rPr>
          <w:spacing w:val="-6"/>
          <w:w w:val="100"/>
        </w:rPr>
        <w:t>日，</w:t>
      </w:r>
      <w:r>
        <w:rPr>
          <w:spacing w:val="-81"/>
          <w:w w:val="100"/>
        </w:rPr>
        <w:t> </w:t>
      </w:r>
      <w:r>
        <w:rPr/>
        <w:t>该标的资产原值合计为</w:t>
      </w:r>
      <w:r>
        <w:rPr>
          <w:rFonts w:ascii="Times New Roman" w:hAnsi="Times New Roman" w:cs="Times New Roman" w:eastAsia="Times New Roman" w:hint="default"/>
        </w:rPr>
        <w:t>52,820,769.66</w:t>
      </w:r>
      <w:r>
        <w:rPr/>
        <w:t>元，已提折旧合计为</w:t>
      </w:r>
      <w:r>
        <w:rPr>
          <w:rFonts w:ascii="Times New Roman" w:hAnsi="Times New Roman" w:cs="Times New Roman" w:eastAsia="Times New Roman" w:hint="default"/>
        </w:rPr>
        <w:t>11,488,517.21</w:t>
      </w:r>
      <w:r>
        <w:rPr/>
        <w:t>元，资产净值合计为</w:t>
      </w:r>
      <w:r>
        <w:rPr>
          <w:rFonts w:ascii="Times New Roman" w:hAnsi="Times New Roman" w:cs="Times New Roman" w:eastAsia="Times New Roman" w:hint="default"/>
        </w:rPr>
        <w:t>41,332,252.45</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2"/>
        </w:rPr>
        <w:t>元。本次出售资产所得款项将用于偿还银行借款、补充公司经营所需资金，以降低财务费用。本次房产转</w:t>
      </w:r>
      <w:r>
        <w:rPr>
          <w:spacing w:val="-50"/>
        </w:rPr>
        <w:t> </w:t>
      </w:r>
      <w:r>
        <w:rPr>
          <w:spacing w:val="-50"/>
        </w:rPr>
      </w:r>
      <w:r>
        <w:rPr/>
        <w:t>让增加公司当期资产处置收益</w:t>
      </w:r>
      <w:r>
        <w:rPr>
          <w:rFonts w:ascii="Times New Roman" w:hAnsi="Times New Roman" w:cs="Times New Roman" w:eastAsia="Times New Roman" w:hint="default"/>
        </w:rPr>
        <w:t>54,538,337.13</w:t>
      </w:r>
      <w:r>
        <w:rPr/>
        <w:t>元。</w:t>
      </w:r>
    </w:p>
    <w:p>
      <w:pPr>
        <w:spacing w:line="240" w:lineRule="auto" w:before="11"/>
        <w:rPr>
          <w:rFonts w:ascii="宋体" w:hAnsi="宋体" w:cs="宋体" w:eastAsia="宋体" w:hint="default"/>
          <w:sz w:val="23"/>
          <w:szCs w:val="23"/>
        </w:rPr>
      </w:pPr>
    </w:p>
    <w:p>
      <w:pPr>
        <w:pStyle w:val="Heading3"/>
        <w:spacing w:line="240" w:lineRule="auto"/>
        <w:ind w:left="575" w:right="1117"/>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其他对财务报表使用者决策有影响的重要事项</w:t>
      </w:r>
      <w:r>
        <w:rPr>
          <w:b w:val="0"/>
          <w:bCs w:val="0"/>
        </w:rPr>
      </w:r>
    </w:p>
    <w:p>
      <w:pPr>
        <w:pStyle w:val="Heading4"/>
        <w:spacing w:line="256" w:lineRule="auto" w:before="21"/>
        <w:ind w:right="1128" w:firstLine="420"/>
        <w:jc w:val="both"/>
      </w:pPr>
      <w:r>
        <w:rPr>
          <w:rFonts w:ascii="Times New Roman" w:hAnsi="Times New Roman" w:cs="Times New Roman" w:eastAsia="Times New Roman" w:hint="default"/>
          <w:spacing w:val="-3"/>
        </w:rPr>
        <w:t>1.</w:t>
      </w:r>
      <w:r>
        <w:rPr>
          <w:spacing w:val="-3"/>
        </w:rPr>
        <w:t>公司的控股股东鹰高投资，</w:t>
      </w:r>
      <w:r>
        <w:rPr>
          <w:rFonts w:ascii="Times New Roman" w:hAnsi="Times New Roman" w:cs="Times New Roman" w:eastAsia="Times New Roman" w:hint="default"/>
          <w:spacing w:val="-3"/>
        </w:rPr>
        <w:t>2017</w:t>
      </w:r>
      <w:r>
        <w:rPr>
          <w:spacing w:val="-3"/>
        </w:rPr>
        <w:t>年发行了</w:t>
      </w:r>
      <w:r>
        <w:rPr>
          <w:rFonts w:ascii="Times New Roman" w:hAnsi="Times New Roman" w:cs="Times New Roman" w:eastAsia="Times New Roman" w:hint="default"/>
          <w:spacing w:val="-3"/>
        </w:rPr>
        <w:t>“</w:t>
      </w:r>
      <w:r>
        <w:rPr>
          <w:spacing w:val="-3"/>
        </w:rPr>
        <w:t>鹰潭市鹰高投资咨询有限公司</w:t>
      </w:r>
      <w:r>
        <w:rPr>
          <w:rFonts w:ascii="Times New Roman" w:hAnsi="Times New Roman" w:cs="Times New Roman" w:eastAsia="Times New Roman" w:hint="default"/>
          <w:spacing w:val="-3"/>
        </w:rPr>
        <w:t>2017</w:t>
      </w:r>
      <w:r>
        <w:rPr>
          <w:spacing w:val="-3"/>
        </w:rPr>
        <w:t>年非公开发行可交换公</w:t>
      </w:r>
      <w:r>
        <w:rPr>
          <w:w w:val="100"/>
        </w:rPr>
        <w:t> </w:t>
      </w:r>
      <w:r>
        <w:rPr/>
        <w:t>司债券</w:t>
      </w:r>
      <w:r>
        <w:rPr>
          <w:rFonts w:ascii="Times New Roman" w:hAnsi="Times New Roman" w:cs="Times New Roman" w:eastAsia="Times New Roman" w:hint="default"/>
        </w:rPr>
        <w:t>”</w:t>
      </w:r>
      <w:r>
        <w:rPr/>
        <w:t>，根据募集说明书的约定，本次债券换股期限自可交换债券发行结束日满</w:t>
      </w:r>
      <w:r>
        <w:rPr>
          <w:rFonts w:ascii="Times New Roman" w:hAnsi="Times New Roman" w:cs="Times New Roman" w:eastAsia="Times New Roman" w:hint="default"/>
        </w:rPr>
        <w:t>18</w:t>
      </w:r>
      <w:r>
        <w:rPr/>
        <w:t>个月后的第一个交易</w:t>
      </w:r>
      <w:r>
        <w:rPr>
          <w:spacing w:val="-13"/>
        </w:rPr>
        <w:t> </w:t>
      </w:r>
      <w:r>
        <w:rPr>
          <w:spacing w:val="-13"/>
        </w:rPr>
      </w:r>
      <w:r>
        <w:rPr/>
        <w:t>日起至本次债券摘牌日前一交易日止，即自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日止。自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日至</w:t>
      </w:r>
      <w:r>
        <w:rPr>
          <w:spacing w:val="67"/>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日，本次可交换债券已完成换股</w:t>
      </w:r>
      <w:r>
        <w:rPr>
          <w:rFonts w:ascii="Times New Roman" w:hAnsi="Times New Roman" w:cs="Times New Roman" w:eastAsia="Times New Roman" w:hint="default"/>
          <w:spacing w:val="-2"/>
        </w:rPr>
        <w:t>5,468,224</w:t>
      </w:r>
      <w:r>
        <w:rPr>
          <w:spacing w:val="-2"/>
        </w:rPr>
        <w:t>股，占公司总股本比例为</w:t>
      </w:r>
      <w:r>
        <w:rPr>
          <w:rFonts w:ascii="Times New Roman" w:hAnsi="Times New Roman" w:cs="Times New Roman" w:eastAsia="Times New Roman" w:hint="default"/>
          <w:spacing w:val="-2"/>
        </w:rPr>
        <w:t>1.22%</w:t>
      </w:r>
      <w:r>
        <w:rPr>
          <w:spacing w:val="-2"/>
        </w:rPr>
        <w:t>，换股情况如下：</w:t>
      </w:r>
    </w:p>
    <w:tbl>
      <w:tblPr>
        <w:tblW w:w="0" w:type="auto"/>
        <w:jc w:val="left"/>
        <w:tblInd w:w="148" w:type="dxa"/>
        <w:tblLayout w:type="fixed"/>
        <w:tblCellMar>
          <w:top w:w="0" w:type="dxa"/>
          <w:left w:w="0" w:type="dxa"/>
          <w:bottom w:w="0" w:type="dxa"/>
          <w:right w:w="0" w:type="dxa"/>
        </w:tblCellMar>
        <w:tblLook w:val="01E0"/>
      </w:tblPr>
      <w:tblGrid>
        <w:gridCol w:w="1404"/>
        <w:gridCol w:w="1227"/>
        <w:gridCol w:w="1435"/>
        <w:gridCol w:w="1421"/>
        <w:gridCol w:w="1368"/>
        <w:gridCol w:w="1265"/>
        <w:gridCol w:w="1486"/>
      </w:tblGrid>
      <w:tr>
        <w:trPr>
          <w:trHeight w:val="341" w:hRule="exact"/>
        </w:trPr>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2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股份性质</w:t>
            </w:r>
          </w:p>
        </w:tc>
        <w:tc>
          <w:tcPr>
            <w:tcW w:w="2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91" w:right="0"/>
              <w:jc w:val="left"/>
              <w:rPr>
                <w:rFonts w:ascii="宋体" w:hAnsi="宋体" w:cs="宋体" w:eastAsia="宋体" w:hint="default"/>
                <w:sz w:val="18"/>
                <w:szCs w:val="18"/>
              </w:rPr>
            </w:pPr>
            <w:r>
              <w:rPr>
                <w:rFonts w:ascii="宋体" w:hAnsi="宋体" w:cs="宋体" w:eastAsia="宋体" w:hint="default"/>
                <w:sz w:val="18"/>
                <w:szCs w:val="18"/>
              </w:rPr>
              <w:t>换股前持有的股份</w:t>
            </w:r>
          </w:p>
        </w:tc>
        <w:tc>
          <w:tcPr>
            <w:tcW w:w="2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83" w:right="0"/>
              <w:jc w:val="left"/>
              <w:rPr>
                <w:rFonts w:ascii="宋体" w:hAnsi="宋体" w:cs="宋体" w:eastAsia="宋体" w:hint="default"/>
                <w:sz w:val="18"/>
                <w:szCs w:val="18"/>
              </w:rPr>
            </w:pPr>
            <w:r>
              <w:rPr>
                <w:rFonts w:ascii="宋体" w:hAnsi="宋体" w:cs="宋体" w:eastAsia="宋体" w:hint="default"/>
                <w:sz w:val="18"/>
                <w:szCs w:val="18"/>
              </w:rPr>
              <w:t>换股后持有的股份</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34"/>
              <w:ind w:left="458" w:right="0"/>
              <w:jc w:val="left"/>
              <w:rPr>
                <w:rFonts w:ascii="宋体" w:hAnsi="宋体" w:cs="宋体" w:eastAsia="宋体" w:hint="default"/>
                <w:sz w:val="18"/>
                <w:szCs w:val="18"/>
              </w:rPr>
            </w:pPr>
            <w:r>
              <w:rPr>
                <w:rFonts w:ascii="宋体" w:hAnsi="宋体" w:cs="宋体" w:eastAsia="宋体" w:hint="default"/>
                <w:sz w:val="18"/>
                <w:szCs w:val="18"/>
              </w:rPr>
              <w:t>总股本</w:t>
            </w:r>
          </w:p>
          <w:p>
            <w:pPr>
              <w:pStyle w:val="TableParagraph"/>
              <w:spacing w:line="240" w:lineRule="auto" w:before="76"/>
              <w:ind w:left="458"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343" w:hRule="exact"/>
        </w:trPr>
        <w:tc>
          <w:tcPr>
            <w:tcW w:w="1404" w:type="dxa"/>
            <w:vMerge/>
            <w:tcBorders>
              <w:left w:val="single" w:sz="4" w:space="0" w:color="000000"/>
              <w:bottom w:val="single" w:sz="4" w:space="0" w:color="000000"/>
              <w:right w:val="single" w:sz="4" w:space="0" w:color="000000"/>
            </w:tcBorders>
          </w:tcPr>
          <w:p>
            <w:pPr/>
          </w:p>
        </w:tc>
        <w:tc>
          <w:tcPr>
            <w:tcW w:w="1227" w:type="dxa"/>
            <w:vMerge/>
            <w:tcBorders>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
              <w:jc w:val="center"/>
              <w:rPr>
                <w:rFonts w:ascii="宋体" w:hAnsi="宋体" w:cs="宋体" w:eastAsia="宋体" w:hint="default"/>
                <w:sz w:val="18"/>
                <w:szCs w:val="18"/>
              </w:rPr>
            </w:pPr>
            <w:r>
              <w:rPr>
                <w:rFonts w:ascii="宋体" w:hAnsi="宋体" w:cs="宋体" w:eastAsia="宋体" w:hint="default"/>
                <w:sz w:val="18"/>
                <w:szCs w:val="18"/>
              </w:rPr>
              <w:t>股数（股）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5"/>
              <w:jc w:val="center"/>
              <w:rPr>
                <w:rFonts w:ascii="宋体" w:hAnsi="宋体" w:cs="宋体" w:eastAsia="宋体" w:hint="default"/>
                <w:sz w:val="18"/>
                <w:szCs w:val="18"/>
              </w:rPr>
            </w:pPr>
            <w:r>
              <w:rPr>
                <w:rFonts w:ascii="宋体" w:hAnsi="宋体" w:cs="宋体" w:eastAsia="宋体" w:hint="default"/>
                <w:sz w:val="18"/>
                <w:szCs w:val="18"/>
              </w:rPr>
              <w:t>占总股本比</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4"/>
              <w:jc w:val="center"/>
              <w:rPr>
                <w:rFonts w:ascii="宋体" w:hAnsi="宋体" w:cs="宋体" w:eastAsia="宋体" w:hint="default"/>
                <w:sz w:val="18"/>
                <w:szCs w:val="18"/>
              </w:rPr>
            </w:pPr>
            <w:r>
              <w:rPr>
                <w:rFonts w:ascii="宋体" w:hAnsi="宋体" w:cs="宋体" w:eastAsia="宋体" w:hint="default"/>
                <w:sz w:val="18"/>
                <w:szCs w:val="18"/>
              </w:rPr>
              <w:t>股数（股）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2"/>
              <w:jc w:val="center"/>
              <w:rPr>
                <w:rFonts w:ascii="宋体" w:hAnsi="宋体" w:cs="宋体" w:eastAsia="宋体" w:hint="default"/>
                <w:sz w:val="18"/>
                <w:szCs w:val="18"/>
              </w:rPr>
            </w:pPr>
            <w:r>
              <w:rPr>
                <w:rFonts w:ascii="宋体" w:hAnsi="宋体" w:cs="宋体" w:eastAsia="宋体" w:hint="default"/>
                <w:sz w:val="18"/>
                <w:szCs w:val="18"/>
              </w:rPr>
              <w:t>占总股本比</w:t>
            </w:r>
          </w:p>
        </w:tc>
        <w:tc>
          <w:tcPr>
            <w:tcW w:w="1486" w:type="dxa"/>
            <w:vMerge/>
            <w:tcBorders>
              <w:left w:val="single" w:sz="4" w:space="0" w:color="000000"/>
              <w:bottom w:val="single" w:sz="4" w:space="0" w:color="000000"/>
              <w:right w:val="single" w:sz="4" w:space="0" w:color="000000"/>
            </w:tcBorders>
          </w:tcPr>
          <w:p>
            <w:pPr/>
          </w:p>
        </w:tc>
      </w:tr>
      <w:tr>
        <w:trPr>
          <w:trHeight w:val="653" w:hRule="exact"/>
        </w:trPr>
        <w:tc>
          <w:tcPr>
            <w:tcW w:w="14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8" w:right="74" w:hanging="180"/>
              <w:jc w:val="left"/>
              <w:rPr>
                <w:rFonts w:ascii="宋体" w:hAnsi="宋体" w:cs="宋体" w:eastAsia="宋体" w:hint="default"/>
                <w:sz w:val="18"/>
                <w:szCs w:val="18"/>
              </w:rPr>
            </w:pPr>
            <w:r>
              <w:rPr>
                <w:rFonts w:ascii="宋体" w:hAnsi="宋体" w:cs="宋体" w:eastAsia="宋体" w:hint="default"/>
                <w:sz w:val="18"/>
                <w:szCs w:val="18"/>
              </w:rPr>
              <w:t>鹰潭鹰高投资咨 询有限公司</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518" w:right="68" w:hanging="452"/>
              <w:jc w:val="left"/>
              <w:rPr>
                <w:rFonts w:ascii="宋体" w:hAnsi="宋体" w:cs="宋体" w:eastAsia="宋体" w:hint="default"/>
                <w:sz w:val="18"/>
                <w:szCs w:val="18"/>
              </w:rPr>
            </w:pPr>
            <w:r>
              <w:rPr>
                <w:rFonts w:ascii="宋体" w:hAnsi="宋体" w:cs="宋体" w:eastAsia="宋体" w:hint="default"/>
                <w:sz w:val="18"/>
                <w:szCs w:val="18"/>
              </w:rPr>
              <w:t>无限售条件股 份</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138,329,600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132,861,376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29.72%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87" w:right="0"/>
              <w:jc w:val="left"/>
              <w:rPr>
                <w:rFonts w:ascii="Times New Roman" w:hAnsi="Times New Roman" w:cs="Times New Roman" w:eastAsia="Times New Roman" w:hint="default"/>
                <w:sz w:val="18"/>
                <w:szCs w:val="18"/>
              </w:rPr>
            </w:pPr>
            <w:r>
              <w:rPr>
                <w:rFonts w:ascii="Times New Roman"/>
                <w:sz w:val="18"/>
              </w:rPr>
              <w:t>426,688,000</w:t>
            </w:r>
          </w:p>
        </w:tc>
      </w:tr>
      <w:tr>
        <w:trPr>
          <w:trHeight w:val="655" w:hRule="exact"/>
        </w:trPr>
        <w:tc>
          <w:tcPr>
            <w:tcW w:w="1404" w:type="dxa"/>
            <w:vMerge/>
            <w:tcBorders>
              <w:left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18" w:right="68" w:hanging="452"/>
              <w:jc w:val="left"/>
              <w:rPr>
                <w:rFonts w:ascii="宋体" w:hAnsi="宋体" w:cs="宋体" w:eastAsia="宋体" w:hint="default"/>
                <w:sz w:val="18"/>
                <w:szCs w:val="18"/>
              </w:rPr>
            </w:pPr>
            <w:r>
              <w:rPr>
                <w:rFonts w:ascii="宋体" w:hAnsi="宋体" w:cs="宋体" w:eastAsia="宋体" w:hint="default"/>
                <w:sz w:val="18"/>
                <w:szCs w:val="18"/>
              </w:rPr>
              <w:t>有限售条件股 份</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2,514,140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2,514,140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20,368,657</w:t>
            </w:r>
          </w:p>
        </w:tc>
      </w:tr>
      <w:tr>
        <w:trPr>
          <w:trHeight w:val="343" w:hRule="exact"/>
        </w:trPr>
        <w:tc>
          <w:tcPr>
            <w:tcW w:w="1404" w:type="dxa"/>
            <w:vMerge/>
            <w:tcBorders>
              <w:left w:val="single" w:sz="4" w:space="0" w:color="000000"/>
              <w:bottom w:val="single" w:sz="4" w:space="0" w:color="000000"/>
              <w:right w:val="single" w:sz="4" w:space="0" w:color="000000"/>
            </w:tcBorders>
          </w:tcPr>
          <w:p>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140,843,740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135,375,516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30.28%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87" w:right="0"/>
              <w:jc w:val="left"/>
              <w:rPr>
                <w:rFonts w:ascii="Times New Roman" w:hAnsi="Times New Roman" w:cs="Times New Roman" w:eastAsia="Times New Roman" w:hint="default"/>
                <w:sz w:val="18"/>
                <w:szCs w:val="18"/>
              </w:rPr>
            </w:pPr>
            <w:r>
              <w:rPr>
                <w:rFonts w:ascii="Times New Roman"/>
                <w:sz w:val="18"/>
              </w:rPr>
              <w:t>447,056,657</w:t>
            </w:r>
          </w:p>
        </w:tc>
      </w:tr>
    </w:tbl>
    <w:p>
      <w:pPr>
        <w:pStyle w:val="Heading4"/>
        <w:spacing w:line="256" w:lineRule="auto"/>
        <w:ind w:right="991"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鹰高投资于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日将其持有的本公司股票</w:t>
      </w:r>
      <w:r>
        <w:rPr>
          <w:rFonts w:ascii="Times New Roman" w:hAnsi="Times New Roman" w:cs="Times New Roman" w:eastAsia="Times New Roman" w:hint="default"/>
        </w:rPr>
        <w:t>2,532</w:t>
      </w:r>
      <w:r>
        <w:rPr/>
        <w:t>万股质押给平安证券股份有限公司取得借款，</w:t>
      </w:r>
      <w:r>
        <w:rPr>
          <w:w w:val="100"/>
        </w:rPr>
        <w:t> </w:t>
      </w:r>
      <w:r>
        <w:rPr/>
        <w:t>用于补充流动资金。</w:t>
      </w:r>
    </w:p>
    <w:p>
      <w:pPr>
        <w:pStyle w:val="Heading4"/>
        <w:spacing w:line="256" w:lineRule="auto" w:before="23"/>
        <w:ind w:right="1128" w:firstLine="420"/>
        <w:jc w:val="both"/>
      </w:pPr>
      <w:r>
        <w:rPr>
          <w:spacing w:val="-4"/>
        </w:rPr>
        <w:t>鹰高投资分别于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3</w:t>
      </w:r>
      <w:r>
        <w:rPr>
          <w:spacing w:val="-4"/>
        </w:rPr>
        <w:t>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20</w:t>
      </w:r>
      <w:r>
        <w:rPr>
          <w:spacing w:val="-4"/>
        </w:rPr>
        <w:t>日、</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6</w:t>
      </w:r>
      <w:r>
        <w:rPr>
          <w:spacing w:val="-4"/>
        </w:rPr>
        <w:t>日将其持有的本公司股票</w:t>
      </w:r>
      <w:r>
        <w:rPr>
          <w:rFonts w:ascii="Times New Roman" w:hAnsi="Times New Roman" w:cs="Times New Roman" w:eastAsia="Times New Roman" w:hint="default"/>
          <w:spacing w:val="-4"/>
        </w:rPr>
        <w:t>950</w:t>
      </w:r>
      <w:r>
        <w:rPr>
          <w:spacing w:val="-4"/>
        </w:rPr>
        <w:t>万股、</w:t>
      </w:r>
      <w:r>
        <w:rPr>
          <w:rFonts w:ascii="Times New Roman" w:hAnsi="Times New Roman" w:cs="Times New Roman" w:eastAsia="Times New Roman" w:hint="default"/>
          <w:spacing w:val="-4"/>
        </w:rPr>
        <w:t>950</w:t>
      </w:r>
      <w:r>
        <w:rPr>
          <w:rFonts w:ascii="Times New Roman" w:hAnsi="Times New Roman" w:cs="Times New Roman" w:eastAsia="Times New Roman" w:hint="default"/>
          <w:w w:val="100"/>
        </w:rPr>
        <w:t> </w:t>
      </w:r>
      <w:r>
        <w:rPr/>
        <w:t>万股、</w:t>
      </w:r>
      <w:r>
        <w:rPr>
          <w:rFonts w:ascii="Times New Roman" w:hAnsi="Times New Roman" w:cs="Times New Roman" w:eastAsia="Times New Roman" w:hint="default"/>
        </w:rPr>
        <w:t>900</w:t>
      </w:r>
      <w:r>
        <w:rPr/>
        <w:t>万股质押给债券受托管理人广州证券，用于对</w:t>
      </w:r>
      <w:r>
        <w:rPr>
          <w:rFonts w:ascii="Times New Roman" w:hAnsi="Times New Roman" w:cs="Times New Roman" w:eastAsia="Times New Roman" w:hint="default"/>
        </w:rPr>
        <w:t>2017</w:t>
      </w:r>
      <w:r>
        <w:rPr/>
        <w:t>年非公开发行可交换公司债券之换股事宜的</w:t>
      </w:r>
      <w:r>
        <w:rPr>
          <w:spacing w:val="-27"/>
        </w:rPr>
        <w:t> </w:t>
      </w:r>
      <w:r>
        <w:rPr>
          <w:spacing w:val="-27"/>
        </w:rPr>
      </w:r>
      <w:r>
        <w:rPr/>
        <w:t>补充质押。</w:t>
      </w:r>
    </w:p>
    <w:p>
      <w:pPr>
        <w:pStyle w:val="Heading4"/>
        <w:spacing w:line="256" w:lineRule="auto" w:before="22"/>
        <w:ind w:right="1128" w:firstLine="420"/>
        <w:jc w:val="both"/>
      </w:pPr>
      <w:r>
        <w:rPr>
          <w:spacing w:val="-2"/>
        </w:rPr>
        <w:t>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日，鹰高公司所持股份</w:t>
      </w:r>
      <w:r>
        <w:rPr>
          <w:rFonts w:ascii="Times New Roman" w:hAnsi="Times New Roman" w:cs="Times New Roman" w:eastAsia="Times New Roman" w:hint="default"/>
          <w:spacing w:val="-2"/>
        </w:rPr>
        <w:t>135,375,516</w:t>
      </w:r>
      <w:r>
        <w:rPr>
          <w:spacing w:val="-2"/>
        </w:rPr>
        <w:t>股，其中用于发行可交换公司债券而质押的股份</w:t>
      </w:r>
      <w:r>
        <w:rPr>
          <w:w w:val="100"/>
        </w:rPr>
        <w:t> </w:t>
      </w:r>
      <w:r>
        <w:rPr>
          <w:spacing w:val="2"/>
        </w:rPr>
        <w:t>为</w:t>
      </w:r>
      <w:r>
        <w:rPr>
          <w:rFonts w:ascii="Times New Roman" w:hAnsi="Times New Roman" w:cs="Times New Roman" w:eastAsia="Times New Roman" w:hint="default"/>
          <w:spacing w:val="2"/>
        </w:rPr>
        <w:t>45,531,776</w:t>
      </w:r>
      <w:r>
        <w:rPr>
          <w:spacing w:val="2"/>
        </w:rPr>
        <w:t>股，占其所持股份总数比例为</w:t>
      </w:r>
      <w:r>
        <w:rPr>
          <w:rFonts w:ascii="Times New Roman" w:hAnsi="Times New Roman" w:cs="Times New Roman" w:eastAsia="Times New Roman" w:hint="default"/>
          <w:spacing w:val="2"/>
        </w:rPr>
        <w:t>33.63%</w:t>
      </w:r>
      <w:r>
        <w:rPr>
          <w:spacing w:val="2"/>
        </w:rPr>
        <w:t>；用于向银行申请并购贷款提供担保而质押的股份为</w:t>
      </w:r>
      <w:r>
        <w:rPr>
          <w:spacing w:val="32"/>
        </w:rPr>
        <w:t> </w:t>
      </w:r>
      <w:r>
        <w:rPr>
          <w:spacing w:val="32"/>
        </w:rPr>
      </w:r>
      <w:r>
        <w:rPr>
          <w:rFonts w:ascii="Times New Roman" w:hAnsi="Times New Roman" w:cs="Times New Roman" w:eastAsia="Times New Roman" w:hint="default"/>
          <w:spacing w:val="-2"/>
        </w:rPr>
        <w:t>16,000,000</w:t>
      </w:r>
      <w:r>
        <w:rPr>
          <w:spacing w:val="-2"/>
        </w:rPr>
        <w:t>股、用于向银行申请补充流动资金借款而质押的股份为</w:t>
      </w:r>
      <w:r>
        <w:rPr>
          <w:rFonts w:ascii="Times New Roman" w:hAnsi="Times New Roman" w:cs="Times New Roman" w:eastAsia="Times New Roman" w:hint="default"/>
          <w:spacing w:val="-2"/>
        </w:rPr>
        <w:t>25,320,000</w:t>
      </w:r>
      <w:r>
        <w:rPr>
          <w:spacing w:val="-2"/>
        </w:rPr>
        <w:t>股，分别占其所持股份总数比</w:t>
      </w:r>
      <w:r>
        <w:rPr>
          <w:spacing w:val="-25"/>
        </w:rPr>
        <w:t> </w:t>
      </w:r>
      <w:r>
        <w:rPr>
          <w:spacing w:val="-25"/>
        </w:rPr>
      </w:r>
      <w:r>
        <w:rPr>
          <w:spacing w:val="-1"/>
        </w:rPr>
        <w:t>例为</w:t>
      </w:r>
      <w:r>
        <w:rPr>
          <w:rFonts w:ascii="Times New Roman" w:hAnsi="Times New Roman" w:cs="Times New Roman" w:eastAsia="Times New Roman" w:hint="default"/>
          <w:spacing w:val="-1"/>
        </w:rPr>
        <w:t>11.82%</w:t>
      </w:r>
      <w:r>
        <w:rPr>
          <w:spacing w:val="-1"/>
        </w:rPr>
        <w:t>、</w:t>
      </w:r>
      <w:r>
        <w:rPr>
          <w:rFonts w:ascii="Times New Roman" w:hAnsi="Times New Roman" w:cs="Times New Roman" w:eastAsia="Times New Roman" w:hint="default"/>
          <w:spacing w:val="-1"/>
        </w:rPr>
        <w:t>18.70%</w:t>
      </w:r>
      <w:r>
        <w:rPr>
          <w:spacing w:val="-1"/>
        </w:rPr>
        <w:t>，共计质押股份</w:t>
      </w:r>
      <w:r>
        <w:rPr>
          <w:rFonts w:ascii="Times New Roman" w:hAnsi="Times New Roman" w:cs="Times New Roman" w:eastAsia="Times New Roman" w:hint="default"/>
          <w:spacing w:val="-1"/>
        </w:rPr>
        <w:t>86,851,776</w:t>
      </w:r>
      <w:r>
        <w:rPr>
          <w:spacing w:val="-1"/>
        </w:rPr>
        <w:t>股，占其所持股份总数比例为</w:t>
      </w:r>
      <w:r>
        <w:rPr>
          <w:rFonts w:ascii="Times New Roman" w:hAnsi="Times New Roman" w:cs="Times New Roman" w:eastAsia="Times New Roman" w:hint="default"/>
          <w:spacing w:val="-1"/>
        </w:rPr>
        <w:t>64.15%</w:t>
      </w:r>
      <w:r>
        <w:rPr>
          <w:spacing w:val="-1"/>
        </w:rPr>
        <w:t>；未质押股份总数为</w:t>
      </w:r>
      <w:r>
        <w:rPr>
          <w:spacing w:val="-18"/>
        </w:rPr>
        <w:t> </w:t>
      </w:r>
      <w:r>
        <w:rPr>
          <w:spacing w:val="-18"/>
        </w:rPr>
      </w:r>
      <w:r>
        <w:rPr>
          <w:rFonts w:ascii="Times New Roman" w:hAnsi="Times New Roman" w:cs="Times New Roman" w:eastAsia="Times New Roman" w:hint="default"/>
        </w:rPr>
        <w:t>48,523,740</w:t>
      </w:r>
      <w:r>
        <w:rPr/>
        <w:t>股，占其所持股份总数比例为</w:t>
      </w:r>
      <w:r>
        <w:rPr>
          <w:rFonts w:ascii="Times New Roman" w:hAnsi="Times New Roman" w:cs="Times New Roman" w:eastAsia="Times New Roman" w:hint="default"/>
        </w:rPr>
        <w:t>35.85%</w:t>
      </w:r>
      <w:r>
        <w:rPr/>
        <w:t>。</w:t>
      </w:r>
    </w:p>
    <w:p>
      <w:pPr>
        <w:pStyle w:val="Heading4"/>
        <w:spacing w:line="256" w:lineRule="auto"/>
        <w:ind w:right="1130" w:firstLine="420"/>
        <w:jc w:val="both"/>
      </w:pPr>
      <w:r>
        <w:rPr>
          <w:rFonts w:ascii="Times New Roman" w:hAnsi="Times New Roman" w:cs="Times New Roman" w:eastAsia="Times New Roman" w:hint="default"/>
          <w:spacing w:val="-1"/>
        </w:rPr>
        <w:t>3.2018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12</w:t>
      </w:r>
      <w:r>
        <w:rPr>
          <w:spacing w:val="-1"/>
        </w:rPr>
        <w:t>日，公司召开第三届董事会第十一次会议，审议通过了《关于签署</w:t>
      </w:r>
      <w:r>
        <w:rPr>
          <w:rFonts w:ascii="Times New Roman" w:hAnsi="Times New Roman" w:cs="Times New Roman" w:eastAsia="Times New Roman" w:hint="default"/>
          <w:spacing w:val="-1"/>
        </w:rPr>
        <w:t>&lt;</w:t>
      </w:r>
      <w:r>
        <w:rPr>
          <w:spacing w:val="-1"/>
        </w:rPr>
        <w:t>关于深圳市快读科</w:t>
      </w:r>
      <w:r>
        <w:rPr>
          <w:w w:val="100"/>
        </w:rPr>
        <w:t> </w:t>
      </w:r>
      <w:r>
        <w:rPr/>
        <w:t>技有限公司的股权收购协议之补充协议</w:t>
      </w:r>
      <w:r>
        <w:rPr>
          <w:rFonts w:ascii="Times New Roman" w:hAnsi="Times New Roman" w:cs="Times New Roman" w:eastAsia="Times New Roman" w:hint="default"/>
        </w:rPr>
        <w:t>&gt;</w:t>
      </w:r>
      <w:r>
        <w:rPr/>
        <w:t>的议案》，公司与恒力智信、黄河于同日签订了《关于深圳市快</w:t>
      </w:r>
      <w:r>
        <w:rPr>
          <w:spacing w:val="-36"/>
        </w:rPr>
        <w:t> </w:t>
      </w:r>
      <w:r>
        <w:rPr>
          <w:spacing w:val="-36"/>
        </w:rPr>
      </w:r>
      <w:r>
        <w:rPr/>
        <w:t>读科技有限公司的股权收购协议之补充协议》（以下简称</w:t>
      </w:r>
      <w:r>
        <w:rPr>
          <w:rFonts w:ascii="Times New Roman" w:hAnsi="Times New Roman" w:cs="Times New Roman" w:eastAsia="Times New Roman" w:hint="default"/>
        </w:rPr>
        <w:t>“</w:t>
      </w:r>
      <w:r>
        <w:rPr/>
        <w:t>《股权收购协议之补充协议》</w:t>
      </w:r>
      <w:r>
        <w:rPr>
          <w:rFonts w:ascii="Times New Roman" w:hAnsi="Times New Roman" w:cs="Times New Roman" w:eastAsia="Times New Roman" w:hint="default"/>
        </w:rPr>
        <w:t>”</w:t>
      </w:r>
      <w:r>
        <w:rPr/>
        <w:t>）。</w:t>
      </w:r>
    </w:p>
    <w:p>
      <w:pPr>
        <w:pStyle w:val="Heading4"/>
        <w:spacing w:line="256" w:lineRule="auto"/>
        <w:ind w:right="1126" w:firstLine="420"/>
        <w:jc w:val="both"/>
      </w:pPr>
      <w:r>
        <w:rPr>
          <w:spacing w:val="-2"/>
        </w:rPr>
        <w:t>《股权收购协议之补充协议》在原协议约定的业绩承诺不变基础上，增加关于快读科技</w:t>
      </w:r>
      <w:r>
        <w:rPr>
          <w:rFonts w:ascii="Times New Roman" w:hAnsi="Times New Roman" w:cs="Times New Roman" w:eastAsia="Times New Roman" w:hint="default"/>
          <w:spacing w:val="-2"/>
        </w:rPr>
        <w:t>2020</w:t>
      </w:r>
      <w:r>
        <w:rPr>
          <w:spacing w:val="-2"/>
        </w:rPr>
        <w:t>年度业绩</w:t>
      </w:r>
      <w:r>
        <w:rPr>
          <w:w w:val="100"/>
        </w:rPr>
        <w:t> </w:t>
      </w:r>
      <w:r>
        <w:rPr/>
        <w:t>承诺，相应对原协议中剩余转让款及承诺业绩未实现的转让款支付安排进行重新约定。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0" w:right="2149"/>
        <w:jc w:val="right"/>
      </w:pPr>
      <w:r>
        <w:rPr/>
        <w:pict>
          <v:shape style="position:absolute;margin-left:56.400002pt;margin-top:-113.56826pt;width:427.8pt;height:160.950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5"/>
                    <w:gridCol w:w="3685"/>
                    <w:gridCol w:w="3891"/>
                  </w:tblGrid>
                  <w:tr>
                    <w:trPr>
                      <w:trHeight w:val="341"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核心条款</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《股权收购协议》</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《股权收购协议之补充协议》</w:t>
                        </w:r>
                      </w:p>
                    </w:tc>
                  </w:tr>
                  <w:tr>
                    <w:trPr>
                      <w:trHeight w:val="1903"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业绩承诺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7"/>
                          <w:ind w:left="4" w:right="1"/>
                          <w:jc w:val="both"/>
                          <w:rPr>
                            <w:rFonts w:ascii="宋体" w:hAnsi="宋体" w:cs="宋体" w:eastAsia="宋体" w:hint="default"/>
                            <w:sz w:val="18"/>
                            <w:szCs w:val="18"/>
                          </w:rPr>
                        </w:pPr>
                        <w:r>
                          <w:rPr>
                            <w:rFonts w:ascii="宋体" w:hAnsi="宋体" w:cs="宋体" w:eastAsia="宋体" w:hint="default"/>
                            <w:spacing w:val="2"/>
                            <w:sz w:val="18"/>
                            <w:szCs w:val="18"/>
                          </w:rPr>
                          <w:t>目标公司原股东恒力智信、黄河向收购方共同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1"/>
                            <w:sz w:val="18"/>
                            <w:szCs w:val="18"/>
                          </w:rPr>
                          <w:t>承诺，</w:t>
                        </w:r>
                        <w:r>
                          <w:rPr>
                            <w:rFonts w:ascii="Times New Roman" w:hAnsi="Times New Roman" w:cs="Times New Roman" w:eastAsia="Times New Roman" w:hint="default"/>
                            <w:spacing w:val="11"/>
                            <w:sz w:val="18"/>
                            <w:szCs w:val="18"/>
                          </w:rPr>
                          <w:t>2017</w:t>
                        </w:r>
                        <w:r>
                          <w:rPr>
                            <w:rFonts w:ascii="宋体" w:hAnsi="宋体" w:cs="宋体" w:eastAsia="宋体" w:hint="default"/>
                            <w:spacing w:val="11"/>
                            <w:sz w:val="18"/>
                            <w:szCs w:val="18"/>
                          </w:rPr>
                          <w:t>年度目标公司税后净利润不低于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3,000.00</w:t>
                        </w:r>
                        <w:r>
                          <w:rPr>
                            <w:rFonts w:ascii="宋体" w:hAnsi="宋体" w:cs="宋体" w:eastAsia="宋体" w:hint="default"/>
                            <w:sz w:val="18"/>
                            <w:szCs w:val="18"/>
                          </w:rPr>
                          <w:t>万元，</w:t>
                        </w:r>
                        <w:r>
                          <w:rPr>
                            <w:rFonts w:ascii="宋体" w:hAnsi="宋体" w:cs="宋体" w:eastAsia="宋体" w:hint="default"/>
                            <w:spacing w:val="20"/>
                            <w:sz w:val="18"/>
                            <w:szCs w:val="18"/>
                          </w:rPr>
                          <w:t> </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年度将实现税后净利润不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低于</w:t>
                        </w:r>
                        <w:r>
                          <w:rPr>
                            <w:rFonts w:ascii="Times New Roman" w:hAnsi="Times New Roman" w:cs="Times New Roman" w:eastAsia="Times New Roman" w:hint="default"/>
                            <w:sz w:val="18"/>
                            <w:szCs w:val="18"/>
                          </w:rPr>
                          <w:t>3,900.00</w:t>
                        </w:r>
                        <w:r>
                          <w:rPr>
                            <w:rFonts w:ascii="宋体" w:hAnsi="宋体" w:cs="宋体" w:eastAsia="宋体" w:hint="default"/>
                            <w:sz w:val="18"/>
                            <w:szCs w:val="18"/>
                          </w:rPr>
                          <w:t>万元，</w:t>
                        </w:r>
                        <w:r>
                          <w:rPr>
                            <w:rFonts w:ascii="宋体" w:hAnsi="宋体" w:cs="宋体" w:eastAsia="宋体" w:hint="default"/>
                            <w:spacing w:val="24"/>
                            <w:sz w:val="18"/>
                            <w:szCs w:val="18"/>
                          </w:rPr>
                          <w:t> </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年度将实现税后净利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润不低于</w:t>
                        </w:r>
                        <w:r>
                          <w:rPr>
                            <w:rFonts w:ascii="Times New Roman" w:hAnsi="Times New Roman" w:cs="Times New Roman" w:eastAsia="Times New Roman" w:hint="default"/>
                            <w:sz w:val="18"/>
                            <w:szCs w:val="18"/>
                          </w:rPr>
                          <w:t>5,070.00</w:t>
                        </w:r>
                        <w:r>
                          <w:rPr>
                            <w:rFonts w:ascii="宋体" w:hAnsi="宋体" w:cs="宋体" w:eastAsia="宋体" w:hint="default"/>
                            <w:sz w:val="18"/>
                            <w:szCs w:val="18"/>
                          </w:rPr>
                          <w:t>万元。</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7"/>
                          <w:ind w:left="7" w:right="-2"/>
                          <w:jc w:val="both"/>
                          <w:rPr>
                            <w:rFonts w:ascii="宋体" w:hAnsi="宋体" w:cs="宋体" w:eastAsia="宋体" w:hint="default"/>
                            <w:sz w:val="18"/>
                            <w:szCs w:val="18"/>
                          </w:rPr>
                        </w:pPr>
                        <w:r>
                          <w:rPr>
                            <w:rFonts w:ascii="宋体" w:hAnsi="宋体" w:cs="宋体" w:eastAsia="宋体" w:hint="default"/>
                            <w:spacing w:val="3"/>
                            <w:sz w:val="18"/>
                            <w:szCs w:val="18"/>
                          </w:rPr>
                          <w:t>目标公司原股东恒力智信、黄河向收购方共同承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诺，</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年度目标公司税后净利润不低于</w:t>
                        </w:r>
                        <w:r>
                          <w:rPr>
                            <w:rFonts w:ascii="Times New Roman" w:hAnsi="Times New Roman" w:cs="Times New Roman" w:eastAsia="Times New Roman" w:hint="default"/>
                            <w:sz w:val="18"/>
                            <w:szCs w:val="18"/>
                          </w:rPr>
                          <w:t>3,000.00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年度将实现税后净利润不低于</w:t>
                        </w:r>
                        <w:r>
                          <w:rPr>
                            <w:rFonts w:ascii="Times New Roman" w:hAnsi="Times New Roman" w:cs="Times New Roman" w:eastAsia="Times New Roman" w:hint="default"/>
                            <w:sz w:val="18"/>
                            <w:szCs w:val="18"/>
                          </w:rPr>
                          <w:t>3,900.00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年度将实现税后净利润不低于</w:t>
                        </w:r>
                        <w:r>
                          <w:rPr>
                            <w:rFonts w:ascii="Times New Roman" w:hAnsi="Times New Roman" w:cs="Times New Roman" w:eastAsia="Times New Roman" w:hint="default"/>
                            <w:sz w:val="18"/>
                            <w:szCs w:val="18"/>
                          </w:rPr>
                          <w:t>5,070.00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年度将实现税后净利润不低于</w:t>
                        </w:r>
                        <w:r>
                          <w:rPr>
                            <w:rFonts w:ascii="Times New Roman" w:hAnsi="Times New Roman" w:cs="Times New Roman" w:eastAsia="Times New Roman" w:hint="default"/>
                            <w:sz w:val="18"/>
                            <w:szCs w:val="18"/>
                          </w:rPr>
                          <w:t>5,470.00 </w:t>
                        </w:r>
                        <w:r>
                          <w:rPr>
                            <w:rFonts w:ascii="宋体" w:hAnsi="宋体" w:cs="宋体" w:eastAsia="宋体" w:hint="default"/>
                            <w:sz w:val="18"/>
                            <w:szCs w:val="18"/>
                          </w:rPr>
                          <w:t>万元。</w:t>
                        </w:r>
                      </w:p>
                    </w:tc>
                  </w:tr>
                  <w:tr>
                    <w:trPr>
                      <w:trHeight w:val="965"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付款安排</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8"/>
                          <w:jc w:val="left"/>
                          <w:rPr>
                            <w:rFonts w:ascii="宋体" w:hAnsi="宋体" w:cs="宋体" w:eastAsia="宋体" w:hint="default"/>
                            <w:sz w:val="18"/>
                            <w:szCs w:val="18"/>
                          </w:rPr>
                        </w:pPr>
                        <w:r>
                          <w:rPr>
                            <w:rFonts w:ascii="宋体" w:hAnsi="宋体" w:cs="宋体" w:eastAsia="宋体" w:hint="default"/>
                            <w:spacing w:val="2"/>
                            <w:sz w:val="18"/>
                            <w:szCs w:val="18"/>
                          </w:rPr>
                          <w:t>首期转让款以外的剩余股权转让款将分三笔支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付，具体如下：</w:t>
                        </w:r>
                      </w:p>
                      <w:p>
                        <w:pPr>
                          <w:pStyle w:val="TableParagraph"/>
                          <w:spacing w:line="281" w:lineRule="exact"/>
                          <w:ind w:left="4"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21"/>
                            <w:szCs w:val="21"/>
                          </w:rPr>
                          <w:t>．</w:t>
                        </w:r>
                        <w:r>
                          <w:rPr>
                            <w:rFonts w:ascii="宋体" w:hAnsi="宋体" w:cs="宋体" w:eastAsia="宋体" w:hint="default"/>
                            <w:spacing w:val="-81"/>
                            <w:sz w:val="21"/>
                            <w:szCs w:val="21"/>
                          </w:rPr>
                          <w:t> </w:t>
                        </w:r>
                        <w:r>
                          <w:rPr>
                            <w:rFonts w:ascii="宋体" w:hAnsi="宋体" w:cs="宋体" w:eastAsia="宋体" w:hint="default"/>
                            <w:spacing w:val="17"/>
                            <w:sz w:val="18"/>
                            <w:szCs w:val="18"/>
                          </w:rPr>
                          <w:t>第二期转让款为全部转让款的</w:t>
                        </w:r>
                        <w:r>
                          <w:rPr>
                            <w:rFonts w:ascii="宋体" w:hAnsi="宋体" w:cs="宋体" w:eastAsia="宋体" w:hint="default"/>
                            <w:spacing w:val="-65"/>
                            <w:sz w:val="18"/>
                            <w:szCs w:val="18"/>
                          </w:rPr>
                          <w:t> </w:t>
                        </w:r>
                        <w:r>
                          <w:rPr>
                            <w:rFonts w:ascii="Times New Roman" w:hAnsi="Times New Roman" w:cs="Times New Roman" w:eastAsia="Times New Roman" w:hint="default"/>
                            <w:spacing w:val="7"/>
                            <w:sz w:val="18"/>
                            <w:szCs w:val="18"/>
                          </w:rPr>
                          <w:t>16%</w:t>
                        </w:r>
                        <w:r>
                          <w:rPr>
                            <w:rFonts w:ascii="宋体" w:hAnsi="宋体" w:cs="宋体" w:eastAsia="宋体" w:hint="default"/>
                            <w:spacing w:val="7"/>
                            <w:sz w:val="18"/>
                            <w:szCs w:val="18"/>
                          </w:rPr>
                          <w:t>，即</w:t>
                        </w:r>
                        <w:r>
                          <w:rPr>
                            <w:rFonts w:ascii="宋体" w:hAnsi="宋体" w:cs="宋体" w:eastAsia="宋体" w:hint="default"/>
                            <w:spacing w:val="-71"/>
                            <w:sz w:val="18"/>
                            <w:szCs w:val="18"/>
                          </w:rPr>
                          <w:t> </w:t>
                        </w:r>
                        <w:r>
                          <w:rPr>
                            <w:rFonts w:ascii="宋体" w:hAnsi="宋体" w:cs="宋体" w:eastAsia="宋体" w:hint="default"/>
                            <w:sz w:val="18"/>
                            <w:szCs w:val="18"/>
                          </w:rPr>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92"/>
                          <w:jc w:val="left"/>
                          <w:rPr>
                            <w:rFonts w:ascii="宋体" w:hAnsi="宋体" w:cs="宋体" w:eastAsia="宋体" w:hint="default"/>
                            <w:sz w:val="18"/>
                            <w:szCs w:val="18"/>
                          </w:rPr>
                        </w:pPr>
                        <w:r>
                          <w:rPr>
                            <w:rFonts w:ascii="宋体" w:hAnsi="宋体" w:cs="宋体" w:eastAsia="宋体" w:hint="default"/>
                            <w:sz w:val="18"/>
                            <w:szCs w:val="18"/>
                          </w:rPr>
                          <w:t>首期转让款以外的剩余股权转让款将分四笔支付 具体如下：</w:t>
                        </w:r>
                      </w:p>
                      <w:p>
                        <w:pPr>
                          <w:pStyle w:val="TableParagraph"/>
                          <w:spacing w:line="240" w:lineRule="auto" w:before="17"/>
                          <w:ind w:left="7"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第</w:t>
                        </w:r>
                        <w:r>
                          <w:rPr>
                            <w:rFonts w:ascii="宋体" w:hAnsi="宋体" w:cs="宋体" w:eastAsia="宋体" w:hint="default"/>
                            <w:spacing w:val="-68"/>
                            <w:sz w:val="18"/>
                            <w:szCs w:val="18"/>
                          </w:rPr>
                          <w:t> </w:t>
                        </w:r>
                        <w:r>
                          <w:rPr>
                            <w:rFonts w:ascii="宋体" w:hAnsi="宋体" w:cs="宋体" w:eastAsia="宋体" w:hint="default"/>
                            <w:sz w:val="18"/>
                            <w:szCs w:val="18"/>
                          </w:rPr>
                          <w:t>二</w:t>
                        </w:r>
                        <w:r>
                          <w:rPr>
                            <w:rFonts w:ascii="宋体" w:hAnsi="宋体" w:cs="宋体" w:eastAsia="宋体" w:hint="default"/>
                            <w:spacing w:val="-65"/>
                            <w:sz w:val="18"/>
                            <w:szCs w:val="18"/>
                          </w:rPr>
                          <w:t> </w:t>
                        </w:r>
                        <w:r>
                          <w:rPr>
                            <w:rFonts w:ascii="宋体" w:hAnsi="宋体" w:cs="宋体" w:eastAsia="宋体" w:hint="default"/>
                            <w:sz w:val="18"/>
                            <w:szCs w:val="18"/>
                          </w:rPr>
                          <w:t>期</w:t>
                        </w:r>
                        <w:r>
                          <w:rPr>
                            <w:rFonts w:ascii="宋体" w:hAnsi="宋体" w:cs="宋体" w:eastAsia="宋体" w:hint="default"/>
                            <w:spacing w:val="-65"/>
                            <w:sz w:val="18"/>
                            <w:szCs w:val="18"/>
                          </w:rPr>
                          <w:t> </w:t>
                        </w:r>
                        <w:r>
                          <w:rPr>
                            <w:rFonts w:ascii="宋体" w:hAnsi="宋体" w:cs="宋体" w:eastAsia="宋体" w:hint="default"/>
                            <w:sz w:val="18"/>
                            <w:szCs w:val="18"/>
                          </w:rPr>
                          <w:t>转</w:t>
                        </w:r>
                        <w:r>
                          <w:rPr>
                            <w:rFonts w:ascii="宋体" w:hAnsi="宋体" w:cs="宋体" w:eastAsia="宋体" w:hint="default"/>
                            <w:spacing w:val="-68"/>
                            <w:sz w:val="18"/>
                            <w:szCs w:val="18"/>
                          </w:rPr>
                          <w:t> </w:t>
                        </w:r>
                        <w:r>
                          <w:rPr>
                            <w:rFonts w:ascii="宋体" w:hAnsi="宋体" w:cs="宋体" w:eastAsia="宋体" w:hint="default"/>
                            <w:sz w:val="18"/>
                            <w:szCs w:val="18"/>
                          </w:rPr>
                          <w:t>让</w:t>
                        </w:r>
                        <w:r>
                          <w:rPr>
                            <w:rFonts w:ascii="宋体" w:hAnsi="宋体" w:cs="宋体" w:eastAsia="宋体" w:hint="default"/>
                            <w:spacing w:val="-65"/>
                            <w:sz w:val="18"/>
                            <w:szCs w:val="18"/>
                          </w:rPr>
                          <w:t> </w:t>
                        </w:r>
                        <w:r>
                          <w:rPr>
                            <w:rFonts w:ascii="宋体" w:hAnsi="宋体" w:cs="宋体" w:eastAsia="宋体" w:hint="default"/>
                            <w:sz w:val="18"/>
                            <w:szCs w:val="18"/>
                          </w:rPr>
                          <w:t>款</w:t>
                        </w:r>
                        <w:r>
                          <w:rPr>
                            <w:rFonts w:ascii="宋体" w:hAnsi="宋体" w:cs="宋体" w:eastAsia="宋体" w:hint="default"/>
                            <w:spacing w:val="-65"/>
                            <w:sz w:val="18"/>
                            <w:szCs w:val="18"/>
                          </w:rPr>
                          <w:t> </w:t>
                        </w:r>
                        <w:r>
                          <w:rPr>
                            <w:rFonts w:ascii="宋体" w:hAnsi="宋体" w:cs="宋体" w:eastAsia="宋体" w:hint="default"/>
                            <w:sz w:val="18"/>
                            <w:szCs w:val="18"/>
                          </w:rPr>
                          <w:t>为</w:t>
                        </w:r>
                        <w:r>
                          <w:rPr>
                            <w:rFonts w:ascii="宋体" w:hAnsi="宋体" w:cs="宋体" w:eastAsia="宋体" w:hint="default"/>
                            <w:spacing w:val="-68"/>
                            <w:sz w:val="18"/>
                            <w:szCs w:val="18"/>
                          </w:rPr>
                          <w:t> </w:t>
                        </w:r>
                        <w:r>
                          <w:rPr>
                            <w:rFonts w:ascii="宋体" w:hAnsi="宋体" w:cs="宋体" w:eastAsia="宋体" w:hint="default"/>
                            <w:sz w:val="18"/>
                            <w:szCs w:val="18"/>
                          </w:rPr>
                          <w:t>全</w:t>
                        </w:r>
                        <w:r>
                          <w:rPr>
                            <w:rFonts w:ascii="宋体" w:hAnsi="宋体" w:cs="宋体" w:eastAsia="宋体" w:hint="default"/>
                            <w:spacing w:val="-65"/>
                            <w:sz w:val="18"/>
                            <w:szCs w:val="18"/>
                          </w:rPr>
                          <w:t> </w:t>
                        </w:r>
                        <w:r>
                          <w:rPr>
                            <w:rFonts w:ascii="宋体" w:hAnsi="宋体" w:cs="宋体" w:eastAsia="宋体" w:hint="default"/>
                            <w:sz w:val="18"/>
                            <w:szCs w:val="18"/>
                          </w:rPr>
                          <w:t>部</w:t>
                        </w:r>
                        <w:r>
                          <w:rPr>
                            <w:rFonts w:ascii="宋体" w:hAnsi="宋体" w:cs="宋体" w:eastAsia="宋体" w:hint="default"/>
                            <w:spacing w:val="-65"/>
                            <w:sz w:val="18"/>
                            <w:szCs w:val="18"/>
                          </w:rPr>
                          <w:t> </w:t>
                        </w:r>
                        <w:r>
                          <w:rPr>
                            <w:rFonts w:ascii="宋体" w:hAnsi="宋体" w:cs="宋体" w:eastAsia="宋体" w:hint="default"/>
                            <w:sz w:val="18"/>
                            <w:szCs w:val="18"/>
                          </w:rPr>
                          <w:t>转</w:t>
                        </w:r>
                        <w:r>
                          <w:rPr>
                            <w:rFonts w:ascii="宋体" w:hAnsi="宋体" w:cs="宋体" w:eastAsia="宋体" w:hint="default"/>
                            <w:spacing w:val="-68"/>
                            <w:sz w:val="18"/>
                            <w:szCs w:val="18"/>
                          </w:rPr>
                          <w:t> </w:t>
                        </w:r>
                        <w:r>
                          <w:rPr>
                            <w:rFonts w:ascii="宋体" w:hAnsi="宋体" w:cs="宋体" w:eastAsia="宋体" w:hint="default"/>
                            <w:sz w:val="18"/>
                            <w:szCs w:val="18"/>
                          </w:rPr>
                          <w:t>让</w:t>
                        </w:r>
                        <w:r>
                          <w:rPr>
                            <w:rFonts w:ascii="宋体" w:hAnsi="宋体" w:cs="宋体" w:eastAsia="宋体" w:hint="default"/>
                            <w:spacing w:val="-65"/>
                            <w:sz w:val="18"/>
                            <w:szCs w:val="18"/>
                          </w:rPr>
                          <w:t> </w:t>
                        </w:r>
                        <w:r>
                          <w:rPr>
                            <w:rFonts w:ascii="宋体" w:hAnsi="宋体" w:cs="宋体" w:eastAsia="宋体" w:hint="default"/>
                            <w:sz w:val="18"/>
                            <w:szCs w:val="18"/>
                          </w:rPr>
                          <w:t>款</w:t>
                        </w:r>
                        <w:r>
                          <w:rPr>
                            <w:rFonts w:ascii="宋体" w:hAnsi="宋体" w:cs="宋体" w:eastAsia="宋体" w:hint="default"/>
                            <w:spacing w:val="-65"/>
                            <w:sz w:val="18"/>
                            <w:szCs w:val="18"/>
                          </w:rPr>
                          <w:t> </w:t>
                        </w:r>
                        <w:r>
                          <w:rPr>
                            <w:rFonts w:ascii="宋体" w:hAnsi="宋体" w:cs="宋体" w:eastAsia="宋体" w:hint="default"/>
                            <w:sz w:val="18"/>
                            <w:szCs w:val="18"/>
                          </w:rPr>
                          <w:t>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9.66%</w:t>
                        </w:r>
                        <w:r>
                          <w:rPr>
                            <w:rFonts w:ascii="Times New Roman" w:hAnsi="Times New Roman" w:cs="Times New Roman" w:eastAsia="Times New Roman" w:hint="default"/>
                            <w:spacing w:val="-20"/>
                            <w:sz w:val="18"/>
                            <w:szCs w:val="18"/>
                          </w:rPr>
                          <w:t> </w:t>
                        </w:r>
                        <w:r>
                          <w:rPr>
                            <w:rFonts w:ascii="宋体" w:hAnsi="宋体" w:cs="宋体" w:eastAsia="宋体" w:hint="default"/>
                            <w:spacing w:val="13"/>
                            <w:sz w:val="18"/>
                            <w:szCs w:val="18"/>
                          </w:rPr>
                          <w:t>，即</w:t>
                        </w:r>
                        <w:r>
                          <w:rPr>
                            <w:rFonts w:ascii="宋体" w:hAnsi="宋体" w:cs="宋体" w:eastAsia="宋体" w:hint="default"/>
                            <w:spacing w:val="-64"/>
                            <w:sz w:val="18"/>
                            <w:szCs w:val="18"/>
                          </w:rPr>
                          <w:t> </w:t>
                        </w:r>
                        <w:r>
                          <w:rPr>
                            <w:rFonts w:ascii="宋体" w:hAnsi="宋体" w:cs="宋体" w:eastAsia="宋体" w:hint="default"/>
                            <w:sz w:val="18"/>
                            <w:szCs w:val="18"/>
                          </w:rPr>
                        </w:r>
                      </w:p>
                    </w:tc>
                  </w:tr>
                </w:tbl>
                <w:p>
                  <w:pPr/>
                </w:p>
              </w:txbxContent>
            </v:textbox>
            <w10:wrap type="none"/>
          </v:shape>
        </w:pict>
      </w:r>
      <w:r>
        <w:rPr/>
        <w:t>，</w:t>
      </w:r>
    </w:p>
    <w:p>
      <w:pPr>
        <w:spacing w:after="0" w:line="240" w:lineRule="auto"/>
        <w:jc w:val="right"/>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965"/>
        <w:gridCol w:w="3685"/>
        <w:gridCol w:w="3891"/>
      </w:tblGrid>
      <w:tr>
        <w:trPr>
          <w:trHeight w:val="4710" w:hRule="exact"/>
        </w:trPr>
        <w:tc>
          <w:tcPr>
            <w:tcW w:w="965"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4" w:right="3"/>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6,624.00</w:t>
            </w:r>
            <w:r>
              <w:rPr>
                <w:rFonts w:ascii="宋体" w:hAnsi="宋体" w:cs="宋体" w:eastAsia="宋体" w:hint="default"/>
                <w:spacing w:val="-2"/>
                <w:sz w:val="18"/>
                <w:szCs w:val="18"/>
              </w:rPr>
              <w:t>万元，自上市公司指定审计机构对目标</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年税后净利润进行审计并出具审计报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告之日起十（</w:t>
            </w:r>
            <w:r>
              <w:rPr>
                <w:rFonts w:ascii="Times New Roman" w:hAnsi="Times New Roman" w:cs="Times New Roman" w:eastAsia="Times New Roman" w:hint="default"/>
                <w:sz w:val="18"/>
                <w:szCs w:val="18"/>
              </w:rPr>
              <w:t>10</w:t>
            </w:r>
            <w:r>
              <w:rPr>
                <w:rFonts w:ascii="宋体" w:hAnsi="宋体" w:cs="宋体" w:eastAsia="宋体" w:hint="default"/>
                <w:sz w:val="18"/>
                <w:szCs w:val="18"/>
              </w:rPr>
              <w:t>）个工作日内；</w:t>
            </w:r>
          </w:p>
          <w:p>
            <w:pPr>
              <w:pStyle w:val="TableParagraph"/>
              <w:spacing w:line="277" w:lineRule="exact"/>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21"/>
                <w:szCs w:val="21"/>
              </w:rPr>
              <w:t>．</w:t>
            </w:r>
            <w:r>
              <w:rPr>
                <w:rFonts w:ascii="宋体" w:hAnsi="宋体" w:cs="宋体" w:eastAsia="宋体" w:hint="default"/>
                <w:spacing w:val="-81"/>
                <w:sz w:val="21"/>
                <w:szCs w:val="21"/>
              </w:rPr>
              <w:t> </w:t>
            </w:r>
            <w:r>
              <w:rPr>
                <w:rFonts w:ascii="宋体" w:hAnsi="宋体" w:cs="宋体" w:eastAsia="宋体" w:hint="default"/>
                <w:spacing w:val="17"/>
                <w:sz w:val="18"/>
                <w:szCs w:val="18"/>
              </w:rPr>
              <w:t>第三期转让款为全部转让款的</w:t>
            </w:r>
            <w:r>
              <w:rPr>
                <w:rFonts w:ascii="宋体" w:hAnsi="宋体" w:cs="宋体" w:eastAsia="宋体" w:hint="default"/>
                <w:spacing w:val="-65"/>
                <w:sz w:val="18"/>
                <w:szCs w:val="18"/>
              </w:rPr>
              <w:t> </w:t>
            </w:r>
            <w:r>
              <w:rPr>
                <w:rFonts w:ascii="Times New Roman" w:hAnsi="Times New Roman" w:cs="Times New Roman" w:eastAsia="Times New Roman" w:hint="default"/>
                <w:spacing w:val="7"/>
                <w:sz w:val="18"/>
                <w:szCs w:val="18"/>
              </w:rPr>
              <w:t>31%</w:t>
            </w:r>
            <w:r>
              <w:rPr>
                <w:rFonts w:ascii="宋体" w:hAnsi="宋体" w:cs="宋体" w:eastAsia="宋体" w:hint="default"/>
                <w:spacing w:val="7"/>
                <w:sz w:val="18"/>
                <w:szCs w:val="18"/>
              </w:rPr>
              <w:t>，即</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300" w:lineRule="auto" w:before="48"/>
              <w:ind w:left="4" w:right="3"/>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12,834.00</w:t>
            </w:r>
            <w:r>
              <w:rPr>
                <w:rFonts w:ascii="宋体" w:hAnsi="宋体" w:cs="宋体" w:eastAsia="宋体" w:hint="default"/>
                <w:spacing w:val="2"/>
                <w:sz w:val="18"/>
                <w:szCs w:val="18"/>
              </w:rPr>
              <w:t>万元，自上市公司指定审计机构对目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标公司</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年税后净利润进行审计并出具审计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报告之日起十（</w:t>
            </w:r>
            <w:r>
              <w:rPr>
                <w:rFonts w:ascii="Times New Roman" w:hAnsi="Times New Roman" w:cs="Times New Roman" w:eastAsia="Times New Roman" w:hint="default"/>
                <w:sz w:val="18"/>
                <w:szCs w:val="18"/>
              </w:rPr>
              <w:t>10</w:t>
            </w:r>
            <w:r>
              <w:rPr>
                <w:rFonts w:ascii="宋体" w:hAnsi="宋体" w:cs="宋体" w:eastAsia="宋体" w:hint="default"/>
                <w:sz w:val="18"/>
                <w:szCs w:val="18"/>
              </w:rPr>
              <w:t>）个工作日内；</w:t>
            </w:r>
          </w:p>
          <w:p>
            <w:pPr>
              <w:pStyle w:val="TableParagraph"/>
              <w:spacing w:line="277" w:lineRule="exact"/>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21"/>
                <w:szCs w:val="21"/>
              </w:rPr>
              <w:t>．</w:t>
            </w:r>
            <w:r>
              <w:rPr>
                <w:rFonts w:ascii="宋体" w:hAnsi="宋体" w:cs="宋体" w:eastAsia="宋体" w:hint="default"/>
                <w:spacing w:val="-81"/>
                <w:sz w:val="21"/>
                <w:szCs w:val="21"/>
              </w:rPr>
              <w:t> </w:t>
            </w:r>
            <w:r>
              <w:rPr>
                <w:rFonts w:ascii="宋体" w:hAnsi="宋体" w:cs="宋体" w:eastAsia="宋体" w:hint="default"/>
                <w:spacing w:val="17"/>
                <w:sz w:val="18"/>
                <w:szCs w:val="18"/>
              </w:rPr>
              <w:t>第四期转让款为全部转让款的</w:t>
            </w:r>
            <w:r>
              <w:rPr>
                <w:rFonts w:ascii="宋体" w:hAnsi="宋体" w:cs="宋体" w:eastAsia="宋体" w:hint="default"/>
                <w:spacing w:val="-65"/>
                <w:sz w:val="18"/>
                <w:szCs w:val="18"/>
              </w:rPr>
              <w:t> </w:t>
            </w:r>
            <w:r>
              <w:rPr>
                <w:rFonts w:ascii="Times New Roman" w:hAnsi="Times New Roman" w:cs="Times New Roman" w:eastAsia="Times New Roman" w:hint="default"/>
                <w:spacing w:val="7"/>
                <w:sz w:val="18"/>
                <w:szCs w:val="18"/>
              </w:rPr>
              <w:t>33%</w:t>
            </w:r>
            <w:r>
              <w:rPr>
                <w:rFonts w:ascii="宋体" w:hAnsi="宋体" w:cs="宋体" w:eastAsia="宋体" w:hint="default"/>
                <w:spacing w:val="7"/>
                <w:sz w:val="18"/>
                <w:szCs w:val="18"/>
              </w:rPr>
              <w:t>，即</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300" w:lineRule="auto" w:before="48"/>
              <w:ind w:left="4" w:right="3"/>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13,662.00</w:t>
            </w:r>
            <w:r>
              <w:rPr>
                <w:rFonts w:ascii="宋体" w:hAnsi="宋体" w:cs="宋体" w:eastAsia="宋体" w:hint="default"/>
                <w:spacing w:val="2"/>
                <w:sz w:val="18"/>
                <w:szCs w:val="18"/>
              </w:rPr>
              <w:t>万元，自上市公司指定审计机构对目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标公司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年税后净利润进行审计并出具审计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报告之日起十（</w:t>
            </w:r>
            <w:r>
              <w:rPr>
                <w:rFonts w:ascii="Times New Roman" w:hAnsi="Times New Roman" w:cs="Times New Roman" w:eastAsia="Times New Roman" w:hint="default"/>
                <w:sz w:val="18"/>
                <w:szCs w:val="18"/>
              </w:rPr>
              <w:t>10</w:t>
            </w:r>
            <w:r>
              <w:rPr>
                <w:rFonts w:ascii="宋体" w:hAnsi="宋体" w:cs="宋体" w:eastAsia="宋体" w:hint="default"/>
                <w:sz w:val="18"/>
                <w:szCs w:val="18"/>
              </w:rPr>
              <w:t>）个工作日内。</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7"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4,000.00</w:t>
            </w:r>
            <w:r>
              <w:rPr>
                <w:rFonts w:ascii="宋体" w:hAnsi="宋体" w:cs="宋体" w:eastAsia="宋体" w:hint="default"/>
                <w:sz w:val="18"/>
                <w:szCs w:val="18"/>
              </w:rPr>
              <w:t>万元，自上市公司指定审计机构对目标公 </w:t>
            </w:r>
            <w:r>
              <w:rPr>
                <w:rFonts w:ascii="宋体" w:hAnsi="宋体" w:cs="宋体" w:eastAsia="宋体" w:hint="default"/>
                <w:spacing w:val="3"/>
                <w:sz w:val="18"/>
                <w:szCs w:val="18"/>
              </w:rPr>
              <w:t>司</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年税后净利润进行审计并出具审计报告之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日起十（</w:t>
            </w:r>
            <w:r>
              <w:rPr>
                <w:rFonts w:ascii="Times New Roman" w:hAnsi="Times New Roman" w:cs="Times New Roman" w:eastAsia="Times New Roman" w:hint="default"/>
                <w:sz w:val="18"/>
                <w:szCs w:val="18"/>
              </w:rPr>
              <w:t>10</w:t>
            </w:r>
            <w:r>
              <w:rPr>
                <w:rFonts w:ascii="宋体" w:hAnsi="宋体" w:cs="宋体" w:eastAsia="宋体" w:hint="default"/>
                <w:sz w:val="18"/>
                <w:szCs w:val="18"/>
              </w:rPr>
              <w:t>）个工作日内；</w:t>
            </w:r>
          </w:p>
          <w:p>
            <w:pPr>
              <w:pStyle w:val="TableParagraph"/>
              <w:spacing w:line="240" w:lineRule="auto" w:before="13"/>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pacing w:val="18"/>
                <w:sz w:val="18"/>
                <w:szCs w:val="18"/>
              </w:rPr>
              <w:t>第三期转让款为全部转让款的</w:t>
            </w:r>
            <w:r>
              <w:rPr>
                <w:rFonts w:ascii="宋体" w:hAnsi="宋体" w:cs="宋体" w:eastAsia="宋体" w:hint="default"/>
                <w:spacing w:val="-67"/>
                <w:sz w:val="18"/>
                <w:szCs w:val="18"/>
              </w:rPr>
              <w:t> </w:t>
            </w:r>
            <w:r>
              <w:rPr>
                <w:rFonts w:ascii="Times New Roman" w:hAnsi="Times New Roman" w:cs="Times New Roman" w:eastAsia="Times New Roman" w:hint="default"/>
                <w:spacing w:val="5"/>
                <w:sz w:val="18"/>
                <w:szCs w:val="18"/>
              </w:rPr>
              <w:t>13.29%</w:t>
            </w:r>
            <w:r>
              <w:rPr>
                <w:rFonts w:ascii="宋体" w:hAnsi="宋体" w:cs="宋体" w:eastAsia="宋体" w:hint="default"/>
                <w:spacing w:val="5"/>
                <w:sz w:val="18"/>
                <w:szCs w:val="18"/>
              </w:rPr>
              <w:t>，即</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300" w:lineRule="auto" w:before="63"/>
              <w:ind w:left="7"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5,500.00</w:t>
            </w:r>
            <w:r>
              <w:rPr>
                <w:rFonts w:ascii="宋体" w:hAnsi="宋体" w:cs="宋体" w:eastAsia="宋体" w:hint="default"/>
                <w:sz w:val="18"/>
                <w:szCs w:val="18"/>
              </w:rPr>
              <w:t>万元，自上市公司指定审计机构对目标公 </w:t>
            </w:r>
            <w:r>
              <w:rPr>
                <w:rFonts w:ascii="宋体" w:hAnsi="宋体" w:cs="宋体" w:eastAsia="宋体" w:hint="default"/>
                <w:spacing w:val="3"/>
                <w:sz w:val="18"/>
                <w:szCs w:val="18"/>
              </w:rPr>
              <w:t>司</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年税后净利润进行审计并出具审计报告之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日起十（</w:t>
            </w:r>
            <w:r>
              <w:rPr>
                <w:rFonts w:ascii="Times New Roman" w:hAnsi="Times New Roman" w:cs="Times New Roman" w:eastAsia="Times New Roman" w:hint="default"/>
                <w:sz w:val="18"/>
                <w:szCs w:val="18"/>
              </w:rPr>
              <w:t>10</w:t>
            </w:r>
            <w:r>
              <w:rPr>
                <w:rFonts w:ascii="宋体" w:hAnsi="宋体" w:cs="宋体" w:eastAsia="宋体" w:hint="default"/>
                <w:sz w:val="18"/>
                <w:szCs w:val="18"/>
              </w:rPr>
              <w:t>）个工作日内；</w:t>
            </w:r>
          </w:p>
          <w:p>
            <w:pPr>
              <w:pStyle w:val="TableParagraph"/>
              <w:spacing w:line="240" w:lineRule="auto" w:before="13"/>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pacing w:val="18"/>
                <w:sz w:val="18"/>
                <w:szCs w:val="18"/>
              </w:rPr>
              <w:t>第四期转让款为全部转让款的</w:t>
            </w:r>
            <w:r>
              <w:rPr>
                <w:rFonts w:ascii="宋体" w:hAnsi="宋体" w:cs="宋体" w:eastAsia="宋体" w:hint="default"/>
                <w:spacing w:val="-67"/>
                <w:sz w:val="18"/>
                <w:szCs w:val="18"/>
              </w:rPr>
              <w:t> </w:t>
            </w:r>
            <w:r>
              <w:rPr>
                <w:rFonts w:ascii="Times New Roman" w:hAnsi="Times New Roman" w:cs="Times New Roman" w:eastAsia="Times New Roman" w:hint="default"/>
                <w:spacing w:val="5"/>
                <w:sz w:val="18"/>
                <w:szCs w:val="18"/>
              </w:rPr>
              <w:t>15.70%</w:t>
            </w:r>
            <w:r>
              <w:rPr>
                <w:rFonts w:ascii="宋体" w:hAnsi="宋体" w:cs="宋体" w:eastAsia="宋体" w:hint="default"/>
                <w:spacing w:val="5"/>
                <w:sz w:val="18"/>
                <w:szCs w:val="18"/>
              </w:rPr>
              <w:t>，即</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300" w:lineRule="auto" w:before="63"/>
              <w:ind w:left="7" w:right="-2"/>
              <w:jc w:val="both"/>
              <w:rPr>
                <w:rFonts w:ascii="宋体" w:hAnsi="宋体" w:cs="宋体" w:eastAsia="宋体" w:hint="default"/>
                <w:sz w:val="18"/>
                <w:szCs w:val="18"/>
              </w:rPr>
            </w:pPr>
            <w:r>
              <w:rPr>
                <w:rFonts w:ascii="Times New Roman" w:hAnsi="Times New Roman" w:cs="Times New Roman" w:eastAsia="Times New Roman" w:hint="default"/>
                <w:sz w:val="18"/>
                <w:szCs w:val="18"/>
              </w:rPr>
              <w:t>6,500.00</w:t>
            </w:r>
            <w:r>
              <w:rPr>
                <w:rFonts w:ascii="宋体" w:hAnsi="宋体" w:cs="宋体" w:eastAsia="宋体" w:hint="default"/>
                <w:sz w:val="18"/>
                <w:szCs w:val="18"/>
              </w:rPr>
              <w:t>万元，自上市公司指定审计机构对目标公 </w:t>
            </w:r>
            <w:r>
              <w:rPr>
                <w:rFonts w:ascii="宋体" w:hAnsi="宋体" w:cs="宋体" w:eastAsia="宋体" w:hint="default"/>
                <w:spacing w:val="3"/>
                <w:sz w:val="18"/>
                <w:szCs w:val="18"/>
              </w:rPr>
              <w:t>司</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年税后净利润进行审计并出具审计报告之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日起十（</w:t>
            </w:r>
            <w:r>
              <w:rPr>
                <w:rFonts w:ascii="Times New Roman" w:hAnsi="Times New Roman" w:cs="Times New Roman" w:eastAsia="Times New Roman" w:hint="default"/>
                <w:sz w:val="18"/>
                <w:szCs w:val="18"/>
              </w:rPr>
              <w:t>10</w:t>
            </w:r>
            <w:r>
              <w:rPr>
                <w:rFonts w:ascii="宋体" w:hAnsi="宋体" w:cs="宋体" w:eastAsia="宋体" w:hint="default"/>
                <w:sz w:val="18"/>
                <w:szCs w:val="18"/>
              </w:rPr>
              <w:t>）个工作日内；</w:t>
            </w:r>
          </w:p>
          <w:p>
            <w:pPr>
              <w:pStyle w:val="TableParagraph"/>
              <w:spacing w:line="240" w:lineRule="auto" w:before="13"/>
              <w:ind w:left="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pacing w:val="18"/>
                <w:sz w:val="18"/>
                <w:szCs w:val="18"/>
              </w:rPr>
              <w:t>第五期转让款为全部转让款的</w:t>
            </w:r>
            <w:r>
              <w:rPr>
                <w:rFonts w:ascii="宋体" w:hAnsi="宋体" w:cs="宋体" w:eastAsia="宋体" w:hint="default"/>
                <w:spacing w:val="-67"/>
                <w:sz w:val="18"/>
                <w:szCs w:val="18"/>
              </w:rPr>
              <w:t> </w:t>
            </w:r>
            <w:r>
              <w:rPr>
                <w:rFonts w:ascii="Times New Roman" w:hAnsi="Times New Roman" w:cs="Times New Roman" w:eastAsia="Times New Roman" w:hint="default"/>
                <w:spacing w:val="5"/>
                <w:sz w:val="18"/>
                <w:szCs w:val="18"/>
              </w:rPr>
              <w:t>41.35%</w:t>
            </w:r>
            <w:r>
              <w:rPr>
                <w:rFonts w:ascii="宋体" w:hAnsi="宋体" w:cs="宋体" w:eastAsia="宋体" w:hint="default"/>
                <w:spacing w:val="5"/>
                <w:sz w:val="18"/>
                <w:szCs w:val="18"/>
              </w:rPr>
              <w:t>，即</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300" w:lineRule="auto" w:before="63"/>
              <w:ind w:left="7" w:right="-2"/>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17,120.00</w:t>
            </w:r>
            <w:r>
              <w:rPr>
                <w:rFonts w:ascii="宋体" w:hAnsi="宋体" w:cs="宋体" w:eastAsia="宋体" w:hint="default"/>
                <w:spacing w:val="-4"/>
                <w:sz w:val="18"/>
                <w:szCs w:val="18"/>
              </w:rPr>
              <w:t>万元，自上市公司指定审计机构对目标公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司</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年税后净利润进行审计并出具审计报告之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日起十（</w:t>
            </w:r>
            <w:r>
              <w:rPr>
                <w:rFonts w:ascii="Times New Roman" w:hAnsi="Times New Roman" w:cs="Times New Roman" w:eastAsia="Times New Roman" w:hint="default"/>
                <w:sz w:val="18"/>
                <w:szCs w:val="18"/>
              </w:rPr>
              <w:t>10</w:t>
            </w:r>
            <w:r>
              <w:rPr>
                <w:rFonts w:ascii="宋体" w:hAnsi="宋体" w:cs="宋体" w:eastAsia="宋体" w:hint="default"/>
                <w:sz w:val="18"/>
                <w:szCs w:val="18"/>
              </w:rPr>
              <w:t>）个工作日内。</w:t>
            </w:r>
          </w:p>
        </w:tc>
      </w:tr>
      <w:tr>
        <w:trPr>
          <w:trHeight w:val="1903"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超额奖励</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20"/>
              <w:ind w:left="4" w:right="3"/>
              <w:jc w:val="both"/>
              <w:rPr>
                <w:rFonts w:ascii="宋体" w:hAnsi="宋体" w:cs="宋体" w:eastAsia="宋体" w:hint="default"/>
                <w:sz w:val="18"/>
                <w:szCs w:val="18"/>
              </w:rPr>
            </w:pPr>
            <w:r>
              <w:rPr>
                <w:rFonts w:ascii="宋体" w:hAnsi="宋体" w:cs="宋体" w:eastAsia="宋体" w:hint="default"/>
                <w:spacing w:val="2"/>
                <w:sz w:val="18"/>
                <w:szCs w:val="18"/>
              </w:rPr>
              <w:t>在每一业绩承诺期内，如果目标公司实际税后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净利润超过承诺税后净利润，且三年业绩承诺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都按本协议约定</w:t>
            </w:r>
            <w:r>
              <w:rPr>
                <w:rFonts w:ascii="Times New Roman" w:hAnsi="Times New Roman" w:cs="Times New Roman" w:eastAsia="Times New Roman" w:hint="default"/>
                <w:sz w:val="18"/>
                <w:szCs w:val="18"/>
              </w:rPr>
              <w:t>100%</w:t>
            </w:r>
            <w:r>
              <w:rPr>
                <w:rFonts w:ascii="宋体" w:hAnsi="宋体" w:cs="宋体" w:eastAsia="宋体" w:hint="default"/>
                <w:sz w:val="18"/>
                <w:szCs w:val="18"/>
              </w:rPr>
              <w:t>实现，则超额部分由收购 </w:t>
            </w:r>
            <w:r>
              <w:rPr>
                <w:rFonts w:ascii="宋体" w:hAnsi="宋体" w:cs="宋体" w:eastAsia="宋体" w:hint="default"/>
                <w:spacing w:val="2"/>
                <w:sz w:val="18"/>
                <w:szCs w:val="18"/>
              </w:rPr>
              <w:t>方逐年计提，并于业绩对赌期满后累计支付超</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额业绩总额的</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，且不超过交易对价总额的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20%</w:t>
            </w:r>
            <w:r>
              <w:rPr>
                <w:rFonts w:ascii="宋体" w:hAnsi="宋体" w:cs="宋体" w:eastAsia="宋体" w:hint="default"/>
                <w:sz w:val="18"/>
                <w:szCs w:val="18"/>
              </w:rPr>
              <w:t>给原股东作为超额业绩奖励。</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删除原协议约定，取消有关超额奖励的约定。</w:t>
            </w:r>
          </w:p>
        </w:tc>
      </w:tr>
    </w:tbl>
    <w:p>
      <w:pPr>
        <w:spacing w:line="240" w:lineRule="auto" w:before="1"/>
        <w:rPr>
          <w:rFonts w:ascii="宋体" w:hAnsi="宋体" w:cs="宋体" w:eastAsia="宋体" w:hint="default"/>
          <w:sz w:val="18"/>
          <w:szCs w:val="18"/>
        </w:rPr>
      </w:pPr>
    </w:p>
    <w:p>
      <w:pPr>
        <w:pStyle w:val="Heading2"/>
        <w:spacing w:line="240" w:lineRule="auto" w:before="26"/>
        <w:ind w:right="1117"/>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296,886,955.45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354,232,109.02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296,886,955.45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354,232,109.02</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17"/>
        <w:jc w:val="left"/>
      </w:pPr>
      <w:r>
        <w:rPr>
          <w:rFonts w:ascii="Times New Roman" w:hAnsi="Times New Roman" w:cs="Times New Roman" w:eastAsia="Times New Roman" w:hint="default"/>
        </w:rPr>
        <w:t>2)</w:t>
      </w:r>
      <w:r>
        <w:rPr/>
        <w:t>期末公司已质押的应收票据</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49"/>
        <w:ind w:right="1117"/>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1"/>
        <w:jc w:val="right"/>
      </w:pPr>
      <w:r>
        <w:rPr/>
        <w:t>单位：</w:t>
      </w:r>
      <w:r>
        <w:rPr>
          <w:spacing w:val="1"/>
        </w:rPr>
        <w:t> </w:t>
      </w:r>
      <w:r>
        <w:rPr/>
        <w:t>元</w:t>
      </w:r>
    </w:p>
    <w:p>
      <w:pPr>
        <w:spacing w:after="0" w:line="240" w:lineRule="auto"/>
        <w:jc w:val="right"/>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4"/>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0"/>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338,868,</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241.15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41,981,2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85.70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12.39%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296,886,9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55.45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386,648</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,763.14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32,416,65</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4.12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8.38%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354,232,10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9.02</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338,868,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241.15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41,981,2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85.70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12.39%</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296,886,9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55.45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386,648</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,763.14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32,416,65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4.12</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8.38%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354,232,10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9.02</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86" w:footer="1294" w:top="1100" w:bottom="1480" w:left="980" w:right="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70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196,679,673.95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5,900,390.20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86,857,200.79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8,685,720.09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39,376,844.28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11,813,053.28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15,582,122.13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15,582,122.13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338,495,841.15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41,981,285.70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434"/>
        <w:jc w:val="left"/>
      </w:pPr>
      <w:r>
        <w:rPr/>
        <w:t>确定该组合依据的说明： 组合中，采用余额百分比法计提坏账准备的应收账款：</w:t>
      </w:r>
    </w:p>
    <w:p>
      <w:pPr>
        <w:pStyle w:val="BodyText"/>
        <w:spacing w:line="340" w:lineRule="auto" w:before="29"/>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after="0" w:line="340" w:lineRule="auto"/>
        <w:jc w:val="left"/>
        <w:sectPr>
          <w:type w:val="continuous"/>
          <w:pgSz w:w="11910" w:h="16840"/>
          <w:pgMar w:top="1100" w:bottom="700" w:left="980" w:right="0"/>
        </w:sectPr>
      </w:pPr>
    </w:p>
    <w:p>
      <w:pPr>
        <w:spacing w:line="240" w:lineRule="auto" w:before="5"/>
        <w:rPr>
          <w:rFonts w:ascii="宋体" w:hAnsi="宋体" w:cs="宋体" w:eastAsia="宋体" w:hint="default"/>
          <w:sz w:val="25"/>
          <w:szCs w:val="25"/>
        </w:rPr>
      </w:pPr>
    </w:p>
    <w:tbl>
      <w:tblPr>
        <w:tblW w:w="0" w:type="auto"/>
        <w:jc w:val="left"/>
        <w:tblInd w:w="465" w:type="dxa"/>
        <w:tblLayout w:type="fixed"/>
        <w:tblCellMar>
          <w:top w:w="0" w:type="dxa"/>
          <w:left w:w="0" w:type="dxa"/>
          <w:bottom w:w="0" w:type="dxa"/>
          <w:right w:w="0" w:type="dxa"/>
        </w:tblCellMar>
        <w:tblLook w:val="01E0"/>
      </w:tblPr>
      <w:tblGrid>
        <w:gridCol w:w="2386"/>
        <w:gridCol w:w="2053"/>
        <w:gridCol w:w="2050"/>
        <w:gridCol w:w="2052"/>
      </w:tblGrid>
      <w:tr>
        <w:trPr>
          <w:trHeight w:val="348"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组 </w:t>
            </w:r>
            <w:r>
              <w:rPr>
                <w:rFonts w:ascii="宋体" w:hAnsi="宋体" w:cs="宋体" w:eastAsia="宋体" w:hint="default"/>
                <w:spacing w:val="2"/>
                <w:sz w:val="18"/>
                <w:szCs w:val="18"/>
              </w:rPr>
              <w:t> </w:t>
            </w:r>
            <w:r>
              <w:rPr>
                <w:rFonts w:ascii="宋体" w:hAnsi="宋体" w:cs="宋体" w:eastAsia="宋体" w:hint="default"/>
                <w:sz w:val="18"/>
                <w:szCs w:val="18"/>
              </w:rPr>
              <w:t>合</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20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right="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p>
        </w:tc>
      </w:tr>
      <w:tr>
        <w:trPr>
          <w:trHeight w:val="346" w:hRule="exact"/>
        </w:trPr>
        <w:tc>
          <w:tcPr>
            <w:tcW w:w="2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集团合并范围内关联方组合</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372,400.00</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86" w:footer="1294" w:top="1100" w:bottom="1480" w:left="660" w:right="0"/>
        </w:sectPr>
      </w:pPr>
    </w:p>
    <w:p>
      <w:pPr>
        <w:pStyle w:val="BodyText"/>
        <w:spacing w:line="240" w:lineRule="auto" w:before="44"/>
        <w:ind w:left="472" w:right="-15"/>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left="472" w:right="-15"/>
        <w:jc w:val="left"/>
      </w:pPr>
      <w:r>
        <w:rPr/>
        <w:t>本期计提坏账准备金额</w:t>
      </w:r>
      <w:r>
        <w:rPr>
          <w:spacing w:val="-47"/>
        </w:rPr>
        <w:t> </w:t>
      </w:r>
      <w:r>
        <w:rPr>
          <w:rFonts w:ascii="Times New Roman" w:hAnsi="Times New Roman" w:cs="Times New Roman" w:eastAsia="Times New Roman" w:hint="default"/>
        </w:rPr>
        <w:t>9,564,631.58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472" w:right="0"/>
        <w:jc w:val="left"/>
      </w:pPr>
      <w:r>
        <w:rPr/>
        <w:t>单位：</w:t>
      </w:r>
      <w:r>
        <w:rPr>
          <w:spacing w:val="1"/>
        </w:rPr>
        <w:t> </w:t>
      </w:r>
      <w:r>
        <w:rPr/>
        <w:t>元</w:t>
      </w:r>
    </w:p>
    <w:p>
      <w:pPr>
        <w:spacing w:after="0" w:line="240" w:lineRule="auto"/>
        <w:jc w:val="left"/>
        <w:sectPr>
          <w:type w:val="continuous"/>
          <w:pgSz w:w="11910" w:h="16840"/>
          <w:pgMar w:top="1100" w:bottom="700" w:left="660" w:right="0"/>
          <w:cols w:num="2" w:equalWidth="0">
            <w:col w:w="6371" w:space="2458"/>
            <w:col w:w="2421"/>
          </w:cols>
        </w:sectPr>
      </w:pPr>
    </w:p>
    <w:p>
      <w:pPr>
        <w:spacing w:line="240" w:lineRule="auto" w:before="4"/>
        <w:rPr>
          <w:rFonts w:ascii="宋体" w:hAnsi="宋体" w:cs="宋体" w:eastAsia="宋体" w:hint="default"/>
          <w:sz w:val="8"/>
          <w:szCs w:val="8"/>
        </w:rPr>
      </w:pPr>
    </w:p>
    <w:tbl>
      <w:tblPr>
        <w:tblW w:w="0" w:type="auto"/>
        <w:jc w:val="left"/>
        <w:tblInd w:w="46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left="472"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46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left="472" w:right="0"/>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46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left="472" w:right="0"/>
        <w:jc w:val="left"/>
      </w:pPr>
      <w:r>
        <w:rPr/>
        <w:t>应收账款核销说明：</w:t>
      </w:r>
    </w:p>
    <w:p>
      <w:pPr>
        <w:pStyle w:val="BodyText"/>
        <w:spacing w:line="240" w:lineRule="auto" w:before="115"/>
        <w:ind w:left="472"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271"/>
        <w:gridCol w:w="2182"/>
        <w:gridCol w:w="2216"/>
        <w:gridCol w:w="1988"/>
        <w:gridCol w:w="1704"/>
      </w:tblGrid>
      <w:tr>
        <w:trPr>
          <w:trHeight w:val="65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05" w:right="86"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占应收账款期末余额合 计数的比例</w:t>
            </w:r>
            <w:r>
              <w:rPr>
                <w:rFonts w:ascii="Times New Roman" w:hAnsi="Times New Roman" w:cs="Times New Roman" w:eastAsia="Times New Roman" w:hint="default"/>
                <w:sz w:val="18"/>
                <w:szCs w:val="18"/>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279"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52,551,541.92</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38,414,416.82</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9,430,874.70</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4,509,450.40</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196,800.00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787" w:right="0"/>
              <w:jc w:val="left"/>
              <w:rPr>
                <w:rFonts w:ascii="Times New Roman" w:hAnsi="Times New Roman" w:cs="Times New Roman" w:eastAsia="Times New Roman" w:hint="default"/>
                <w:sz w:val="18"/>
                <w:szCs w:val="18"/>
              </w:rPr>
            </w:pPr>
            <w:r>
              <w:rPr>
                <w:rFonts w:ascii="Times New Roman"/>
                <w:sz w:val="18"/>
              </w:rPr>
              <w:t>15.51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3,645,155.09</w:t>
            </w:r>
          </w:p>
        </w:tc>
      </w:tr>
      <w:tr>
        <w:trPr>
          <w:trHeight w:val="127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38,166,899.15</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2,710,700.11</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933,916.77</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24,888,103.43</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9,634,178.84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787" w:right="0"/>
              <w:jc w:val="left"/>
              <w:rPr>
                <w:rFonts w:ascii="Times New Roman" w:hAnsi="Times New Roman" w:cs="Times New Roman" w:eastAsia="Times New Roman" w:hint="default"/>
                <w:sz w:val="18"/>
                <w:szCs w:val="18"/>
              </w:rPr>
            </w:pPr>
            <w:r>
              <w:rPr>
                <w:rFonts w:ascii="Times New Roman"/>
                <w:sz w:val="18"/>
              </w:rPr>
              <w:t>11.26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17,275,322.55</w:t>
            </w:r>
          </w:p>
        </w:tc>
      </w:tr>
      <w:tr>
        <w:trPr>
          <w:trHeight w:val="96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3"/>
              <w:jc w:val="center"/>
              <w:rPr>
                <w:rFonts w:ascii="Times New Roman" w:hAnsi="Times New Roman" w:cs="Times New Roman" w:eastAsia="Times New Roman" w:hint="default"/>
                <w:sz w:val="18"/>
                <w:szCs w:val="18"/>
              </w:rPr>
            </w:pPr>
            <w:r>
              <w:rPr>
                <w:rFonts w:ascii="Times New Roman"/>
                <w:sz w:val="18"/>
              </w:rPr>
              <w:t>31,163,760.00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832" w:right="0"/>
              <w:jc w:val="left"/>
              <w:rPr>
                <w:rFonts w:ascii="Times New Roman" w:hAnsi="Times New Roman" w:cs="Times New Roman" w:eastAsia="Times New Roman" w:hint="default"/>
                <w:sz w:val="18"/>
                <w:szCs w:val="18"/>
              </w:rPr>
            </w:pPr>
            <w:r>
              <w:rPr>
                <w:rFonts w:ascii="Times New Roman"/>
                <w:sz w:val="18"/>
              </w:rPr>
              <w:t>9.20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3,116,376.00</w:t>
            </w:r>
          </w:p>
        </w:tc>
      </w:tr>
      <w:tr>
        <w:trPr>
          <w:trHeight w:val="127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22,627,393.56</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7,961,492.94</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6,507,267.55</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5,613,162.14</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2,545,470.93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832" w:right="0"/>
              <w:jc w:val="left"/>
              <w:rPr>
                <w:rFonts w:ascii="Times New Roman" w:hAnsi="Times New Roman" w:cs="Times New Roman" w:eastAsia="Times New Roman" w:hint="default"/>
                <w:sz w:val="18"/>
                <w:szCs w:val="18"/>
              </w:rPr>
            </w:pPr>
            <w:r>
              <w:rPr>
                <w:rFonts w:ascii="Times New Roman"/>
                <w:sz w:val="18"/>
              </w:rPr>
              <w:t>6.68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5,118,991.12</w:t>
            </w:r>
          </w:p>
        </w:tc>
      </w:tr>
      <w:tr>
        <w:trPr>
          <w:trHeight w:val="967"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3"/>
              <w:jc w:val="center"/>
              <w:rPr>
                <w:rFonts w:ascii="Times New Roman" w:hAnsi="Times New Roman" w:cs="Times New Roman" w:eastAsia="Times New Roman" w:hint="default"/>
                <w:sz w:val="18"/>
                <w:szCs w:val="18"/>
              </w:rPr>
            </w:pPr>
            <w:r>
              <w:rPr>
                <w:rFonts w:ascii="Times New Roman"/>
                <w:sz w:val="18"/>
              </w:rPr>
              <w:t>19,344,000.00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832" w:right="0"/>
              <w:jc w:val="left"/>
              <w:rPr>
                <w:rFonts w:ascii="Times New Roman" w:hAnsi="Times New Roman" w:cs="Times New Roman" w:eastAsia="Times New Roman" w:hint="default"/>
                <w:sz w:val="18"/>
                <w:szCs w:val="18"/>
              </w:rPr>
            </w:pPr>
            <w:r>
              <w:rPr>
                <w:rFonts w:ascii="Times New Roman"/>
                <w:sz w:val="18"/>
              </w:rPr>
              <w:t>5.71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1,934,400.00</w:t>
            </w:r>
          </w:p>
        </w:tc>
      </w:tr>
      <w:tr>
        <w:trPr>
          <w:trHeight w:val="34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Times New Roman" w:hAnsi="Times New Roman" w:cs="Times New Roman" w:eastAsia="Times New Roman" w:hint="default"/>
                <w:sz w:val="18"/>
                <w:szCs w:val="18"/>
              </w:rPr>
            </w:pPr>
            <w:r>
              <w:rPr>
                <w:rFonts w:ascii="Times New Roman"/>
                <w:sz w:val="18"/>
              </w:rPr>
              <w:t>163,853,594.63</w:t>
            </w:r>
          </w:p>
        </w:tc>
        <w:tc>
          <w:tcPr>
            <w:tcW w:w="2216"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87" w:right="0"/>
              <w:jc w:val="left"/>
              <w:rPr>
                <w:rFonts w:ascii="Times New Roman" w:hAnsi="Times New Roman" w:cs="Times New Roman" w:eastAsia="Times New Roman" w:hint="default"/>
                <w:sz w:val="18"/>
                <w:szCs w:val="18"/>
              </w:rPr>
            </w:pPr>
            <w:r>
              <w:rPr>
                <w:rFonts w:ascii="Times New Roman"/>
                <w:sz w:val="18"/>
              </w:rPr>
              <w:t>48.36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31,090,244.76</w:t>
            </w:r>
          </w:p>
        </w:tc>
      </w:tr>
    </w:tbl>
    <w:p>
      <w:pPr>
        <w:spacing w:line="240" w:lineRule="auto" w:before="3"/>
        <w:rPr>
          <w:rFonts w:ascii="宋体" w:hAnsi="宋体" w:cs="宋体" w:eastAsia="宋体" w:hint="default"/>
          <w:sz w:val="24"/>
          <w:szCs w:val="24"/>
        </w:rPr>
      </w:pPr>
    </w:p>
    <w:p>
      <w:pPr>
        <w:pStyle w:val="BodyText"/>
        <w:spacing w:line="240" w:lineRule="auto" w:before="44"/>
        <w:ind w:left="472" w:right="0"/>
        <w:jc w:val="left"/>
      </w:pPr>
      <w:r>
        <w:rPr>
          <w:rFonts w:ascii="Times New Roman" w:hAnsi="Times New Roman" w:cs="Times New Roman" w:eastAsia="Times New Roman" w:hint="default"/>
        </w:rPr>
        <w:t>5)</w:t>
      </w:r>
      <w:r>
        <w:rPr/>
        <w:t>因金融资产转移而终止确认的应收账款</w:t>
      </w:r>
    </w:p>
    <w:p>
      <w:pPr>
        <w:spacing w:after="0" w:line="240" w:lineRule="auto"/>
        <w:jc w:val="left"/>
        <w:sectPr>
          <w:type w:val="continuous"/>
          <w:pgSz w:w="11910" w:h="16840"/>
          <w:pgMar w:top="1100" w:bottom="700" w:left="660" w:right="0"/>
        </w:sectPr>
      </w:pPr>
    </w:p>
    <w:p>
      <w:pPr>
        <w:spacing w:line="240" w:lineRule="auto" w:before="8"/>
        <w:rPr>
          <w:rFonts w:ascii="宋体" w:hAnsi="宋体" w:cs="宋体" w:eastAsia="宋体" w:hint="default"/>
          <w:sz w:val="22"/>
          <w:szCs w:val="22"/>
        </w:rPr>
      </w:pPr>
    </w:p>
    <w:p>
      <w:pPr>
        <w:pStyle w:val="BodyText"/>
        <w:spacing w:line="340" w:lineRule="auto" w:before="44"/>
        <w:ind w:right="6824"/>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pStyle w:val="Heading4"/>
        <w:spacing w:line="240" w:lineRule="auto" w:before="18"/>
        <w:ind w:left="573" w:right="1117"/>
        <w:jc w:val="left"/>
      </w:pPr>
      <w:r>
        <w:rPr/>
        <w:t>应收关联方账款情况</w:t>
      </w:r>
    </w:p>
    <w:p>
      <w:pPr>
        <w:spacing w:line="240" w:lineRule="auto" w:before="10"/>
        <w:rPr>
          <w:rFonts w:ascii="宋体" w:hAnsi="宋体" w:cs="宋体" w:eastAsia="宋体" w:hint="default"/>
          <w:sz w:val="3"/>
          <w:szCs w:val="3"/>
        </w:rPr>
      </w:pPr>
    </w:p>
    <w:tbl>
      <w:tblPr>
        <w:tblW w:w="0" w:type="auto"/>
        <w:jc w:val="left"/>
        <w:tblInd w:w="698" w:type="dxa"/>
        <w:tblLayout w:type="fixed"/>
        <w:tblCellMar>
          <w:top w:w="0" w:type="dxa"/>
          <w:left w:w="0" w:type="dxa"/>
          <w:bottom w:w="0" w:type="dxa"/>
          <w:right w:w="0" w:type="dxa"/>
        </w:tblCellMar>
        <w:tblLook w:val="01E0"/>
      </w:tblPr>
      <w:tblGrid>
        <w:gridCol w:w="2134"/>
        <w:gridCol w:w="2136"/>
        <w:gridCol w:w="1940"/>
        <w:gridCol w:w="2331"/>
      </w:tblGrid>
      <w:tr>
        <w:trPr>
          <w:trHeight w:val="34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占应收账款余额的比例</w:t>
            </w:r>
            <w:r>
              <w:rPr>
                <w:rFonts w:ascii="Times New Roman" w:hAnsi="Times New Roman" w:cs="Times New Roman" w:eastAsia="Times New Roman" w:hint="default"/>
                <w:sz w:val="18"/>
                <w:szCs w:val="18"/>
              </w:rPr>
              <w:t>(%)</w:t>
            </w:r>
          </w:p>
        </w:tc>
      </w:tr>
      <w:tr>
        <w:trPr>
          <w:trHeight w:val="65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91" w:right="70" w:hanging="720"/>
              <w:jc w:val="left"/>
              <w:rPr>
                <w:rFonts w:ascii="宋体" w:hAnsi="宋体" w:cs="宋体" w:eastAsia="宋体" w:hint="default"/>
                <w:sz w:val="18"/>
                <w:szCs w:val="18"/>
              </w:rPr>
            </w:pPr>
            <w:r>
              <w:rPr>
                <w:rFonts w:ascii="宋体" w:hAnsi="宋体" w:cs="宋体" w:eastAsia="宋体" w:hint="default"/>
                <w:sz w:val="18"/>
                <w:szCs w:val="18"/>
              </w:rPr>
              <w:t>北京高伟达保科技有限责 任公司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本公司之联营企业</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31,163,760.00</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9.20</w:t>
            </w:r>
          </w:p>
        </w:tc>
      </w:tr>
      <w:tr>
        <w:trPr>
          <w:trHeight w:val="34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中信科技发展有限公司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本公司之联营企业</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8,864,347.03</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2.62</w:t>
            </w:r>
          </w:p>
        </w:tc>
      </w:tr>
      <w:tr>
        <w:trPr>
          <w:trHeight w:val="65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971" w:right="70" w:hanging="900"/>
              <w:jc w:val="left"/>
              <w:rPr>
                <w:rFonts w:ascii="宋体" w:hAnsi="宋体" w:cs="宋体" w:eastAsia="宋体" w:hint="default"/>
                <w:sz w:val="18"/>
                <w:szCs w:val="18"/>
              </w:rPr>
            </w:pPr>
            <w:r>
              <w:rPr>
                <w:rFonts w:ascii="宋体" w:hAnsi="宋体" w:cs="宋体" w:eastAsia="宋体" w:hint="default"/>
                <w:sz w:val="18"/>
                <w:szCs w:val="18"/>
              </w:rPr>
              <w:t>江苏盈达信息技术有限公 司</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372,400.00</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0.11</w:t>
            </w:r>
          </w:p>
        </w:tc>
      </w:tr>
      <w:tr>
        <w:trPr>
          <w:trHeight w:val="34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3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40,400,507.03</w:t>
            </w:r>
          </w:p>
        </w:tc>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11.93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15,987,801.27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13,817,074.76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36,987,801.27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13,817,074.76</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17"/>
        <w:jc w:val="left"/>
      </w:pPr>
      <w:r>
        <w:rPr>
          <w:rFonts w:ascii="Times New Roman" w:hAnsi="Times New Roman" w:cs="Times New Roman" w:eastAsia="Times New Roman" w:hint="default"/>
        </w:rPr>
        <w:t>2)</w:t>
      </w:r>
      <w:r>
        <w:rPr/>
        <w:t>重要逾期利息</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1)</w:t>
      </w:r>
      <w:r>
        <w:rPr/>
        <w:t>应收股利</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7"/>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spacing w:after="0" w:line="240" w:lineRule="auto"/>
        <w:jc w:val="left"/>
        <w:sectPr>
          <w:pgSz w:w="11910" w:h="16840"/>
          <w:pgMar w:header="786" w:footer="1294" w:top="1100" w:bottom="1480" w:left="980" w:right="0"/>
        </w:sectPr>
      </w:pPr>
    </w:p>
    <w:p>
      <w:pPr>
        <w:spacing w:line="240" w:lineRule="auto" w:before="8"/>
        <w:rPr>
          <w:rFonts w:ascii="宋体" w:hAnsi="宋体" w:cs="宋体" w:eastAsia="宋体" w:hint="default"/>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1117"/>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403"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17,452,11</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1.77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1,464,31</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8.39%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15,987,80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1.27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15,042,</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260.09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1,225,185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8.14%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13,817,074.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76</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17,452,11</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1.77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1,464,31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0.50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8.39%</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15,987,80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1.27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15,042,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260.09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1,225,185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8.14%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13,817,074.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1294" w:header="786" w:top="1100" w:bottom="1480" w:left="980" w:right="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70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2477"/>
        <w:gridCol w:w="2295"/>
        <w:gridCol w:w="2391"/>
        <w:gridCol w:w="2390"/>
      </w:tblGrid>
      <w:tr>
        <w:trPr>
          <w:trHeight w:val="204"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8"/>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7,211,246.67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216,337.40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478,161.04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47,816.10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1,120,357.00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1,120,357.00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9,075,764.71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1,464,310.50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254"/>
        <w:jc w:val="left"/>
      </w:pPr>
      <w:r>
        <w:rPr/>
        <w:t>确定该组合依据的说明： 组合中，采用余额百分比法计提坏账准备的其他应收款：</w:t>
      </w:r>
    </w:p>
    <w:p>
      <w:pPr>
        <w:pStyle w:val="BodyText"/>
        <w:spacing w:line="338" w:lineRule="auto" w:before="29"/>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6"/>
        <w:gridCol w:w="2053"/>
        <w:gridCol w:w="2050"/>
        <w:gridCol w:w="2053"/>
      </w:tblGrid>
      <w:tr>
        <w:trPr>
          <w:trHeight w:val="341"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组 </w:t>
            </w:r>
            <w:r>
              <w:rPr>
                <w:rFonts w:ascii="宋体" w:hAnsi="宋体" w:cs="宋体" w:eastAsia="宋体" w:hint="default"/>
                <w:spacing w:val="2"/>
                <w:sz w:val="18"/>
                <w:szCs w:val="18"/>
              </w:rPr>
              <w:t> </w:t>
            </w:r>
            <w:r>
              <w:rPr>
                <w:rFonts w:ascii="宋体" w:hAnsi="宋体" w:cs="宋体" w:eastAsia="宋体" w:hint="default"/>
                <w:sz w:val="18"/>
                <w:szCs w:val="18"/>
              </w:rPr>
              <w:t>合</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p>
        </w:tc>
      </w:tr>
      <w:tr>
        <w:trPr>
          <w:trHeight w:val="343"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集团合并范围内关联方组合</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8,376,347.06</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70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footerReference w:type="default" r:id="rId25"/>
          <w:pgSz w:w="11910" w:h="16840"/>
          <w:pgMar w:footer="1294" w:header="786" w:top="1100" w:bottom="1480" w:left="980" w:right="0"/>
          <w:pgNumType w:start="201"/>
        </w:sectPr>
      </w:pPr>
    </w:p>
    <w:p>
      <w:pPr>
        <w:pStyle w:val="BodyText"/>
        <w:spacing w:line="240" w:lineRule="auto" w:before="44"/>
        <w:ind w:right="-14"/>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14"/>
        <w:jc w:val="left"/>
      </w:pPr>
      <w:r>
        <w:rPr/>
        <w:t>本期计提坏账准备金额</w:t>
      </w:r>
      <w:r>
        <w:rPr>
          <w:spacing w:val="-47"/>
        </w:rPr>
        <w:t> </w:t>
      </w:r>
      <w:r>
        <w:rPr>
          <w:rFonts w:ascii="Times New Roman" w:hAnsi="Times New Roman" w:cs="Times New Roman" w:eastAsia="Times New Roman" w:hint="default"/>
        </w:rPr>
        <w:t>239,125.17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100" w:bottom="700" w:left="980" w:right="0"/>
          <w:cols w:num="2" w:equalWidth="0">
            <w:col w:w="5917" w:space="2912"/>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49"/>
        <w:ind w:right="1117"/>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1117"/>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4" w:lineRule="auto"/>
        <w:jc w:val="left"/>
        <w:rPr>
          <w:rFonts w:ascii="宋体" w:hAnsi="宋体" w:cs="宋体" w:eastAsia="宋体" w:hint="default"/>
          <w:sz w:val="18"/>
          <w:szCs w:val="18"/>
        </w:rPr>
        <w:sectPr>
          <w:type w:val="continuous"/>
          <w:pgSz w:w="11910" w:h="16840"/>
          <w:pgMar w:top="1100" w:bottom="700" w:left="980" w:right="0"/>
        </w:sectPr>
      </w:pPr>
    </w:p>
    <w:p>
      <w:pPr>
        <w:pStyle w:val="BodyText"/>
        <w:spacing w:line="240" w:lineRule="auto" w:before="49"/>
        <w:ind w:right="-18"/>
        <w:jc w:val="left"/>
      </w:pPr>
      <w:r>
        <w:rPr/>
        <w:t>其他应收款核销说明：</w:t>
      </w:r>
    </w:p>
    <w:p>
      <w:pPr>
        <w:pStyle w:val="BodyText"/>
        <w:spacing w:line="240" w:lineRule="auto" w:before="117"/>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700" w:left="980" w:right="0"/>
          <w:cols w:num="2" w:equalWidth="0">
            <w:col w:w="2825" w:space="6004"/>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8,376,347.06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10,040,000.00</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8,587,138.04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4,091,710.04</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452,514.24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582,907.56</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员工社保公积金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29,254.06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24,873.22</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6,858.37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302,769.27</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17,452,111.77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15,042,260.09</w:t>
            </w:r>
          </w:p>
        </w:tc>
      </w:tr>
    </w:tbl>
    <w:p>
      <w:pPr>
        <w:pStyle w:val="BodyText"/>
        <w:spacing w:line="240" w:lineRule="auto" w:before="49"/>
        <w:ind w:right="1117"/>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1"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8"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3"/>
              <w:ind w:left="22" w:right="29"/>
              <w:jc w:val="left"/>
              <w:rPr>
                <w:rFonts w:ascii="宋体" w:hAnsi="宋体" w:cs="宋体" w:eastAsia="宋体" w:hint="default"/>
                <w:sz w:val="18"/>
                <w:szCs w:val="18"/>
              </w:rPr>
            </w:pPr>
            <w:r>
              <w:rPr>
                <w:rFonts w:ascii="宋体" w:hAnsi="宋体" w:cs="宋体" w:eastAsia="宋体" w:hint="default"/>
                <w:sz w:val="18"/>
                <w:szCs w:val="18"/>
              </w:rPr>
              <w:t>北京文化科技融资租 赁股份有限公司</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福建省农村信用社联 合社</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398,000.00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398,000.00</w:t>
            </w:r>
          </w:p>
        </w:tc>
      </w:tr>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乐山市商业银行股份 有限公司</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310,000.00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9,300.00</w:t>
            </w:r>
          </w:p>
        </w:tc>
      </w:tr>
      <w:tr>
        <w:trPr>
          <w:trHeight w:val="725"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北京京园诚得信工程 管理有限公司</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9,000.00</w:t>
            </w:r>
          </w:p>
        </w:tc>
      </w:tr>
      <w:tr>
        <w:trPr>
          <w:trHeight w:val="391"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8"/>
              <w:ind w:right="6"/>
              <w:jc w:val="center"/>
              <w:rPr>
                <w:rFonts w:ascii="宋体" w:hAnsi="宋体" w:cs="宋体" w:eastAsia="宋体" w:hint="default"/>
                <w:sz w:val="18"/>
                <w:szCs w:val="18"/>
              </w:rPr>
            </w:pPr>
            <w:r>
              <w:rPr>
                <w:rFonts w:ascii="宋体" w:hAnsi="宋体" w:cs="宋体" w:eastAsia="宋体" w:hint="default"/>
                <w:sz w:val="18"/>
                <w:szCs w:val="18"/>
              </w:rPr>
              <w:t>金采联合（北京）招</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261,400.00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1.50%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w w:val="95"/>
                <w:sz w:val="18"/>
              </w:rPr>
              <w:t>7,842.00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700" w:left="980" w:right="0"/>
        </w:sectPr>
      </w:pPr>
    </w:p>
    <w:p>
      <w:pPr>
        <w:spacing w:line="240" w:lineRule="auto" w:before="5"/>
        <w:rPr>
          <w:rFonts w:ascii="宋体" w:hAnsi="宋体" w:cs="宋体" w:eastAsia="宋体" w:hint="default"/>
          <w:sz w:val="25"/>
          <w:szCs w:val="25"/>
        </w:rPr>
      </w:pPr>
    </w:p>
    <w:tbl>
      <w:tblPr>
        <w:tblW w:w="0" w:type="auto"/>
        <w:jc w:val="left"/>
        <w:tblInd w:w="148" w:type="dxa"/>
        <w:tblLayout w:type="fixed"/>
        <w:tblCellMar>
          <w:top w:w="0" w:type="dxa"/>
          <w:left w:w="0" w:type="dxa"/>
          <w:bottom w:w="0" w:type="dxa"/>
          <w:right w:w="0" w:type="dxa"/>
        </w:tblCellMar>
        <w:tblLook w:val="01E0"/>
      </w:tblPr>
      <w:tblGrid>
        <w:gridCol w:w="1685"/>
        <w:gridCol w:w="1540"/>
        <w:gridCol w:w="1564"/>
        <w:gridCol w:w="1551"/>
        <w:gridCol w:w="1616"/>
        <w:gridCol w:w="1615"/>
      </w:tblGrid>
      <w:tr>
        <w:trPr>
          <w:trHeight w:val="363" w:hRule="exact"/>
        </w:trPr>
        <w:tc>
          <w:tcPr>
            <w:tcW w:w="16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标有限公司</w:t>
            </w:r>
          </w:p>
        </w:tc>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56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78" w:right="0"/>
              <w:jc w:val="left"/>
              <w:rPr>
                <w:rFonts w:ascii="Times New Roman" w:hAnsi="Times New Roman" w:cs="Times New Roman" w:eastAsia="Times New Roman" w:hint="default"/>
                <w:sz w:val="18"/>
                <w:szCs w:val="18"/>
              </w:rPr>
            </w:pPr>
            <w:r>
              <w:rPr>
                <w:rFonts w:ascii="Times New Roman"/>
                <w:sz w:val="18"/>
              </w:rPr>
              <w:t>6,269,400.00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9" w:right="0"/>
              <w:jc w:val="left"/>
              <w:rPr>
                <w:rFonts w:ascii="Times New Roman" w:hAnsi="Times New Roman" w:cs="Times New Roman" w:eastAsia="Times New Roman" w:hint="default"/>
                <w:sz w:val="18"/>
                <w:szCs w:val="18"/>
              </w:rPr>
            </w:pPr>
            <w:r>
              <w:rPr>
                <w:rFonts w:ascii="Times New Roman"/>
                <w:sz w:val="18"/>
              </w:rPr>
              <w:t>35.93%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2" w:right="0"/>
              <w:jc w:val="left"/>
              <w:rPr>
                <w:rFonts w:ascii="Times New Roman" w:hAnsi="Times New Roman" w:cs="Times New Roman" w:eastAsia="Times New Roman" w:hint="default"/>
                <w:sz w:val="18"/>
                <w:szCs w:val="18"/>
              </w:rPr>
            </w:pPr>
            <w:r>
              <w:rPr>
                <w:rFonts w:ascii="Times New Roman"/>
                <w:sz w:val="18"/>
              </w:rPr>
              <w:t>574,142.00</w:t>
            </w:r>
          </w:p>
        </w:tc>
      </w:tr>
    </w:tbl>
    <w:p>
      <w:pPr>
        <w:pStyle w:val="BodyText"/>
        <w:spacing w:line="240" w:lineRule="auto" w:before="49"/>
        <w:ind w:right="1117"/>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49"/>
        <w:ind w:right="1117"/>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1"/>
        <w:ind w:right="6644"/>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pStyle w:val="Heading4"/>
        <w:spacing w:line="240" w:lineRule="auto" w:before="21"/>
        <w:ind w:left="0" w:right="7255"/>
        <w:jc w:val="center"/>
      </w:pPr>
      <w:r>
        <w:rPr/>
        <w:t>对关联方的其他应收款情况</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355"/>
        <w:gridCol w:w="2355"/>
        <w:gridCol w:w="2201"/>
        <w:gridCol w:w="2506"/>
      </w:tblGrid>
      <w:tr>
        <w:trPr>
          <w:trHeight w:val="370"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占其他应收款余额的比例</w:t>
            </w:r>
            <w:r>
              <w:rPr>
                <w:rFonts w:ascii="Times New Roman" w:hAnsi="Times New Roman" w:cs="Times New Roman" w:eastAsia="Times New Roman" w:hint="default"/>
                <w:sz w:val="18"/>
                <w:szCs w:val="18"/>
              </w:rPr>
              <w:t>(%)</w:t>
            </w:r>
          </w:p>
        </w:tc>
      </w:tr>
      <w:tr>
        <w:trPr>
          <w:trHeight w:val="710"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上海翕振信息技术有限公司</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2,376,347.06</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13.18</w:t>
            </w:r>
          </w:p>
        </w:tc>
      </w:tr>
      <w:tr>
        <w:trPr>
          <w:trHeight w:val="710"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6"/>
              <w:ind w:left="1082" w:right="89" w:hanging="989"/>
              <w:jc w:val="left"/>
              <w:rPr>
                <w:rFonts w:ascii="宋体" w:hAnsi="宋体" w:cs="宋体" w:eastAsia="宋体" w:hint="default"/>
                <w:sz w:val="18"/>
                <w:szCs w:val="18"/>
              </w:rPr>
            </w:pPr>
            <w:r>
              <w:rPr>
                <w:rFonts w:ascii="宋体" w:hAnsi="宋体" w:cs="宋体" w:eastAsia="宋体" w:hint="default"/>
                <w:sz w:val="18"/>
                <w:szCs w:val="18"/>
              </w:rPr>
              <w:t>成都高伟达信息技术有限公 司</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本公司之子公司</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6,000,000.00</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33.29</w:t>
            </w:r>
          </w:p>
        </w:tc>
      </w:tr>
      <w:tr>
        <w:trPr>
          <w:trHeight w:val="386" w:hRule="exact"/>
        </w:trPr>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355"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Times New Roman" w:hAnsi="Times New Roman" w:cs="Times New Roman" w:eastAsia="Times New Roman" w:hint="default"/>
                <w:sz w:val="18"/>
                <w:szCs w:val="18"/>
              </w:rPr>
            </w:pPr>
            <w:r>
              <w:rPr>
                <w:rFonts w:ascii="Times New Roman"/>
                <w:sz w:val="18"/>
              </w:rPr>
              <w:t>8,376,347.06</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46.47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17"/>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1,122,017,340.64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1,122,017,340.64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1,089,890,664.43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1,089,890,664.43</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19,470,173.62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19,470,173.62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13,881,446.49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13,881,446.49</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1,141,487,514.26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1,141,487,514.26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1,103,772,110.92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1,103,772,110.92</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6"/>
        <w:gridCol w:w="1337"/>
        <w:gridCol w:w="1334"/>
        <w:gridCol w:w="1335"/>
        <w:gridCol w:w="1334"/>
        <w:gridCol w:w="1390"/>
        <w:gridCol w:w="1390"/>
      </w:tblGrid>
      <w:tr>
        <w:trPr>
          <w:trHeight w:val="715"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上海睿民互联网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299,999,982.22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299,999,982.22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海南坚果创娱信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253,660,888.94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253,660,888.94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喀什尚河信息科</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116,152,537.54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116,152,537.54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294" w:top="1100" w:bottom="148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446"/>
        <w:gridCol w:w="1337"/>
        <w:gridCol w:w="1334"/>
        <w:gridCol w:w="1335"/>
        <w:gridCol w:w="1334"/>
        <w:gridCol w:w="1390"/>
        <w:gridCol w:w="1390"/>
      </w:tblGrid>
      <w:tr>
        <w:trPr>
          <w:trHeight w:val="36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江苏高伟达信息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10,061,000.00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53"/>
              <w:jc w:val="both"/>
              <w:rPr>
                <w:rFonts w:ascii="宋体" w:hAnsi="宋体" w:cs="宋体" w:eastAsia="宋体" w:hint="default"/>
                <w:sz w:val="18"/>
                <w:szCs w:val="18"/>
              </w:rPr>
            </w:pPr>
            <w:r>
              <w:rPr>
                <w:rFonts w:ascii="宋体" w:hAnsi="宋体" w:cs="宋体" w:eastAsia="宋体" w:hint="default"/>
                <w:sz w:val="18"/>
                <w:szCs w:val="18"/>
              </w:rPr>
              <w:t>上海高伟达计算 机系统工程有限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7,700.00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7,700.00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北京高伟达钽云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19,503,300.00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19,820.69</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19,523,120.69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江苏盈达信息技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8,640,000.00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13,325,443.45</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21,965,443.45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深圳市快读科技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381,865,255.73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381,865,255.73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成都高伟达信息 技术有限公司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475,352.07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475,352.07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上海翕振信息技 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18,374,760.00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18,374,760.00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1,089,890,664.43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32,195,376.21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1,122,017,340.64</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49"/>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中信</w:t>
            </w:r>
            <w:r>
              <w:rPr>
                <w:rFonts w:ascii="宋体" w:hAnsi="宋体" w:cs="宋体" w:eastAsia="宋体" w:hint="default"/>
                <w:w w:val="99"/>
                <w:sz w:val="18"/>
                <w:szCs w:val="18"/>
              </w:rPr>
              <w:t> </w:t>
            </w:r>
            <w:r>
              <w:rPr>
                <w:rFonts w:ascii="宋体" w:hAnsi="宋体" w:cs="宋体" w:eastAsia="宋体" w:hint="default"/>
                <w:sz w:val="18"/>
                <w:szCs w:val="18"/>
              </w:rPr>
              <w:t>科技发展</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6,812,634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700,602.2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15,013,23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49"/>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北京</w:t>
            </w:r>
            <w:r>
              <w:rPr>
                <w:rFonts w:ascii="宋体" w:hAnsi="宋体" w:cs="宋体" w:eastAsia="宋体" w:hint="default"/>
                <w:w w:val="99"/>
                <w:sz w:val="18"/>
                <w:szCs w:val="18"/>
              </w:rPr>
              <w:t> </w:t>
            </w:r>
            <w:r>
              <w:rPr>
                <w:rFonts w:ascii="宋体" w:hAnsi="宋体" w:cs="宋体" w:eastAsia="宋体" w:hint="default"/>
                <w:sz w:val="18"/>
                <w:szCs w:val="18"/>
              </w:rPr>
              <w:t>高伟达保</w:t>
            </w:r>
            <w:r>
              <w:rPr>
                <w:rFonts w:ascii="宋体" w:hAnsi="宋体" w:cs="宋体" w:eastAsia="宋体" w:hint="default"/>
                <w:w w:val="99"/>
                <w:sz w:val="18"/>
                <w:szCs w:val="18"/>
              </w:rPr>
              <w:t> </w:t>
            </w:r>
            <w:r>
              <w:rPr>
                <w:rFonts w:ascii="宋体" w:hAnsi="宋体" w:cs="宋体" w:eastAsia="宋体" w:hint="default"/>
                <w:sz w:val="18"/>
                <w:szCs w:val="18"/>
              </w:rPr>
              <w:t>科技有限</w:t>
            </w:r>
            <w:r>
              <w:rPr>
                <w:rFonts w:ascii="宋体" w:hAnsi="宋体" w:cs="宋体" w:eastAsia="宋体" w:hint="default"/>
                <w:w w:val="99"/>
                <w:sz w:val="18"/>
                <w:szCs w:val="18"/>
              </w:rPr>
              <w:t> </w:t>
            </w:r>
            <w:r>
              <w:rPr>
                <w:rFonts w:ascii="宋体" w:hAnsi="宋体" w:cs="宋体" w:eastAsia="宋体" w:hint="default"/>
                <w:sz w:val="18"/>
                <w:szCs w:val="18"/>
              </w:rPr>
              <w:t>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7,068,811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-736,875.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4,456,936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13,881,44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19,470,17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13,881,44</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6.49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-36,272.8</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19,470,17</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3.62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743,972,929.93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644,301,715.87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753,476,566.45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610,423,625.48</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743,972,929.93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644,301,715.87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753,476,566.45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610,423,625.48</w:t>
            </w:r>
          </w:p>
        </w:tc>
      </w:tr>
    </w:tbl>
    <w:p>
      <w:pPr>
        <w:pStyle w:val="BodyText"/>
        <w:spacing w:line="240" w:lineRule="auto" w:before="49"/>
        <w:ind w:right="1117"/>
        <w:jc w:val="left"/>
      </w:pPr>
      <w:r>
        <w:rPr/>
        <w:t>其他说明：</w:t>
      </w:r>
    </w:p>
    <w:p>
      <w:pPr>
        <w:pStyle w:val="Heading4"/>
        <w:spacing w:line="240" w:lineRule="auto" w:before="94"/>
        <w:ind w:left="573" w:right="1117"/>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、主营业务收入</w:t>
      </w:r>
      <w:r>
        <w:rPr>
          <w:rFonts w:ascii="Times New Roman" w:hAnsi="Times New Roman" w:cs="Times New Roman" w:eastAsia="Times New Roman" w:hint="default"/>
        </w:rPr>
        <w:t>/</w:t>
      </w:r>
      <w:r>
        <w:rPr/>
        <w:t>主营业务成本</w:t>
      </w:r>
      <w:r>
        <w:rPr>
          <w:rFonts w:ascii="Times New Roman" w:hAnsi="Times New Roman" w:cs="Times New Roman" w:eastAsia="Times New Roman" w:hint="default"/>
        </w:rPr>
        <w:t>(</w:t>
      </w:r>
      <w:r>
        <w:rPr/>
        <w:t>按业务类别分类</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488"/>
        <w:gridCol w:w="1765"/>
        <w:gridCol w:w="1762"/>
        <w:gridCol w:w="1762"/>
        <w:gridCol w:w="1765"/>
      </w:tblGrid>
      <w:tr>
        <w:trPr>
          <w:trHeight w:val="343" w:hRule="exact"/>
        </w:trPr>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业务类别</w:t>
            </w:r>
          </w:p>
        </w:tc>
        <w:tc>
          <w:tcPr>
            <w:tcW w:w="35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5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1" w:hRule="exact"/>
        </w:trPr>
        <w:tc>
          <w:tcPr>
            <w:tcW w:w="1488" w:type="dxa"/>
            <w:vMerge/>
            <w:tcBorders>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收 </w:t>
            </w:r>
            <w:r>
              <w:rPr>
                <w:rFonts w:ascii="宋体" w:hAnsi="宋体" w:cs="宋体" w:eastAsia="宋体" w:hint="default"/>
                <w:spacing w:val="2"/>
                <w:sz w:val="18"/>
                <w:szCs w:val="18"/>
              </w:rPr>
              <w:t> </w:t>
            </w:r>
            <w:r>
              <w:rPr>
                <w:rFonts w:ascii="宋体" w:hAnsi="宋体" w:cs="宋体" w:eastAsia="宋体" w:hint="default"/>
                <w:sz w:val="18"/>
                <w:szCs w:val="18"/>
              </w:rPr>
              <w:t>入</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成 </w:t>
            </w:r>
            <w:r>
              <w:rPr>
                <w:rFonts w:ascii="宋体" w:hAnsi="宋体" w:cs="宋体" w:eastAsia="宋体" w:hint="default"/>
                <w:spacing w:val="2"/>
                <w:sz w:val="18"/>
                <w:szCs w:val="18"/>
              </w:rPr>
              <w:t> </w:t>
            </w:r>
            <w:r>
              <w:rPr>
                <w:rFonts w:ascii="宋体" w:hAnsi="宋体" w:cs="宋体" w:eastAsia="宋体" w:hint="default"/>
                <w:sz w:val="18"/>
                <w:szCs w:val="18"/>
              </w:rPr>
              <w:t>本</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收 </w:t>
            </w:r>
            <w:r>
              <w:rPr>
                <w:rFonts w:ascii="宋体" w:hAnsi="宋体" w:cs="宋体" w:eastAsia="宋体" w:hint="default"/>
                <w:spacing w:val="2"/>
                <w:sz w:val="18"/>
                <w:szCs w:val="18"/>
              </w:rPr>
              <w:t> </w:t>
            </w:r>
            <w:r>
              <w:rPr>
                <w:rFonts w:ascii="宋体" w:hAnsi="宋体" w:cs="宋体" w:eastAsia="宋体" w:hint="default"/>
                <w:sz w:val="18"/>
                <w:szCs w:val="18"/>
              </w:rPr>
              <w:t>入</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1"/>
                <w:sz w:val="18"/>
                <w:szCs w:val="18"/>
              </w:rPr>
              <w:t> </w:t>
            </w:r>
            <w:r>
              <w:rPr>
                <w:rFonts w:ascii="宋体" w:hAnsi="宋体" w:cs="宋体" w:eastAsia="宋体" w:hint="default"/>
                <w:sz w:val="18"/>
                <w:szCs w:val="18"/>
              </w:rPr>
              <w:t>本</w:t>
            </w:r>
          </w:p>
        </w:tc>
      </w:tr>
      <w:tr>
        <w:trPr>
          <w:trHeight w:val="343"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宋体" w:hAnsi="宋体" w:cs="宋体" w:eastAsia="宋体" w:hint="default"/>
                <w:sz w:val="18"/>
                <w:szCs w:val="18"/>
              </w:rPr>
              <w:t>解决方案</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316,285,100.73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251,169,793.88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350,441,650.42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249,970,536.58</w:t>
            </w:r>
          </w:p>
        </w:tc>
      </w:tr>
      <w:tr>
        <w:trPr>
          <w:trHeight w:val="341"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系统集成</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351,696,867.29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322,168,440.65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309,755,257.99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284,084,193.44</w:t>
            </w:r>
          </w:p>
        </w:tc>
      </w:tr>
      <w:tr>
        <w:trPr>
          <w:trHeight w:val="343"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宋体" w:hAnsi="宋体" w:cs="宋体" w:eastAsia="宋体" w:hint="default"/>
                <w:sz w:val="18"/>
                <w:szCs w:val="18"/>
              </w:rPr>
              <w:t>运维服务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75,990,961.91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70,963,481.34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93,279,658.04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76,368,895.46</w:t>
            </w:r>
          </w:p>
        </w:tc>
      </w:tr>
      <w:tr>
        <w:trPr>
          <w:trHeight w:val="341"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743,972,929.93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644,301,715.87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753,476,566.45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610,423,625.48</w:t>
            </w:r>
          </w:p>
        </w:tc>
      </w:tr>
    </w:tbl>
    <w:p>
      <w:pPr>
        <w:pStyle w:val="Heading4"/>
        <w:spacing w:line="278" w:lineRule="exact" w:before="0"/>
        <w:ind w:left="573" w:right="1117"/>
        <w:jc w:val="left"/>
      </w:pPr>
      <w:r>
        <w:rPr>
          <w:rFonts w:ascii="Times New Roman" w:hAnsi="Times New Roman" w:cs="Times New Roman" w:eastAsia="Times New Roman" w:hint="default"/>
        </w:rPr>
        <w:t>2</w:t>
      </w:r>
      <w:r>
        <w:rPr/>
        <w:t>、公司前五名客户的营业收入情况</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773"/>
        <w:gridCol w:w="2772"/>
        <w:gridCol w:w="2996"/>
      </w:tblGrid>
      <w:tr>
        <w:trPr>
          <w:trHeight w:val="34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41"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283,957,625.28</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38.17</w:t>
            </w:r>
          </w:p>
        </w:tc>
      </w:tr>
      <w:tr>
        <w:trPr>
          <w:trHeight w:val="34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73,979,518.65</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9.94</w:t>
            </w:r>
          </w:p>
        </w:tc>
      </w:tr>
      <w:tr>
        <w:trPr>
          <w:trHeight w:val="341"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29,935,933.38</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4.02</w:t>
            </w:r>
          </w:p>
        </w:tc>
      </w:tr>
      <w:tr>
        <w:trPr>
          <w:trHeight w:val="34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Times New Roman" w:hAnsi="Times New Roman" w:cs="Times New Roman" w:eastAsia="Times New Roman" w:hint="default"/>
                <w:sz w:val="21"/>
                <w:szCs w:val="21"/>
              </w:rPr>
              <w:t>4</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1,426,897.81</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2.88</w:t>
            </w:r>
          </w:p>
        </w:tc>
      </w:tr>
      <w:tr>
        <w:trPr>
          <w:trHeight w:val="341"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7"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Times New Roman" w:hAnsi="Times New Roman" w:cs="Times New Roman" w:eastAsia="Times New Roman" w:hint="default"/>
                <w:sz w:val="21"/>
                <w:szCs w:val="21"/>
              </w:rPr>
              <w:t>5</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20,443,271.36</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2.75</w:t>
            </w:r>
          </w:p>
        </w:tc>
      </w:tr>
      <w:tr>
        <w:trPr>
          <w:trHeight w:val="34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429,743,246.48</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57.76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17"/>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-36,272.87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-743,553.51</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24,963,727.13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-743,553.51</w:t>
            </w:r>
          </w:p>
        </w:tc>
      </w:tr>
    </w:tbl>
    <w:p>
      <w:pPr>
        <w:spacing w:after="0" w:line="240" w:lineRule="auto"/>
        <w:jc w:val="right"/>
        <w:rPr>
          <w:rFonts w:ascii="Times New Roman" w:hAnsi="Times New Roman" w:cs="Times New Roman" w:eastAsia="Times New Roman" w:hint="default"/>
          <w:sz w:val="18"/>
          <w:szCs w:val="18"/>
        </w:rPr>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17"/>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53,999,588.04</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2,552,263.70</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税收及财政扶持款</w:t>
            </w:r>
          </w:p>
        </w:tc>
      </w:tr>
      <w:tr>
        <w:trPr>
          <w:trHeight w:val="165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-3,492,314.27</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89"/>
              <w:jc w:val="left"/>
              <w:rPr>
                <w:rFonts w:ascii="宋体" w:hAnsi="宋体" w:cs="宋体" w:eastAsia="宋体" w:hint="default"/>
                <w:sz w:val="18"/>
                <w:szCs w:val="18"/>
              </w:rPr>
            </w:pPr>
            <w:r>
              <w:rPr>
                <w:rFonts w:ascii="宋体" w:hAnsi="宋体" w:cs="宋体" w:eastAsia="宋体" w:hint="default"/>
                <w:sz w:val="18"/>
                <w:szCs w:val="18"/>
              </w:rPr>
              <w:t>按照合同约定支付给收购公司原股东的 超额业绩对价款</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-479,999.95</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8,396,490.30</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-7,088.54</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44,190,135.76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91"/>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7"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0.14</w:t>
            </w:r>
          </w:p>
        </w:tc>
      </w:tr>
    </w:tbl>
    <w:p>
      <w:pPr>
        <w:spacing w:line="240" w:lineRule="auto" w:before="3"/>
        <w:rPr>
          <w:rFonts w:ascii="宋体" w:hAnsi="宋体" w:cs="宋体" w:eastAsia="宋体" w:hint="default"/>
          <w:b/>
          <w:bCs/>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86" w:footer="1294" w:top="1100" w:bottom="1480" w:left="980" w:right="0"/>
        </w:sectPr>
      </w:pPr>
    </w:p>
    <w:p>
      <w:pPr>
        <w:spacing w:line="240" w:lineRule="auto" w:before="9"/>
        <w:rPr>
          <w:rFonts w:ascii="宋体" w:hAnsi="宋体" w:cs="宋体" w:eastAsia="宋体" w:hint="default"/>
          <w:sz w:val="21"/>
          <w:szCs w:val="21"/>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59" w:lineRule="auto"/>
        <w:ind w:right="1117"/>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86" w:footer="1294" w:top="1100" w:bottom="1480" w:left="980" w:right="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1"/>
        <w:spacing w:line="240" w:lineRule="auto"/>
        <w:ind w:left="3285" w:right="1117"/>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2" w:lineRule="auto"/>
        <w:ind w:right="3194"/>
        <w:jc w:val="left"/>
      </w:pPr>
      <w:r>
        <w:rPr/>
        <w:t>一、载有公司法定代表人签名的《</w:t>
      </w:r>
      <w:r>
        <w:rPr>
          <w:rFonts w:ascii="Times New Roman" w:hAnsi="Times New Roman" w:cs="Times New Roman" w:eastAsia="Times New Roman" w:hint="default"/>
        </w:rPr>
        <w:t>2018</w:t>
      </w:r>
      <w:r>
        <w:rPr/>
        <w:t>年度报告》文本原件； 二、载有法定代表人、财务负责人、会计机构负责人签名并盖章的财务报告文本； 三、载有会计师事务所盖章、注册会计师签名并盖章的审计报告文本； 四、报告期内公司在中国证监会指定创业板信息披露媒体上公开披露过的所有文件及公告原稿；</w:t>
      </w:r>
    </w:p>
    <w:sectPr>
      <w:pgSz w:w="11910" w:h="16840"/>
      <w:pgMar w:header="786" w:footer="1294" w:top="1100" w:bottom="14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9256"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848" type="#_x0000_t75" stroked="false">
          <v:imagedata r:id="rId1" o:title=""/>
        </v:shape>
      </w:pict>
    </w:r>
    <w:r>
      <w:rPr/>
      <w:pict>
        <v:shape style="position:absolute;margin-left:288.809998pt;margin-top:766.237915pt;width:17.7pt;height:11pt;mso-position-horizontal-relative:page;mso-position-vertical-relative:page;z-index:-1028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191</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800" type="#_x0000_t75" stroked="false">
          <v:imagedata r:id="rId1" o:title=""/>
        </v:shape>
      </w:pict>
    </w:r>
    <w:r>
      <w:rPr/>
      <w:pict>
        <v:shape style="position:absolute;margin-left:289.809998pt;margin-top:766.237915pt;width:15.7pt;height:11pt;mso-position-horizontal-relative:page;mso-position-vertical-relative:page;z-index:-10287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752" type="#_x0000_t75" stroked="false">
          <v:imagedata r:id="rId1" o:title=""/>
        </v:shape>
      </w:pict>
    </w:r>
    <w:r>
      <w:rPr/>
      <w:pict>
        <v:shape style="position:absolute;margin-left:288.809998pt;margin-top:766.237915pt;width:17.7pt;height:11pt;mso-position-horizontal-relative:page;mso-position-vertical-relative:page;z-index:-1028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9232" type="#_x0000_t75" stroked="false">
          <v:imagedata r:id="rId1" o:title=""/>
        </v:shape>
      </w:pict>
    </w:r>
    <w:r>
      <w:rPr/>
      <w:pict>
        <v:shape style="position:absolute;margin-left:291.089996pt;margin-top:767.557922pt;width:13.15pt;height:11pt;mso-position-horizontal-relative:page;mso-position-vertical-relative:page;z-index:-1029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9184" type="#_x0000_t75" stroked="false">
          <v:imagedata r:id="rId1" o:title=""/>
        </v:shape>
      </w:pict>
    </w:r>
    <w:r>
      <w:rPr/>
      <w:pict>
        <v:shape style="position:absolute;margin-left:291.089996pt;margin-top:766.237915pt;width:18.8pt;height:12.35pt;mso-position-horizontal-relative:page;mso-position-vertical-relative:page;z-index:-1029160" type="#_x0000_t202" filled="false" stroked="false">
          <v:textbox inset="0,0,0,0">
            <w:txbxContent>
              <w:p>
                <w:pPr>
                  <w:pStyle w:val="BodyText"/>
                  <w:spacing w:line="240" w:lineRule="auto" w:before="23"/>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56</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9136" type="#_x0000_t75" stroked="false">
          <v:imagedata r:id="rId1" o:title=""/>
        </v:shape>
      </w:pict>
    </w:r>
    <w:r>
      <w:rPr/>
      <w:pict>
        <v:shape style="position:absolute;margin-left:289.809998pt;margin-top:766.237915pt;width:15.7pt;height:11pt;mso-position-horizontal-relative:page;mso-position-vertical-relative:page;z-index:-10291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9088" type="#_x0000_t75" stroked="false">
          <v:imagedata r:id="rId1" o:title=""/>
        </v:shape>
      </w:pict>
    </w:r>
    <w:r>
      <w:rPr/>
      <w:pict>
        <v:shape style="position:absolute;margin-left:288.809998pt;margin-top:766.237915pt;width:17.7pt;height:11pt;mso-position-horizontal-relative:page;mso-position-vertical-relative:page;z-index:-1029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9040" type="#_x0000_t75" stroked="false">
          <v:imagedata r:id="rId1" o:title=""/>
        </v:shape>
      </w:pict>
    </w:r>
    <w:r>
      <w:rPr/>
      <w:pict>
        <v:shape style="position:absolute;margin-left:288.809998pt;margin-top:766.237915pt;width:17.7pt;height:11pt;mso-position-horizontal-relative:page;mso-position-vertical-relative:page;z-index:-1029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106</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992" type="#_x0000_t75" stroked="false">
          <v:imagedata r:id="rId1" o:title=""/>
        </v:shape>
      </w:pict>
    </w:r>
    <w:r>
      <w:rPr/>
      <w:pict>
        <v:shape style="position:absolute;margin-left:289.049988pt;margin-top:766.237915pt;width:17.3pt;height:11pt;mso-position-horizontal-relative:page;mso-position-vertical-relative:page;z-index:-10289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944" type="#_x0000_t75" stroked="false">
          <v:imagedata r:id="rId1" o:title=""/>
        </v:shape>
      </w:pict>
    </w:r>
    <w:r>
      <w:rPr/>
      <w:pict>
        <v:shape style="position:absolute;margin-left:289.049988pt;margin-top:766.237915pt;width:17.3pt;height:11pt;mso-position-horizontal-relative:page;mso-position-vertical-relative:page;z-index:-1028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896" type="#_x0000_t75" stroked="false">
          <v:imagedata r:id="rId1" o:title=""/>
        </v:shape>
      </w:pict>
    </w:r>
    <w:r>
      <w:rPr/>
      <w:pict>
        <v:shape style="position:absolute;margin-left:288.809998pt;margin-top:766.237915pt;width:17.7pt;height:11pt;mso-position-horizontal-relative:page;mso-position-vertical-relative:page;z-index:-1028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04.369995pt;margin-top:38.305607pt;width:186.6pt;height:11.5pt;mso-position-horizontal-relative:page;mso-position-vertical-relative:page;z-index:-1029280" type="#_x0000_t202" filled="false" stroked="false">
          <v:textbox inset="0,0,0,0">
            <w:txbxContent>
              <w:p>
                <w:pPr>
                  <w:pStyle w:val="BodyText"/>
                  <w:spacing w:line="214" w:lineRule="exact"/>
                  <w:ind w:left="20" w:right="0"/>
                  <w:jc w:val="left"/>
                </w:pPr>
                <w:r>
                  <w:rPr/>
                  <w:t>高伟达软件股份有限公司</w:t>
                </w:r>
                <w:r>
                  <w:rPr>
                    <w:spacing w:val="-45"/>
                  </w:rPr>
                  <w:t> </w:t>
                </w:r>
                <w:r>
                  <w:rPr>
                    <w:rFonts w:ascii="Times New Roman" w:hAnsi="Times New Roman" w:cs="Times New Roman" w:eastAsia="Times New Roman" w:hint="default"/>
                  </w:rPr>
                  <w:t>2018 </w:t>
                </w:r>
                <w:r>
                  <w:rPr/>
                  <w:t>年年度报告全文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52" w:hanging="298"/>
        <w:jc w:val="left"/>
      </w:pPr>
      <w:rPr>
        <w:rFonts w:hint="default" w:ascii="Times New Roman" w:hAnsi="Times New Roman" w:eastAsia="Times New Roman"/>
        <w:spacing w:val="-1"/>
        <w:w w:val="100"/>
        <w:sz w:val="21"/>
        <w:szCs w:val="21"/>
      </w:rPr>
    </w:lvl>
    <w:lvl w:ilvl="1">
      <w:start w:val="1"/>
      <w:numFmt w:val="bullet"/>
      <w:lvlText w:val="•"/>
      <w:lvlJc w:val="left"/>
      <w:pPr>
        <w:ind w:left="1236" w:hanging="298"/>
      </w:pPr>
      <w:rPr>
        <w:rFonts w:hint="default"/>
      </w:rPr>
    </w:lvl>
    <w:lvl w:ilvl="2">
      <w:start w:val="1"/>
      <w:numFmt w:val="bullet"/>
      <w:lvlText w:val="•"/>
      <w:lvlJc w:val="left"/>
      <w:pPr>
        <w:ind w:left="2313" w:hanging="298"/>
      </w:pPr>
      <w:rPr>
        <w:rFonts w:hint="default"/>
      </w:rPr>
    </w:lvl>
    <w:lvl w:ilvl="3">
      <w:start w:val="1"/>
      <w:numFmt w:val="bullet"/>
      <w:lvlText w:val="•"/>
      <w:lvlJc w:val="left"/>
      <w:pPr>
        <w:ind w:left="3389" w:hanging="298"/>
      </w:pPr>
      <w:rPr>
        <w:rFonts w:hint="default"/>
      </w:rPr>
    </w:lvl>
    <w:lvl w:ilvl="4">
      <w:start w:val="1"/>
      <w:numFmt w:val="bullet"/>
      <w:lvlText w:val="•"/>
      <w:lvlJc w:val="left"/>
      <w:pPr>
        <w:ind w:left="4466" w:hanging="298"/>
      </w:pPr>
      <w:rPr>
        <w:rFonts w:hint="default"/>
      </w:rPr>
    </w:lvl>
    <w:lvl w:ilvl="5">
      <w:start w:val="1"/>
      <w:numFmt w:val="bullet"/>
      <w:lvlText w:val="•"/>
      <w:lvlJc w:val="left"/>
      <w:pPr>
        <w:ind w:left="5543" w:hanging="298"/>
      </w:pPr>
      <w:rPr>
        <w:rFonts w:hint="default"/>
      </w:rPr>
    </w:lvl>
    <w:lvl w:ilvl="6">
      <w:start w:val="1"/>
      <w:numFmt w:val="bullet"/>
      <w:lvlText w:val="•"/>
      <w:lvlJc w:val="left"/>
      <w:pPr>
        <w:ind w:left="6619" w:hanging="298"/>
      </w:pPr>
      <w:rPr>
        <w:rFonts w:hint="default"/>
      </w:rPr>
    </w:lvl>
    <w:lvl w:ilvl="7">
      <w:start w:val="1"/>
      <w:numFmt w:val="bullet"/>
      <w:lvlText w:val="•"/>
      <w:lvlJc w:val="left"/>
      <w:pPr>
        <w:ind w:left="7696" w:hanging="298"/>
      </w:pPr>
      <w:rPr>
        <w:rFonts w:hint="default"/>
      </w:rPr>
    </w:lvl>
    <w:lvl w:ilvl="8">
      <w:start w:val="1"/>
      <w:numFmt w:val="bullet"/>
      <w:lvlText w:val="•"/>
      <w:lvlJc w:val="left"/>
      <w:pPr>
        <w:ind w:left="8773" w:hanging="29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5"/>
      <w:ind w:left="152"/>
      <w:outlineLvl w:val="4"/>
    </w:pPr>
    <w:rPr>
      <w:rFonts w:ascii="宋体" w:hAnsi="宋体" w:eastAsia="宋体"/>
      <w:sz w:val="21"/>
      <w:szCs w:val="21"/>
    </w:rPr>
  </w:style>
  <w:style w:styleId="Heading5" w:type="paragraph">
    <w:name w:val="Heading 5"/>
    <w:basedOn w:val="Normal"/>
    <w:uiPriority w:val="1"/>
    <w:qFormat/>
    <w:pPr>
      <w:ind w:left="15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git.com.cn/" TargetMode="External"/><Relationship Id="rId10" Type="http://schemas.openxmlformats.org/officeDocument/2006/relationships/hyperlink" Target="mailto:securities@git.com.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3.xml"/><Relationship Id="rId15" Type="http://schemas.openxmlformats.org/officeDocument/2006/relationships/image" Target="media/image5.png"/><Relationship Id="rId16" Type="http://schemas.openxmlformats.org/officeDocument/2006/relationships/hyperlink" Target="http://www.cninfo.co/" TargetMode="Externa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dc:creator>
  <dcterms:created xsi:type="dcterms:W3CDTF">2020-05-05T02:50:24Z</dcterms:created>
  <dcterms:modified xsi:type="dcterms:W3CDTF">2020-05-05T02:50:24Z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Word 2010</vt:lpwstr>
  </property>
  <property fmtid="{D5CDD505-2E9C-101B-9397-08002B2CF9AE}" pid="4" name="LastSaved">
    <vt:filetime>2020-05-04T00:00:00Z</vt:filetime>
  </property>
</Properties>
</file>